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0FFE44F4" w:rsidR="00B60939" w:rsidRPr="00C31CA4" w:rsidRDefault="0071192E" w:rsidP="00D92642">
      <w:pPr>
        <w:pStyle w:val="1-MainHeading"/>
        <w:spacing w:before="0" w:after="0"/>
        <w:ind w:left="851" w:hanging="851"/>
      </w:pPr>
      <w:bookmarkStart w:id="0" w:name="_Toc144676117"/>
      <w:r w:rsidRPr="00C31CA4">
        <w:t>6.05</w:t>
      </w:r>
      <w:r w:rsidR="00D92642">
        <w:tab/>
      </w:r>
      <w:r w:rsidR="00A6420B" w:rsidRPr="00C31CA4">
        <w:t>ELTROMBOPAG</w:t>
      </w:r>
      <w:r w:rsidR="00163F66" w:rsidRPr="00C31CA4">
        <w:t>,</w:t>
      </w:r>
      <w:r w:rsidR="00163F66" w:rsidRPr="00C31CA4">
        <w:br/>
      </w:r>
      <w:r w:rsidR="0032199F" w:rsidRPr="00C31CA4">
        <w:t>T</w:t>
      </w:r>
      <w:r w:rsidR="00B27CBB" w:rsidRPr="00C31CA4">
        <w:t>ablet</w:t>
      </w:r>
      <w:r w:rsidR="0032199F" w:rsidRPr="00C31CA4">
        <w:t xml:space="preserve"> 25 mg</w:t>
      </w:r>
      <w:r w:rsidR="00163F66" w:rsidRPr="00C31CA4">
        <w:t>,</w:t>
      </w:r>
      <w:r w:rsidR="00D92642">
        <w:br/>
      </w:r>
      <w:r w:rsidR="0032199F" w:rsidRPr="00C31CA4">
        <w:t>Tablet 50 mg,</w:t>
      </w:r>
      <w:r w:rsidR="00163F66" w:rsidRPr="00C31CA4">
        <w:br/>
      </w:r>
      <w:r w:rsidR="00B27CBB" w:rsidRPr="00C31CA4">
        <w:t>Revolade</w:t>
      </w:r>
      <w:r w:rsidR="00B60939" w:rsidRPr="00C31CA4">
        <w:rPr>
          <w:vertAlign w:val="superscript"/>
        </w:rPr>
        <w:t>®</w:t>
      </w:r>
      <w:r w:rsidR="004A6040" w:rsidRPr="00C31CA4">
        <w:t>,</w:t>
      </w:r>
      <w:r w:rsidR="004A6040" w:rsidRPr="00C31CA4">
        <w:br/>
      </w:r>
      <w:r w:rsidR="00090C3D" w:rsidRPr="00C31CA4">
        <w:rPr>
          <w:bCs/>
        </w:rPr>
        <w:t>Haematology Society of Australia and New Zealand</w:t>
      </w:r>
      <w:r w:rsidR="00B60939" w:rsidRPr="00C31CA4">
        <w:t>.</w:t>
      </w:r>
      <w:bookmarkEnd w:id="0"/>
      <w:r w:rsidR="00F73E08" w:rsidRPr="00C31CA4">
        <w:t xml:space="preserve"> </w:t>
      </w:r>
    </w:p>
    <w:p w14:paraId="11C00795" w14:textId="3DFB6D23" w:rsidR="00B50DB8" w:rsidRPr="00C31CA4" w:rsidRDefault="00B50DB8" w:rsidP="004A6040">
      <w:pPr>
        <w:pStyle w:val="2-SectionHeading"/>
      </w:pPr>
      <w:bookmarkStart w:id="1" w:name="_Toc144676119"/>
      <w:r w:rsidRPr="00C31CA4">
        <w:t xml:space="preserve">Purpose of </w:t>
      </w:r>
      <w:r w:rsidR="00CD7193" w:rsidRPr="00C31CA4">
        <w:t>s</w:t>
      </w:r>
      <w:r w:rsidR="00BB3A45" w:rsidRPr="00C31CA4">
        <w:t>ubmission</w:t>
      </w:r>
      <w:bookmarkEnd w:id="1"/>
    </w:p>
    <w:p w14:paraId="7A32DE2C" w14:textId="631AC37B" w:rsidR="00BA3F04" w:rsidRPr="00C31CA4" w:rsidRDefault="007170DA" w:rsidP="008B3F17">
      <w:pPr>
        <w:pStyle w:val="3-BodyText"/>
      </w:pPr>
      <w:r w:rsidRPr="00C31CA4">
        <w:t xml:space="preserve">The submission requested </w:t>
      </w:r>
      <w:r w:rsidR="008B1757" w:rsidRPr="00C31CA4">
        <w:t xml:space="preserve">Section 100, </w:t>
      </w:r>
      <w:r w:rsidR="00A6420B" w:rsidRPr="00C31CA4">
        <w:t xml:space="preserve">Highly </w:t>
      </w:r>
      <w:r w:rsidR="005350F7" w:rsidRPr="00C31CA4">
        <w:t xml:space="preserve">Specialised Drugs Program </w:t>
      </w:r>
      <w:r w:rsidR="008B1757" w:rsidRPr="00C31CA4">
        <w:t xml:space="preserve">listing for </w:t>
      </w:r>
      <w:r w:rsidR="005350F7" w:rsidRPr="00C31CA4">
        <w:t>eltrombopag</w:t>
      </w:r>
      <w:r w:rsidR="008B1757" w:rsidRPr="00C31CA4">
        <w:t xml:space="preserve"> for </w:t>
      </w:r>
      <w:r w:rsidR="0050174E" w:rsidRPr="00C31CA4">
        <w:t xml:space="preserve">the </w:t>
      </w:r>
      <w:r w:rsidR="008B1757" w:rsidRPr="00C31CA4">
        <w:t xml:space="preserve">treatment of </w:t>
      </w:r>
      <w:r w:rsidR="005350F7" w:rsidRPr="00C31CA4">
        <w:t xml:space="preserve">severe aplastic anaemia </w:t>
      </w:r>
      <w:r w:rsidR="009D15F0" w:rsidRPr="00C31CA4">
        <w:t>(sAA)</w:t>
      </w:r>
      <w:r w:rsidR="00696AA1" w:rsidRPr="00C31CA4">
        <w:t xml:space="preserve">, as first-line treatment in combination </w:t>
      </w:r>
      <w:r w:rsidR="00827DFF" w:rsidRPr="00C31CA4">
        <w:t xml:space="preserve">with </w:t>
      </w:r>
      <w:r w:rsidR="00696AA1" w:rsidRPr="00C31CA4">
        <w:t>immun</w:t>
      </w:r>
      <w:r w:rsidR="00827DFF" w:rsidRPr="00C31CA4">
        <w:t>o</w:t>
      </w:r>
      <w:r w:rsidR="00696AA1" w:rsidRPr="00C31CA4">
        <w:t>suppressive therapy (IST</w:t>
      </w:r>
      <w:r w:rsidR="00827DFF" w:rsidRPr="00C31CA4">
        <w:t xml:space="preserve">, consisting of horse </w:t>
      </w:r>
      <w:r w:rsidR="00F57988" w:rsidRPr="00C31CA4">
        <w:t>a</w:t>
      </w:r>
      <w:r w:rsidR="00827DFF" w:rsidRPr="00C31CA4">
        <w:t>nti-</w:t>
      </w:r>
      <w:r w:rsidR="00F57988" w:rsidRPr="00C31CA4">
        <w:t>t</w:t>
      </w:r>
      <w:r w:rsidR="00827DFF" w:rsidRPr="00C31CA4">
        <w:t xml:space="preserve">hymocyte </w:t>
      </w:r>
      <w:r w:rsidR="00F57988" w:rsidRPr="00C31CA4">
        <w:t>g</w:t>
      </w:r>
      <w:r w:rsidR="00827DFF" w:rsidRPr="00C31CA4">
        <w:t xml:space="preserve">lobulin, hATG, and </w:t>
      </w:r>
      <w:r w:rsidR="009A6886">
        <w:t>ciclosporin</w:t>
      </w:r>
      <w:r w:rsidR="00827DFF" w:rsidRPr="00C31CA4">
        <w:t xml:space="preserve"> A, CsA)</w:t>
      </w:r>
      <w:r w:rsidR="00696AA1" w:rsidRPr="00C31CA4">
        <w:t>,</w:t>
      </w:r>
      <w:r w:rsidR="00827DFF" w:rsidRPr="00C31CA4">
        <w:rPr>
          <w:rStyle w:val="FootnoteReference"/>
          <w:vertAlign w:val="baseline"/>
        </w:rPr>
        <w:t xml:space="preserve"> </w:t>
      </w:r>
      <w:r w:rsidR="00696AA1" w:rsidRPr="00C31CA4">
        <w:t xml:space="preserve">and </w:t>
      </w:r>
      <w:r w:rsidR="00BA039F" w:rsidRPr="00C31CA4">
        <w:t>as</w:t>
      </w:r>
      <w:r w:rsidR="007D1F58" w:rsidRPr="00C31CA4">
        <w:t xml:space="preserve"> a</w:t>
      </w:r>
      <w:r w:rsidR="00BA039F" w:rsidRPr="00C31CA4">
        <w:t xml:space="preserve"> second-line treatment </w:t>
      </w:r>
      <w:r w:rsidR="00696AA1" w:rsidRPr="00C31CA4">
        <w:t>in patients</w:t>
      </w:r>
      <w:r w:rsidR="009D15F0" w:rsidRPr="00C31CA4">
        <w:t xml:space="preserve"> </w:t>
      </w:r>
      <w:r w:rsidR="007D1F58" w:rsidRPr="00C31CA4">
        <w:t xml:space="preserve">with an inadequate response or intolerance </w:t>
      </w:r>
      <w:r w:rsidR="005350F7" w:rsidRPr="00C31CA4">
        <w:t>to IST</w:t>
      </w:r>
      <w:r w:rsidR="00827DFF" w:rsidRPr="00C31CA4">
        <w:rPr>
          <w:rStyle w:val="FootnoteReference"/>
        </w:rPr>
        <w:footnoteReference w:id="1"/>
      </w:r>
      <w:r w:rsidR="001C2375" w:rsidRPr="00C31CA4">
        <w:t>.</w:t>
      </w:r>
    </w:p>
    <w:p w14:paraId="4E9FBCB5" w14:textId="2598B90B" w:rsidR="00C2778B" w:rsidRPr="00C31CA4" w:rsidRDefault="00655546" w:rsidP="008B3F17">
      <w:pPr>
        <w:pStyle w:val="3-BodyText"/>
      </w:pPr>
      <w:r w:rsidRPr="00C31CA4">
        <w:t xml:space="preserve">The submission stated that “eltrombopag is registered in Australia for sAA for first-line treatment in combination with IST, and for those with an insufficient response to IST, however, is not reimbursed by the PBS. Eltrombopag is reimbursed for immune thrombocytopenia. As such, Australian patients are unable to access eltrombopag as standard of care </w:t>
      </w:r>
      <w:r w:rsidR="0071192E" w:rsidRPr="00C31CA4">
        <w:t xml:space="preserve">[for sAA] </w:t>
      </w:r>
      <w:r w:rsidRPr="00C31CA4">
        <w:t>and will inevitabl</w:t>
      </w:r>
      <w:r w:rsidR="009D15F0" w:rsidRPr="00C31CA4">
        <w:t>y</w:t>
      </w:r>
      <w:r w:rsidRPr="00C31CA4">
        <w:t xml:space="preserve"> achieve inferior clinical outcomes. Eltrombopag is standard of care and reimbursed in Europe, USA and New Zealand and most developed countries</w:t>
      </w:r>
      <w:r w:rsidR="005350F7" w:rsidRPr="00C31CA4">
        <w:t>.</w:t>
      </w:r>
      <w:r w:rsidR="00FB6BD7" w:rsidRPr="00C31CA4">
        <w:rPr>
          <w:color w:val="000000" w:themeColor="text1"/>
        </w:rPr>
        <w:t>”</w:t>
      </w:r>
    </w:p>
    <w:p w14:paraId="5A28804D" w14:textId="3FD964BC" w:rsidR="00827DFF" w:rsidRPr="00C31CA4" w:rsidRDefault="00B27CBB" w:rsidP="008B3F17">
      <w:pPr>
        <w:pStyle w:val="3-BodyText"/>
        <w:rPr>
          <w:snapToGrid/>
          <w:lang w:eastAsia="en-GB"/>
        </w:rPr>
      </w:pPr>
      <w:r w:rsidRPr="00C31CA4">
        <w:t xml:space="preserve">The submission stated in the covering letter that </w:t>
      </w:r>
      <w:r w:rsidRPr="00C31CA4">
        <w:rPr>
          <w:color w:val="000000" w:themeColor="text1"/>
        </w:rPr>
        <w:t>“</w:t>
      </w:r>
      <w:r w:rsidRPr="00C31CA4">
        <w:rPr>
          <w:snapToGrid/>
          <w:lang w:eastAsia="en-GB"/>
        </w:rPr>
        <w:t>severe aplastic anaemia is a rare bone marrow failure disorder (orphan disease) and does not represent a commercial priority for Novartis, the Australian manufacturer of Eltrombopag.”</w:t>
      </w:r>
      <w:r w:rsidR="000A19E6" w:rsidRPr="00C31CA4">
        <w:rPr>
          <w:snapToGrid/>
          <w:lang w:eastAsia="en-GB"/>
        </w:rPr>
        <w:t xml:space="preserve"> </w:t>
      </w:r>
      <w:r w:rsidR="006C2B5B" w:rsidRPr="00C31CA4">
        <w:rPr>
          <w:snapToGrid/>
          <w:lang w:eastAsia="en-GB"/>
        </w:rPr>
        <w:t xml:space="preserve">The PBAC noted the cover letter provided by HSANZ stated that the submission was supported by Novartis. </w:t>
      </w:r>
    </w:p>
    <w:p w14:paraId="3718DE61" w14:textId="5FA54DC1" w:rsidR="008B1757" w:rsidRPr="00C31CA4" w:rsidRDefault="00696EF9" w:rsidP="004A6040">
      <w:pPr>
        <w:pStyle w:val="TableFigureHeading"/>
        <w:rPr>
          <w:rStyle w:val="CommentReference"/>
          <w:b/>
          <w:szCs w:val="24"/>
        </w:rPr>
      </w:pPr>
      <w:r w:rsidRPr="00C31CA4">
        <w:lastRenderedPageBreak/>
        <w:t xml:space="preserve">Table </w:t>
      </w:r>
      <w:fldSimple w:instr=" SEQ Table \* ARABIC " w:fldLock="1">
        <w:r w:rsidR="00897FA1">
          <w:rPr>
            <w:noProof/>
          </w:rPr>
          <w:t>1</w:t>
        </w:r>
      </w:fldSimple>
      <w:r w:rsidRPr="00C31CA4">
        <w:t>:</w:t>
      </w:r>
      <w:r w:rsidR="00BC591F" w:rsidRPr="00C31CA4">
        <w:rPr>
          <w:rStyle w:val="CommentReference"/>
          <w:b/>
          <w:szCs w:val="24"/>
        </w:rPr>
        <w:t xml:space="preserve"> </w:t>
      </w:r>
      <w:r w:rsidR="008B1757" w:rsidRPr="00C31CA4">
        <w:rPr>
          <w:rStyle w:val="CommentReference"/>
          <w:b/>
          <w:szCs w:val="24"/>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C31CA4" w14:paraId="569F5103" w14:textId="77777777" w:rsidTr="002A2ADE">
        <w:trPr>
          <w:cantSplit/>
          <w:tblHeader/>
        </w:trPr>
        <w:tc>
          <w:tcPr>
            <w:tcW w:w="924" w:type="pct"/>
            <w:shd w:val="clear" w:color="auto" w:fill="auto"/>
          </w:tcPr>
          <w:p w14:paraId="501803FB" w14:textId="77777777" w:rsidR="008B1757" w:rsidRPr="00C31CA4" w:rsidRDefault="008B1757" w:rsidP="004A6040">
            <w:pPr>
              <w:pStyle w:val="In-tableHeading"/>
              <w:rPr>
                <w:szCs w:val="20"/>
                <w:lang w:val="en-AU"/>
              </w:rPr>
            </w:pPr>
            <w:r w:rsidRPr="00C31CA4">
              <w:rPr>
                <w:lang w:val="en-AU"/>
              </w:rPr>
              <w:t>Component</w:t>
            </w:r>
          </w:p>
        </w:tc>
        <w:tc>
          <w:tcPr>
            <w:tcW w:w="4076" w:type="pct"/>
            <w:shd w:val="clear" w:color="auto" w:fill="auto"/>
          </w:tcPr>
          <w:p w14:paraId="445D9EBB" w14:textId="77777777" w:rsidR="008B1757" w:rsidRPr="00C31CA4" w:rsidRDefault="008B1757" w:rsidP="004A6040">
            <w:pPr>
              <w:pStyle w:val="In-tableHeading"/>
              <w:rPr>
                <w:lang w:val="en-AU"/>
              </w:rPr>
            </w:pPr>
            <w:r w:rsidRPr="00C31CA4">
              <w:rPr>
                <w:lang w:val="en-AU"/>
              </w:rPr>
              <w:t>Description</w:t>
            </w:r>
          </w:p>
        </w:tc>
      </w:tr>
      <w:tr w:rsidR="008B1757" w:rsidRPr="00C31CA4" w14:paraId="2EB546E2" w14:textId="77777777" w:rsidTr="00237AB9">
        <w:trPr>
          <w:cantSplit/>
        </w:trPr>
        <w:tc>
          <w:tcPr>
            <w:tcW w:w="924" w:type="pct"/>
            <w:shd w:val="clear" w:color="auto" w:fill="auto"/>
            <w:vAlign w:val="center"/>
          </w:tcPr>
          <w:p w14:paraId="38F3BB34" w14:textId="77777777" w:rsidR="008B1757" w:rsidRPr="00C31CA4" w:rsidRDefault="008B1757" w:rsidP="004A6040">
            <w:pPr>
              <w:pStyle w:val="TableText0"/>
            </w:pPr>
            <w:r w:rsidRPr="00C31CA4">
              <w:t>Population</w:t>
            </w:r>
          </w:p>
        </w:tc>
        <w:tc>
          <w:tcPr>
            <w:tcW w:w="4076" w:type="pct"/>
            <w:shd w:val="clear" w:color="auto" w:fill="auto"/>
          </w:tcPr>
          <w:p w14:paraId="5CCF127C" w14:textId="19A1873C" w:rsidR="0071192E" w:rsidRPr="00C31CA4" w:rsidRDefault="0071192E" w:rsidP="00233C01">
            <w:pPr>
              <w:pStyle w:val="TableText0"/>
              <w:rPr>
                <w:szCs w:val="20"/>
                <w:u w:val="single"/>
              </w:rPr>
            </w:pPr>
            <w:r w:rsidRPr="00C31CA4">
              <w:rPr>
                <w:szCs w:val="20"/>
                <w:u w:val="single"/>
              </w:rPr>
              <w:t>First</w:t>
            </w:r>
            <w:r w:rsidR="00A65ACC" w:rsidRPr="00C31CA4">
              <w:rPr>
                <w:szCs w:val="20"/>
                <w:u w:val="single"/>
              </w:rPr>
              <w:t>-</w:t>
            </w:r>
            <w:r w:rsidRPr="00C31CA4">
              <w:rPr>
                <w:szCs w:val="20"/>
                <w:u w:val="single"/>
              </w:rPr>
              <w:t>line treatment</w:t>
            </w:r>
          </w:p>
          <w:p w14:paraId="487B4380" w14:textId="77777777" w:rsidR="00233C01" w:rsidRPr="00C31CA4" w:rsidRDefault="00655546" w:rsidP="00233C01">
            <w:pPr>
              <w:pStyle w:val="TableText0"/>
              <w:rPr>
                <w:szCs w:val="20"/>
              </w:rPr>
            </w:pPr>
            <w:r w:rsidRPr="00C31CA4">
              <w:rPr>
                <w:szCs w:val="20"/>
              </w:rPr>
              <w:t>Adults and children with severe aplastic anaemia</w:t>
            </w:r>
          </w:p>
          <w:p w14:paraId="7842D833" w14:textId="37AE13BF" w:rsidR="0071192E" w:rsidRPr="00C31CA4" w:rsidRDefault="006A0CA9" w:rsidP="00233C01">
            <w:pPr>
              <w:pStyle w:val="TableText0"/>
              <w:rPr>
                <w:szCs w:val="20"/>
                <w:u w:val="single"/>
              </w:rPr>
            </w:pPr>
            <w:r w:rsidRPr="00C31CA4">
              <w:rPr>
                <w:szCs w:val="20"/>
                <w:u w:val="single"/>
              </w:rPr>
              <w:t>Second-line treatment</w:t>
            </w:r>
          </w:p>
          <w:p w14:paraId="79618EEE" w14:textId="71637FD5" w:rsidR="0071192E" w:rsidRPr="00C31CA4" w:rsidRDefault="0071192E" w:rsidP="00233C01">
            <w:pPr>
              <w:pStyle w:val="TableText0"/>
              <w:rPr>
                <w:szCs w:val="20"/>
              </w:rPr>
            </w:pPr>
            <w:r w:rsidRPr="00C31CA4">
              <w:rPr>
                <w:szCs w:val="20"/>
              </w:rPr>
              <w:t xml:space="preserve">Adults with severe aplastic anaemia </w:t>
            </w:r>
            <w:r w:rsidRPr="00C31CA4">
              <w:t>who have had an insufficient response to IST</w:t>
            </w:r>
          </w:p>
        </w:tc>
      </w:tr>
      <w:tr w:rsidR="008B1757" w:rsidRPr="00C31CA4" w14:paraId="0CA523AF" w14:textId="77777777" w:rsidTr="00237AB9">
        <w:trPr>
          <w:cantSplit/>
        </w:trPr>
        <w:tc>
          <w:tcPr>
            <w:tcW w:w="924" w:type="pct"/>
            <w:shd w:val="clear" w:color="auto" w:fill="auto"/>
            <w:vAlign w:val="center"/>
          </w:tcPr>
          <w:p w14:paraId="7B6D20D8" w14:textId="77777777" w:rsidR="008B1757" w:rsidRPr="00C31CA4" w:rsidRDefault="008B1757" w:rsidP="004A6040">
            <w:pPr>
              <w:pStyle w:val="TableText0"/>
            </w:pPr>
            <w:r w:rsidRPr="00C31CA4">
              <w:t>Intervention</w:t>
            </w:r>
          </w:p>
        </w:tc>
        <w:tc>
          <w:tcPr>
            <w:tcW w:w="4076" w:type="pct"/>
            <w:shd w:val="clear" w:color="auto" w:fill="auto"/>
          </w:tcPr>
          <w:p w14:paraId="278511A2" w14:textId="0EE0C438" w:rsidR="0071192E" w:rsidRPr="00C31CA4" w:rsidRDefault="0071192E" w:rsidP="00D43D83">
            <w:pPr>
              <w:pStyle w:val="TableText0"/>
              <w:rPr>
                <w:u w:val="single"/>
              </w:rPr>
            </w:pPr>
            <w:r w:rsidRPr="00C31CA4">
              <w:rPr>
                <w:u w:val="single"/>
              </w:rPr>
              <w:t>First</w:t>
            </w:r>
            <w:r w:rsidR="00A65ACC" w:rsidRPr="00C31CA4">
              <w:rPr>
                <w:u w:val="single"/>
              </w:rPr>
              <w:t>-</w:t>
            </w:r>
            <w:r w:rsidRPr="00C31CA4">
              <w:rPr>
                <w:u w:val="single"/>
              </w:rPr>
              <w:t>line treatment</w:t>
            </w:r>
          </w:p>
          <w:p w14:paraId="659A8683" w14:textId="3B3A4122" w:rsidR="00233C01" w:rsidRPr="00C31CA4" w:rsidRDefault="0071192E" w:rsidP="00D43D83">
            <w:pPr>
              <w:pStyle w:val="TableText0"/>
            </w:pPr>
            <w:r w:rsidRPr="00C31CA4">
              <w:t xml:space="preserve">Adults and adolescents: </w:t>
            </w:r>
            <w:r w:rsidR="00415F9C" w:rsidRPr="00C31CA4">
              <w:t>150</w:t>
            </w:r>
            <w:r w:rsidR="00237AB9" w:rsidRPr="00C31CA4">
              <w:t xml:space="preserve"> </w:t>
            </w:r>
            <w:r w:rsidR="00415F9C" w:rsidRPr="00C31CA4">
              <w:t>mg per da</w:t>
            </w:r>
            <w:r w:rsidRPr="00C31CA4">
              <w:t>y. Children 6 to 11 years: 75 mg per day. Children 2 to 5 years: 2.5mg/kg per day. Patients of East-/ Southeast Asian ancestry are treated with half the recommended dose</w:t>
            </w:r>
            <w:r w:rsidR="00C31CA4">
              <w:t xml:space="preserve">. </w:t>
            </w:r>
            <w:r w:rsidRPr="00C31CA4">
              <w:t xml:space="preserve">All patients treated for 6 months. </w:t>
            </w:r>
            <w:r w:rsidR="00B601FF" w:rsidRPr="00C31CA4">
              <w:t>In combination with IST.</w:t>
            </w:r>
          </w:p>
          <w:p w14:paraId="485A28C6" w14:textId="77777777" w:rsidR="006A0CA9" w:rsidRPr="00C31CA4" w:rsidRDefault="006A0CA9" w:rsidP="006A0CA9">
            <w:pPr>
              <w:pStyle w:val="TableText0"/>
              <w:rPr>
                <w:szCs w:val="20"/>
                <w:u w:val="single"/>
              </w:rPr>
            </w:pPr>
            <w:r w:rsidRPr="00C31CA4">
              <w:rPr>
                <w:szCs w:val="20"/>
                <w:u w:val="single"/>
              </w:rPr>
              <w:t>Second-line treatment</w:t>
            </w:r>
          </w:p>
          <w:p w14:paraId="2491E905" w14:textId="38B3E72F" w:rsidR="0071192E" w:rsidRPr="00C31CA4" w:rsidRDefault="0071192E" w:rsidP="00D43D83">
            <w:pPr>
              <w:pStyle w:val="TableText0"/>
            </w:pPr>
            <w:r w:rsidRPr="00C31CA4">
              <w:t>Adults: 50 mg daily, titrated up to 150 mg per day depending on haematological response. Patients of East-/ Southeast Asian ancestry are treated with half the recommended dose</w:t>
            </w:r>
            <w:r w:rsidR="00C31CA4">
              <w:t xml:space="preserve">. </w:t>
            </w:r>
          </w:p>
        </w:tc>
      </w:tr>
      <w:tr w:rsidR="008B1757" w:rsidRPr="00C31CA4" w14:paraId="0F81EBE4" w14:textId="77777777" w:rsidTr="00237AB9">
        <w:trPr>
          <w:cantSplit/>
        </w:trPr>
        <w:tc>
          <w:tcPr>
            <w:tcW w:w="924" w:type="pct"/>
            <w:shd w:val="clear" w:color="auto" w:fill="auto"/>
            <w:vAlign w:val="center"/>
          </w:tcPr>
          <w:p w14:paraId="3656B343" w14:textId="77777777" w:rsidR="008B1757" w:rsidRPr="00C31CA4" w:rsidRDefault="008B1757" w:rsidP="004A6040">
            <w:pPr>
              <w:pStyle w:val="TableText0"/>
            </w:pPr>
            <w:r w:rsidRPr="00C31CA4">
              <w:t>Comparator</w:t>
            </w:r>
          </w:p>
        </w:tc>
        <w:tc>
          <w:tcPr>
            <w:tcW w:w="4076" w:type="pct"/>
            <w:shd w:val="clear" w:color="auto" w:fill="auto"/>
          </w:tcPr>
          <w:p w14:paraId="186C7DEE" w14:textId="4A47E0E0" w:rsidR="0071192E" w:rsidRPr="00C31CA4" w:rsidRDefault="0071192E" w:rsidP="001E1E86">
            <w:pPr>
              <w:pStyle w:val="TableText0"/>
              <w:rPr>
                <w:u w:val="single"/>
              </w:rPr>
            </w:pPr>
            <w:r w:rsidRPr="00C31CA4">
              <w:rPr>
                <w:u w:val="single"/>
              </w:rPr>
              <w:t>First</w:t>
            </w:r>
            <w:r w:rsidR="00A65ACC" w:rsidRPr="00C31CA4">
              <w:rPr>
                <w:u w:val="single"/>
              </w:rPr>
              <w:t>-</w:t>
            </w:r>
            <w:r w:rsidRPr="00C31CA4">
              <w:rPr>
                <w:u w:val="single"/>
              </w:rPr>
              <w:t>line treatment</w:t>
            </w:r>
          </w:p>
          <w:p w14:paraId="1ABA85F5" w14:textId="647EF9DC" w:rsidR="00233C01" w:rsidRPr="00C31CA4" w:rsidRDefault="00415F9C" w:rsidP="001E1E86">
            <w:pPr>
              <w:pStyle w:val="TableText0"/>
            </w:pPr>
            <w:r w:rsidRPr="00C31CA4">
              <w:t xml:space="preserve">hATG + </w:t>
            </w:r>
            <w:r w:rsidR="009A6886">
              <w:t>ciclosporin</w:t>
            </w:r>
            <w:r w:rsidR="009E3BC7" w:rsidRPr="00C31CA4">
              <w:t xml:space="preserve"> A</w:t>
            </w:r>
          </w:p>
          <w:p w14:paraId="39AD4F28" w14:textId="77777777" w:rsidR="006A0CA9" w:rsidRPr="00C31CA4" w:rsidRDefault="006A0CA9" w:rsidP="006A0CA9">
            <w:pPr>
              <w:pStyle w:val="TableText0"/>
              <w:rPr>
                <w:szCs w:val="20"/>
                <w:u w:val="single"/>
              </w:rPr>
            </w:pPr>
            <w:r w:rsidRPr="00C31CA4">
              <w:rPr>
                <w:szCs w:val="20"/>
                <w:u w:val="single"/>
              </w:rPr>
              <w:t>Second-line treatment</w:t>
            </w:r>
          </w:p>
          <w:p w14:paraId="3727DE24" w14:textId="19D76BB2" w:rsidR="0071192E" w:rsidRPr="00C31CA4" w:rsidRDefault="00C971F0" w:rsidP="001E1E86">
            <w:pPr>
              <w:pStyle w:val="TableText0"/>
            </w:pPr>
            <w:r w:rsidRPr="00C31CA4">
              <w:t>No comparator nominated</w:t>
            </w:r>
            <w:r w:rsidR="00EA03FD" w:rsidRPr="00C31CA4">
              <w:t>; comparator might be ‘standard of care’ including treatment of infections and transfusion</w:t>
            </w:r>
          </w:p>
        </w:tc>
      </w:tr>
      <w:tr w:rsidR="008B1757" w:rsidRPr="00C31CA4" w14:paraId="02F86F0D" w14:textId="77777777" w:rsidTr="00237AB9">
        <w:trPr>
          <w:cantSplit/>
        </w:trPr>
        <w:tc>
          <w:tcPr>
            <w:tcW w:w="924" w:type="pct"/>
            <w:shd w:val="clear" w:color="auto" w:fill="auto"/>
            <w:vAlign w:val="center"/>
          </w:tcPr>
          <w:p w14:paraId="06433105" w14:textId="77777777" w:rsidR="008B1757" w:rsidRPr="00C31CA4" w:rsidRDefault="008B1757" w:rsidP="004A6040">
            <w:pPr>
              <w:pStyle w:val="TableText0"/>
            </w:pPr>
            <w:r w:rsidRPr="00C31CA4">
              <w:t>Outcomes</w:t>
            </w:r>
          </w:p>
        </w:tc>
        <w:tc>
          <w:tcPr>
            <w:tcW w:w="4076" w:type="pct"/>
            <w:shd w:val="clear" w:color="auto" w:fill="auto"/>
          </w:tcPr>
          <w:p w14:paraId="5ABC4037" w14:textId="1CDF154D" w:rsidR="00233C01" w:rsidRPr="00C31CA4" w:rsidRDefault="00415F9C" w:rsidP="004A6040">
            <w:pPr>
              <w:pStyle w:val="TableText0"/>
              <w:rPr>
                <w:rFonts w:eastAsia="Times New Roman" w:cs="Arial"/>
                <w:bCs w:val="0"/>
                <w:snapToGrid w:val="0"/>
                <w:szCs w:val="20"/>
              </w:rPr>
            </w:pPr>
            <w:r w:rsidRPr="00C31CA4">
              <w:rPr>
                <w:rFonts w:eastAsia="Times New Roman" w:cs="Arial"/>
                <w:bCs w:val="0"/>
                <w:snapToGrid w:val="0"/>
                <w:szCs w:val="20"/>
              </w:rPr>
              <w:t>Haematological response, survival, clonal evolution, haemolytic paroxysmal nocturnal haemoglobinuria, discontinuation of IST, quality of life</w:t>
            </w:r>
            <w:r w:rsidR="009E3BC7" w:rsidRPr="00C31CA4">
              <w:rPr>
                <w:rFonts w:eastAsia="Times New Roman" w:cs="Arial"/>
                <w:bCs w:val="0"/>
                <w:snapToGrid w:val="0"/>
                <w:szCs w:val="20"/>
              </w:rPr>
              <w:t>, transfusion requirements</w:t>
            </w:r>
          </w:p>
        </w:tc>
      </w:tr>
      <w:tr w:rsidR="008B1757" w:rsidRPr="00C31CA4" w14:paraId="22223890" w14:textId="77777777" w:rsidTr="00237AB9">
        <w:trPr>
          <w:cantSplit/>
        </w:trPr>
        <w:tc>
          <w:tcPr>
            <w:tcW w:w="924" w:type="pct"/>
            <w:shd w:val="clear" w:color="auto" w:fill="auto"/>
            <w:vAlign w:val="center"/>
          </w:tcPr>
          <w:p w14:paraId="0FC8FCE0" w14:textId="77777777" w:rsidR="008B1757" w:rsidRPr="00C31CA4" w:rsidRDefault="008B1757" w:rsidP="004A6040">
            <w:pPr>
              <w:pStyle w:val="TableText0"/>
            </w:pPr>
            <w:r w:rsidRPr="00C31CA4">
              <w:t>Clinical claim</w:t>
            </w:r>
          </w:p>
        </w:tc>
        <w:tc>
          <w:tcPr>
            <w:tcW w:w="4076" w:type="pct"/>
            <w:shd w:val="clear" w:color="auto" w:fill="auto"/>
          </w:tcPr>
          <w:p w14:paraId="31A226F3" w14:textId="497C7368" w:rsidR="0071192E" w:rsidRPr="00C31CA4" w:rsidRDefault="009E3BC7" w:rsidP="00D43D83">
            <w:pPr>
              <w:pStyle w:val="TableText0"/>
              <w:rPr>
                <w:snapToGrid w:val="0"/>
                <w:szCs w:val="20"/>
              </w:rPr>
            </w:pPr>
            <w:r w:rsidRPr="00C31CA4">
              <w:rPr>
                <w:snapToGrid w:val="0"/>
                <w:szCs w:val="20"/>
              </w:rPr>
              <w:t xml:space="preserve">Eltrombopag in combination with IST is superior to IST alone for the first-line treatment </w:t>
            </w:r>
            <w:r w:rsidR="001A4F08" w:rsidRPr="00C31CA4">
              <w:rPr>
                <w:snapToGrid w:val="0"/>
                <w:szCs w:val="20"/>
              </w:rPr>
              <w:t xml:space="preserve">of </w:t>
            </w:r>
            <w:r w:rsidRPr="00C31CA4">
              <w:rPr>
                <w:snapToGrid w:val="0"/>
                <w:szCs w:val="20"/>
              </w:rPr>
              <w:t xml:space="preserve">patients with sAA in terms of the number of patients who achieve a complete response and time to response, with similar safety. </w:t>
            </w:r>
          </w:p>
          <w:p w14:paraId="2C99C4DE" w14:textId="39B3FE96" w:rsidR="00233C01" w:rsidRPr="00C31CA4" w:rsidRDefault="009E3BC7" w:rsidP="00D43D83">
            <w:pPr>
              <w:pStyle w:val="TableText0"/>
              <w:rPr>
                <w:snapToGrid w:val="0"/>
                <w:szCs w:val="20"/>
              </w:rPr>
            </w:pPr>
            <w:r w:rsidRPr="00C31CA4">
              <w:rPr>
                <w:snapToGrid w:val="0"/>
                <w:szCs w:val="20"/>
              </w:rPr>
              <w:t xml:space="preserve">In patients </w:t>
            </w:r>
            <w:r w:rsidR="006A0CA9" w:rsidRPr="00C31CA4">
              <w:rPr>
                <w:snapToGrid w:val="0"/>
                <w:szCs w:val="20"/>
              </w:rPr>
              <w:t xml:space="preserve">with an insufficient response to </w:t>
            </w:r>
            <w:r w:rsidRPr="00C31CA4">
              <w:rPr>
                <w:snapToGrid w:val="0"/>
                <w:szCs w:val="20"/>
              </w:rPr>
              <w:t xml:space="preserve">IST, eltrombopag provides a significant clinical benefit in terms of haematologic response and transfusion independence, with an acceptable safety profile. </w:t>
            </w:r>
          </w:p>
        </w:tc>
      </w:tr>
    </w:tbl>
    <w:p w14:paraId="527CA7F0" w14:textId="2F10C046" w:rsidR="004E43B2" w:rsidRPr="00C31CA4" w:rsidRDefault="008B1757" w:rsidP="004A6040">
      <w:pPr>
        <w:pStyle w:val="FooterTableFigure"/>
      </w:pPr>
      <w:r w:rsidRPr="00C31CA4">
        <w:t>Source:</w:t>
      </w:r>
      <w:r w:rsidR="000A19E6" w:rsidRPr="00C31CA4">
        <w:t xml:space="preserve"> </w:t>
      </w:r>
      <w:r w:rsidR="00B91F9B" w:rsidRPr="00C31CA4">
        <w:t>C</w:t>
      </w:r>
      <w:r w:rsidR="00415F9C" w:rsidRPr="00C31CA4">
        <w:t>onstructed during the evaluation.</w:t>
      </w:r>
      <w:r w:rsidR="00827DFF" w:rsidRPr="00C31CA4">
        <w:t xml:space="preserve"> The submission did not define a clinical claim, and the evaluation has used the “clinical conclusion”</w:t>
      </w:r>
      <w:r w:rsidR="00795FCD">
        <w:t xml:space="preserve"> </w:t>
      </w:r>
      <w:r w:rsidR="00827DFF" w:rsidRPr="00C31CA4">
        <w:t xml:space="preserve"> on p21 of the submission for this purpose.</w:t>
      </w:r>
    </w:p>
    <w:p w14:paraId="6C71FBD8" w14:textId="5306D1B2" w:rsidR="00237AB9" w:rsidRPr="00C31CA4" w:rsidRDefault="00237AB9" w:rsidP="004A6040">
      <w:pPr>
        <w:pStyle w:val="FooterTableFigure"/>
        <w:rPr>
          <w:sz w:val="20"/>
        </w:rPr>
      </w:pPr>
      <w:r w:rsidRPr="00C31CA4">
        <w:t>hATG = horse anti-thymocyte globulin; IST = immunosuppressive therapy</w:t>
      </w:r>
    </w:p>
    <w:p w14:paraId="6B4AB6C2" w14:textId="51EC16C6" w:rsidR="005C25FF" w:rsidRPr="00C31CA4" w:rsidRDefault="005C25FF" w:rsidP="004A6040">
      <w:pPr>
        <w:pStyle w:val="2-SectionHeading"/>
      </w:pPr>
      <w:bookmarkStart w:id="2" w:name="_Toc144676120"/>
      <w:r w:rsidRPr="00C31CA4">
        <w:t>Background</w:t>
      </w:r>
      <w:bookmarkEnd w:id="2"/>
    </w:p>
    <w:p w14:paraId="2C521D6D" w14:textId="78CF03EE" w:rsidR="005C25FF" w:rsidRPr="00C31CA4" w:rsidRDefault="005C25FF" w:rsidP="004A6040">
      <w:pPr>
        <w:pStyle w:val="4-SubsectionHeading"/>
      </w:pPr>
      <w:bookmarkStart w:id="3" w:name="_Toc22897638"/>
      <w:bookmarkStart w:id="4" w:name="_Toc144676121"/>
      <w:r w:rsidRPr="00C31CA4">
        <w:t>Registration status</w:t>
      </w:r>
      <w:bookmarkEnd w:id="3"/>
      <w:bookmarkEnd w:id="4"/>
    </w:p>
    <w:p w14:paraId="5A1426E7" w14:textId="62E52D13" w:rsidR="008667EB" w:rsidRPr="00C31CA4" w:rsidRDefault="008667EB" w:rsidP="008B3F17">
      <w:pPr>
        <w:pStyle w:val="3-BodyText"/>
      </w:pPr>
      <w:r w:rsidRPr="00C31CA4">
        <w:t>The TGA-registered indications for eltrombopag in aplastic an</w:t>
      </w:r>
      <w:r w:rsidR="00A92E56" w:rsidRPr="00C31CA4">
        <w:t>a</w:t>
      </w:r>
      <w:r w:rsidRPr="00C31CA4">
        <w:t>emia are:</w:t>
      </w:r>
    </w:p>
    <w:p w14:paraId="1EF90EC8" w14:textId="2C7C694A" w:rsidR="008667EB" w:rsidRPr="00D92642" w:rsidRDefault="008667EB" w:rsidP="00D92642">
      <w:pPr>
        <w:pStyle w:val="ListParagraph"/>
      </w:pPr>
      <w:r w:rsidRPr="00D92642">
        <w:t>severe aplastic anaemia (sAA) in combination with standard immunosuppressive therapy for the first-line treatment of adult and paediatric patients 2 years and older;</w:t>
      </w:r>
    </w:p>
    <w:p w14:paraId="3452043C" w14:textId="59BC0A09" w:rsidR="00415F9C" w:rsidRPr="00D92642" w:rsidRDefault="008667EB" w:rsidP="00D92642">
      <w:pPr>
        <w:pStyle w:val="ListParagraph"/>
      </w:pPr>
      <w:r w:rsidRPr="00D92642">
        <w:t xml:space="preserve">adult patients with sAA who have had an insufficient response to immunosuppressive therapy. </w:t>
      </w:r>
    </w:p>
    <w:p w14:paraId="3E7F61D7" w14:textId="102F31EE" w:rsidR="00E930B5" w:rsidRPr="00C31CA4" w:rsidRDefault="00E930B5" w:rsidP="008B3F17">
      <w:pPr>
        <w:pStyle w:val="3-BodyText"/>
      </w:pPr>
      <w:r w:rsidRPr="00C31CA4">
        <w:t xml:space="preserve">The indication for adult patients with an insufficient response to IST was </w:t>
      </w:r>
      <w:r w:rsidR="00C4721F" w:rsidRPr="00C31CA4">
        <w:t>registered</w:t>
      </w:r>
      <w:r w:rsidR="003F47B1" w:rsidRPr="00C31CA4">
        <w:t xml:space="preserve"> </w:t>
      </w:r>
      <w:r w:rsidRPr="00C31CA4">
        <w:t>in 2015</w:t>
      </w:r>
      <w:r w:rsidRPr="00C31CA4">
        <w:rPr>
          <w:rStyle w:val="FootnoteReference"/>
        </w:rPr>
        <w:footnoteReference w:id="2"/>
      </w:r>
      <w:r w:rsidR="00662D12" w:rsidRPr="00C31CA4">
        <w:t>.</w:t>
      </w:r>
      <w:r w:rsidRPr="00C31CA4">
        <w:t xml:space="preserve"> The indication for patients 2 years and older in combination with IST for first-line treatment was</w:t>
      </w:r>
      <w:r w:rsidR="00C4721F" w:rsidRPr="00C31CA4">
        <w:t xml:space="preserve"> registered</w:t>
      </w:r>
      <w:r w:rsidRPr="00C31CA4">
        <w:t xml:space="preserve"> in 201</w:t>
      </w:r>
      <w:r w:rsidR="008523C0" w:rsidRPr="00C31CA4">
        <w:t>9</w:t>
      </w:r>
      <w:r w:rsidR="008523C0" w:rsidRPr="00C31CA4">
        <w:rPr>
          <w:rStyle w:val="FootnoteReference"/>
        </w:rPr>
        <w:footnoteReference w:id="3"/>
      </w:r>
      <w:r w:rsidR="00C31CA4">
        <w:t xml:space="preserve">. </w:t>
      </w:r>
    </w:p>
    <w:p w14:paraId="3E2A6EAB" w14:textId="469C8C0C" w:rsidR="005C25FF" w:rsidRPr="00C31CA4" w:rsidRDefault="005C25FF" w:rsidP="004E18E9">
      <w:pPr>
        <w:pStyle w:val="4-SubsectionHeading"/>
      </w:pPr>
      <w:bookmarkStart w:id="5" w:name="_Toc22897639"/>
      <w:bookmarkStart w:id="6" w:name="_Toc144676122"/>
      <w:r w:rsidRPr="00C31CA4">
        <w:lastRenderedPageBreak/>
        <w:t>Previous PBAC consideration</w:t>
      </w:r>
      <w:bookmarkEnd w:id="5"/>
      <w:bookmarkEnd w:id="6"/>
    </w:p>
    <w:p w14:paraId="65E7BE20" w14:textId="111CDE4B" w:rsidR="00EA6502" w:rsidRPr="00C31CA4" w:rsidRDefault="00415F9C" w:rsidP="008B3F17">
      <w:pPr>
        <w:pStyle w:val="3-BodyText"/>
      </w:pPr>
      <w:r w:rsidRPr="00C31CA4">
        <w:t>The PBAC has not previously considered eltrombopag for the treatment of sever</w:t>
      </w:r>
      <w:r w:rsidR="00B27CBB" w:rsidRPr="00C31CA4">
        <w:t>e</w:t>
      </w:r>
      <w:r w:rsidRPr="00C31CA4">
        <w:t xml:space="preserve"> aplastic an</w:t>
      </w:r>
      <w:r w:rsidR="00B91F9B" w:rsidRPr="00C31CA4">
        <w:t>a</w:t>
      </w:r>
      <w:r w:rsidRPr="00C31CA4">
        <w:t>emia</w:t>
      </w:r>
      <w:r w:rsidR="00EA6502" w:rsidRPr="00C31CA4">
        <w:t xml:space="preserve">. </w:t>
      </w:r>
    </w:p>
    <w:p w14:paraId="3AC4C76E" w14:textId="3DC5C5CA" w:rsidR="005C25FF" w:rsidRPr="00C31CA4" w:rsidRDefault="00EA6502" w:rsidP="008B3F17">
      <w:pPr>
        <w:pStyle w:val="3-BodyText"/>
      </w:pPr>
      <w:r w:rsidRPr="00C31CA4">
        <w:t xml:space="preserve">Eltrombopag was listed on the PBS on </w:t>
      </w:r>
      <w:r w:rsidR="003057DA" w:rsidRPr="00C31CA4">
        <w:t>1 November 2011</w:t>
      </w:r>
      <w:r w:rsidRPr="00C31CA4">
        <w:t xml:space="preserve"> for</w:t>
      </w:r>
      <w:r w:rsidR="00C971F0" w:rsidRPr="00C31CA4">
        <w:t xml:space="preserve"> severe chronic idiopathic thrombocytopenic purpura (ITP), with </w:t>
      </w:r>
      <w:r w:rsidRPr="00C31CA4">
        <w:t>amendments to the restriction criteria recommended in May 2022</w:t>
      </w:r>
      <w:r w:rsidR="001A4F08" w:rsidRPr="00C31CA4">
        <w:rPr>
          <w:rStyle w:val="FootnoteReference"/>
        </w:rPr>
        <w:footnoteReference w:id="4"/>
      </w:r>
      <w:r w:rsidR="00D16571" w:rsidRPr="00C31CA4">
        <w:t xml:space="preserve">. </w:t>
      </w:r>
    </w:p>
    <w:p w14:paraId="782DBA89" w14:textId="275647CF" w:rsidR="000F53FB" w:rsidRPr="00C31CA4" w:rsidRDefault="00B50DB8" w:rsidP="008A5850">
      <w:pPr>
        <w:pStyle w:val="2-SectionHeading"/>
      </w:pPr>
      <w:bookmarkStart w:id="7" w:name="_Toc107902078"/>
      <w:bookmarkStart w:id="8" w:name="_Toc144676123"/>
      <w:bookmarkEnd w:id="7"/>
      <w:r w:rsidRPr="00C31CA4">
        <w:t>Requested listing</w:t>
      </w:r>
      <w:bookmarkEnd w:id="8"/>
    </w:p>
    <w:p w14:paraId="4F349C42" w14:textId="33DC08DA" w:rsidR="00D57674" w:rsidRPr="00C31CA4" w:rsidRDefault="00A30937" w:rsidP="008B3F17">
      <w:pPr>
        <w:pStyle w:val="3-BodyText"/>
      </w:pPr>
      <w:r w:rsidRPr="00C31CA4">
        <w:t>Suggestions and additions proposed by the Secretariat are added in italics and suggested deletions are crossed out with strikethrough.</w:t>
      </w:r>
    </w:p>
    <w:p w14:paraId="65681445" w14:textId="5F0297D9" w:rsidR="00D60D4C" w:rsidRPr="00C31CA4" w:rsidRDefault="00D60D4C" w:rsidP="00D92642">
      <w:pPr>
        <w:spacing w:after="120"/>
        <w:rPr>
          <w:rFonts w:asciiTheme="minorHAnsi" w:hAnsiTheme="minorHAnsi" w:cstheme="minorHAnsi"/>
          <w:b/>
          <w:bCs/>
        </w:rPr>
      </w:pPr>
      <w:r w:rsidRPr="00C31CA4">
        <w:rPr>
          <w:rFonts w:asciiTheme="minorHAnsi" w:hAnsiTheme="minorHAnsi" w:cstheme="minorHAnsi"/>
          <w:b/>
          <w:bCs/>
        </w:rPr>
        <w:t>First line setting</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6"/>
        <w:gridCol w:w="3145"/>
        <w:gridCol w:w="935"/>
        <w:gridCol w:w="926"/>
        <w:gridCol w:w="682"/>
        <w:gridCol w:w="1032"/>
      </w:tblGrid>
      <w:tr w:rsidR="00B33D68" w:rsidRPr="00C31CA4" w14:paraId="6D1EE34A" w14:textId="77777777" w:rsidTr="00B33D68">
        <w:trPr>
          <w:cantSplit/>
          <w:trHeight w:val="20"/>
        </w:trPr>
        <w:tc>
          <w:tcPr>
            <w:tcW w:w="2235" w:type="dxa"/>
          </w:tcPr>
          <w:p w14:paraId="305B68EB" w14:textId="77777777" w:rsidR="00D57674" w:rsidRPr="00C31CA4" w:rsidRDefault="00D57674" w:rsidP="00CE1F3B">
            <w:pPr>
              <w:keepNext/>
              <w:keepLines/>
              <w:rPr>
                <w:rFonts w:ascii="Arial Narrow" w:hAnsi="Arial Narrow"/>
                <w:b/>
                <w:bCs/>
                <w:sz w:val="20"/>
                <w:szCs w:val="20"/>
              </w:rPr>
            </w:pPr>
            <w:r w:rsidRPr="00C31CA4">
              <w:rPr>
                <w:rFonts w:ascii="Arial Narrow" w:hAnsi="Arial Narrow"/>
                <w:b/>
                <w:bCs/>
                <w:sz w:val="20"/>
                <w:szCs w:val="20"/>
              </w:rPr>
              <w:t>MEDICINAL PRODUCT</w:t>
            </w:r>
          </w:p>
          <w:p w14:paraId="3DD4CA26" w14:textId="77777777" w:rsidR="00D57674" w:rsidRPr="00C31CA4" w:rsidRDefault="00D57674" w:rsidP="00CE1F3B">
            <w:pPr>
              <w:keepNext/>
              <w:keepLines/>
              <w:rPr>
                <w:rFonts w:ascii="Arial Narrow" w:hAnsi="Arial Narrow"/>
                <w:b/>
                <w:sz w:val="20"/>
                <w:szCs w:val="20"/>
              </w:rPr>
            </w:pPr>
            <w:r w:rsidRPr="00C31CA4">
              <w:rPr>
                <w:rFonts w:ascii="Arial Narrow" w:hAnsi="Arial Narrow"/>
                <w:b/>
                <w:bCs/>
                <w:sz w:val="20"/>
                <w:szCs w:val="20"/>
              </w:rPr>
              <w:t>medicinal product pack</w:t>
            </w:r>
          </w:p>
        </w:tc>
        <w:tc>
          <w:tcPr>
            <w:tcW w:w="3145" w:type="dxa"/>
          </w:tcPr>
          <w:p w14:paraId="275BF849" w14:textId="2E96ABAB" w:rsidR="00D57674" w:rsidRPr="00C31CA4" w:rsidRDefault="00D57674" w:rsidP="00CE1F3B">
            <w:pPr>
              <w:pStyle w:val="TableText0"/>
              <w:rPr>
                <w:b/>
                <w:bCs w:val="0"/>
                <w:szCs w:val="20"/>
              </w:rPr>
            </w:pPr>
            <w:r w:rsidRPr="00C31CA4">
              <w:rPr>
                <w:b/>
                <w:bCs w:val="0"/>
                <w:snapToGrid w:val="0"/>
              </w:rPr>
              <w:t xml:space="preserve">Dispensed Price for Max. Qty </w:t>
            </w:r>
          </w:p>
        </w:tc>
        <w:tc>
          <w:tcPr>
            <w:tcW w:w="935" w:type="dxa"/>
          </w:tcPr>
          <w:p w14:paraId="0E50D241" w14:textId="77777777" w:rsidR="00D57674" w:rsidRPr="00C31CA4" w:rsidRDefault="00D57674" w:rsidP="00CE1F3B">
            <w:pPr>
              <w:keepNext/>
              <w:keepLines/>
              <w:jc w:val="center"/>
              <w:rPr>
                <w:rFonts w:ascii="Arial Narrow" w:hAnsi="Arial Narrow"/>
                <w:b/>
                <w:sz w:val="20"/>
                <w:szCs w:val="20"/>
              </w:rPr>
            </w:pPr>
            <w:r w:rsidRPr="00C31CA4">
              <w:rPr>
                <w:rFonts w:ascii="Arial Narrow" w:hAnsi="Arial Narrow"/>
                <w:b/>
                <w:sz w:val="20"/>
                <w:szCs w:val="20"/>
              </w:rPr>
              <w:t>Max. qty packs</w:t>
            </w:r>
          </w:p>
        </w:tc>
        <w:tc>
          <w:tcPr>
            <w:tcW w:w="926" w:type="dxa"/>
          </w:tcPr>
          <w:p w14:paraId="4D9EB0E6" w14:textId="77777777" w:rsidR="00D57674" w:rsidRPr="00C31CA4" w:rsidRDefault="00D57674" w:rsidP="00CE1F3B">
            <w:pPr>
              <w:keepNext/>
              <w:keepLines/>
              <w:jc w:val="center"/>
              <w:rPr>
                <w:rFonts w:ascii="Arial Narrow" w:hAnsi="Arial Narrow"/>
                <w:b/>
                <w:sz w:val="20"/>
                <w:szCs w:val="20"/>
              </w:rPr>
            </w:pPr>
            <w:r w:rsidRPr="00C31CA4">
              <w:rPr>
                <w:rFonts w:ascii="Arial Narrow" w:hAnsi="Arial Narrow"/>
                <w:b/>
                <w:sz w:val="20"/>
                <w:szCs w:val="20"/>
              </w:rPr>
              <w:t>Max. qty units</w:t>
            </w:r>
          </w:p>
        </w:tc>
        <w:tc>
          <w:tcPr>
            <w:tcW w:w="682" w:type="dxa"/>
          </w:tcPr>
          <w:p w14:paraId="5BF5449D" w14:textId="77777777" w:rsidR="00D57674" w:rsidRPr="00C31CA4" w:rsidRDefault="00D57674" w:rsidP="00CE1F3B">
            <w:pPr>
              <w:keepNext/>
              <w:keepLines/>
              <w:jc w:val="center"/>
              <w:rPr>
                <w:rFonts w:ascii="Arial Narrow" w:hAnsi="Arial Narrow"/>
                <w:b/>
                <w:sz w:val="20"/>
                <w:szCs w:val="20"/>
              </w:rPr>
            </w:pPr>
            <w:r w:rsidRPr="00C31CA4">
              <w:rPr>
                <w:rFonts w:ascii="Arial Narrow" w:hAnsi="Arial Narrow"/>
                <w:b/>
                <w:sz w:val="20"/>
                <w:szCs w:val="20"/>
              </w:rPr>
              <w:t>№.of</w:t>
            </w:r>
          </w:p>
          <w:p w14:paraId="6B562BCD" w14:textId="77777777" w:rsidR="00D57674" w:rsidRPr="00C31CA4" w:rsidRDefault="00D57674" w:rsidP="00CE1F3B">
            <w:pPr>
              <w:keepNext/>
              <w:keepLines/>
              <w:jc w:val="center"/>
              <w:rPr>
                <w:rFonts w:ascii="Arial Narrow" w:hAnsi="Arial Narrow"/>
                <w:b/>
                <w:sz w:val="20"/>
                <w:szCs w:val="20"/>
              </w:rPr>
            </w:pPr>
            <w:r w:rsidRPr="00C31CA4">
              <w:rPr>
                <w:rFonts w:ascii="Arial Narrow" w:hAnsi="Arial Narrow"/>
                <w:b/>
                <w:sz w:val="20"/>
                <w:szCs w:val="20"/>
              </w:rPr>
              <w:t>Rpts</w:t>
            </w:r>
          </w:p>
        </w:tc>
        <w:tc>
          <w:tcPr>
            <w:tcW w:w="1032" w:type="dxa"/>
          </w:tcPr>
          <w:p w14:paraId="63DB3F79" w14:textId="77777777" w:rsidR="00D57674" w:rsidRPr="00C31CA4" w:rsidRDefault="00D57674" w:rsidP="00CE1F3B">
            <w:pPr>
              <w:keepNext/>
              <w:keepLines/>
              <w:rPr>
                <w:rFonts w:ascii="Arial Narrow" w:hAnsi="Arial Narrow"/>
                <w:b/>
                <w:sz w:val="20"/>
                <w:szCs w:val="20"/>
              </w:rPr>
            </w:pPr>
            <w:r w:rsidRPr="00C31CA4">
              <w:rPr>
                <w:rFonts w:ascii="Arial Narrow" w:hAnsi="Arial Narrow"/>
                <w:b/>
                <w:sz w:val="20"/>
                <w:szCs w:val="20"/>
              </w:rPr>
              <w:t>Available brands</w:t>
            </w:r>
          </w:p>
        </w:tc>
      </w:tr>
      <w:tr w:rsidR="00B33D68" w:rsidRPr="00C31CA4" w14:paraId="5C42E87C" w14:textId="77777777" w:rsidTr="00B33D68">
        <w:trPr>
          <w:cantSplit/>
          <w:trHeight w:val="20"/>
        </w:trPr>
        <w:tc>
          <w:tcPr>
            <w:tcW w:w="8926" w:type="dxa"/>
            <w:gridSpan w:val="6"/>
          </w:tcPr>
          <w:p w14:paraId="55028205" w14:textId="2145A2B1" w:rsidR="00D57674" w:rsidRPr="00C31CA4" w:rsidRDefault="00D57674" w:rsidP="00CE1F3B">
            <w:pPr>
              <w:pStyle w:val="TableText0"/>
              <w:rPr>
                <w:rFonts w:cs="Arial"/>
                <w:szCs w:val="20"/>
              </w:rPr>
            </w:pPr>
            <w:r w:rsidRPr="00C31CA4">
              <w:rPr>
                <w:smallCaps/>
              </w:rPr>
              <w:t>Eltrombopag</w:t>
            </w:r>
            <w:r w:rsidR="000A19E6" w:rsidRPr="00C31CA4">
              <w:t xml:space="preserve"> </w:t>
            </w:r>
          </w:p>
        </w:tc>
      </w:tr>
      <w:tr w:rsidR="00B33D68" w:rsidRPr="00C31CA4" w14:paraId="38F40CD3" w14:textId="77777777" w:rsidTr="00B33D68">
        <w:trPr>
          <w:cantSplit/>
          <w:trHeight w:val="20"/>
        </w:trPr>
        <w:tc>
          <w:tcPr>
            <w:tcW w:w="2235" w:type="dxa"/>
          </w:tcPr>
          <w:p w14:paraId="0F5EC163" w14:textId="2E7C3014" w:rsidR="00D57674" w:rsidRPr="00C31CA4" w:rsidRDefault="00D57674" w:rsidP="00CE1F3B">
            <w:pPr>
              <w:pStyle w:val="TableText0"/>
              <w:keepLines/>
              <w:rPr>
                <w:color w:val="0066FF"/>
                <w:szCs w:val="20"/>
              </w:rPr>
            </w:pPr>
            <w:r w:rsidRPr="00C31CA4">
              <w:t>Eltrombopag 25</w:t>
            </w:r>
            <w:r w:rsidR="00A22D16" w:rsidRPr="00C31CA4">
              <w:t xml:space="preserve"> </w:t>
            </w:r>
            <w:r w:rsidRPr="00C31CA4">
              <w:t>mg tablet, 28</w:t>
            </w:r>
          </w:p>
        </w:tc>
        <w:tc>
          <w:tcPr>
            <w:tcW w:w="3145" w:type="dxa"/>
          </w:tcPr>
          <w:p w14:paraId="70DA88C1" w14:textId="0A765719" w:rsidR="00D57674" w:rsidRPr="00C31CA4" w:rsidRDefault="00C971F0" w:rsidP="00CE1F3B">
            <w:pPr>
              <w:pStyle w:val="TableText0"/>
              <w:jc w:val="center"/>
            </w:pPr>
            <w:r w:rsidRPr="00C31CA4">
              <w:t>$3,684.36</w:t>
            </w:r>
            <w:r w:rsidR="00D57674" w:rsidRPr="00C31CA4">
              <w:t xml:space="preserve"> published price</w:t>
            </w:r>
            <w:r w:rsidRPr="00C31CA4">
              <w:t>, public hospital</w:t>
            </w:r>
          </w:p>
          <w:p w14:paraId="412DB640" w14:textId="5DCB1E28" w:rsidR="00C971F0" w:rsidRPr="00C31CA4" w:rsidRDefault="00C971F0" w:rsidP="00B33D68">
            <w:pPr>
              <w:pStyle w:val="TableText0"/>
              <w:jc w:val="center"/>
            </w:pPr>
            <w:r w:rsidRPr="00C31CA4">
              <w:t>$3,732.</w:t>
            </w:r>
            <w:r w:rsidR="007768C0" w:rsidRPr="00C31CA4">
              <w:t xml:space="preserve">73 </w:t>
            </w:r>
            <w:r w:rsidRPr="00C31CA4">
              <w:t>published price, private hospital</w:t>
            </w:r>
          </w:p>
        </w:tc>
        <w:tc>
          <w:tcPr>
            <w:tcW w:w="935" w:type="dxa"/>
          </w:tcPr>
          <w:p w14:paraId="11B59370" w14:textId="77777777" w:rsidR="00D57674" w:rsidRPr="00C31CA4" w:rsidRDefault="00D57674" w:rsidP="00CE1F3B">
            <w:pPr>
              <w:keepNext/>
              <w:keepLines/>
              <w:jc w:val="center"/>
              <w:rPr>
                <w:rFonts w:ascii="Arial Narrow" w:hAnsi="Arial Narrow"/>
                <w:sz w:val="20"/>
                <w:szCs w:val="20"/>
              </w:rPr>
            </w:pPr>
            <w:r w:rsidRPr="00C31CA4">
              <w:rPr>
                <w:rFonts w:ascii="Arial Narrow" w:hAnsi="Arial Narrow"/>
                <w:sz w:val="20"/>
              </w:rPr>
              <w:t>3</w:t>
            </w:r>
          </w:p>
        </w:tc>
        <w:tc>
          <w:tcPr>
            <w:tcW w:w="926" w:type="dxa"/>
          </w:tcPr>
          <w:p w14:paraId="7DE5EF86" w14:textId="77777777" w:rsidR="00D57674" w:rsidRPr="00C31CA4" w:rsidRDefault="00D57674" w:rsidP="00CE1F3B">
            <w:pPr>
              <w:keepNext/>
              <w:keepLines/>
              <w:jc w:val="center"/>
              <w:rPr>
                <w:rFonts w:ascii="Arial Narrow" w:hAnsi="Arial Narrow"/>
                <w:sz w:val="20"/>
                <w:szCs w:val="20"/>
              </w:rPr>
            </w:pPr>
            <w:r w:rsidRPr="00C31CA4">
              <w:rPr>
                <w:rFonts w:ascii="Arial Narrow" w:hAnsi="Arial Narrow"/>
                <w:sz w:val="20"/>
              </w:rPr>
              <w:t>84</w:t>
            </w:r>
          </w:p>
        </w:tc>
        <w:tc>
          <w:tcPr>
            <w:tcW w:w="682" w:type="dxa"/>
          </w:tcPr>
          <w:p w14:paraId="7922DE96" w14:textId="77777777" w:rsidR="00D57674" w:rsidRPr="00C31CA4" w:rsidRDefault="00D57674" w:rsidP="00CE1F3B">
            <w:pPr>
              <w:keepNext/>
              <w:keepLines/>
              <w:jc w:val="center"/>
              <w:rPr>
                <w:rFonts w:ascii="Arial Narrow" w:hAnsi="Arial Narrow"/>
                <w:sz w:val="20"/>
                <w:szCs w:val="20"/>
              </w:rPr>
            </w:pPr>
            <w:r w:rsidRPr="00C31CA4">
              <w:rPr>
                <w:rFonts w:ascii="Arial Narrow" w:hAnsi="Arial Narrow"/>
                <w:sz w:val="20"/>
              </w:rPr>
              <w:t>5</w:t>
            </w:r>
          </w:p>
        </w:tc>
        <w:tc>
          <w:tcPr>
            <w:tcW w:w="1032" w:type="dxa"/>
          </w:tcPr>
          <w:p w14:paraId="49C22AE2" w14:textId="77777777" w:rsidR="00D57674" w:rsidRPr="00C31CA4" w:rsidRDefault="00D57674" w:rsidP="00CE1F3B">
            <w:pPr>
              <w:keepNext/>
              <w:keepLines/>
              <w:rPr>
                <w:rFonts w:ascii="Arial Narrow" w:hAnsi="Arial Narrow"/>
                <w:color w:val="0066FF"/>
                <w:sz w:val="20"/>
                <w:szCs w:val="20"/>
              </w:rPr>
            </w:pPr>
            <w:r w:rsidRPr="00C31CA4">
              <w:rPr>
                <w:rFonts w:ascii="Arial Narrow" w:hAnsi="Arial Narrow"/>
                <w:sz w:val="20"/>
                <w:szCs w:val="20"/>
              </w:rPr>
              <w:t>Revolade</w:t>
            </w:r>
          </w:p>
        </w:tc>
      </w:tr>
      <w:tr w:rsidR="00B33D68" w:rsidRPr="00C31CA4" w14:paraId="2999820C" w14:textId="77777777" w:rsidTr="00B33D68">
        <w:trPr>
          <w:cantSplit/>
          <w:trHeight w:val="20"/>
        </w:trPr>
        <w:tc>
          <w:tcPr>
            <w:tcW w:w="2235" w:type="dxa"/>
          </w:tcPr>
          <w:p w14:paraId="6A09F48B" w14:textId="6D4D3698" w:rsidR="00D57674" w:rsidRPr="00C31CA4" w:rsidRDefault="00D57674" w:rsidP="00CE1F3B">
            <w:pPr>
              <w:pStyle w:val="TableText0"/>
              <w:keepLines/>
              <w:rPr>
                <w:color w:val="0066FF"/>
                <w:szCs w:val="20"/>
              </w:rPr>
            </w:pPr>
            <w:r w:rsidRPr="00C31CA4">
              <w:t>Eltrombopag 50</w:t>
            </w:r>
            <w:r w:rsidR="00A22D16" w:rsidRPr="00C31CA4">
              <w:t xml:space="preserve"> </w:t>
            </w:r>
            <w:r w:rsidRPr="00C31CA4">
              <w:t>mg tablet, 28</w:t>
            </w:r>
          </w:p>
        </w:tc>
        <w:tc>
          <w:tcPr>
            <w:tcW w:w="3145" w:type="dxa"/>
          </w:tcPr>
          <w:p w14:paraId="5214C9BF" w14:textId="78F81665" w:rsidR="00D57674" w:rsidRPr="00C31CA4" w:rsidRDefault="00A90251" w:rsidP="00CE1F3B">
            <w:pPr>
              <w:pStyle w:val="TableText0"/>
              <w:jc w:val="center"/>
            </w:pPr>
            <w:r w:rsidRPr="00C31CA4">
              <w:t>$</w:t>
            </w:r>
            <w:r w:rsidR="00C971F0" w:rsidRPr="00C31CA4">
              <w:t>7,368.72</w:t>
            </w:r>
            <w:r w:rsidRPr="00C31CA4">
              <w:t xml:space="preserve"> </w:t>
            </w:r>
            <w:r w:rsidR="00D57674" w:rsidRPr="00C31CA4">
              <w:t>published price</w:t>
            </w:r>
            <w:r w:rsidR="00C971F0" w:rsidRPr="00C31CA4">
              <w:t>, public hospital</w:t>
            </w:r>
          </w:p>
          <w:p w14:paraId="1AF75868" w14:textId="7DCA6E6C" w:rsidR="00C971F0" w:rsidRPr="00C31CA4" w:rsidRDefault="00C971F0" w:rsidP="00CE1F3B">
            <w:pPr>
              <w:pStyle w:val="TableText0"/>
              <w:jc w:val="center"/>
            </w:pPr>
            <w:r w:rsidRPr="00C31CA4">
              <w:t>$7,</w:t>
            </w:r>
            <w:r w:rsidR="007768C0" w:rsidRPr="00C31CA4">
              <w:t>417</w:t>
            </w:r>
            <w:r w:rsidRPr="00C31CA4">
              <w:t>.</w:t>
            </w:r>
            <w:r w:rsidR="007768C0" w:rsidRPr="00C31CA4">
              <w:t xml:space="preserve">09 </w:t>
            </w:r>
            <w:r w:rsidRPr="00C31CA4">
              <w:t>published price, private hospital</w:t>
            </w:r>
          </w:p>
        </w:tc>
        <w:tc>
          <w:tcPr>
            <w:tcW w:w="935" w:type="dxa"/>
          </w:tcPr>
          <w:p w14:paraId="1E075471" w14:textId="77777777" w:rsidR="00D57674" w:rsidRPr="00C31CA4" w:rsidRDefault="00D57674" w:rsidP="00CE1F3B">
            <w:pPr>
              <w:keepNext/>
              <w:keepLines/>
              <w:jc w:val="center"/>
              <w:rPr>
                <w:rFonts w:ascii="Arial Narrow" w:hAnsi="Arial Narrow"/>
                <w:sz w:val="20"/>
                <w:szCs w:val="20"/>
              </w:rPr>
            </w:pPr>
            <w:r w:rsidRPr="00C31CA4">
              <w:rPr>
                <w:rFonts w:ascii="Arial Narrow" w:hAnsi="Arial Narrow"/>
                <w:sz w:val="20"/>
              </w:rPr>
              <w:t>3</w:t>
            </w:r>
          </w:p>
        </w:tc>
        <w:tc>
          <w:tcPr>
            <w:tcW w:w="926" w:type="dxa"/>
          </w:tcPr>
          <w:p w14:paraId="1A3F318B" w14:textId="77777777" w:rsidR="00D57674" w:rsidRPr="00C31CA4" w:rsidRDefault="00D57674" w:rsidP="00CE1F3B">
            <w:pPr>
              <w:keepNext/>
              <w:keepLines/>
              <w:jc w:val="center"/>
              <w:rPr>
                <w:rFonts w:ascii="Arial Narrow" w:hAnsi="Arial Narrow"/>
                <w:sz w:val="20"/>
                <w:szCs w:val="20"/>
              </w:rPr>
            </w:pPr>
            <w:r w:rsidRPr="00C31CA4">
              <w:rPr>
                <w:rFonts w:ascii="Arial Narrow" w:hAnsi="Arial Narrow"/>
                <w:sz w:val="20"/>
              </w:rPr>
              <w:t>84</w:t>
            </w:r>
          </w:p>
        </w:tc>
        <w:tc>
          <w:tcPr>
            <w:tcW w:w="682" w:type="dxa"/>
          </w:tcPr>
          <w:p w14:paraId="055C67B5" w14:textId="77777777" w:rsidR="00D57674" w:rsidRPr="00C31CA4" w:rsidRDefault="00D57674" w:rsidP="00CE1F3B">
            <w:pPr>
              <w:keepNext/>
              <w:keepLines/>
              <w:jc w:val="center"/>
              <w:rPr>
                <w:rFonts w:ascii="Arial Narrow" w:hAnsi="Arial Narrow"/>
                <w:sz w:val="20"/>
                <w:szCs w:val="20"/>
              </w:rPr>
            </w:pPr>
            <w:r w:rsidRPr="00C31CA4">
              <w:rPr>
                <w:rFonts w:ascii="Arial Narrow" w:hAnsi="Arial Narrow"/>
                <w:sz w:val="20"/>
              </w:rPr>
              <w:t>5</w:t>
            </w:r>
          </w:p>
        </w:tc>
        <w:tc>
          <w:tcPr>
            <w:tcW w:w="1032" w:type="dxa"/>
          </w:tcPr>
          <w:p w14:paraId="450345CC" w14:textId="77777777" w:rsidR="00D57674" w:rsidRPr="00C31CA4" w:rsidRDefault="00D57674" w:rsidP="00CE1F3B">
            <w:pPr>
              <w:keepNext/>
              <w:keepLines/>
              <w:rPr>
                <w:rFonts w:ascii="Arial Narrow" w:hAnsi="Arial Narrow"/>
                <w:color w:val="0066FF"/>
                <w:sz w:val="20"/>
                <w:szCs w:val="20"/>
              </w:rPr>
            </w:pPr>
            <w:r w:rsidRPr="00C31CA4">
              <w:rPr>
                <w:rFonts w:ascii="Arial Narrow" w:hAnsi="Arial Narrow"/>
                <w:sz w:val="20"/>
                <w:szCs w:val="20"/>
              </w:rPr>
              <w:t>Revolade</w:t>
            </w:r>
          </w:p>
        </w:tc>
      </w:tr>
    </w:tbl>
    <w:p w14:paraId="45BB7444" w14:textId="26D2673C" w:rsidR="00C971F0" w:rsidRPr="00C31CA4" w:rsidRDefault="00C971F0">
      <w:pPr>
        <w:rPr>
          <w:rFonts w:ascii="Arial Narrow" w:hAnsi="Arial Narrow"/>
          <w:sz w:val="18"/>
          <w:szCs w:val="18"/>
        </w:rPr>
      </w:pPr>
      <w:bookmarkStart w:id="9" w:name="_Hlk104809082"/>
      <w:r w:rsidRPr="00C31CA4">
        <w:rPr>
          <w:rFonts w:ascii="Arial Narrow" w:hAnsi="Arial Narrow"/>
          <w:sz w:val="18"/>
          <w:szCs w:val="18"/>
        </w:rPr>
        <w:t>Source: 3b. Impact – proposed (pub) worksheet in UCM-Release-3-Workbook-Eltrombopag-sAA.xls. Calculated using 3 x current PBS listing for one pack of 28 tablets.</w:t>
      </w:r>
    </w:p>
    <w:p w14:paraId="5987A292" w14:textId="49AF3705" w:rsidR="00C971F0" w:rsidRPr="00C31CA4" w:rsidRDefault="00C971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A30937" w:rsidRPr="00C31CA4" w14:paraId="40A3BDE2" w14:textId="77777777" w:rsidTr="00A30937">
        <w:trPr>
          <w:trHeight w:val="284"/>
        </w:trPr>
        <w:tc>
          <w:tcPr>
            <w:tcW w:w="5000" w:type="pct"/>
            <w:tcBorders>
              <w:top w:val="single" w:sz="4" w:space="0" w:color="auto"/>
              <w:left w:val="single" w:sz="4" w:space="0" w:color="auto"/>
              <w:bottom w:val="single" w:sz="4" w:space="0" w:color="auto"/>
              <w:right w:val="single" w:sz="4" w:space="0" w:color="auto"/>
            </w:tcBorders>
          </w:tcPr>
          <w:p w14:paraId="139E72B8" w14:textId="77777777" w:rsidR="00A30937" w:rsidRPr="00C31CA4" w:rsidRDefault="00A30937" w:rsidP="00B964B0">
            <w:pPr>
              <w:rPr>
                <w:rFonts w:ascii="Arial Narrow" w:hAnsi="Arial Narrow"/>
                <w:sz w:val="20"/>
                <w:szCs w:val="20"/>
              </w:rPr>
            </w:pPr>
            <w:r w:rsidRPr="00C31CA4">
              <w:rPr>
                <w:rFonts w:ascii="Arial Narrow" w:hAnsi="Arial Narrow"/>
                <w:b/>
                <w:sz w:val="20"/>
                <w:szCs w:val="20"/>
              </w:rPr>
              <w:t xml:space="preserve">Category / Program: </w:t>
            </w:r>
            <w:r w:rsidRPr="00C31CA4">
              <w:rPr>
                <w:rFonts w:ascii="Arial Narrow" w:hAnsi="Arial Narrow"/>
                <w:sz w:val="20"/>
                <w:szCs w:val="20"/>
              </w:rPr>
              <w:t xml:space="preserve">Section 100 – Highly Specialised Drugs Program  </w:t>
            </w:r>
          </w:p>
        </w:tc>
      </w:tr>
      <w:tr w:rsidR="00A30937" w:rsidRPr="00C31CA4" w14:paraId="7BAA71E6" w14:textId="77777777" w:rsidTr="00A30937">
        <w:trPr>
          <w:trHeight w:val="284"/>
        </w:trPr>
        <w:tc>
          <w:tcPr>
            <w:tcW w:w="5000" w:type="pct"/>
            <w:tcBorders>
              <w:top w:val="single" w:sz="4" w:space="0" w:color="auto"/>
              <w:left w:val="single" w:sz="4" w:space="0" w:color="auto"/>
              <w:bottom w:val="single" w:sz="4" w:space="0" w:color="auto"/>
              <w:right w:val="single" w:sz="4" w:space="0" w:color="auto"/>
            </w:tcBorders>
          </w:tcPr>
          <w:p w14:paraId="0E7D6578" w14:textId="77777777" w:rsidR="00A30937" w:rsidRPr="00C31CA4" w:rsidRDefault="00A30937" w:rsidP="00B964B0">
            <w:pPr>
              <w:rPr>
                <w:rFonts w:ascii="Arial Narrow" w:hAnsi="Arial Narrow"/>
                <w:b/>
                <w:sz w:val="20"/>
                <w:szCs w:val="20"/>
              </w:rPr>
            </w:pPr>
            <w:r w:rsidRPr="00C31CA4">
              <w:rPr>
                <w:rFonts w:ascii="Arial Narrow" w:hAnsi="Arial Narrow"/>
                <w:b/>
                <w:sz w:val="20"/>
                <w:szCs w:val="20"/>
              </w:rPr>
              <w:t>Prescriber type:</w:t>
            </w:r>
            <w:r w:rsidRPr="00C31CA4">
              <w:rPr>
                <w:rFonts w:ascii="Arial Narrow" w:hAnsi="Arial Narrow"/>
                <w:sz w:val="20"/>
                <w:szCs w:val="20"/>
              </w:rPr>
              <w:t xml:space="preserve"> </w:t>
            </w:r>
            <w:r w:rsidRPr="00C31CA4">
              <w:rPr>
                <w:rFonts w:ascii="Arial Narrow" w:hAnsi="Arial Narrow"/>
                <w:sz w:val="20"/>
                <w:szCs w:val="20"/>
              </w:rPr>
              <w:fldChar w:fldCharType="begin" w:fldLock="1">
                <w:ffData>
                  <w:name w:val=""/>
                  <w:enabled/>
                  <w:calcOnExit w:val="0"/>
                  <w:checkBox>
                    <w:sizeAuto/>
                    <w:default w:val="1"/>
                  </w:checkBox>
                </w:ffData>
              </w:fldChar>
            </w:r>
            <w:r w:rsidRPr="00C31CA4">
              <w:rPr>
                <w:rFonts w:ascii="Arial Narrow" w:hAnsi="Arial Narrow"/>
                <w:sz w:val="20"/>
                <w:szCs w:val="20"/>
              </w:rPr>
              <w:instrText xml:space="preserve"> FORMCHECKBOX </w:instrText>
            </w:r>
            <w:r w:rsidR="004A6237">
              <w:rPr>
                <w:rFonts w:ascii="Arial Narrow" w:hAnsi="Arial Narrow"/>
                <w:sz w:val="20"/>
                <w:szCs w:val="20"/>
              </w:rPr>
            </w:r>
            <w:r w:rsidR="004A6237">
              <w:rPr>
                <w:rFonts w:ascii="Arial Narrow" w:hAnsi="Arial Narrow"/>
                <w:sz w:val="20"/>
                <w:szCs w:val="20"/>
              </w:rPr>
              <w:fldChar w:fldCharType="separate"/>
            </w:r>
            <w:r w:rsidRPr="00C31CA4">
              <w:rPr>
                <w:rFonts w:ascii="Arial Narrow" w:hAnsi="Arial Narrow"/>
                <w:sz w:val="20"/>
                <w:szCs w:val="20"/>
              </w:rPr>
              <w:fldChar w:fldCharType="end"/>
            </w:r>
            <w:r w:rsidRPr="00C31CA4">
              <w:rPr>
                <w:rFonts w:ascii="Arial Narrow" w:hAnsi="Arial Narrow"/>
                <w:sz w:val="20"/>
                <w:szCs w:val="20"/>
              </w:rPr>
              <w:t xml:space="preserve">Medical Practitioners   </w:t>
            </w:r>
          </w:p>
        </w:tc>
      </w:tr>
      <w:tr w:rsidR="00A30937" w:rsidRPr="00C31CA4" w14:paraId="07DC3538" w14:textId="77777777" w:rsidTr="00A30937">
        <w:trPr>
          <w:trHeight w:val="284"/>
        </w:trPr>
        <w:tc>
          <w:tcPr>
            <w:tcW w:w="5000" w:type="pct"/>
            <w:tcBorders>
              <w:top w:val="single" w:sz="4" w:space="0" w:color="auto"/>
              <w:left w:val="single" w:sz="4" w:space="0" w:color="auto"/>
              <w:bottom w:val="single" w:sz="4" w:space="0" w:color="auto"/>
              <w:right w:val="single" w:sz="4" w:space="0" w:color="auto"/>
            </w:tcBorders>
          </w:tcPr>
          <w:p w14:paraId="446BB6FC" w14:textId="77777777" w:rsidR="00A30937" w:rsidRPr="00C31CA4" w:rsidRDefault="00A30937" w:rsidP="00B964B0">
            <w:pPr>
              <w:rPr>
                <w:rFonts w:ascii="Arial Narrow" w:hAnsi="Arial Narrow"/>
                <w:b/>
                <w:sz w:val="20"/>
                <w:szCs w:val="20"/>
              </w:rPr>
            </w:pPr>
            <w:r w:rsidRPr="00C31CA4">
              <w:rPr>
                <w:rFonts w:ascii="Arial Narrow" w:hAnsi="Arial Narrow"/>
                <w:b/>
                <w:sz w:val="20"/>
                <w:szCs w:val="20"/>
              </w:rPr>
              <w:t>Restriction type:</w:t>
            </w:r>
          </w:p>
          <w:p w14:paraId="7357BC35" w14:textId="77777777" w:rsidR="00A30937" w:rsidRPr="00C31CA4" w:rsidRDefault="00A30937" w:rsidP="00B964B0">
            <w:pPr>
              <w:rPr>
                <w:rFonts w:ascii="Arial Narrow" w:eastAsia="Calibri" w:hAnsi="Arial Narrow"/>
                <w:sz w:val="20"/>
                <w:szCs w:val="20"/>
              </w:rPr>
            </w:pPr>
            <w:r w:rsidRPr="00C31CA4">
              <w:rPr>
                <w:rFonts w:ascii="Arial Narrow" w:eastAsia="Calibri" w:hAnsi="Arial Narrow"/>
                <w:sz w:val="20"/>
                <w:szCs w:val="20"/>
              </w:rPr>
              <w:fldChar w:fldCharType="begin" w:fldLock="1">
                <w:ffData>
                  <w:name w:val=""/>
                  <w:enabled/>
                  <w:calcOnExit w:val="0"/>
                  <w:checkBox>
                    <w:sizeAuto/>
                    <w:default w:val="1"/>
                  </w:checkBox>
                </w:ffData>
              </w:fldChar>
            </w:r>
            <w:r w:rsidRPr="00C31CA4">
              <w:rPr>
                <w:rFonts w:ascii="Arial Narrow" w:eastAsia="Calibri" w:hAnsi="Arial Narrow"/>
                <w:sz w:val="20"/>
                <w:szCs w:val="20"/>
              </w:rPr>
              <w:instrText xml:space="preserve"> FORMCHECKBOX </w:instrText>
            </w:r>
            <w:r w:rsidR="004A6237">
              <w:rPr>
                <w:rFonts w:ascii="Arial Narrow" w:eastAsia="Calibri" w:hAnsi="Arial Narrow"/>
                <w:sz w:val="20"/>
                <w:szCs w:val="20"/>
              </w:rPr>
            </w:r>
            <w:r w:rsidR="004A6237">
              <w:rPr>
                <w:rFonts w:ascii="Arial Narrow" w:eastAsia="Calibri" w:hAnsi="Arial Narrow"/>
                <w:sz w:val="20"/>
                <w:szCs w:val="20"/>
              </w:rPr>
              <w:fldChar w:fldCharType="separate"/>
            </w:r>
            <w:r w:rsidRPr="00C31CA4">
              <w:rPr>
                <w:rFonts w:ascii="Arial Narrow" w:eastAsia="Calibri" w:hAnsi="Arial Narrow"/>
                <w:sz w:val="20"/>
                <w:szCs w:val="20"/>
              </w:rPr>
              <w:fldChar w:fldCharType="end"/>
            </w:r>
            <w:r w:rsidRPr="00C31CA4">
              <w:rPr>
                <w:rFonts w:ascii="Arial Narrow" w:eastAsia="Calibri" w:hAnsi="Arial Narrow"/>
                <w:sz w:val="20"/>
                <w:szCs w:val="20"/>
              </w:rPr>
              <w:t>Authority Required – (in writing only via post/HPOS upload)</w:t>
            </w:r>
          </w:p>
        </w:tc>
      </w:tr>
      <w:tr w:rsidR="00A30937" w:rsidRPr="00C31CA4" w14:paraId="3468CA79" w14:textId="77777777" w:rsidTr="00A30937">
        <w:trPr>
          <w:trHeight w:val="284"/>
        </w:trPr>
        <w:tc>
          <w:tcPr>
            <w:tcW w:w="5000" w:type="pct"/>
            <w:vAlign w:val="center"/>
            <w:hideMark/>
          </w:tcPr>
          <w:p w14:paraId="5C2C8EA2" w14:textId="77777777" w:rsidR="00A30937" w:rsidRPr="00C31CA4" w:rsidRDefault="00A30937" w:rsidP="00B964B0">
            <w:pPr>
              <w:rPr>
                <w:rFonts w:ascii="Arial Narrow" w:hAnsi="Arial Narrow"/>
                <w:sz w:val="20"/>
                <w:szCs w:val="20"/>
              </w:rPr>
            </w:pPr>
            <w:r w:rsidRPr="00C31CA4">
              <w:rPr>
                <w:rFonts w:ascii="Arial Narrow" w:hAnsi="Arial Narrow"/>
                <w:b/>
                <w:bCs/>
                <w:sz w:val="20"/>
                <w:szCs w:val="20"/>
              </w:rPr>
              <w:t>Indication:</w:t>
            </w:r>
            <w:r w:rsidRPr="00C31CA4">
              <w:rPr>
                <w:rFonts w:ascii="Arial Narrow" w:hAnsi="Arial Narrow"/>
                <w:sz w:val="20"/>
                <w:szCs w:val="20"/>
              </w:rPr>
              <w:t xml:space="preserve"> Severe aplastic an</w:t>
            </w:r>
            <w:r w:rsidRPr="00C31CA4">
              <w:rPr>
                <w:rFonts w:ascii="Arial Narrow" w:hAnsi="Arial Narrow"/>
                <w:i/>
                <w:iCs/>
                <w:sz w:val="20"/>
                <w:szCs w:val="20"/>
              </w:rPr>
              <w:t>a</w:t>
            </w:r>
            <w:r w:rsidRPr="00C31CA4">
              <w:rPr>
                <w:rFonts w:ascii="Arial Narrow" w:hAnsi="Arial Narrow"/>
                <w:sz w:val="20"/>
                <w:szCs w:val="20"/>
              </w:rPr>
              <w:t>emia</w:t>
            </w:r>
          </w:p>
        </w:tc>
      </w:tr>
      <w:tr w:rsidR="00A30937" w:rsidRPr="00C31CA4" w14:paraId="7188CA96" w14:textId="77777777" w:rsidTr="00A30937">
        <w:trPr>
          <w:trHeight w:val="284"/>
        </w:trPr>
        <w:tc>
          <w:tcPr>
            <w:tcW w:w="5000" w:type="pct"/>
            <w:vAlign w:val="center"/>
          </w:tcPr>
          <w:p w14:paraId="4698DDFB"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Clinical criteria:</w:t>
            </w:r>
          </w:p>
        </w:tc>
      </w:tr>
      <w:tr w:rsidR="00A30937" w:rsidRPr="00C31CA4" w14:paraId="41DAB82E" w14:textId="77777777" w:rsidTr="00A30937">
        <w:trPr>
          <w:trHeight w:val="284"/>
        </w:trPr>
        <w:tc>
          <w:tcPr>
            <w:tcW w:w="5000" w:type="pct"/>
            <w:vAlign w:val="center"/>
          </w:tcPr>
          <w:p w14:paraId="0F3A123F" w14:textId="77777777" w:rsidR="00A30937" w:rsidRPr="00C31CA4" w:rsidRDefault="00A30937" w:rsidP="00B964B0">
            <w:pPr>
              <w:rPr>
                <w:rFonts w:ascii="Arial Narrow" w:hAnsi="Arial Narrow"/>
                <w:b/>
                <w:bCs/>
                <w:sz w:val="20"/>
                <w:szCs w:val="20"/>
              </w:rPr>
            </w:pPr>
            <w:r w:rsidRPr="00C31CA4">
              <w:rPr>
                <w:rFonts w:ascii="Arial Narrow" w:hAnsi="Arial Narrow"/>
                <w:sz w:val="20"/>
                <w:szCs w:val="20"/>
              </w:rPr>
              <w:t>The condition must be severe aplastic an</w:t>
            </w:r>
            <w:r w:rsidRPr="00C31CA4">
              <w:rPr>
                <w:rFonts w:ascii="Arial Narrow" w:hAnsi="Arial Narrow"/>
                <w:i/>
                <w:iCs/>
                <w:sz w:val="20"/>
                <w:szCs w:val="20"/>
              </w:rPr>
              <w:t>a</w:t>
            </w:r>
            <w:r w:rsidRPr="00C31CA4">
              <w:rPr>
                <w:rFonts w:ascii="Arial Narrow" w:hAnsi="Arial Narrow"/>
                <w:sz w:val="20"/>
                <w:szCs w:val="20"/>
              </w:rPr>
              <w:t>emia</w:t>
            </w:r>
          </w:p>
        </w:tc>
      </w:tr>
      <w:tr w:rsidR="00A30937" w:rsidRPr="00C31CA4" w14:paraId="3A5F55FB" w14:textId="77777777" w:rsidTr="00A30937">
        <w:trPr>
          <w:trHeight w:val="284"/>
        </w:trPr>
        <w:tc>
          <w:tcPr>
            <w:tcW w:w="5000" w:type="pct"/>
            <w:vAlign w:val="center"/>
          </w:tcPr>
          <w:p w14:paraId="53AD4C92"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AND</w:t>
            </w:r>
          </w:p>
        </w:tc>
      </w:tr>
      <w:tr w:rsidR="00A30937" w:rsidRPr="00C31CA4" w14:paraId="75C8F3A2" w14:textId="77777777" w:rsidTr="00A30937">
        <w:trPr>
          <w:trHeight w:val="284"/>
        </w:trPr>
        <w:tc>
          <w:tcPr>
            <w:tcW w:w="5000" w:type="pct"/>
            <w:vAlign w:val="center"/>
          </w:tcPr>
          <w:p w14:paraId="1965E9D9"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Clinical criteria:</w:t>
            </w:r>
          </w:p>
        </w:tc>
      </w:tr>
      <w:tr w:rsidR="00A30937" w:rsidRPr="00C31CA4" w14:paraId="02F1A292" w14:textId="77777777" w:rsidTr="00A30937">
        <w:trPr>
          <w:trHeight w:val="284"/>
        </w:trPr>
        <w:tc>
          <w:tcPr>
            <w:tcW w:w="5000" w:type="pct"/>
            <w:vAlign w:val="center"/>
          </w:tcPr>
          <w:p w14:paraId="22D5E652" w14:textId="77777777" w:rsidR="00A30937" w:rsidRPr="00C31CA4" w:rsidRDefault="00A30937" w:rsidP="00B964B0">
            <w:pPr>
              <w:rPr>
                <w:rFonts w:ascii="Arial Narrow" w:hAnsi="Arial Narrow"/>
                <w:sz w:val="20"/>
                <w:szCs w:val="20"/>
              </w:rPr>
            </w:pPr>
            <w:r w:rsidRPr="00C31CA4">
              <w:rPr>
                <w:rFonts w:ascii="Arial Narrow" w:hAnsi="Arial Narrow"/>
                <w:sz w:val="20"/>
                <w:szCs w:val="20"/>
              </w:rPr>
              <w:t xml:space="preserve">Patient must not have received treatment with </w:t>
            </w:r>
            <w:r w:rsidRPr="00C31CA4">
              <w:rPr>
                <w:rFonts w:ascii="Arial Narrow" w:hAnsi="Arial Narrow"/>
                <w:strike/>
                <w:sz w:val="20"/>
                <w:szCs w:val="20"/>
              </w:rPr>
              <w:t>prior</w:t>
            </w:r>
            <w:r w:rsidRPr="00C31CA4">
              <w:rPr>
                <w:rFonts w:ascii="Arial Narrow" w:hAnsi="Arial Narrow"/>
                <w:sz w:val="20"/>
                <w:szCs w:val="20"/>
              </w:rPr>
              <w:t xml:space="preserve"> immunosuppressive therapy </w:t>
            </w:r>
            <w:r w:rsidRPr="00C31CA4">
              <w:rPr>
                <w:rFonts w:ascii="Arial Narrow" w:hAnsi="Arial Narrow"/>
                <w:i/>
                <w:iCs/>
                <w:sz w:val="20"/>
                <w:szCs w:val="20"/>
              </w:rPr>
              <w:t>for this condition</w:t>
            </w:r>
          </w:p>
        </w:tc>
      </w:tr>
      <w:tr w:rsidR="00A30937" w:rsidRPr="00C31CA4" w14:paraId="147399FC" w14:textId="77777777" w:rsidTr="00A30937">
        <w:trPr>
          <w:trHeight w:val="284"/>
        </w:trPr>
        <w:tc>
          <w:tcPr>
            <w:tcW w:w="5000" w:type="pct"/>
            <w:vAlign w:val="center"/>
          </w:tcPr>
          <w:p w14:paraId="2C92BD44"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AND</w:t>
            </w:r>
          </w:p>
        </w:tc>
      </w:tr>
      <w:tr w:rsidR="00A30937" w:rsidRPr="00C31CA4" w14:paraId="78FDC361" w14:textId="77777777" w:rsidTr="00A30937">
        <w:trPr>
          <w:trHeight w:val="284"/>
        </w:trPr>
        <w:tc>
          <w:tcPr>
            <w:tcW w:w="5000" w:type="pct"/>
            <w:vAlign w:val="center"/>
          </w:tcPr>
          <w:p w14:paraId="0A5BA60C"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Clinical criteria:</w:t>
            </w:r>
          </w:p>
        </w:tc>
      </w:tr>
      <w:tr w:rsidR="00A30937" w:rsidRPr="00C31CA4" w14:paraId="1F420C4D" w14:textId="77777777" w:rsidTr="00A30937">
        <w:trPr>
          <w:trHeight w:val="284"/>
        </w:trPr>
        <w:tc>
          <w:tcPr>
            <w:tcW w:w="5000" w:type="pct"/>
            <w:vAlign w:val="center"/>
          </w:tcPr>
          <w:p w14:paraId="5F5D7443" w14:textId="77777777" w:rsidR="00A30937" w:rsidRPr="00C31CA4" w:rsidRDefault="00A30937" w:rsidP="00B964B0">
            <w:pPr>
              <w:rPr>
                <w:rFonts w:ascii="Arial Narrow" w:hAnsi="Arial Narrow"/>
                <w:sz w:val="20"/>
                <w:szCs w:val="20"/>
              </w:rPr>
            </w:pPr>
            <w:r w:rsidRPr="00C31CA4">
              <w:rPr>
                <w:rFonts w:ascii="Arial Narrow" w:hAnsi="Arial Narrow"/>
                <w:sz w:val="20"/>
                <w:szCs w:val="20"/>
              </w:rPr>
              <w:t xml:space="preserve">The treatment must be administered in combination with standard immunosuppressive therapy </w:t>
            </w:r>
            <w:r w:rsidRPr="00C31CA4">
              <w:rPr>
                <w:rFonts w:ascii="Arial Narrow" w:hAnsi="Arial Narrow"/>
                <w:i/>
                <w:iCs/>
                <w:sz w:val="20"/>
                <w:szCs w:val="20"/>
              </w:rPr>
              <w:t>as defined in the Product Information for this medicine</w:t>
            </w:r>
          </w:p>
        </w:tc>
      </w:tr>
      <w:tr w:rsidR="00A30937" w:rsidRPr="00C31CA4" w14:paraId="242A8FA7" w14:textId="77777777" w:rsidTr="00A30937">
        <w:trPr>
          <w:trHeight w:val="284"/>
        </w:trPr>
        <w:tc>
          <w:tcPr>
            <w:tcW w:w="5000" w:type="pct"/>
            <w:vAlign w:val="center"/>
          </w:tcPr>
          <w:p w14:paraId="5229AEFA" w14:textId="77777777" w:rsidR="00A30937" w:rsidRPr="00C31CA4" w:rsidRDefault="00A30937" w:rsidP="00B964B0">
            <w:pPr>
              <w:rPr>
                <w:rFonts w:ascii="Arial Narrow" w:hAnsi="Arial Narrow"/>
                <w:i/>
                <w:iCs/>
                <w:sz w:val="20"/>
                <w:szCs w:val="20"/>
              </w:rPr>
            </w:pPr>
            <w:r w:rsidRPr="00C31CA4">
              <w:rPr>
                <w:rFonts w:ascii="Arial Narrow" w:hAnsi="Arial Narrow"/>
                <w:b/>
                <w:bCs/>
                <w:i/>
                <w:iCs/>
                <w:sz w:val="20"/>
                <w:szCs w:val="20"/>
              </w:rPr>
              <w:t>AND</w:t>
            </w:r>
          </w:p>
        </w:tc>
      </w:tr>
      <w:tr w:rsidR="00A30937" w:rsidRPr="00C31CA4" w14:paraId="39467D3C" w14:textId="77777777" w:rsidTr="00A30937">
        <w:trPr>
          <w:trHeight w:val="284"/>
        </w:trPr>
        <w:tc>
          <w:tcPr>
            <w:tcW w:w="5000" w:type="pct"/>
            <w:vAlign w:val="center"/>
          </w:tcPr>
          <w:p w14:paraId="16BBAF73" w14:textId="77777777" w:rsidR="00A30937" w:rsidRPr="00C31CA4" w:rsidRDefault="00A30937" w:rsidP="00B964B0">
            <w:pPr>
              <w:rPr>
                <w:rFonts w:ascii="Arial Narrow" w:hAnsi="Arial Narrow"/>
                <w:i/>
                <w:iCs/>
                <w:sz w:val="20"/>
                <w:szCs w:val="20"/>
              </w:rPr>
            </w:pPr>
            <w:r w:rsidRPr="00C31CA4">
              <w:rPr>
                <w:rFonts w:ascii="Arial Narrow" w:hAnsi="Arial Narrow"/>
                <w:b/>
                <w:bCs/>
                <w:i/>
                <w:iCs/>
                <w:sz w:val="20"/>
                <w:szCs w:val="20"/>
              </w:rPr>
              <w:t>Clinical criteria:</w:t>
            </w:r>
          </w:p>
        </w:tc>
      </w:tr>
      <w:tr w:rsidR="00A30937" w:rsidRPr="00C31CA4" w14:paraId="14EA914A" w14:textId="77777777" w:rsidTr="00A30937">
        <w:trPr>
          <w:trHeight w:val="284"/>
        </w:trPr>
        <w:tc>
          <w:tcPr>
            <w:tcW w:w="5000" w:type="pct"/>
            <w:vAlign w:val="center"/>
          </w:tcPr>
          <w:p w14:paraId="736C183B" w14:textId="77777777" w:rsidR="00A30937" w:rsidRPr="00C31CA4" w:rsidRDefault="00A30937" w:rsidP="00B964B0">
            <w:pPr>
              <w:rPr>
                <w:rFonts w:ascii="Arial Narrow" w:hAnsi="Arial Narrow"/>
                <w:sz w:val="20"/>
                <w:szCs w:val="20"/>
              </w:rPr>
            </w:pPr>
            <w:r w:rsidRPr="00C31CA4">
              <w:rPr>
                <w:rFonts w:ascii="Arial Narrow" w:hAnsi="Arial Narrow"/>
                <w:sz w:val="20"/>
                <w:szCs w:val="20"/>
              </w:rPr>
              <w:t xml:space="preserve">Patient must be considered ineligible for haemopoietic stem cell transplant </w:t>
            </w:r>
          </w:p>
        </w:tc>
      </w:tr>
      <w:tr w:rsidR="00A30937" w:rsidRPr="00C31CA4" w14:paraId="3D27B023" w14:textId="77777777" w:rsidTr="00A30937">
        <w:trPr>
          <w:trHeight w:val="284"/>
        </w:trPr>
        <w:tc>
          <w:tcPr>
            <w:tcW w:w="5000" w:type="pct"/>
            <w:vAlign w:val="center"/>
          </w:tcPr>
          <w:p w14:paraId="41B7A452" w14:textId="77777777" w:rsidR="00A30937" w:rsidRPr="00C31CA4" w:rsidRDefault="00A30937" w:rsidP="00B964B0">
            <w:pPr>
              <w:rPr>
                <w:rFonts w:ascii="Arial Narrow" w:hAnsi="Arial Narrow"/>
                <w:b/>
                <w:bCs/>
                <w:sz w:val="20"/>
                <w:szCs w:val="20"/>
              </w:rPr>
            </w:pPr>
            <w:r w:rsidRPr="00C31CA4">
              <w:rPr>
                <w:rFonts w:ascii="Arial Narrow" w:hAnsi="Arial Narrow"/>
                <w:b/>
                <w:bCs/>
                <w:i/>
                <w:iCs/>
                <w:sz w:val="20"/>
                <w:szCs w:val="20"/>
              </w:rPr>
              <w:lastRenderedPageBreak/>
              <w:t>Clinical criteria:</w:t>
            </w:r>
          </w:p>
        </w:tc>
      </w:tr>
      <w:tr w:rsidR="00A30937" w:rsidRPr="00C31CA4" w14:paraId="2B4D4578" w14:textId="77777777" w:rsidTr="00A30937">
        <w:trPr>
          <w:trHeight w:val="284"/>
        </w:trPr>
        <w:tc>
          <w:tcPr>
            <w:tcW w:w="5000" w:type="pct"/>
            <w:vAlign w:val="center"/>
          </w:tcPr>
          <w:p w14:paraId="3F333A38" w14:textId="77777777" w:rsidR="00A30937" w:rsidRPr="00C31CA4" w:rsidRDefault="00A30937" w:rsidP="00B964B0">
            <w:pPr>
              <w:rPr>
                <w:rFonts w:ascii="Arial Narrow" w:hAnsi="Arial Narrow"/>
                <w:b/>
                <w:bCs/>
                <w:sz w:val="20"/>
                <w:szCs w:val="20"/>
              </w:rPr>
            </w:pPr>
            <w:r w:rsidRPr="00C31CA4">
              <w:rPr>
                <w:rFonts w:ascii="Arial Narrow" w:hAnsi="Arial Narrow"/>
                <w:i/>
                <w:iCs/>
                <w:sz w:val="20"/>
                <w:szCs w:val="20"/>
              </w:rPr>
              <w:t>Patient must not receive more than 24 weeks of treatment under this restriction</w:t>
            </w:r>
          </w:p>
        </w:tc>
      </w:tr>
      <w:tr w:rsidR="00A30937" w:rsidRPr="00C31CA4" w14:paraId="38A454E5" w14:textId="77777777" w:rsidTr="00A30937">
        <w:trPr>
          <w:trHeight w:val="284"/>
        </w:trPr>
        <w:tc>
          <w:tcPr>
            <w:tcW w:w="5000" w:type="pct"/>
            <w:vAlign w:val="center"/>
          </w:tcPr>
          <w:p w14:paraId="0E770E6A" w14:textId="77777777" w:rsidR="00A30937" w:rsidRPr="00C31CA4" w:rsidRDefault="00A30937" w:rsidP="00B964B0">
            <w:pPr>
              <w:rPr>
                <w:rFonts w:ascii="Arial Narrow" w:hAnsi="Arial Narrow"/>
                <w:sz w:val="20"/>
                <w:szCs w:val="20"/>
              </w:rPr>
            </w:pPr>
            <w:r w:rsidRPr="00C31CA4">
              <w:rPr>
                <w:rFonts w:ascii="Arial Narrow" w:hAnsi="Arial Narrow"/>
                <w:b/>
                <w:bCs/>
                <w:sz w:val="20"/>
                <w:szCs w:val="20"/>
              </w:rPr>
              <w:t xml:space="preserve">Prescribing Instructions: </w:t>
            </w:r>
            <w:r w:rsidRPr="00C31CA4">
              <w:rPr>
                <w:rFonts w:ascii="Arial Narrow" w:hAnsi="Arial Narrow"/>
                <w:i/>
                <w:iCs/>
                <w:sz w:val="20"/>
                <w:szCs w:val="20"/>
              </w:rPr>
              <w:t>If t</w:t>
            </w:r>
            <w:r w:rsidRPr="00C31CA4">
              <w:rPr>
                <w:rFonts w:ascii="Arial Narrow" w:hAnsi="Arial Narrow"/>
                <w:sz w:val="20"/>
                <w:szCs w:val="20"/>
              </w:rPr>
              <w:t xml:space="preserve">he </w:t>
            </w:r>
            <w:r w:rsidRPr="00C31CA4">
              <w:rPr>
                <w:rFonts w:ascii="Arial Narrow" w:hAnsi="Arial Narrow"/>
                <w:strike/>
                <w:sz w:val="20"/>
                <w:szCs w:val="20"/>
              </w:rPr>
              <w:t xml:space="preserve">authority </w:t>
            </w:r>
            <w:r w:rsidRPr="00C31CA4">
              <w:rPr>
                <w:rFonts w:ascii="Arial Narrow" w:hAnsi="Arial Narrow"/>
                <w:sz w:val="20"/>
                <w:szCs w:val="20"/>
              </w:rPr>
              <w:t xml:space="preserve">application </w:t>
            </w:r>
            <w:r w:rsidRPr="00C31CA4">
              <w:rPr>
                <w:rFonts w:ascii="Arial Narrow" w:hAnsi="Arial Narrow"/>
                <w:i/>
                <w:iCs/>
                <w:sz w:val="20"/>
                <w:szCs w:val="20"/>
              </w:rPr>
              <w:t>is submitted through HPOS form upload or mail</w:t>
            </w:r>
            <w:r w:rsidRPr="00C31CA4">
              <w:rPr>
                <w:rFonts w:ascii="Arial Narrow" w:hAnsi="Arial Narrow"/>
                <w:i/>
                <w:iCs/>
                <w:strike/>
                <w:sz w:val="20"/>
                <w:szCs w:val="20"/>
              </w:rPr>
              <w:t xml:space="preserve">, </w:t>
            </w:r>
            <w:r w:rsidRPr="00C31CA4">
              <w:rPr>
                <w:rFonts w:ascii="Arial Narrow" w:hAnsi="Arial Narrow"/>
                <w:strike/>
                <w:sz w:val="20"/>
                <w:szCs w:val="20"/>
              </w:rPr>
              <w:t>must be made in writing and</w:t>
            </w:r>
            <w:r w:rsidRPr="00C31CA4">
              <w:rPr>
                <w:rFonts w:ascii="Arial Narrow" w:hAnsi="Arial Narrow"/>
                <w:sz w:val="20"/>
                <w:szCs w:val="20"/>
              </w:rPr>
              <w:t xml:space="preserve"> </w:t>
            </w:r>
            <w:r w:rsidRPr="00C31CA4">
              <w:rPr>
                <w:rFonts w:ascii="Arial Narrow" w:hAnsi="Arial Narrow"/>
                <w:i/>
                <w:iCs/>
                <w:sz w:val="20"/>
                <w:szCs w:val="20"/>
              </w:rPr>
              <w:t xml:space="preserve">it </w:t>
            </w:r>
            <w:r w:rsidRPr="00C31CA4">
              <w:rPr>
                <w:rFonts w:ascii="Arial Narrow" w:hAnsi="Arial Narrow"/>
                <w:sz w:val="20"/>
                <w:szCs w:val="20"/>
              </w:rPr>
              <w:t>must include:</w:t>
            </w:r>
          </w:p>
          <w:p w14:paraId="0870B787" w14:textId="77777777" w:rsidR="00A30937" w:rsidRPr="00C31CA4" w:rsidRDefault="00A30937" w:rsidP="00B964B0">
            <w:pPr>
              <w:rPr>
                <w:rFonts w:ascii="Arial Narrow" w:hAnsi="Arial Narrow"/>
                <w:sz w:val="20"/>
                <w:szCs w:val="20"/>
              </w:rPr>
            </w:pPr>
            <w:r w:rsidRPr="00C31CA4">
              <w:rPr>
                <w:rFonts w:ascii="Arial Narrow" w:hAnsi="Arial Narrow"/>
                <w:sz w:val="20"/>
                <w:szCs w:val="20"/>
              </w:rPr>
              <w:t xml:space="preserve">(1) a completed authority prescription form, </w:t>
            </w:r>
          </w:p>
          <w:p w14:paraId="673D604D" w14:textId="77777777" w:rsidR="00A30937" w:rsidRPr="00C31CA4" w:rsidRDefault="00A30937" w:rsidP="00B964B0">
            <w:pPr>
              <w:rPr>
                <w:rFonts w:ascii="Arial Narrow" w:hAnsi="Arial Narrow"/>
                <w:sz w:val="20"/>
                <w:szCs w:val="20"/>
              </w:rPr>
            </w:pPr>
            <w:r w:rsidRPr="00C31CA4">
              <w:rPr>
                <w:rFonts w:ascii="Arial Narrow" w:hAnsi="Arial Narrow"/>
                <w:sz w:val="20"/>
                <w:szCs w:val="20"/>
              </w:rPr>
              <w:t xml:space="preserve">(2) a completed </w:t>
            </w:r>
            <w:r w:rsidRPr="00C31CA4">
              <w:rPr>
                <w:rFonts w:ascii="Arial Narrow" w:hAnsi="Arial Narrow"/>
                <w:i/>
                <w:iCs/>
                <w:sz w:val="20"/>
                <w:szCs w:val="20"/>
              </w:rPr>
              <w:t xml:space="preserve">authority application form relevant to the indication and treatment phase (the latest version is located on the website specified in the Administrative Advice) </w:t>
            </w:r>
            <w:r w:rsidRPr="00C31CA4">
              <w:rPr>
                <w:rFonts w:ascii="Arial Narrow" w:hAnsi="Arial Narrow"/>
                <w:strike/>
                <w:sz w:val="20"/>
                <w:szCs w:val="20"/>
              </w:rPr>
              <w:t>severe aplastic anemia PBS Authority Application - Supporting Information Form</w:t>
            </w:r>
          </w:p>
        </w:tc>
      </w:tr>
      <w:tr w:rsidR="00A30937" w:rsidRPr="00C31CA4" w14:paraId="5AC47CE4" w14:textId="77777777" w:rsidTr="00A30937">
        <w:trPr>
          <w:trHeight w:val="284"/>
        </w:trPr>
        <w:tc>
          <w:tcPr>
            <w:tcW w:w="5000" w:type="pct"/>
            <w:vAlign w:val="center"/>
          </w:tcPr>
          <w:p w14:paraId="73C4AA41" w14:textId="77777777" w:rsidR="00A30937" w:rsidRPr="00C31CA4" w:rsidRDefault="00A30937" w:rsidP="00B964B0">
            <w:pPr>
              <w:rPr>
                <w:rFonts w:ascii="Arial Narrow" w:hAnsi="Arial Narrow"/>
                <w:strike/>
                <w:sz w:val="20"/>
                <w:szCs w:val="20"/>
              </w:rPr>
            </w:pPr>
            <w:r w:rsidRPr="00C31CA4">
              <w:rPr>
                <w:rFonts w:ascii="Arial Narrow" w:hAnsi="Arial Narrow"/>
                <w:b/>
                <w:bCs/>
                <w:strike/>
                <w:sz w:val="20"/>
                <w:szCs w:val="20"/>
              </w:rPr>
              <w:t xml:space="preserve">Administrative Advice: </w:t>
            </w:r>
            <w:r w:rsidRPr="00C31CA4">
              <w:rPr>
                <w:rFonts w:ascii="Arial Narrow" w:hAnsi="Arial Narrow"/>
                <w:strike/>
                <w:sz w:val="20"/>
                <w:szCs w:val="20"/>
              </w:rPr>
              <w:t xml:space="preserve">Duration of treatment must not exceed 6 months </w:t>
            </w:r>
          </w:p>
        </w:tc>
      </w:tr>
      <w:tr w:rsidR="00A30937" w:rsidRPr="00C31CA4" w14:paraId="4481CAC6" w14:textId="77777777" w:rsidTr="00A30937">
        <w:trPr>
          <w:trHeight w:val="284"/>
        </w:trPr>
        <w:tc>
          <w:tcPr>
            <w:tcW w:w="5000" w:type="pct"/>
            <w:vAlign w:val="center"/>
          </w:tcPr>
          <w:p w14:paraId="51AF133C"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No increase in the maximum number of repeats may be authorised.</w:t>
            </w:r>
          </w:p>
        </w:tc>
      </w:tr>
      <w:tr w:rsidR="00A30937" w:rsidRPr="00C31CA4" w14:paraId="64490DA1" w14:textId="77777777" w:rsidTr="00A30937">
        <w:trPr>
          <w:trHeight w:val="284"/>
        </w:trPr>
        <w:tc>
          <w:tcPr>
            <w:tcW w:w="5000" w:type="pct"/>
            <w:vAlign w:val="center"/>
          </w:tcPr>
          <w:p w14:paraId="1C9D9425"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Special Pricing Arrangements Apply.</w:t>
            </w:r>
          </w:p>
        </w:tc>
      </w:tr>
      <w:tr w:rsidR="00A30937" w:rsidRPr="00C31CA4" w14:paraId="6ED48B51" w14:textId="77777777" w:rsidTr="00A30937">
        <w:trPr>
          <w:trHeight w:val="284"/>
        </w:trPr>
        <w:tc>
          <w:tcPr>
            <w:tcW w:w="5000" w:type="pct"/>
            <w:vAlign w:val="center"/>
          </w:tcPr>
          <w:p w14:paraId="1933AF30" w14:textId="77777777" w:rsidR="00A30937" w:rsidRPr="00C31CA4" w:rsidRDefault="00A30937" w:rsidP="00B964B0">
            <w:pPr>
              <w:rPr>
                <w:rFonts w:ascii="Arial Narrow" w:hAnsi="Arial Narrow"/>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Any queries concerning the arrangements to prescribe may be directed to Services Australia on 1800 700 270 (hours of operation 8 a.m. to 5 p.m.</w:t>
            </w:r>
            <w:r w:rsidRPr="00C31CA4">
              <w:rPr>
                <w:rFonts w:ascii="Arial Narrow" w:hAnsi="Arial Narrow"/>
                <w:strike/>
                <w:sz w:val="20"/>
                <w:szCs w:val="20"/>
              </w:rPr>
              <w:t xml:space="preserve"> </w:t>
            </w:r>
            <w:r w:rsidRPr="00C31CA4">
              <w:rPr>
                <w:rFonts w:ascii="Arial Narrow" w:hAnsi="Arial Narrow"/>
                <w:sz w:val="20"/>
                <w:szCs w:val="20"/>
              </w:rPr>
              <w:t>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bl>
    <w:p w14:paraId="5214059F" w14:textId="77777777" w:rsidR="00D60D4C" w:rsidRPr="00C31CA4" w:rsidRDefault="00D60D4C" w:rsidP="00A30937">
      <w:pPr>
        <w:rPr>
          <w:rFonts w:asciiTheme="minorHAnsi" w:hAnsiTheme="minorHAnsi" w:cstheme="minorHAnsi"/>
          <w:b/>
          <w:bCs/>
        </w:rPr>
      </w:pPr>
    </w:p>
    <w:p w14:paraId="221867A2" w14:textId="018855B3" w:rsidR="00A30937" w:rsidRPr="00C31CA4" w:rsidRDefault="00A30937" w:rsidP="00D92642">
      <w:pPr>
        <w:spacing w:after="120"/>
        <w:rPr>
          <w:rFonts w:asciiTheme="minorHAnsi" w:hAnsiTheme="minorHAnsi" w:cstheme="minorHAnsi"/>
          <w:b/>
          <w:bCs/>
        </w:rPr>
      </w:pPr>
      <w:r w:rsidRPr="00C31CA4">
        <w:rPr>
          <w:rFonts w:asciiTheme="minorHAnsi" w:hAnsiTheme="minorHAnsi" w:cstheme="minorHAnsi"/>
          <w:b/>
          <w:bCs/>
        </w:rPr>
        <w:t>Second-line setting</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6"/>
        <w:gridCol w:w="3145"/>
        <w:gridCol w:w="935"/>
        <w:gridCol w:w="926"/>
        <w:gridCol w:w="682"/>
        <w:gridCol w:w="1032"/>
      </w:tblGrid>
      <w:tr w:rsidR="00D60D4C" w:rsidRPr="00C31CA4" w14:paraId="47D2AC8C" w14:textId="77777777" w:rsidTr="00B964B0">
        <w:trPr>
          <w:cantSplit/>
          <w:trHeight w:val="20"/>
        </w:trPr>
        <w:tc>
          <w:tcPr>
            <w:tcW w:w="2235" w:type="dxa"/>
          </w:tcPr>
          <w:p w14:paraId="725B45CF" w14:textId="77777777" w:rsidR="00D60D4C" w:rsidRPr="00C31CA4" w:rsidRDefault="00D60D4C" w:rsidP="00B964B0">
            <w:pPr>
              <w:keepNext/>
              <w:keepLines/>
              <w:rPr>
                <w:rFonts w:ascii="Arial Narrow" w:hAnsi="Arial Narrow"/>
                <w:b/>
                <w:bCs/>
                <w:sz w:val="20"/>
                <w:szCs w:val="20"/>
              </w:rPr>
            </w:pPr>
            <w:r w:rsidRPr="00C31CA4">
              <w:rPr>
                <w:rFonts w:ascii="Arial Narrow" w:hAnsi="Arial Narrow"/>
                <w:b/>
                <w:bCs/>
                <w:sz w:val="20"/>
                <w:szCs w:val="20"/>
              </w:rPr>
              <w:t>MEDICINAL PRODUCT</w:t>
            </w:r>
          </w:p>
          <w:p w14:paraId="32920E3C" w14:textId="77777777" w:rsidR="00D60D4C" w:rsidRPr="00C31CA4" w:rsidRDefault="00D60D4C" w:rsidP="00B964B0">
            <w:pPr>
              <w:keepNext/>
              <w:keepLines/>
              <w:rPr>
                <w:rFonts w:ascii="Arial Narrow" w:hAnsi="Arial Narrow"/>
                <w:b/>
                <w:sz w:val="20"/>
                <w:szCs w:val="20"/>
              </w:rPr>
            </w:pPr>
            <w:r w:rsidRPr="00C31CA4">
              <w:rPr>
                <w:rFonts w:ascii="Arial Narrow" w:hAnsi="Arial Narrow"/>
                <w:b/>
                <w:bCs/>
                <w:sz w:val="20"/>
                <w:szCs w:val="20"/>
              </w:rPr>
              <w:t>medicinal product pack</w:t>
            </w:r>
          </w:p>
        </w:tc>
        <w:tc>
          <w:tcPr>
            <w:tcW w:w="3145" w:type="dxa"/>
          </w:tcPr>
          <w:p w14:paraId="2838ED57" w14:textId="77777777" w:rsidR="00D60D4C" w:rsidRPr="00C31CA4" w:rsidRDefault="00D60D4C" w:rsidP="00B964B0">
            <w:pPr>
              <w:pStyle w:val="TableText0"/>
              <w:rPr>
                <w:b/>
                <w:bCs w:val="0"/>
                <w:szCs w:val="20"/>
              </w:rPr>
            </w:pPr>
            <w:r w:rsidRPr="00C31CA4">
              <w:rPr>
                <w:b/>
                <w:bCs w:val="0"/>
                <w:snapToGrid w:val="0"/>
              </w:rPr>
              <w:t xml:space="preserve">Dispensed Price for Max. Qty </w:t>
            </w:r>
          </w:p>
        </w:tc>
        <w:tc>
          <w:tcPr>
            <w:tcW w:w="935" w:type="dxa"/>
          </w:tcPr>
          <w:p w14:paraId="2AF5D868" w14:textId="77777777" w:rsidR="00D60D4C" w:rsidRPr="00C31CA4" w:rsidRDefault="00D60D4C" w:rsidP="00B964B0">
            <w:pPr>
              <w:keepNext/>
              <w:keepLines/>
              <w:jc w:val="center"/>
              <w:rPr>
                <w:rFonts w:ascii="Arial Narrow" w:hAnsi="Arial Narrow"/>
                <w:b/>
                <w:sz w:val="20"/>
                <w:szCs w:val="20"/>
              </w:rPr>
            </w:pPr>
            <w:r w:rsidRPr="00C31CA4">
              <w:rPr>
                <w:rFonts w:ascii="Arial Narrow" w:hAnsi="Arial Narrow"/>
                <w:b/>
                <w:sz w:val="20"/>
                <w:szCs w:val="20"/>
              </w:rPr>
              <w:t>Max. qty packs</w:t>
            </w:r>
          </w:p>
        </w:tc>
        <w:tc>
          <w:tcPr>
            <w:tcW w:w="926" w:type="dxa"/>
          </w:tcPr>
          <w:p w14:paraId="347BD14B" w14:textId="77777777" w:rsidR="00D60D4C" w:rsidRPr="00C31CA4" w:rsidRDefault="00D60D4C" w:rsidP="00B964B0">
            <w:pPr>
              <w:keepNext/>
              <w:keepLines/>
              <w:jc w:val="center"/>
              <w:rPr>
                <w:rFonts w:ascii="Arial Narrow" w:hAnsi="Arial Narrow"/>
                <w:b/>
                <w:sz w:val="20"/>
                <w:szCs w:val="20"/>
              </w:rPr>
            </w:pPr>
            <w:r w:rsidRPr="00C31CA4">
              <w:rPr>
                <w:rFonts w:ascii="Arial Narrow" w:hAnsi="Arial Narrow"/>
                <w:b/>
                <w:sz w:val="20"/>
                <w:szCs w:val="20"/>
              </w:rPr>
              <w:t>Max. qty units</w:t>
            </w:r>
          </w:p>
        </w:tc>
        <w:tc>
          <w:tcPr>
            <w:tcW w:w="682" w:type="dxa"/>
          </w:tcPr>
          <w:p w14:paraId="0D18F6FA" w14:textId="77777777" w:rsidR="00D60D4C" w:rsidRPr="00C31CA4" w:rsidRDefault="00D60D4C" w:rsidP="00B964B0">
            <w:pPr>
              <w:keepNext/>
              <w:keepLines/>
              <w:jc w:val="center"/>
              <w:rPr>
                <w:rFonts w:ascii="Arial Narrow" w:hAnsi="Arial Narrow"/>
                <w:b/>
                <w:sz w:val="20"/>
                <w:szCs w:val="20"/>
              </w:rPr>
            </w:pPr>
            <w:r w:rsidRPr="00C31CA4">
              <w:rPr>
                <w:rFonts w:ascii="Arial Narrow" w:hAnsi="Arial Narrow"/>
                <w:b/>
                <w:sz w:val="20"/>
                <w:szCs w:val="20"/>
              </w:rPr>
              <w:t>№.of</w:t>
            </w:r>
          </w:p>
          <w:p w14:paraId="11C7884D" w14:textId="77777777" w:rsidR="00D60D4C" w:rsidRPr="00C31CA4" w:rsidRDefault="00D60D4C" w:rsidP="00B964B0">
            <w:pPr>
              <w:keepNext/>
              <w:keepLines/>
              <w:jc w:val="center"/>
              <w:rPr>
                <w:rFonts w:ascii="Arial Narrow" w:hAnsi="Arial Narrow"/>
                <w:b/>
                <w:sz w:val="20"/>
                <w:szCs w:val="20"/>
              </w:rPr>
            </w:pPr>
            <w:r w:rsidRPr="00C31CA4">
              <w:rPr>
                <w:rFonts w:ascii="Arial Narrow" w:hAnsi="Arial Narrow"/>
                <w:b/>
                <w:sz w:val="20"/>
                <w:szCs w:val="20"/>
              </w:rPr>
              <w:t>Rpts</w:t>
            </w:r>
          </w:p>
        </w:tc>
        <w:tc>
          <w:tcPr>
            <w:tcW w:w="1032" w:type="dxa"/>
          </w:tcPr>
          <w:p w14:paraId="2EC49D48" w14:textId="77777777" w:rsidR="00D60D4C" w:rsidRPr="00C31CA4" w:rsidRDefault="00D60D4C" w:rsidP="00B964B0">
            <w:pPr>
              <w:keepNext/>
              <w:keepLines/>
              <w:rPr>
                <w:rFonts w:ascii="Arial Narrow" w:hAnsi="Arial Narrow"/>
                <w:b/>
                <w:sz w:val="20"/>
                <w:szCs w:val="20"/>
              </w:rPr>
            </w:pPr>
            <w:r w:rsidRPr="00C31CA4">
              <w:rPr>
                <w:rFonts w:ascii="Arial Narrow" w:hAnsi="Arial Narrow"/>
                <w:b/>
                <w:sz w:val="20"/>
                <w:szCs w:val="20"/>
              </w:rPr>
              <w:t>Available brands</w:t>
            </w:r>
          </w:p>
        </w:tc>
      </w:tr>
      <w:tr w:rsidR="00D60D4C" w:rsidRPr="00C31CA4" w14:paraId="3B9128BF" w14:textId="77777777" w:rsidTr="00B964B0">
        <w:trPr>
          <w:cantSplit/>
          <w:trHeight w:val="20"/>
        </w:trPr>
        <w:tc>
          <w:tcPr>
            <w:tcW w:w="8926" w:type="dxa"/>
            <w:gridSpan w:val="6"/>
          </w:tcPr>
          <w:p w14:paraId="78324515" w14:textId="77777777" w:rsidR="00D60D4C" w:rsidRPr="00C31CA4" w:rsidRDefault="00D60D4C" w:rsidP="00B964B0">
            <w:pPr>
              <w:pStyle w:val="TableText0"/>
              <w:rPr>
                <w:rFonts w:cs="Arial"/>
                <w:szCs w:val="20"/>
              </w:rPr>
            </w:pPr>
            <w:r w:rsidRPr="00C31CA4">
              <w:rPr>
                <w:smallCaps/>
              </w:rPr>
              <w:t>Eltrombopag</w:t>
            </w:r>
            <w:r w:rsidRPr="00C31CA4">
              <w:t xml:space="preserve"> </w:t>
            </w:r>
          </w:p>
        </w:tc>
      </w:tr>
      <w:tr w:rsidR="00D60D4C" w:rsidRPr="00C31CA4" w14:paraId="2C85E350" w14:textId="77777777" w:rsidTr="00B964B0">
        <w:trPr>
          <w:cantSplit/>
          <w:trHeight w:val="20"/>
        </w:trPr>
        <w:tc>
          <w:tcPr>
            <w:tcW w:w="2235" w:type="dxa"/>
          </w:tcPr>
          <w:p w14:paraId="4AD4F370" w14:textId="77777777" w:rsidR="00D60D4C" w:rsidRPr="00C31CA4" w:rsidRDefault="00D60D4C" w:rsidP="00B964B0">
            <w:pPr>
              <w:pStyle w:val="TableText0"/>
              <w:keepLines/>
              <w:rPr>
                <w:color w:val="0066FF"/>
                <w:szCs w:val="20"/>
              </w:rPr>
            </w:pPr>
            <w:r w:rsidRPr="00C31CA4">
              <w:t>Eltrombopag 25 mg tablet, 28</w:t>
            </w:r>
          </w:p>
        </w:tc>
        <w:tc>
          <w:tcPr>
            <w:tcW w:w="3145" w:type="dxa"/>
          </w:tcPr>
          <w:p w14:paraId="668BF789" w14:textId="77777777" w:rsidR="00D60D4C" w:rsidRPr="00C31CA4" w:rsidRDefault="00D60D4C" w:rsidP="00B964B0">
            <w:pPr>
              <w:pStyle w:val="TableText0"/>
              <w:jc w:val="center"/>
            </w:pPr>
            <w:r w:rsidRPr="00C31CA4">
              <w:t>$3,684.36 published price, public hospital</w:t>
            </w:r>
          </w:p>
          <w:p w14:paraId="22A43988" w14:textId="77777777" w:rsidR="00D60D4C" w:rsidRPr="00C31CA4" w:rsidRDefault="00D60D4C" w:rsidP="00B964B0">
            <w:pPr>
              <w:pStyle w:val="TableText0"/>
              <w:jc w:val="center"/>
            </w:pPr>
            <w:r w:rsidRPr="00C31CA4">
              <w:t>$3,732.73 published price, private hospital</w:t>
            </w:r>
          </w:p>
        </w:tc>
        <w:tc>
          <w:tcPr>
            <w:tcW w:w="935" w:type="dxa"/>
          </w:tcPr>
          <w:p w14:paraId="113FEC6D" w14:textId="77777777" w:rsidR="00D60D4C" w:rsidRPr="00C31CA4" w:rsidRDefault="00D60D4C" w:rsidP="00B964B0">
            <w:pPr>
              <w:keepNext/>
              <w:keepLines/>
              <w:jc w:val="center"/>
              <w:rPr>
                <w:rFonts w:ascii="Arial Narrow" w:hAnsi="Arial Narrow"/>
                <w:sz w:val="20"/>
                <w:szCs w:val="20"/>
              </w:rPr>
            </w:pPr>
            <w:r w:rsidRPr="00C31CA4">
              <w:rPr>
                <w:rFonts w:ascii="Arial Narrow" w:hAnsi="Arial Narrow"/>
                <w:sz w:val="20"/>
              </w:rPr>
              <w:t>3</w:t>
            </w:r>
          </w:p>
        </w:tc>
        <w:tc>
          <w:tcPr>
            <w:tcW w:w="926" w:type="dxa"/>
          </w:tcPr>
          <w:p w14:paraId="5C5DD927" w14:textId="77777777" w:rsidR="00D60D4C" w:rsidRPr="00C31CA4" w:rsidRDefault="00D60D4C" w:rsidP="00B964B0">
            <w:pPr>
              <w:keepNext/>
              <w:keepLines/>
              <w:jc w:val="center"/>
              <w:rPr>
                <w:rFonts w:ascii="Arial Narrow" w:hAnsi="Arial Narrow"/>
                <w:sz w:val="20"/>
                <w:szCs w:val="20"/>
              </w:rPr>
            </w:pPr>
            <w:r w:rsidRPr="00C31CA4">
              <w:rPr>
                <w:rFonts w:ascii="Arial Narrow" w:hAnsi="Arial Narrow"/>
                <w:sz w:val="20"/>
              </w:rPr>
              <w:t>84</w:t>
            </w:r>
          </w:p>
        </w:tc>
        <w:tc>
          <w:tcPr>
            <w:tcW w:w="682" w:type="dxa"/>
          </w:tcPr>
          <w:p w14:paraId="176098EB" w14:textId="0510C2F8" w:rsidR="00D60D4C" w:rsidRPr="00C31CA4" w:rsidRDefault="00D60D4C" w:rsidP="00B964B0">
            <w:pPr>
              <w:keepNext/>
              <w:keepLines/>
              <w:jc w:val="center"/>
              <w:rPr>
                <w:rFonts w:ascii="Arial Narrow" w:hAnsi="Arial Narrow"/>
                <w:sz w:val="20"/>
                <w:szCs w:val="20"/>
              </w:rPr>
            </w:pPr>
            <w:r w:rsidRPr="00C31CA4">
              <w:rPr>
                <w:rFonts w:ascii="Arial Narrow" w:hAnsi="Arial Narrow"/>
                <w:sz w:val="20"/>
              </w:rPr>
              <w:t>3</w:t>
            </w:r>
          </w:p>
        </w:tc>
        <w:tc>
          <w:tcPr>
            <w:tcW w:w="1032" w:type="dxa"/>
          </w:tcPr>
          <w:p w14:paraId="6FD72A7D" w14:textId="77777777" w:rsidR="00D60D4C" w:rsidRPr="00C31CA4" w:rsidRDefault="00D60D4C" w:rsidP="00B964B0">
            <w:pPr>
              <w:keepNext/>
              <w:keepLines/>
              <w:rPr>
                <w:rFonts w:ascii="Arial Narrow" w:hAnsi="Arial Narrow"/>
                <w:color w:val="0066FF"/>
                <w:sz w:val="20"/>
                <w:szCs w:val="20"/>
              </w:rPr>
            </w:pPr>
            <w:r w:rsidRPr="00C31CA4">
              <w:rPr>
                <w:rFonts w:ascii="Arial Narrow" w:hAnsi="Arial Narrow"/>
                <w:sz w:val="20"/>
                <w:szCs w:val="20"/>
              </w:rPr>
              <w:t>Revolade</w:t>
            </w:r>
          </w:p>
        </w:tc>
      </w:tr>
      <w:tr w:rsidR="00D60D4C" w:rsidRPr="00C31CA4" w14:paraId="438768DE" w14:textId="77777777" w:rsidTr="00B964B0">
        <w:trPr>
          <w:cantSplit/>
          <w:trHeight w:val="20"/>
        </w:trPr>
        <w:tc>
          <w:tcPr>
            <w:tcW w:w="2235" w:type="dxa"/>
          </w:tcPr>
          <w:p w14:paraId="276E4F1A" w14:textId="77777777" w:rsidR="00D60D4C" w:rsidRPr="00C31CA4" w:rsidRDefault="00D60D4C" w:rsidP="00B964B0">
            <w:pPr>
              <w:pStyle w:val="TableText0"/>
              <w:keepLines/>
              <w:rPr>
                <w:color w:val="0066FF"/>
                <w:szCs w:val="20"/>
              </w:rPr>
            </w:pPr>
            <w:r w:rsidRPr="00C31CA4">
              <w:t>Eltrombopag 50 mg tablet, 28</w:t>
            </w:r>
          </w:p>
        </w:tc>
        <w:tc>
          <w:tcPr>
            <w:tcW w:w="3145" w:type="dxa"/>
          </w:tcPr>
          <w:p w14:paraId="4DDD6685" w14:textId="77777777" w:rsidR="00D60D4C" w:rsidRPr="00C31CA4" w:rsidRDefault="00D60D4C" w:rsidP="00B964B0">
            <w:pPr>
              <w:pStyle w:val="TableText0"/>
              <w:jc w:val="center"/>
            </w:pPr>
            <w:r w:rsidRPr="00C31CA4">
              <w:t>$7,368.72 published price, public hospital</w:t>
            </w:r>
          </w:p>
          <w:p w14:paraId="41B2E07F" w14:textId="77777777" w:rsidR="00D60D4C" w:rsidRPr="00C31CA4" w:rsidRDefault="00D60D4C" w:rsidP="00B964B0">
            <w:pPr>
              <w:pStyle w:val="TableText0"/>
              <w:jc w:val="center"/>
            </w:pPr>
            <w:r w:rsidRPr="00C31CA4">
              <w:t>$7,417.09 published price, private hospital</w:t>
            </w:r>
          </w:p>
        </w:tc>
        <w:tc>
          <w:tcPr>
            <w:tcW w:w="935" w:type="dxa"/>
          </w:tcPr>
          <w:p w14:paraId="065B3C5C" w14:textId="77777777" w:rsidR="00D60D4C" w:rsidRPr="00C31CA4" w:rsidRDefault="00D60D4C" w:rsidP="00B964B0">
            <w:pPr>
              <w:keepNext/>
              <w:keepLines/>
              <w:jc w:val="center"/>
              <w:rPr>
                <w:rFonts w:ascii="Arial Narrow" w:hAnsi="Arial Narrow"/>
                <w:sz w:val="20"/>
                <w:szCs w:val="20"/>
              </w:rPr>
            </w:pPr>
            <w:r w:rsidRPr="00C31CA4">
              <w:rPr>
                <w:rFonts w:ascii="Arial Narrow" w:hAnsi="Arial Narrow"/>
                <w:sz w:val="20"/>
              </w:rPr>
              <w:t>3</w:t>
            </w:r>
          </w:p>
        </w:tc>
        <w:tc>
          <w:tcPr>
            <w:tcW w:w="926" w:type="dxa"/>
          </w:tcPr>
          <w:p w14:paraId="75274F30" w14:textId="77777777" w:rsidR="00D60D4C" w:rsidRPr="00C31CA4" w:rsidRDefault="00D60D4C" w:rsidP="00B964B0">
            <w:pPr>
              <w:keepNext/>
              <w:keepLines/>
              <w:jc w:val="center"/>
              <w:rPr>
                <w:rFonts w:ascii="Arial Narrow" w:hAnsi="Arial Narrow"/>
                <w:sz w:val="20"/>
                <w:szCs w:val="20"/>
              </w:rPr>
            </w:pPr>
            <w:r w:rsidRPr="00C31CA4">
              <w:rPr>
                <w:rFonts w:ascii="Arial Narrow" w:hAnsi="Arial Narrow"/>
                <w:sz w:val="20"/>
              </w:rPr>
              <w:t>84</w:t>
            </w:r>
          </w:p>
        </w:tc>
        <w:tc>
          <w:tcPr>
            <w:tcW w:w="682" w:type="dxa"/>
          </w:tcPr>
          <w:p w14:paraId="0015E65E" w14:textId="005A43F9" w:rsidR="00D60D4C" w:rsidRPr="00C31CA4" w:rsidRDefault="00D60D4C" w:rsidP="00B964B0">
            <w:pPr>
              <w:keepNext/>
              <w:keepLines/>
              <w:jc w:val="center"/>
              <w:rPr>
                <w:rFonts w:ascii="Arial Narrow" w:hAnsi="Arial Narrow"/>
                <w:sz w:val="20"/>
                <w:szCs w:val="20"/>
              </w:rPr>
            </w:pPr>
            <w:r w:rsidRPr="00C31CA4">
              <w:rPr>
                <w:rFonts w:ascii="Arial Narrow" w:hAnsi="Arial Narrow"/>
                <w:sz w:val="20"/>
              </w:rPr>
              <w:t>3</w:t>
            </w:r>
          </w:p>
        </w:tc>
        <w:tc>
          <w:tcPr>
            <w:tcW w:w="1032" w:type="dxa"/>
          </w:tcPr>
          <w:p w14:paraId="6333566C" w14:textId="77777777" w:rsidR="00D60D4C" w:rsidRPr="00C31CA4" w:rsidRDefault="00D60D4C" w:rsidP="00B964B0">
            <w:pPr>
              <w:keepNext/>
              <w:keepLines/>
              <w:rPr>
                <w:rFonts w:ascii="Arial Narrow" w:hAnsi="Arial Narrow"/>
                <w:color w:val="0066FF"/>
                <w:sz w:val="20"/>
                <w:szCs w:val="20"/>
              </w:rPr>
            </w:pPr>
            <w:r w:rsidRPr="00C31CA4">
              <w:rPr>
                <w:rFonts w:ascii="Arial Narrow" w:hAnsi="Arial Narrow"/>
                <w:sz w:val="20"/>
                <w:szCs w:val="20"/>
              </w:rPr>
              <w:t>Revolade</w:t>
            </w:r>
          </w:p>
        </w:tc>
      </w:tr>
    </w:tbl>
    <w:p w14:paraId="3CCEE8E3" w14:textId="10BA58B9" w:rsidR="00D60D4C" w:rsidRPr="00C31CA4" w:rsidRDefault="00D60D4C" w:rsidP="00D60D4C">
      <w:pPr>
        <w:rPr>
          <w:rFonts w:ascii="Arial Narrow" w:hAnsi="Arial Narrow"/>
          <w:sz w:val="18"/>
          <w:szCs w:val="18"/>
        </w:rPr>
      </w:pPr>
      <w:r w:rsidRPr="00C31CA4">
        <w:rPr>
          <w:rFonts w:ascii="Arial Narrow" w:hAnsi="Arial Narrow"/>
          <w:sz w:val="18"/>
          <w:szCs w:val="18"/>
        </w:rPr>
        <w:t>Source: 3b. Impact – proposed (pub) worksheet in UCM-Release-3-Workbook-Eltrombopag-sAA.xls. Calculated using 3 x current PBS listing for one pack of 28 tablets.</w:t>
      </w:r>
    </w:p>
    <w:p w14:paraId="55EBF1BC" w14:textId="2201D178" w:rsidR="00D60D4C" w:rsidRPr="00C31CA4" w:rsidRDefault="00D60D4C" w:rsidP="00A30937">
      <w:pPr>
        <w:rPr>
          <w:rFonts w:asciiTheme="minorHAnsi" w:hAnsiTheme="minorHAnsi"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A30937" w:rsidRPr="00C31CA4" w14:paraId="48AF24B0" w14:textId="77777777" w:rsidTr="00A30937">
        <w:trPr>
          <w:trHeight w:val="284"/>
        </w:trPr>
        <w:tc>
          <w:tcPr>
            <w:tcW w:w="5000" w:type="pct"/>
          </w:tcPr>
          <w:p w14:paraId="667F9CCC" w14:textId="77777777" w:rsidR="00A30937" w:rsidRPr="00C31CA4" w:rsidRDefault="00A30937" w:rsidP="00B964B0">
            <w:pPr>
              <w:rPr>
                <w:rFonts w:ascii="Arial Narrow" w:hAnsi="Arial Narrow"/>
                <w:b/>
                <w:bCs/>
                <w:sz w:val="20"/>
                <w:szCs w:val="20"/>
              </w:rPr>
            </w:pPr>
            <w:r w:rsidRPr="00C31CA4">
              <w:rPr>
                <w:rFonts w:ascii="Arial Narrow" w:hAnsi="Arial Narrow"/>
                <w:b/>
                <w:sz w:val="20"/>
                <w:szCs w:val="20"/>
              </w:rPr>
              <w:t xml:space="preserve">Category / Program: </w:t>
            </w:r>
            <w:r w:rsidRPr="00C31CA4">
              <w:rPr>
                <w:rFonts w:ascii="Arial Narrow" w:hAnsi="Arial Narrow"/>
                <w:sz w:val="20"/>
                <w:szCs w:val="20"/>
              </w:rPr>
              <w:t xml:space="preserve">Section 100 – Highly Specialised Drugs Program  </w:t>
            </w:r>
          </w:p>
        </w:tc>
      </w:tr>
      <w:tr w:rsidR="00A30937" w:rsidRPr="00C31CA4" w14:paraId="5E44CDD1" w14:textId="77777777" w:rsidTr="00A30937">
        <w:trPr>
          <w:trHeight w:val="284"/>
        </w:trPr>
        <w:tc>
          <w:tcPr>
            <w:tcW w:w="5000" w:type="pct"/>
          </w:tcPr>
          <w:p w14:paraId="040C1315" w14:textId="77777777" w:rsidR="00A30937" w:rsidRPr="00C31CA4" w:rsidRDefault="00A30937" w:rsidP="00B964B0">
            <w:pPr>
              <w:rPr>
                <w:rFonts w:ascii="Arial Narrow" w:hAnsi="Arial Narrow"/>
                <w:b/>
                <w:sz w:val="20"/>
                <w:szCs w:val="20"/>
              </w:rPr>
            </w:pPr>
            <w:r w:rsidRPr="00C31CA4">
              <w:rPr>
                <w:rFonts w:ascii="Arial Narrow" w:hAnsi="Arial Narrow"/>
                <w:b/>
                <w:sz w:val="20"/>
                <w:szCs w:val="20"/>
              </w:rPr>
              <w:t>Prescriber type:</w:t>
            </w:r>
            <w:r w:rsidRPr="00C31CA4">
              <w:rPr>
                <w:rFonts w:ascii="Arial Narrow" w:hAnsi="Arial Narrow"/>
                <w:sz w:val="20"/>
                <w:szCs w:val="20"/>
              </w:rPr>
              <w:t xml:space="preserve"> </w:t>
            </w:r>
            <w:r w:rsidRPr="00C31CA4">
              <w:rPr>
                <w:rFonts w:ascii="Arial Narrow" w:hAnsi="Arial Narrow"/>
                <w:sz w:val="20"/>
                <w:szCs w:val="20"/>
              </w:rPr>
              <w:fldChar w:fldCharType="begin" w:fldLock="1">
                <w:ffData>
                  <w:name w:val=""/>
                  <w:enabled/>
                  <w:calcOnExit w:val="0"/>
                  <w:checkBox>
                    <w:sizeAuto/>
                    <w:default w:val="1"/>
                  </w:checkBox>
                </w:ffData>
              </w:fldChar>
            </w:r>
            <w:r w:rsidRPr="00C31CA4">
              <w:rPr>
                <w:rFonts w:ascii="Arial Narrow" w:hAnsi="Arial Narrow"/>
                <w:sz w:val="20"/>
                <w:szCs w:val="20"/>
              </w:rPr>
              <w:instrText xml:space="preserve"> FORMCHECKBOX </w:instrText>
            </w:r>
            <w:r w:rsidR="004A6237">
              <w:rPr>
                <w:rFonts w:ascii="Arial Narrow" w:hAnsi="Arial Narrow"/>
                <w:sz w:val="20"/>
                <w:szCs w:val="20"/>
              </w:rPr>
            </w:r>
            <w:r w:rsidR="004A6237">
              <w:rPr>
                <w:rFonts w:ascii="Arial Narrow" w:hAnsi="Arial Narrow"/>
                <w:sz w:val="20"/>
                <w:szCs w:val="20"/>
              </w:rPr>
              <w:fldChar w:fldCharType="separate"/>
            </w:r>
            <w:r w:rsidRPr="00C31CA4">
              <w:rPr>
                <w:rFonts w:ascii="Arial Narrow" w:hAnsi="Arial Narrow"/>
                <w:sz w:val="20"/>
                <w:szCs w:val="20"/>
              </w:rPr>
              <w:fldChar w:fldCharType="end"/>
            </w:r>
            <w:r w:rsidRPr="00C31CA4">
              <w:rPr>
                <w:rFonts w:ascii="Arial Narrow" w:hAnsi="Arial Narrow"/>
                <w:sz w:val="20"/>
                <w:szCs w:val="20"/>
              </w:rPr>
              <w:t xml:space="preserve">Medical Practitioners   </w:t>
            </w:r>
          </w:p>
        </w:tc>
      </w:tr>
      <w:tr w:rsidR="00A30937" w:rsidRPr="00C31CA4" w14:paraId="105A32C9" w14:textId="77777777" w:rsidTr="00A30937">
        <w:trPr>
          <w:trHeight w:val="284"/>
        </w:trPr>
        <w:tc>
          <w:tcPr>
            <w:tcW w:w="5000" w:type="pct"/>
          </w:tcPr>
          <w:p w14:paraId="4E901F59" w14:textId="77777777" w:rsidR="00A30937" w:rsidRPr="00C31CA4" w:rsidRDefault="00A30937" w:rsidP="00B964B0">
            <w:pPr>
              <w:rPr>
                <w:rFonts w:ascii="Arial Narrow" w:eastAsia="Calibri" w:hAnsi="Arial Narrow"/>
                <w:sz w:val="20"/>
                <w:szCs w:val="20"/>
              </w:rPr>
            </w:pPr>
            <w:r w:rsidRPr="00C31CA4">
              <w:rPr>
                <w:rFonts w:ascii="Arial Narrow" w:hAnsi="Arial Narrow"/>
                <w:b/>
                <w:sz w:val="20"/>
                <w:szCs w:val="20"/>
              </w:rPr>
              <w:t xml:space="preserve">Restriction type: </w:t>
            </w:r>
          </w:p>
          <w:p w14:paraId="0A0F847C" w14:textId="77777777" w:rsidR="00A30937" w:rsidRPr="00C31CA4" w:rsidRDefault="00A30937" w:rsidP="00B964B0">
            <w:pPr>
              <w:rPr>
                <w:rFonts w:ascii="Arial Narrow" w:eastAsia="Calibri" w:hAnsi="Arial Narrow"/>
                <w:sz w:val="20"/>
                <w:szCs w:val="20"/>
              </w:rPr>
            </w:pPr>
            <w:r w:rsidRPr="00C31CA4">
              <w:rPr>
                <w:rFonts w:ascii="Arial Narrow" w:eastAsia="Calibri" w:hAnsi="Arial Narrow"/>
                <w:sz w:val="20"/>
                <w:szCs w:val="20"/>
              </w:rPr>
              <w:fldChar w:fldCharType="begin" w:fldLock="1">
                <w:ffData>
                  <w:name w:val=""/>
                  <w:enabled/>
                  <w:calcOnExit w:val="0"/>
                  <w:checkBox>
                    <w:sizeAuto/>
                    <w:default w:val="1"/>
                  </w:checkBox>
                </w:ffData>
              </w:fldChar>
            </w:r>
            <w:r w:rsidRPr="00C31CA4">
              <w:rPr>
                <w:rFonts w:ascii="Arial Narrow" w:eastAsia="Calibri" w:hAnsi="Arial Narrow"/>
                <w:sz w:val="20"/>
                <w:szCs w:val="20"/>
              </w:rPr>
              <w:instrText xml:space="preserve"> FORMCHECKBOX </w:instrText>
            </w:r>
            <w:r w:rsidR="004A6237">
              <w:rPr>
                <w:rFonts w:ascii="Arial Narrow" w:eastAsia="Calibri" w:hAnsi="Arial Narrow"/>
                <w:sz w:val="20"/>
                <w:szCs w:val="20"/>
              </w:rPr>
            </w:r>
            <w:r w:rsidR="004A6237">
              <w:rPr>
                <w:rFonts w:ascii="Arial Narrow" w:eastAsia="Calibri" w:hAnsi="Arial Narrow"/>
                <w:sz w:val="20"/>
                <w:szCs w:val="20"/>
              </w:rPr>
              <w:fldChar w:fldCharType="separate"/>
            </w:r>
            <w:r w:rsidRPr="00C31CA4">
              <w:rPr>
                <w:rFonts w:ascii="Arial Narrow" w:eastAsia="Calibri" w:hAnsi="Arial Narrow"/>
                <w:sz w:val="20"/>
                <w:szCs w:val="20"/>
              </w:rPr>
              <w:fldChar w:fldCharType="end"/>
            </w:r>
            <w:r w:rsidRPr="00C31CA4">
              <w:rPr>
                <w:rFonts w:ascii="Arial Narrow" w:eastAsia="Calibri" w:hAnsi="Arial Narrow"/>
                <w:sz w:val="20"/>
                <w:szCs w:val="20"/>
              </w:rPr>
              <w:t>Authority Required – (in writing only via post/HPOS upload)</w:t>
            </w:r>
          </w:p>
        </w:tc>
      </w:tr>
      <w:tr w:rsidR="00A30937" w:rsidRPr="00C31CA4" w14:paraId="24EA5FEF" w14:textId="77777777" w:rsidTr="00A30937">
        <w:trPr>
          <w:trHeight w:val="284"/>
        </w:trPr>
        <w:tc>
          <w:tcPr>
            <w:tcW w:w="5000" w:type="pct"/>
            <w:vAlign w:val="center"/>
          </w:tcPr>
          <w:p w14:paraId="11953A4D" w14:textId="77777777" w:rsidR="00A30937" w:rsidRPr="00C31CA4" w:rsidRDefault="00A30937" w:rsidP="00B964B0">
            <w:pPr>
              <w:rPr>
                <w:rFonts w:ascii="Arial Narrow" w:hAnsi="Arial Narrow"/>
                <w:b/>
                <w:sz w:val="20"/>
                <w:szCs w:val="20"/>
              </w:rPr>
            </w:pPr>
            <w:r w:rsidRPr="00C31CA4">
              <w:rPr>
                <w:rFonts w:ascii="Arial Narrow" w:hAnsi="Arial Narrow"/>
                <w:b/>
                <w:bCs/>
                <w:sz w:val="20"/>
                <w:szCs w:val="20"/>
              </w:rPr>
              <w:t>Indication:</w:t>
            </w:r>
            <w:r w:rsidRPr="00C31CA4">
              <w:rPr>
                <w:rFonts w:ascii="Arial Narrow" w:hAnsi="Arial Narrow"/>
                <w:sz w:val="20"/>
                <w:szCs w:val="20"/>
              </w:rPr>
              <w:t xml:space="preserve"> Severe aplastic an</w:t>
            </w:r>
            <w:r w:rsidRPr="00C31CA4">
              <w:rPr>
                <w:rFonts w:ascii="Arial Narrow" w:hAnsi="Arial Narrow"/>
                <w:i/>
                <w:iCs/>
                <w:sz w:val="20"/>
                <w:szCs w:val="20"/>
              </w:rPr>
              <w:t>a</w:t>
            </w:r>
            <w:r w:rsidRPr="00C31CA4">
              <w:rPr>
                <w:rFonts w:ascii="Arial Narrow" w:hAnsi="Arial Narrow"/>
                <w:sz w:val="20"/>
                <w:szCs w:val="20"/>
              </w:rPr>
              <w:t>emia</w:t>
            </w:r>
          </w:p>
        </w:tc>
      </w:tr>
      <w:tr w:rsidR="00A30937" w:rsidRPr="00C31CA4" w14:paraId="52308D74" w14:textId="77777777" w:rsidTr="00A30937">
        <w:trPr>
          <w:trHeight w:val="284"/>
        </w:trPr>
        <w:tc>
          <w:tcPr>
            <w:tcW w:w="5000" w:type="pct"/>
            <w:vAlign w:val="center"/>
          </w:tcPr>
          <w:p w14:paraId="18C4D51E"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Treatment Phase:</w:t>
            </w:r>
            <w:r w:rsidRPr="00C31CA4">
              <w:rPr>
                <w:rFonts w:ascii="Arial Narrow" w:hAnsi="Arial Narrow"/>
                <w:sz w:val="20"/>
                <w:szCs w:val="20"/>
              </w:rPr>
              <w:t xml:space="preserve"> Initial treatment  </w:t>
            </w:r>
          </w:p>
        </w:tc>
      </w:tr>
      <w:tr w:rsidR="00A30937" w:rsidRPr="00C31CA4" w14:paraId="57D65C75" w14:textId="77777777" w:rsidTr="00A30937">
        <w:trPr>
          <w:trHeight w:val="284"/>
        </w:trPr>
        <w:tc>
          <w:tcPr>
            <w:tcW w:w="5000" w:type="pct"/>
            <w:vAlign w:val="center"/>
          </w:tcPr>
          <w:p w14:paraId="07AB75E4"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Clinical criteria:</w:t>
            </w:r>
          </w:p>
        </w:tc>
      </w:tr>
      <w:tr w:rsidR="00A30937" w:rsidRPr="00C31CA4" w14:paraId="3FC8206B" w14:textId="77777777" w:rsidTr="00A30937">
        <w:trPr>
          <w:trHeight w:val="284"/>
        </w:trPr>
        <w:tc>
          <w:tcPr>
            <w:tcW w:w="5000" w:type="pct"/>
            <w:vAlign w:val="center"/>
          </w:tcPr>
          <w:p w14:paraId="54403F45" w14:textId="77777777" w:rsidR="00A30937" w:rsidRPr="00C31CA4" w:rsidRDefault="00A30937" w:rsidP="00B964B0">
            <w:pPr>
              <w:rPr>
                <w:rFonts w:ascii="Arial Narrow" w:hAnsi="Arial Narrow"/>
                <w:b/>
                <w:bCs/>
                <w:sz w:val="20"/>
                <w:szCs w:val="20"/>
              </w:rPr>
            </w:pPr>
            <w:r w:rsidRPr="00C31CA4">
              <w:rPr>
                <w:rFonts w:ascii="Arial Narrow" w:hAnsi="Arial Narrow"/>
                <w:sz w:val="20"/>
                <w:szCs w:val="20"/>
              </w:rPr>
              <w:t>The condition must be severe aplastic an</w:t>
            </w:r>
            <w:r w:rsidRPr="00C31CA4">
              <w:rPr>
                <w:rFonts w:ascii="Arial Narrow" w:hAnsi="Arial Narrow"/>
                <w:i/>
                <w:iCs/>
                <w:sz w:val="20"/>
                <w:szCs w:val="20"/>
              </w:rPr>
              <w:t>a</w:t>
            </w:r>
            <w:r w:rsidRPr="00C31CA4">
              <w:rPr>
                <w:rFonts w:ascii="Arial Narrow" w:hAnsi="Arial Narrow"/>
                <w:sz w:val="20"/>
                <w:szCs w:val="20"/>
              </w:rPr>
              <w:t>emia</w:t>
            </w:r>
          </w:p>
        </w:tc>
      </w:tr>
      <w:tr w:rsidR="00A30937" w:rsidRPr="00C31CA4" w14:paraId="53A330FE" w14:textId="77777777" w:rsidTr="00A30937">
        <w:trPr>
          <w:trHeight w:val="284"/>
        </w:trPr>
        <w:tc>
          <w:tcPr>
            <w:tcW w:w="5000" w:type="pct"/>
            <w:vAlign w:val="center"/>
          </w:tcPr>
          <w:p w14:paraId="72A589C5" w14:textId="77777777" w:rsidR="00A30937" w:rsidRPr="00C31CA4" w:rsidRDefault="00A30937" w:rsidP="00B964B0">
            <w:pPr>
              <w:rPr>
                <w:rFonts w:ascii="Arial Narrow" w:hAnsi="Arial Narrow"/>
                <w:sz w:val="20"/>
                <w:szCs w:val="20"/>
              </w:rPr>
            </w:pPr>
            <w:r w:rsidRPr="00C31CA4">
              <w:rPr>
                <w:rFonts w:ascii="Arial Narrow" w:hAnsi="Arial Narrow"/>
                <w:b/>
                <w:bCs/>
                <w:sz w:val="20"/>
                <w:szCs w:val="20"/>
              </w:rPr>
              <w:t>AND</w:t>
            </w:r>
          </w:p>
        </w:tc>
      </w:tr>
      <w:tr w:rsidR="00A30937" w:rsidRPr="00C31CA4" w14:paraId="66E13D96" w14:textId="77777777" w:rsidTr="00A30937">
        <w:trPr>
          <w:trHeight w:val="284"/>
        </w:trPr>
        <w:tc>
          <w:tcPr>
            <w:tcW w:w="5000" w:type="pct"/>
            <w:vAlign w:val="center"/>
          </w:tcPr>
          <w:p w14:paraId="029D4809"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Clinical criteria:</w:t>
            </w:r>
          </w:p>
        </w:tc>
      </w:tr>
      <w:tr w:rsidR="00A30937" w:rsidRPr="00C31CA4" w14:paraId="3FD4EB8E" w14:textId="77777777" w:rsidTr="00A30937">
        <w:trPr>
          <w:trHeight w:val="284"/>
        </w:trPr>
        <w:tc>
          <w:tcPr>
            <w:tcW w:w="5000" w:type="pct"/>
            <w:vAlign w:val="center"/>
          </w:tcPr>
          <w:p w14:paraId="4A8DDFF1" w14:textId="4FE2F1A9" w:rsidR="00A30937" w:rsidRPr="00C31CA4" w:rsidRDefault="00A30937" w:rsidP="00B964B0">
            <w:pPr>
              <w:rPr>
                <w:rFonts w:ascii="Arial Narrow" w:hAnsi="Arial Narrow"/>
                <w:sz w:val="20"/>
                <w:szCs w:val="20"/>
              </w:rPr>
            </w:pPr>
            <w:r w:rsidRPr="00C31CA4">
              <w:rPr>
                <w:rFonts w:ascii="Arial Narrow" w:hAnsi="Arial Narrow"/>
                <w:sz w:val="20"/>
                <w:szCs w:val="20"/>
              </w:rPr>
              <w:t xml:space="preserve">Patient must have </w:t>
            </w:r>
            <w:r w:rsidRPr="00C31CA4">
              <w:rPr>
                <w:rFonts w:ascii="Arial Narrow" w:hAnsi="Arial Narrow"/>
                <w:i/>
                <w:iCs/>
                <w:sz w:val="20"/>
                <w:szCs w:val="20"/>
              </w:rPr>
              <w:t>failed to achieve an</w:t>
            </w:r>
            <w:r w:rsidRPr="00C31CA4">
              <w:rPr>
                <w:rFonts w:ascii="Arial Narrow" w:hAnsi="Arial Narrow"/>
                <w:sz w:val="20"/>
                <w:szCs w:val="20"/>
              </w:rPr>
              <w:t xml:space="preserve"> </w:t>
            </w:r>
            <w:r w:rsidRPr="00C31CA4">
              <w:rPr>
                <w:rFonts w:ascii="Arial Narrow" w:hAnsi="Arial Narrow"/>
                <w:strike/>
                <w:sz w:val="20"/>
                <w:szCs w:val="20"/>
              </w:rPr>
              <w:t>in</w:t>
            </w:r>
            <w:r w:rsidRPr="00C31CA4">
              <w:rPr>
                <w:rFonts w:ascii="Arial Narrow" w:hAnsi="Arial Narrow"/>
                <w:sz w:val="20"/>
                <w:szCs w:val="20"/>
              </w:rPr>
              <w:t xml:space="preserve">adequate response </w:t>
            </w:r>
            <w:r w:rsidRPr="00C31CA4">
              <w:rPr>
                <w:rFonts w:ascii="Arial Narrow" w:hAnsi="Arial Narrow"/>
                <w:strike/>
                <w:sz w:val="20"/>
                <w:szCs w:val="20"/>
              </w:rPr>
              <w:t>or intolerance</w:t>
            </w:r>
            <w:r w:rsidRPr="00C31CA4">
              <w:rPr>
                <w:rFonts w:ascii="Arial Narrow" w:hAnsi="Arial Narrow"/>
                <w:sz w:val="20"/>
                <w:szCs w:val="20"/>
              </w:rPr>
              <w:t xml:space="preserve"> to prior immunosuppressive therapy </w:t>
            </w:r>
            <w:r w:rsidRPr="00C31CA4">
              <w:rPr>
                <w:rFonts w:ascii="Arial Narrow" w:hAnsi="Arial Narrow"/>
                <w:i/>
                <w:iCs/>
                <w:sz w:val="20"/>
                <w:szCs w:val="20"/>
              </w:rPr>
              <w:t xml:space="preserve">including anti-thymocyte antibody and </w:t>
            </w:r>
            <w:r w:rsidR="009A6886">
              <w:rPr>
                <w:rFonts w:ascii="Arial Narrow" w:hAnsi="Arial Narrow"/>
                <w:i/>
                <w:iCs/>
                <w:sz w:val="20"/>
                <w:szCs w:val="20"/>
              </w:rPr>
              <w:t>ciclosporin</w:t>
            </w:r>
            <w:r w:rsidRPr="00C31CA4">
              <w:rPr>
                <w:rFonts w:ascii="Arial Narrow" w:hAnsi="Arial Narrow"/>
                <w:i/>
                <w:iCs/>
                <w:sz w:val="20"/>
                <w:szCs w:val="20"/>
              </w:rPr>
              <w:t xml:space="preserve"> OR</w:t>
            </w:r>
          </w:p>
        </w:tc>
      </w:tr>
      <w:tr w:rsidR="00A30937" w:rsidRPr="00C31CA4" w14:paraId="7C5A3767" w14:textId="77777777" w:rsidTr="00A30937">
        <w:trPr>
          <w:trHeight w:val="284"/>
        </w:trPr>
        <w:tc>
          <w:tcPr>
            <w:tcW w:w="5000" w:type="pct"/>
            <w:vAlign w:val="center"/>
          </w:tcPr>
          <w:p w14:paraId="2B0F130A" w14:textId="77777777" w:rsidR="00A30937" w:rsidRPr="00C31CA4" w:rsidRDefault="00A30937" w:rsidP="00B964B0">
            <w:pPr>
              <w:rPr>
                <w:rFonts w:ascii="Arial Narrow" w:hAnsi="Arial Narrow"/>
                <w:b/>
                <w:bCs/>
                <w:i/>
                <w:iCs/>
                <w:sz w:val="20"/>
                <w:szCs w:val="20"/>
              </w:rPr>
            </w:pPr>
            <w:r w:rsidRPr="00C31CA4">
              <w:rPr>
                <w:rFonts w:ascii="Arial Narrow" w:hAnsi="Arial Narrow"/>
                <w:i/>
                <w:iCs/>
                <w:sz w:val="20"/>
                <w:szCs w:val="20"/>
              </w:rPr>
              <w:t>Patient must have a documented intolerance of a severity necessitating permanent treatment withdrawal of immunosuppressive therapy</w:t>
            </w:r>
          </w:p>
        </w:tc>
      </w:tr>
      <w:tr w:rsidR="00A30937" w:rsidRPr="00C31CA4" w14:paraId="06FAFD4E" w14:textId="77777777" w:rsidTr="00A30937">
        <w:trPr>
          <w:trHeight w:val="284"/>
        </w:trPr>
        <w:tc>
          <w:tcPr>
            <w:tcW w:w="5000" w:type="pct"/>
            <w:vAlign w:val="center"/>
          </w:tcPr>
          <w:p w14:paraId="7249742E" w14:textId="77777777" w:rsidR="00A30937" w:rsidRPr="00C31CA4" w:rsidRDefault="00A30937" w:rsidP="00B964B0">
            <w:pPr>
              <w:rPr>
                <w:rFonts w:ascii="Arial Narrow" w:hAnsi="Arial Narrow"/>
                <w:b/>
                <w:bCs/>
                <w:i/>
                <w:iCs/>
                <w:sz w:val="20"/>
                <w:szCs w:val="20"/>
              </w:rPr>
            </w:pPr>
            <w:r w:rsidRPr="00C31CA4">
              <w:rPr>
                <w:rFonts w:ascii="Arial Narrow" w:hAnsi="Arial Narrow"/>
                <w:b/>
                <w:bCs/>
                <w:i/>
                <w:iCs/>
                <w:sz w:val="20"/>
                <w:szCs w:val="20"/>
              </w:rPr>
              <w:t>AND</w:t>
            </w:r>
          </w:p>
        </w:tc>
      </w:tr>
      <w:tr w:rsidR="00A30937" w:rsidRPr="00C31CA4" w14:paraId="69B4A8BD" w14:textId="77777777" w:rsidTr="00A30937">
        <w:trPr>
          <w:trHeight w:val="284"/>
        </w:trPr>
        <w:tc>
          <w:tcPr>
            <w:tcW w:w="5000" w:type="pct"/>
            <w:vAlign w:val="center"/>
          </w:tcPr>
          <w:p w14:paraId="1A77318D" w14:textId="77777777" w:rsidR="00A30937" w:rsidRPr="00C31CA4" w:rsidRDefault="00A30937" w:rsidP="00B964B0">
            <w:pPr>
              <w:rPr>
                <w:rFonts w:ascii="Arial Narrow" w:hAnsi="Arial Narrow"/>
                <w:b/>
                <w:bCs/>
                <w:i/>
                <w:iCs/>
                <w:sz w:val="20"/>
                <w:szCs w:val="20"/>
              </w:rPr>
            </w:pPr>
            <w:r w:rsidRPr="00C31CA4">
              <w:rPr>
                <w:rFonts w:ascii="Arial Narrow" w:hAnsi="Arial Narrow"/>
                <w:b/>
                <w:bCs/>
                <w:i/>
                <w:iCs/>
                <w:sz w:val="20"/>
                <w:szCs w:val="20"/>
              </w:rPr>
              <w:t>Clinical criteria:</w:t>
            </w:r>
          </w:p>
        </w:tc>
      </w:tr>
      <w:tr w:rsidR="00A30937" w:rsidRPr="00C31CA4" w14:paraId="6596AF28" w14:textId="77777777" w:rsidTr="00A30937">
        <w:trPr>
          <w:trHeight w:val="284"/>
        </w:trPr>
        <w:tc>
          <w:tcPr>
            <w:tcW w:w="5000" w:type="pct"/>
            <w:vAlign w:val="center"/>
          </w:tcPr>
          <w:p w14:paraId="51708B23" w14:textId="77777777" w:rsidR="00A30937" w:rsidRPr="00C31CA4" w:rsidRDefault="00A30937" w:rsidP="00B964B0">
            <w:pPr>
              <w:rPr>
                <w:rFonts w:ascii="Arial Narrow" w:hAnsi="Arial Narrow"/>
                <w:b/>
                <w:bCs/>
                <w:sz w:val="20"/>
                <w:szCs w:val="20"/>
              </w:rPr>
            </w:pPr>
            <w:r w:rsidRPr="00C31CA4">
              <w:rPr>
                <w:rFonts w:ascii="Arial Narrow" w:hAnsi="Arial Narrow"/>
                <w:b/>
                <w:bCs/>
                <w:strike/>
                <w:sz w:val="20"/>
                <w:szCs w:val="20"/>
              </w:rPr>
              <w:t>Prescribing Instructions:</w:t>
            </w:r>
            <w:r w:rsidRPr="00C31CA4">
              <w:rPr>
                <w:rFonts w:ascii="Arial Narrow" w:hAnsi="Arial Narrow"/>
                <w:b/>
                <w:bCs/>
                <w:sz w:val="20"/>
                <w:szCs w:val="20"/>
              </w:rPr>
              <w:t xml:space="preserve"> </w:t>
            </w:r>
            <w:r w:rsidRPr="00C31CA4">
              <w:rPr>
                <w:rFonts w:ascii="Arial Narrow" w:hAnsi="Arial Narrow"/>
                <w:i/>
                <w:iCs/>
                <w:sz w:val="20"/>
                <w:szCs w:val="20"/>
              </w:rPr>
              <w:t xml:space="preserve">Patient must not receive more than 16 weeks </w:t>
            </w:r>
            <w:r w:rsidRPr="00C31CA4">
              <w:rPr>
                <w:rFonts w:ascii="Arial Narrow" w:hAnsi="Arial Narrow"/>
                <w:sz w:val="20"/>
                <w:szCs w:val="20"/>
              </w:rPr>
              <w:t xml:space="preserve"> </w:t>
            </w:r>
            <w:r w:rsidRPr="00C31CA4">
              <w:rPr>
                <w:rFonts w:ascii="Arial Narrow" w:hAnsi="Arial Narrow"/>
                <w:strike/>
                <w:sz w:val="20"/>
                <w:szCs w:val="20"/>
              </w:rPr>
              <w:t>D</w:t>
            </w:r>
            <w:r w:rsidRPr="00C31CA4">
              <w:rPr>
                <w:rFonts w:ascii="Arial Narrow" w:hAnsi="Arial Narrow"/>
                <w:sz w:val="20"/>
                <w:szCs w:val="20"/>
              </w:rPr>
              <w:t xml:space="preserve">duration of treatment </w:t>
            </w:r>
            <w:r w:rsidRPr="00C31CA4">
              <w:rPr>
                <w:rFonts w:ascii="Arial Narrow" w:hAnsi="Arial Narrow"/>
                <w:strike/>
                <w:sz w:val="20"/>
                <w:szCs w:val="20"/>
              </w:rPr>
              <w:t>must not exceed 4 months</w:t>
            </w:r>
            <w:r w:rsidRPr="00C31CA4">
              <w:rPr>
                <w:rFonts w:ascii="Arial Narrow" w:hAnsi="Arial Narrow"/>
                <w:sz w:val="20"/>
                <w:szCs w:val="20"/>
              </w:rPr>
              <w:t xml:space="preserve"> </w:t>
            </w:r>
            <w:r w:rsidRPr="00C31CA4">
              <w:rPr>
                <w:rFonts w:ascii="Arial Narrow" w:hAnsi="Arial Narrow"/>
                <w:i/>
                <w:iCs/>
                <w:sz w:val="20"/>
                <w:szCs w:val="20"/>
              </w:rPr>
              <w:t>under this restriction</w:t>
            </w:r>
            <w:r w:rsidRPr="00C31CA4">
              <w:rPr>
                <w:rFonts w:ascii="Arial Narrow" w:hAnsi="Arial Narrow"/>
                <w:sz w:val="20"/>
                <w:szCs w:val="20"/>
              </w:rPr>
              <w:t>.</w:t>
            </w:r>
          </w:p>
        </w:tc>
      </w:tr>
      <w:tr w:rsidR="00A30937" w:rsidRPr="00C31CA4" w14:paraId="49F9A5C4" w14:textId="77777777" w:rsidTr="00A30937">
        <w:trPr>
          <w:trHeight w:val="284"/>
        </w:trPr>
        <w:tc>
          <w:tcPr>
            <w:tcW w:w="5000" w:type="pct"/>
            <w:vAlign w:val="center"/>
          </w:tcPr>
          <w:p w14:paraId="508BACED"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lastRenderedPageBreak/>
              <w:t>Prescribing Instructions:</w:t>
            </w:r>
          </w:p>
          <w:p w14:paraId="1975D13F" w14:textId="77777777" w:rsidR="00A30937" w:rsidRPr="00C31CA4" w:rsidRDefault="00A30937" w:rsidP="00B964B0">
            <w:pPr>
              <w:rPr>
                <w:rFonts w:ascii="Arial Narrow" w:hAnsi="Arial Narrow"/>
                <w:i/>
                <w:iCs/>
                <w:sz w:val="20"/>
                <w:szCs w:val="20"/>
              </w:rPr>
            </w:pPr>
            <w:r w:rsidRPr="00C31CA4">
              <w:rPr>
                <w:rFonts w:ascii="Arial Narrow" w:hAnsi="Arial Narrow"/>
                <w:i/>
                <w:iCs/>
                <w:sz w:val="20"/>
                <w:szCs w:val="20"/>
              </w:rPr>
              <w:t>The authority application must be made via the online PBS Authorities (real time assessment), or in writing via HPOS form upload or mail and must include:</w:t>
            </w:r>
          </w:p>
          <w:p w14:paraId="57E92CDC" w14:textId="77777777" w:rsidR="00A30937" w:rsidRPr="00C31CA4" w:rsidRDefault="00A30937" w:rsidP="00B964B0">
            <w:pPr>
              <w:rPr>
                <w:rFonts w:ascii="Arial Narrow" w:hAnsi="Arial Narrow"/>
                <w:i/>
                <w:iCs/>
                <w:sz w:val="20"/>
                <w:szCs w:val="20"/>
              </w:rPr>
            </w:pPr>
            <w:r w:rsidRPr="00C31CA4">
              <w:rPr>
                <w:rFonts w:ascii="Arial Narrow" w:hAnsi="Arial Narrow"/>
                <w:i/>
                <w:iCs/>
                <w:sz w:val="20"/>
                <w:szCs w:val="20"/>
              </w:rPr>
              <w:t>(a) prior immunosuppressive therapy, including dates of treatment; and</w:t>
            </w:r>
          </w:p>
          <w:p w14:paraId="276ADEFF" w14:textId="77777777" w:rsidR="00A30937" w:rsidRPr="00C31CA4" w:rsidRDefault="00A30937" w:rsidP="00B964B0">
            <w:pPr>
              <w:rPr>
                <w:rFonts w:ascii="Arial Narrow" w:hAnsi="Arial Narrow"/>
                <w:b/>
                <w:bCs/>
                <w:sz w:val="20"/>
                <w:szCs w:val="20"/>
              </w:rPr>
            </w:pPr>
            <w:r w:rsidRPr="00C31CA4">
              <w:rPr>
                <w:rFonts w:ascii="Arial Narrow" w:hAnsi="Arial Narrow"/>
                <w:i/>
                <w:iCs/>
                <w:sz w:val="20"/>
                <w:szCs w:val="20"/>
              </w:rPr>
              <w:t xml:space="preserve">(b) if applicable, details of the intolerance to immunosuppressive therapy </w:t>
            </w:r>
          </w:p>
        </w:tc>
      </w:tr>
      <w:tr w:rsidR="00A30937" w:rsidRPr="00C31CA4" w14:paraId="17C797B8" w14:textId="77777777" w:rsidTr="00A30937">
        <w:trPr>
          <w:trHeight w:val="284"/>
        </w:trPr>
        <w:tc>
          <w:tcPr>
            <w:tcW w:w="5000" w:type="pct"/>
            <w:vAlign w:val="center"/>
          </w:tcPr>
          <w:p w14:paraId="3E4CA70C"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Prescribing Instructions:</w:t>
            </w:r>
          </w:p>
          <w:p w14:paraId="1DB13EC5" w14:textId="77777777" w:rsidR="00A30937" w:rsidRPr="00C31CA4" w:rsidRDefault="00A30937" w:rsidP="00B964B0">
            <w:pPr>
              <w:rPr>
                <w:rFonts w:ascii="Arial Narrow" w:hAnsi="Arial Narrow"/>
                <w:i/>
                <w:iCs/>
                <w:sz w:val="20"/>
                <w:szCs w:val="20"/>
              </w:rPr>
            </w:pPr>
            <w:r w:rsidRPr="00C31CA4">
              <w:rPr>
                <w:rFonts w:ascii="Arial Narrow" w:hAnsi="Arial Narrow"/>
                <w:i/>
                <w:iCs/>
                <w:sz w:val="20"/>
                <w:szCs w:val="20"/>
              </w:rPr>
              <w:t>If the application is submitted through HPOS form upload or mail, it must include:</w:t>
            </w:r>
          </w:p>
          <w:p w14:paraId="33C1C304" w14:textId="77777777" w:rsidR="00A30937" w:rsidRPr="00C31CA4" w:rsidRDefault="00A30937" w:rsidP="00B964B0">
            <w:pPr>
              <w:rPr>
                <w:rFonts w:ascii="Arial Narrow" w:hAnsi="Arial Narrow"/>
                <w:i/>
                <w:iCs/>
                <w:sz w:val="20"/>
                <w:szCs w:val="20"/>
              </w:rPr>
            </w:pPr>
            <w:r w:rsidRPr="00C31CA4">
              <w:rPr>
                <w:rFonts w:ascii="Arial Narrow" w:hAnsi="Arial Narrow"/>
                <w:i/>
                <w:iCs/>
                <w:sz w:val="20"/>
                <w:szCs w:val="20"/>
              </w:rPr>
              <w:t xml:space="preserve">(a) a completed authority prescription form </w:t>
            </w:r>
          </w:p>
          <w:p w14:paraId="2B6333D1" w14:textId="77777777" w:rsidR="00A30937" w:rsidRPr="00C31CA4" w:rsidRDefault="00A30937" w:rsidP="00B964B0">
            <w:pPr>
              <w:rPr>
                <w:rFonts w:ascii="Arial Narrow" w:hAnsi="Arial Narrow"/>
                <w:b/>
                <w:bCs/>
                <w:sz w:val="20"/>
                <w:szCs w:val="20"/>
              </w:rPr>
            </w:pPr>
            <w:r w:rsidRPr="00C31CA4">
              <w:rPr>
                <w:rFonts w:ascii="Arial Narrow" w:hAnsi="Arial Narrow"/>
                <w:i/>
                <w:iCs/>
                <w:sz w:val="20"/>
                <w:szCs w:val="20"/>
              </w:rPr>
              <w:t xml:space="preserve">(b) a completed authority application form relevant to the indication and treatment phase (the latest version is located on the website specified in the Administrative Advice). </w:t>
            </w:r>
          </w:p>
        </w:tc>
      </w:tr>
      <w:tr w:rsidR="00A30937" w:rsidRPr="00C31CA4" w14:paraId="31ABC03B" w14:textId="77777777" w:rsidTr="00A30937">
        <w:trPr>
          <w:trHeight w:val="284"/>
        </w:trPr>
        <w:tc>
          <w:tcPr>
            <w:tcW w:w="5000" w:type="pct"/>
            <w:vAlign w:val="center"/>
          </w:tcPr>
          <w:p w14:paraId="238B4A3D" w14:textId="77777777" w:rsidR="00A30937" w:rsidRPr="00C31CA4" w:rsidRDefault="00A30937" w:rsidP="00B964B0">
            <w:pPr>
              <w:rPr>
                <w:rFonts w:ascii="Arial Narrow" w:hAnsi="Arial Narrow"/>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No increase in the maximum number of repeats may be authorised.</w:t>
            </w:r>
          </w:p>
        </w:tc>
      </w:tr>
      <w:tr w:rsidR="00A30937" w:rsidRPr="00C31CA4" w14:paraId="3F23C5A1" w14:textId="77777777" w:rsidTr="00A30937">
        <w:trPr>
          <w:trHeight w:val="284"/>
        </w:trPr>
        <w:tc>
          <w:tcPr>
            <w:tcW w:w="5000" w:type="pct"/>
            <w:vAlign w:val="center"/>
          </w:tcPr>
          <w:p w14:paraId="35880B3C" w14:textId="77777777" w:rsidR="00A30937" w:rsidRPr="00C31CA4" w:rsidRDefault="00A30937" w:rsidP="00B964B0">
            <w:pPr>
              <w:rPr>
                <w:rFonts w:ascii="Arial Narrow" w:hAnsi="Arial Narrow"/>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Special Pricing Arrangements Apply.</w:t>
            </w:r>
          </w:p>
        </w:tc>
      </w:tr>
      <w:tr w:rsidR="00A30937" w:rsidRPr="00C31CA4" w14:paraId="25332603" w14:textId="77777777" w:rsidTr="00A30937">
        <w:trPr>
          <w:trHeight w:val="284"/>
        </w:trPr>
        <w:tc>
          <w:tcPr>
            <w:tcW w:w="5000" w:type="pct"/>
            <w:vAlign w:val="center"/>
          </w:tcPr>
          <w:p w14:paraId="313DA6C2" w14:textId="77777777" w:rsidR="00A30937" w:rsidRPr="00C31CA4" w:rsidRDefault="00A30937" w:rsidP="00B964B0">
            <w:pPr>
              <w:rPr>
                <w:rFonts w:ascii="Arial Narrow" w:hAnsi="Arial Narrow"/>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Any queries concerning the arrangements to prescribe may be directed to Services Australia on 1800 700 270 (hours of operation 8 a.m. to 5 p.m.</w:t>
            </w:r>
            <w:r w:rsidRPr="00C31CA4">
              <w:rPr>
                <w:rFonts w:ascii="Arial Narrow" w:hAnsi="Arial Narrow"/>
                <w:strike/>
                <w:sz w:val="20"/>
                <w:szCs w:val="20"/>
              </w:rPr>
              <w:t xml:space="preserve"> </w:t>
            </w:r>
            <w:r w:rsidRPr="00C31CA4">
              <w:rPr>
                <w:rFonts w:ascii="Arial Narrow" w:hAnsi="Arial Narrow"/>
                <w:sz w:val="20"/>
                <w:szCs w:val="20"/>
              </w:rPr>
              <w:t>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bl>
    <w:p w14:paraId="36460A25" w14:textId="77777777" w:rsidR="00A30937" w:rsidRPr="00C31CA4" w:rsidRDefault="00A30937" w:rsidP="00D92642">
      <w:pPr>
        <w:rPr>
          <w:rFonts w:asciiTheme="minorHAnsi" w:hAnsiTheme="minorHAnsi" w:cstheme="minorHAnsi"/>
          <w:iCs/>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A30937" w:rsidRPr="00C31CA4" w14:paraId="5E088366" w14:textId="77777777" w:rsidTr="00A30937">
        <w:trPr>
          <w:trHeight w:val="284"/>
        </w:trPr>
        <w:tc>
          <w:tcPr>
            <w:tcW w:w="5000" w:type="pct"/>
          </w:tcPr>
          <w:p w14:paraId="1867B7F2" w14:textId="77777777" w:rsidR="00A30937" w:rsidRPr="00C31CA4" w:rsidRDefault="00A30937" w:rsidP="00B964B0">
            <w:pPr>
              <w:rPr>
                <w:rFonts w:ascii="Arial Narrow" w:hAnsi="Arial Narrow"/>
                <w:b/>
                <w:bCs/>
                <w:sz w:val="20"/>
                <w:szCs w:val="20"/>
              </w:rPr>
            </w:pPr>
            <w:r w:rsidRPr="00C31CA4">
              <w:rPr>
                <w:rFonts w:ascii="Arial Narrow" w:hAnsi="Arial Narrow"/>
                <w:b/>
                <w:sz w:val="20"/>
                <w:szCs w:val="20"/>
              </w:rPr>
              <w:t xml:space="preserve">Category / Program: </w:t>
            </w:r>
            <w:r w:rsidRPr="00C31CA4">
              <w:rPr>
                <w:rFonts w:ascii="Arial Narrow" w:hAnsi="Arial Narrow"/>
                <w:sz w:val="20"/>
                <w:szCs w:val="20"/>
              </w:rPr>
              <w:t xml:space="preserve">Section 100 – Highly Specialised Drugs Program  </w:t>
            </w:r>
          </w:p>
        </w:tc>
      </w:tr>
      <w:tr w:rsidR="00A30937" w:rsidRPr="00C31CA4" w14:paraId="2ACCB595" w14:textId="77777777" w:rsidTr="00A30937">
        <w:trPr>
          <w:trHeight w:val="284"/>
        </w:trPr>
        <w:tc>
          <w:tcPr>
            <w:tcW w:w="5000" w:type="pct"/>
          </w:tcPr>
          <w:p w14:paraId="7BF61691" w14:textId="77777777" w:rsidR="00A30937" w:rsidRPr="00C31CA4" w:rsidRDefault="00A30937" w:rsidP="00B964B0">
            <w:pPr>
              <w:rPr>
                <w:rFonts w:ascii="Arial Narrow" w:hAnsi="Arial Narrow"/>
                <w:b/>
                <w:sz w:val="20"/>
                <w:szCs w:val="20"/>
              </w:rPr>
            </w:pPr>
            <w:r w:rsidRPr="00C31CA4">
              <w:rPr>
                <w:rFonts w:ascii="Arial Narrow" w:hAnsi="Arial Narrow"/>
                <w:b/>
                <w:sz w:val="20"/>
                <w:szCs w:val="20"/>
              </w:rPr>
              <w:t>Prescriber type:</w:t>
            </w:r>
            <w:r w:rsidRPr="00C31CA4">
              <w:rPr>
                <w:rFonts w:ascii="Arial Narrow" w:hAnsi="Arial Narrow"/>
                <w:sz w:val="20"/>
                <w:szCs w:val="20"/>
              </w:rPr>
              <w:t xml:space="preserve"> </w:t>
            </w:r>
            <w:r w:rsidRPr="00C31CA4">
              <w:rPr>
                <w:rFonts w:ascii="Arial Narrow" w:hAnsi="Arial Narrow"/>
                <w:sz w:val="20"/>
                <w:szCs w:val="20"/>
              </w:rPr>
              <w:fldChar w:fldCharType="begin" w:fldLock="1">
                <w:ffData>
                  <w:name w:val=""/>
                  <w:enabled/>
                  <w:calcOnExit w:val="0"/>
                  <w:checkBox>
                    <w:sizeAuto/>
                    <w:default w:val="1"/>
                  </w:checkBox>
                </w:ffData>
              </w:fldChar>
            </w:r>
            <w:r w:rsidRPr="00C31CA4">
              <w:rPr>
                <w:rFonts w:ascii="Arial Narrow" w:hAnsi="Arial Narrow"/>
                <w:sz w:val="20"/>
                <w:szCs w:val="20"/>
              </w:rPr>
              <w:instrText xml:space="preserve"> FORMCHECKBOX </w:instrText>
            </w:r>
            <w:r w:rsidR="004A6237">
              <w:rPr>
                <w:rFonts w:ascii="Arial Narrow" w:hAnsi="Arial Narrow"/>
                <w:sz w:val="20"/>
                <w:szCs w:val="20"/>
              </w:rPr>
            </w:r>
            <w:r w:rsidR="004A6237">
              <w:rPr>
                <w:rFonts w:ascii="Arial Narrow" w:hAnsi="Arial Narrow"/>
                <w:sz w:val="20"/>
                <w:szCs w:val="20"/>
              </w:rPr>
              <w:fldChar w:fldCharType="separate"/>
            </w:r>
            <w:r w:rsidRPr="00C31CA4">
              <w:rPr>
                <w:rFonts w:ascii="Arial Narrow" w:hAnsi="Arial Narrow"/>
                <w:sz w:val="20"/>
                <w:szCs w:val="20"/>
              </w:rPr>
              <w:fldChar w:fldCharType="end"/>
            </w:r>
            <w:r w:rsidRPr="00C31CA4">
              <w:rPr>
                <w:rFonts w:ascii="Arial Narrow" w:hAnsi="Arial Narrow"/>
                <w:sz w:val="20"/>
                <w:szCs w:val="20"/>
              </w:rPr>
              <w:t xml:space="preserve">Medical Practitioners   </w:t>
            </w:r>
          </w:p>
        </w:tc>
      </w:tr>
      <w:tr w:rsidR="00A30937" w:rsidRPr="00C31CA4" w14:paraId="673840F6" w14:textId="77777777" w:rsidTr="00A30937">
        <w:trPr>
          <w:trHeight w:val="284"/>
        </w:trPr>
        <w:tc>
          <w:tcPr>
            <w:tcW w:w="5000" w:type="pct"/>
          </w:tcPr>
          <w:p w14:paraId="75D77F36" w14:textId="77777777" w:rsidR="00A30937" w:rsidRPr="00C31CA4" w:rsidRDefault="00A30937" w:rsidP="00B964B0">
            <w:pPr>
              <w:rPr>
                <w:rFonts w:ascii="Arial Narrow" w:hAnsi="Arial Narrow"/>
                <w:b/>
                <w:sz w:val="20"/>
                <w:szCs w:val="20"/>
              </w:rPr>
            </w:pPr>
            <w:r w:rsidRPr="00C31CA4">
              <w:rPr>
                <w:rFonts w:ascii="Arial Narrow" w:hAnsi="Arial Narrow"/>
                <w:b/>
                <w:sz w:val="20"/>
                <w:szCs w:val="20"/>
              </w:rPr>
              <w:t xml:space="preserve">Restriction type: </w:t>
            </w:r>
            <w:r w:rsidRPr="00C31CA4">
              <w:rPr>
                <w:rFonts w:ascii="Arial Narrow" w:eastAsia="Calibri" w:hAnsi="Arial Narrow"/>
                <w:sz w:val="20"/>
                <w:szCs w:val="20"/>
              </w:rPr>
              <w:fldChar w:fldCharType="begin" w:fldLock="1">
                <w:ffData>
                  <w:name w:val=""/>
                  <w:enabled/>
                  <w:calcOnExit w:val="0"/>
                  <w:checkBox>
                    <w:sizeAuto/>
                    <w:default w:val="1"/>
                  </w:checkBox>
                </w:ffData>
              </w:fldChar>
            </w:r>
            <w:r w:rsidRPr="00C31CA4">
              <w:rPr>
                <w:rFonts w:ascii="Arial Narrow" w:eastAsia="Calibri" w:hAnsi="Arial Narrow"/>
                <w:sz w:val="20"/>
                <w:szCs w:val="20"/>
              </w:rPr>
              <w:instrText xml:space="preserve"> FORMCHECKBOX </w:instrText>
            </w:r>
            <w:r w:rsidR="004A6237">
              <w:rPr>
                <w:rFonts w:ascii="Arial Narrow" w:eastAsia="Calibri" w:hAnsi="Arial Narrow"/>
                <w:sz w:val="20"/>
                <w:szCs w:val="20"/>
              </w:rPr>
            </w:r>
            <w:r w:rsidR="004A6237">
              <w:rPr>
                <w:rFonts w:ascii="Arial Narrow" w:eastAsia="Calibri" w:hAnsi="Arial Narrow"/>
                <w:sz w:val="20"/>
                <w:szCs w:val="20"/>
              </w:rPr>
              <w:fldChar w:fldCharType="separate"/>
            </w:r>
            <w:r w:rsidRPr="00C31CA4">
              <w:rPr>
                <w:rFonts w:ascii="Arial Narrow" w:eastAsia="Calibri" w:hAnsi="Arial Narrow"/>
                <w:sz w:val="20"/>
                <w:szCs w:val="20"/>
              </w:rPr>
              <w:fldChar w:fldCharType="end"/>
            </w:r>
            <w:r w:rsidRPr="00C31CA4">
              <w:rPr>
                <w:rFonts w:ascii="Arial Narrow" w:eastAsia="Calibri" w:hAnsi="Arial Narrow"/>
                <w:sz w:val="20"/>
                <w:szCs w:val="20"/>
              </w:rPr>
              <w:t>Authority Required –(Telephone/electronic)</w:t>
            </w:r>
          </w:p>
        </w:tc>
      </w:tr>
      <w:tr w:rsidR="00A30937" w:rsidRPr="00C31CA4" w14:paraId="18088C39" w14:textId="77777777" w:rsidTr="00A30937">
        <w:trPr>
          <w:trHeight w:val="284"/>
        </w:trPr>
        <w:tc>
          <w:tcPr>
            <w:tcW w:w="5000" w:type="pct"/>
            <w:vAlign w:val="center"/>
          </w:tcPr>
          <w:p w14:paraId="33A690AA" w14:textId="77777777" w:rsidR="00A30937" w:rsidRPr="00C31CA4" w:rsidRDefault="00A30937" w:rsidP="00B964B0">
            <w:pPr>
              <w:rPr>
                <w:rFonts w:ascii="Arial Narrow" w:hAnsi="Arial Narrow"/>
                <w:b/>
                <w:sz w:val="20"/>
                <w:szCs w:val="20"/>
              </w:rPr>
            </w:pPr>
            <w:r w:rsidRPr="00C31CA4">
              <w:rPr>
                <w:rFonts w:ascii="Arial Narrow" w:hAnsi="Arial Narrow"/>
                <w:b/>
                <w:bCs/>
                <w:sz w:val="20"/>
                <w:szCs w:val="20"/>
              </w:rPr>
              <w:t>Indication:</w:t>
            </w:r>
            <w:r w:rsidRPr="00C31CA4">
              <w:rPr>
                <w:rFonts w:ascii="Arial Narrow" w:hAnsi="Arial Narrow"/>
                <w:sz w:val="20"/>
                <w:szCs w:val="20"/>
              </w:rPr>
              <w:t xml:space="preserve"> Severe aplastic an</w:t>
            </w:r>
            <w:r w:rsidRPr="00C31CA4">
              <w:rPr>
                <w:rFonts w:ascii="Arial Narrow" w:hAnsi="Arial Narrow"/>
                <w:i/>
                <w:iCs/>
                <w:sz w:val="20"/>
                <w:szCs w:val="20"/>
              </w:rPr>
              <w:t>a</w:t>
            </w:r>
            <w:r w:rsidRPr="00C31CA4">
              <w:rPr>
                <w:rFonts w:ascii="Arial Narrow" w:hAnsi="Arial Narrow"/>
                <w:sz w:val="20"/>
                <w:szCs w:val="20"/>
              </w:rPr>
              <w:t>emia</w:t>
            </w:r>
          </w:p>
        </w:tc>
      </w:tr>
      <w:tr w:rsidR="00A30937" w:rsidRPr="00C31CA4" w14:paraId="0C413654" w14:textId="77777777" w:rsidTr="00A30937">
        <w:trPr>
          <w:trHeight w:val="284"/>
        </w:trPr>
        <w:tc>
          <w:tcPr>
            <w:tcW w:w="5000" w:type="pct"/>
            <w:vAlign w:val="center"/>
          </w:tcPr>
          <w:p w14:paraId="3BBAE71E"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Treatment Phase:</w:t>
            </w:r>
            <w:r w:rsidRPr="00C31CA4">
              <w:rPr>
                <w:rFonts w:ascii="Arial Narrow" w:hAnsi="Arial Narrow"/>
                <w:sz w:val="20"/>
                <w:szCs w:val="20"/>
              </w:rPr>
              <w:t xml:space="preserve"> Continuing treatment  </w:t>
            </w:r>
          </w:p>
        </w:tc>
      </w:tr>
      <w:tr w:rsidR="00A30937" w:rsidRPr="00C31CA4" w14:paraId="72CA21FE" w14:textId="77777777" w:rsidTr="00A30937">
        <w:trPr>
          <w:trHeight w:val="284"/>
        </w:trPr>
        <w:tc>
          <w:tcPr>
            <w:tcW w:w="5000" w:type="pct"/>
            <w:vAlign w:val="center"/>
          </w:tcPr>
          <w:p w14:paraId="43DC3AD7"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Clinical criteria:</w:t>
            </w:r>
          </w:p>
        </w:tc>
      </w:tr>
      <w:tr w:rsidR="00A30937" w:rsidRPr="00C31CA4" w14:paraId="22EADA0F" w14:textId="77777777" w:rsidTr="00A30937">
        <w:trPr>
          <w:trHeight w:val="284"/>
        </w:trPr>
        <w:tc>
          <w:tcPr>
            <w:tcW w:w="5000" w:type="pct"/>
            <w:vAlign w:val="center"/>
          </w:tcPr>
          <w:p w14:paraId="0B7BAEBA" w14:textId="77777777" w:rsidR="00A30937" w:rsidRPr="00C31CA4" w:rsidRDefault="00A30937" w:rsidP="00B964B0">
            <w:pPr>
              <w:rPr>
                <w:rFonts w:ascii="Arial Narrow" w:hAnsi="Arial Narrow"/>
                <w:b/>
                <w:bCs/>
                <w:sz w:val="20"/>
                <w:szCs w:val="20"/>
              </w:rPr>
            </w:pPr>
            <w:r w:rsidRPr="00C31CA4">
              <w:rPr>
                <w:rFonts w:ascii="Arial Narrow" w:hAnsi="Arial Narrow"/>
                <w:sz w:val="20"/>
                <w:szCs w:val="20"/>
              </w:rPr>
              <w:t>The condition must be severe aplastic an</w:t>
            </w:r>
            <w:r w:rsidRPr="00C31CA4">
              <w:rPr>
                <w:rFonts w:ascii="Arial Narrow" w:hAnsi="Arial Narrow"/>
                <w:i/>
                <w:iCs/>
                <w:sz w:val="20"/>
                <w:szCs w:val="20"/>
              </w:rPr>
              <w:t>a</w:t>
            </w:r>
            <w:r w:rsidRPr="00C31CA4">
              <w:rPr>
                <w:rFonts w:ascii="Arial Narrow" w:hAnsi="Arial Narrow"/>
                <w:sz w:val="20"/>
                <w:szCs w:val="20"/>
              </w:rPr>
              <w:t>emia</w:t>
            </w:r>
          </w:p>
        </w:tc>
      </w:tr>
      <w:tr w:rsidR="00A30937" w:rsidRPr="00C31CA4" w14:paraId="2363A6DD" w14:textId="77777777" w:rsidTr="00A30937">
        <w:trPr>
          <w:trHeight w:val="284"/>
        </w:trPr>
        <w:tc>
          <w:tcPr>
            <w:tcW w:w="5000" w:type="pct"/>
            <w:vAlign w:val="center"/>
          </w:tcPr>
          <w:p w14:paraId="1AFE287B" w14:textId="77777777" w:rsidR="00A30937" w:rsidRPr="00C31CA4" w:rsidRDefault="00A30937" w:rsidP="00B964B0">
            <w:pPr>
              <w:rPr>
                <w:rFonts w:ascii="Arial Narrow" w:hAnsi="Arial Narrow"/>
                <w:sz w:val="20"/>
                <w:szCs w:val="20"/>
              </w:rPr>
            </w:pPr>
            <w:r w:rsidRPr="00C31CA4">
              <w:rPr>
                <w:rFonts w:ascii="Arial Narrow" w:hAnsi="Arial Narrow"/>
                <w:b/>
                <w:bCs/>
                <w:sz w:val="20"/>
                <w:szCs w:val="20"/>
              </w:rPr>
              <w:t>AND</w:t>
            </w:r>
          </w:p>
        </w:tc>
      </w:tr>
      <w:tr w:rsidR="00A30937" w:rsidRPr="00C31CA4" w14:paraId="7EBCCD7A" w14:textId="77777777" w:rsidTr="00A30937">
        <w:trPr>
          <w:trHeight w:val="284"/>
        </w:trPr>
        <w:tc>
          <w:tcPr>
            <w:tcW w:w="5000" w:type="pct"/>
            <w:vAlign w:val="center"/>
          </w:tcPr>
          <w:p w14:paraId="013238E1"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Clinical criteria:</w:t>
            </w:r>
          </w:p>
        </w:tc>
      </w:tr>
      <w:tr w:rsidR="00A30937" w:rsidRPr="00C31CA4" w14:paraId="08497B69" w14:textId="77777777" w:rsidTr="00A30937">
        <w:trPr>
          <w:trHeight w:val="284"/>
        </w:trPr>
        <w:tc>
          <w:tcPr>
            <w:tcW w:w="5000" w:type="pct"/>
            <w:vAlign w:val="center"/>
          </w:tcPr>
          <w:p w14:paraId="70E124B1" w14:textId="77777777" w:rsidR="00A30937" w:rsidRPr="00C31CA4" w:rsidRDefault="00A30937" w:rsidP="00B964B0">
            <w:pPr>
              <w:rPr>
                <w:rFonts w:ascii="Arial Narrow" w:hAnsi="Arial Narrow"/>
                <w:b/>
                <w:bCs/>
                <w:sz w:val="20"/>
                <w:szCs w:val="20"/>
              </w:rPr>
            </w:pPr>
            <w:r w:rsidRPr="00C31CA4">
              <w:rPr>
                <w:rFonts w:ascii="Arial Narrow" w:hAnsi="Arial Narrow"/>
                <w:sz w:val="20"/>
                <w:szCs w:val="20"/>
              </w:rPr>
              <w:t xml:space="preserve">Patient must have previously received PBS-subsidised treatment with this drug for this condition </w:t>
            </w:r>
            <w:r w:rsidRPr="00C31CA4">
              <w:rPr>
                <w:rFonts w:ascii="Arial Narrow" w:hAnsi="Arial Narrow"/>
                <w:i/>
                <w:iCs/>
                <w:sz w:val="20"/>
                <w:szCs w:val="20"/>
              </w:rPr>
              <w:t>under the initial treatment restriction</w:t>
            </w:r>
          </w:p>
        </w:tc>
      </w:tr>
      <w:tr w:rsidR="00A30937" w:rsidRPr="00C31CA4" w14:paraId="0BEF03FA" w14:textId="77777777" w:rsidTr="00A30937">
        <w:trPr>
          <w:trHeight w:val="284"/>
        </w:trPr>
        <w:tc>
          <w:tcPr>
            <w:tcW w:w="5000" w:type="pct"/>
            <w:vAlign w:val="center"/>
          </w:tcPr>
          <w:p w14:paraId="35C97089"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AND</w:t>
            </w:r>
          </w:p>
        </w:tc>
      </w:tr>
      <w:tr w:rsidR="00A30937" w:rsidRPr="00C31CA4" w14:paraId="52ED6ED1" w14:textId="77777777" w:rsidTr="00A30937">
        <w:trPr>
          <w:trHeight w:val="284"/>
        </w:trPr>
        <w:tc>
          <w:tcPr>
            <w:tcW w:w="5000" w:type="pct"/>
            <w:vAlign w:val="center"/>
          </w:tcPr>
          <w:p w14:paraId="7DDE4441"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Clinical criteria:</w:t>
            </w:r>
          </w:p>
        </w:tc>
      </w:tr>
      <w:tr w:rsidR="00A30937" w:rsidRPr="00C31CA4" w14:paraId="7B589E9C" w14:textId="77777777" w:rsidTr="00A30937">
        <w:trPr>
          <w:trHeight w:val="284"/>
        </w:trPr>
        <w:tc>
          <w:tcPr>
            <w:tcW w:w="5000" w:type="pct"/>
            <w:vAlign w:val="center"/>
          </w:tcPr>
          <w:p w14:paraId="043B8B38" w14:textId="77777777" w:rsidR="00A30937" w:rsidRPr="00C31CA4" w:rsidRDefault="00A30937" w:rsidP="00B964B0">
            <w:pPr>
              <w:rPr>
                <w:rFonts w:ascii="Arial Narrow" w:hAnsi="Arial Narrow"/>
                <w:b/>
                <w:bCs/>
                <w:sz w:val="20"/>
                <w:szCs w:val="20"/>
              </w:rPr>
            </w:pPr>
            <w:r w:rsidRPr="00C31CA4">
              <w:rPr>
                <w:rFonts w:ascii="Arial Narrow" w:hAnsi="Arial Narrow"/>
                <w:sz w:val="20"/>
                <w:szCs w:val="20"/>
              </w:rPr>
              <w:t>Patient must have demonstrated a sustained response to PBS-subsidised treatment with this drug</w:t>
            </w:r>
          </w:p>
        </w:tc>
      </w:tr>
      <w:tr w:rsidR="00A30937" w:rsidRPr="00C31CA4" w14:paraId="72D89287" w14:textId="77777777" w:rsidTr="00A30937">
        <w:trPr>
          <w:trHeight w:val="284"/>
        </w:trPr>
        <w:tc>
          <w:tcPr>
            <w:tcW w:w="5000" w:type="pct"/>
            <w:vAlign w:val="center"/>
          </w:tcPr>
          <w:p w14:paraId="0305068A" w14:textId="77777777" w:rsidR="00A30937" w:rsidRPr="00C31CA4" w:rsidRDefault="00A30937" w:rsidP="00B964B0">
            <w:pPr>
              <w:rPr>
                <w:rFonts w:ascii="Arial Narrow" w:hAnsi="Arial Narrow"/>
                <w:sz w:val="20"/>
                <w:szCs w:val="20"/>
              </w:rPr>
            </w:pPr>
            <w:r w:rsidRPr="00C31CA4">
              <w:rPr>
                <w:rFonts w:ascii="Arial Narrow" w:hAnsi="Arial Narrow"/>
                <w:b/>
                <w:bCs/>
                <w:sz w:val="20"/>
                <w:szCs w:val="20"/>
              </w:rPr>
              <w:t xml:space="preserve">Prescribing Instructions: </w:t>
            </w:r>
            <w:r w:rsidRPr="00C31CA4">
              <w:rPr>
                <w:rFonts w:ascii="Arial Narrow" w:hAnsi="Arial Narrow"/>
                <w:sz w:val="20"/>
                <w:szCs w:val="20"/>
              </w:rPr>
              <w:t>For the purposes of this restriction, a sustained response is defined as platelet count &gt; 50 x 10</w:t>
            </w:r>
            <w:r w:rsidRPr="00C31CA4">
              <w:rPr>
                <w:rFonts w:ascii="Arial Narrow" w:hAnsi="Arial Narrow"/>
                <w:sz w:val="20"/>
                <w:szCs w:val="20"/>
                <w:vertAlign w:val="superscript"/>
              </w:rPr>
              <w:t>9</w:t>
            </w:r>
            <w:r w:rsidRPr="00C31CA4">
              <w:rPr>
                <w:rFonts w:ascii="Arial Narrow" w:hAnsi="Arial Narrow"/>
                <w:sz w:val="20"/>
                <w:szCs w:val="20"/>
              </w:rPr>
              <w:t>/L, haemoglobin &gt; 100 g/L in the absence of red blood cell (RBC) transfusion, and absolute neutrophil (ANC) &gt; 1 x 10</w:t>
            </w:r>
            <w:r w:rsidRPr="00C31CA4">
              <w:rPr>
                <w:rFonts w:ascii="Arial Narrow" w:hAnsi="Arial Narrow"/>
                <w:sz w:val="20"/>
                <w:szCs w:val="20"/>
                <w:vertAlign w:val="superscript"/>
              </w:rPr>
              <w:t>9</w:t>
            </w:r>
            <w:r w:rsidRPr="00C31CA4">
              <w:rPr>
                <w:rFonts w:ascii="Arial Narrow" w:hAnsi="Arial Narrow"/>
                <w:sz w:val="20"/>
                <w:szCs w:val="20"/>
              </w:rPr>
              <w:t>/L for more than 8 weeks.</w:t>
            </w:r>
          </w:p>
        </w:tc>
      </w:tr>
      <w:tr w:rsidR="00A30937" w:rsidRPr="00C31CA4" w14:paraId="764099EC" w14:textId="77777777" w:rsidTr="00A30937">
        <w:trPr>
          <w:trHeight w:val="284"/>
        </w:trPr>
        <w:tc>
          <w:tcPr>
            <w:tcW w:w="5000" w:type="pct"/>
            <w:vAlign w:val="center"/>
          </w:tcPr>
          <w:p w14:paraId="6201B318" w14:textId="77777777" w:rsidR="00A30937" w:rsidRPr="00C31CA4" w:rsidRDefault="00A30937" w:rsidP="00B964B0">
            <w:pPr>
              <w:rPr>
                <w:rFonts w:ascii="Arial Narrow" w:hAnsi="Arial Narrow"/>
                <w:b/>
                <w:bCs/>
                <w:sz w:val="20"/>
                <w:szCs w:val="20"/>
              </w:rPr>
            </w:pPr>
            <w:r w:rsidRPr="00C31CA4">
              <w:rPr>
                <w:rFonts w:ascii="Arial Narrow" w:hAnsi="Arial Narrow"/>
                <w:b/>
                <w:bCs/>
                <w:sz w:val="20"/>
                <w:szCs w:val="20"/>
              </w:rPr>
              <w:t xml:space="preserve">Prescribing Instructions: </w:t>
            </w:r>
            <w:r w:rsidRPr="00C31CA4">
              <w:rPr>
                <w:rFonts w:ascii="Arial Narrow" w:hAnsi="Arial Narrow"/>
                <w:sz w:val="20"/>
                <w:szCs w:val="20"/>
              </w:rPr>
              <w:t>Platelet, haemoglobin and neutrophil counts must be no more than 4 weeks old at the time of application and must be documented in the patient’s medical records</w:t>
            </w:r>
          </w:p>
        </w:tc>
      </w:tr>
      <w:tr w:rsidR="00A30937" w:rsidRPr="00C31CA4" w14:paraId="7A116ABA" w14:textId="77777777" w:rsidTr="00A30937">
        <w:trPr>
          <w:trHeight w:val="284"/>
        </w:trPr>
        <w:tc>
          <w:tcPr>
            <w:tcW w:w="5000" w:type="pct"/>
            <w:vAlign w:val="center"/>
          </w:tcPr>
          <w:p w14:paraId="5BB64211" w14:textId="77777777" w:rsidR="00A30937" w:rsidRPr="00C31CA4" w:rsidRDefault="00A30937" w:rsidP="00B964B0">
            <w:pPr>
              <w:rPr>
                <w:rFonts w:ascii="Arial Narrow" w:hAnsi="Arial Narrow"/>
                <w:b/>
                <w:bCs/>
                <w:strike/>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No increase in the maximum number of repeats may be authorised.</w:t>
            </w:r>
          </w:p>
        </w:tc>
      </w:tr>
      <w:tr w:rsidR="00A30937" w:rsidRPr="00C31CA4" w14:paraId="7676E88B" w14:textId="77777777" w:rsidTr="00A30937">
        <w:trPr>
          <w:trHeight w:val="284"/>
        </w:trPr>
        <w:tc>
          <w:tcPr>
            <w:tcW w:w="5000" w:type="pct"/>
            <w:vAlign w:val="center"/>
          </w:tcPr>
          <w:p w14:paraId="51AD0A74" w14:textId="77777777" w:rsidR="00A30937" w:rsidRPr="00C31CA4" w:rsidRDefault="00A30937" w:rsidP="00B964B0">
            <w:pPr>
              <w:rPr>
                <w:rFonts w:ascii="Arial Narrow" w:hAnsi="Arial Narrow"/>
                <w:b/>
                <w:bCs/>
                <w:strike/>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Special Pricing Arrangements Apply.</w:t>
            </w:r>
          </w:p>
        </w:tc>
      </w:tr>
      <w:tr w:rsidR="00A30937" w:rsidRPr="00C31CA4" w14:paraId="046C8E8A" w14:textId="77777777" w:rsidTr="00A30937">
        <w:trPr>
          <w:trHeight w:val="284"/>
        </w:trPr>
        <w:tc>
          <w:tcPr>
            <w:tcW w:w="5000" w:type="pct"/>
            <w:vAlign w:val="center"/>
          </w:tcPr>
          <w:p w14:paraId="0ED7B5F7" w14:textId="77777777" w:rsidR="00A30937" w:rsidRPr="00C31CA4" w:rsidRDefault="00A30937" w:rsidP="00B964B0">
            <w:pPr>
              <w:rPr>
                <w:rFonts w:ascii="Arial Narrow" w:hAnsi="Arial Narrow"/>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Applications for authorisation under this restriction may be made in real time using the Online PBS Authorities system (see </w:t>
            </w:r>
            <w:r w:rsidRPr="00C31CA4">
              <w:rPr>
                <w:rFonts w:ascii="Arial Narrow" w:hAnsi="Arial Narrow"/>
                <w:b/>
                <w:bCs/>
                <w:sz w:val="20"/>
                <w:szCs w:val="20"/>
              </w:rPr>
              <w:t>www.</w:t>
            </w:r>
            <w:r w:rsidRPr="00C31CA4">
              <w:rPr>
                <w:rFonts w:ascii="Arial Narrow" w:hAnsi="Arial Narrow"/>
                <w:sz w:val="20"/>
                <w:szCs w:val="20"/>
              </w:rPr>
              <w:t>servicesaustralia.gov.au/HPOS) or by telephone by contacting Services Australia on 1800 700 270 (hours of operation 8 a.m. to 5 p.m. Monday to Friday).</w:t>
            </w:r>
          </w:p>
        </w:tc>
      </w:tr>
      <w:bookmarkEnd w:id="9"/>
    </w:tbl>
    <w:p w14:paraId="4833AE8C" w14:textId="7B6AD15F" w:rsidR="00A30937" w:rsidRPr="00C31CA4" w:rsidRDefault="00A30937" w:rsidP="004B1CB4"/>
    <w:p w14:paraId="101BC9EF" w14:textId="74EBB8B8" w:rsidR="00F35246" w:rsidRPr="00C31CA4" w:rsidRDefault="00F35246" w:rsidP="00F35246">
      <w:pPr>
        <w:pStyle w:val="ExecSumBodyText"/>
        <w:numPr>
          <w:ilvl w:val="1"/>
          <w:numId w:val="1"/>
        </w:numPr>
        <w:ind w:left="709" w:hanging="709"/>
      </w:pPr>
      <w:r w:rsidRPr="00C31CA4">
        <w:lastRenderedPageBreak/>
        <w:t xml:space="preserve">The Haematology Society of Australia and New Zealand were aware that a Special Pricing Arrangement applies to eltrombopag but did not have access to the effective prices. </w:t>
      </w:r>
    </w:p>
    <w:p w14:paraId="151E8A21" w14:textId="77777777" w:rsidR="00F35246" w:rsidRPr="00C31CA4" w:rsidRDefault="00F35246" w:rsidP="008B3F17">
      <w:pPr>
        <w:pStyle w:val="3-BodyText"/>
        <w:rPr>
          <w:i/>
          <w:iCs/>
        </w:rPr>
      </w:pPr>
      <w:r w:rsidRPr="00C31CA4">
        <w:t xml:space="preserve">The submission proposed three restrictions: one for first-line treatment, for 6 months only, and two for second-line treatment – an initial and a continuing treatment restriction. </w:t>
      </w:r>
    </w:p>
    <w:p w14:paraId="24A5C021" w14:textId="1AB73664" w:rsidR="00F35246" w:rsidRPr="00C31CA4" w:rsidRDefault="00F35246" w:rsidP="008B3F17">
      <w:pPr>
        <w:pStyle w:val="3-BodyText"/>
        <w:rPr>
          <w:i/>
          <w:iCs/>
        </w:rPr>
      </w:pPr>
      <w:bookmarkStart w:id="10" w:name="_Ref151481311"/>
      <w:r w:rsidRPr="00C31CA4">
        <w:t>The first-line treatment restriction requires that “Patient must not have received treatment with prior immunosuppressive therapy”</w:t>
      </w:r>
      <w:r w:rsidR="00F05357" w:rsidRPr="00C31CA4">
        <w:t xml:space="preserve"> and the second-line treatment restriction requires that “Patient must have inadequate response or intolerance to prior immunosuppressive therapy”</w:t>
      </w:r>
      <w:r w:rsidRPr="00C31CA4">
        <w:t xml:space="preserve">. This means that eltrombopag + IST cannot be used for re-treatment of patients who have previously responded to IST (with or without eltrombopag), but then relapsed. </w:t>
      </w:r>
      <w:r w:rsidR="008568AD" w:rsidRPr="00C31CA4">
        <w:t xml:space="preserve">The </w:t>
      </w:r>
      <w:r w:rsidR="0080254A">
        <w:t>Economics Sub-Committee (</w:t>
      </w:r>
      <w:r w:rsidR="00FE09F1" w:rsidRPr="00C31CA4">
        <w:t>ESC</w:t>
      </w:r>
      <w:r w:rsidR="0080254A">
        <w:t>)</w:t>
      </w:r>
      <w:r w:rsidR="00FE09F1" w:rsidRPr="00C31CA4">
        <w:t xml:space="preserve"> advised the </w:t>
      </w:r>
      <w:r w:rsidR="008568AD" w:rsidRPr="00C31CA4">
        <w:t>second line restriction should be amended to ‘</w:t>
      </w:r>
      <w:r w:rsidR="00FE09F1" w:rsidRPr="00C31CA4">
        <w:t>P</w:t>
      </w:r>
      <w:r w:rsidR="008568AD" w:rsidRPr="00C31CA4">
        <w:t xml:space="preserve">atient must have </w:t>
      </w:r>
      <w:r w:rsidR="00FE09F1" w:rsidRPr="00C31CA4">
        <w:t xml:space="preserve">inadequate response to or have </w:t>
      </w:r>
      <w:r w:rsidR="008568AD" w:rsidRPr="00C31CA4">
        <w:t xml:space="preserve">relapsed following prior immunosuppressive therapy’. </w:t>
      </w:r>
      <w:r w:rsidR="00FE09F1" w:rsidRPr="00C31CA4">
        <w:t>The ESC considered reference to i</w:t>
      </w:r>
      <w:r w:rsidR="00EA3EF7" w:rsidRPr="00C31CA4">
        <w:t xml:space="preserve">ntolerance </w:t>
      </w:r>
      <w:r w:rsidR="00FE09F1" w:rsidRPr="00C31CA4">
        <w:t>may allow use in a broader population tha</w:t>
      </w:r>
      <w:r w:rsidR="000C661C" w:rsidRPr="00C31CA4">
        <w:t>n</w:t>
      </w:r>
      <w:r w:rsidR="00FE09F1" w:rsidRPr="00C31CA4">
        <w:t xml:space="preserve"> was included in the </w:t>
      </w:r>
      <w:r w:rsidR="00EA3EF7" w:rsidRPr="00C31CA4">
        <w:t>clinical trials</w:t>
      </w:r>
      <w:r w:rsidR="00FE09F1" w:rsidRPr="00C31CA4">
        <w:t xml:space="preserve"> i.e., </w:t>
      </w:r>
      <w:r w:rsidR="00EA3EF7" w:rsidRPr="00C31CA4">
        <w:t xml:space="preserve">the elderly who are unable to tolerate </w:t>
      </w:r>
      <w:r w:rsidR="00FE09F1" w:rsidRPr="00C31CA4">
        <w:t>IST</w:t>
      </w:r>
      <w:r w:rsidR="00EA3EF7" w:rsidRPr="00C31CA4">
        <w:t>.</w:t>
      </w:r>
      <w:r w:rsidR="00EA3EF7" w:rsidRPr="00C31CA4">
        <w:rPr>
          <w:i/>
          <w:iCs/>
        </w:rPr>
        <w:t xml:space="preserve"> </w:t>
      </w:r>
      <w:r w:rsidR="0071704D" w:rsidRPr="00C31CA4">
        <w:t>The ESC considered there would be a small population of patients who may have relapsed after previously receiving IST (with or without eltrombopag) who may benefit from retreatment with eltrombopag in the second line setting and advised the restriction should allow these patients to be treated</w:t>
      </w:r>
      <w:r w:rsidR="00C31CA4">
        <w:t>.</w:t>
      </w:r>
      <w:bookmarkEnd w:id="10"/>
      <w:r w:rsidR="00C31CA4">
        <w:t xml:space="preserve"> </w:t>
      </w:r>
    </w:p>
    <w:p w14:paraId="05C88457" w14:textId="205380A0" w:rsidR="00F35246" w:rsidRPr="00C31CA4" w:rsidRDefault="00F35246" w:rsidP="008B3F17">
      <w:pPr>
        <w:pStyle w:val="3-BodyText"/>
      </w:pPr>
      <w:r w:rsidRPr="00C31CA4">
        <w:t xml:space="preserve">The proposed restrictions do not align with the clinical data submitted. No definition of severe aplastic anaemia was proposed similar to that used in the published studies, and there was no specification of age of the patients in the requested restriction. </w:t>
      </w:r>
      <w:r w:rsidR="00EA3EF7" w:rsidRPr="00C31CA4">
        <w:t xml:space="preserve">The </w:t>
      </w:r>
      <w:r w:rsidR="00FE09F1" w:rsidRPr="00C31CA4">
        <w:t xml:space="preserve">ESC considered the </w:t>
      </w:r>
      <w:r w:rsidR="00EA3EF7" w:rsidRPr="00C31CA4">
        <w:t xml:space="preserve">definition of Severe and Very Severe Aplastic Anaemia are standard international definitions and it is sufficient to define by name as these patients will be managed by specialised haematologists. </w:t>
      </w:r>
      <w:r w:rsidR="00FE09F1" w:rsidRPr="00C31CA4">
        <w:t xml:space="preserve">The ESC considered it was appropriate to exclude reference to age in the restriction. </w:t>
      </w:r>
    </w:p>
    <w:p w14:paraId="3E7A4847" w14:textId="270DD3F3" w:rsidR="008B3F17" w:rsidRPr="00C31CA4" w:rsidRDefault="008B3F17" w:rsidP="008B3F17">
      <w:pPr>
        <w:pStyle w:val="3-BodyText"/>
      </w:pPr>
      <w:bookmarkStart w:id="11" w:name="_Ref150928702"/>
      <w:r w:rsidRPr="00C31CA4">
        <w:t>The ESC considered IST should be defined as ATG + CsA within the first line restriction to prevent use in older patients unfit for ATG + CsA who may only receive CsA as part of their first line regimen.</w:t>
      </w:r>
      <w:bookmarkEnd w:id="11"/>
    </w:p>
    <w:p w14:paraId="7075B85C" w14:textId="62A47B7B" w:rsidR="00B50DB8" w:rsidRPr="00C31CA4" w:rsidDel="00195452" w:rsidRDefault="00203181" w:rsidP="004E18E9">
      <w:pPr>
        <w:pStyle w:val="2-SectionHeading"/>
      </w:pPr>
      <w:bookmarkStart w:id="12" w:name="_Toc144676124"/>
      <w:r w:rsidRPr="00C31CA4" w:rsidDel="00195452">
        <w:t xml:space="preserve">Population and </w:t>
      </w:r>
      <w:r w:rsidR="008E0D3C" w:rsidRPr="00C31CA4" w:rsidDel="00195452">
        <w:t>d</w:t>
      </w:r>
      <w:r w:rsidRPr="00C31CA4" w:rsidDel="00195452">
        <w:t>isease</w:t>
      </w:r>
      <w:bookmarkEnd w:id="12"/>
    </w:p>
    <w:p w14:paraId="21FDD135" w14:textId="381114CB" w:rsidR="00894489" w:rsidRPr="00C31CA4" w:rsidRDefault="009D15F0" w:rsidP="008B3F17">
      <w:pPr>
        <w:pStyle w:val="3-BodyText"/>
      </w:pPr>
      <w:r w:rsidRPr="00C31CA4">
        <w:t xml:space="preserve">Aplastic </w:t>
      </w:r>
      <w:r w:rsidR="00CE1F3B" w:rsidRPr="00C31CA4">
        <w:t>a</w:t>
      </w:r>
      <w:r w:rsidRPr="00C31CA4">
        <w:t>n</w:t>
      </w:r>
      <w:r w:rsidR="00CE1F3B" w:rsidRPr="00C31CA4">
        <w:t>a</w:t>
      </w:r>
      <w:r w:rsidRPr="00C31CA4">
        <w:t xml:space="preserve">emia </w:t>
      </w:r>
      <w:r w:rsidR="007F3DCD" w:rsidRPr="00C31CA4">
        <w:t xml:space="preserve">(AA) </w:t>
      </w:r>
      <w:r w:rsidRPr="00C31CA4">
        <w:t xml:space="preserve">is </w:t>
      </w:r>
      <w:r w:rsidR="007F3DCD" w:rsidRPr="00C31CA4">
        <w:t>characterised by pancytopenia (too few red cells</w:t>
      </w:r>
      <w:r w:rsidR="00EE6110" w:rsidRPr="00C31CA4">
        <w:t>,</w:t>
      </w:r>
      <w:r w:rsidR="007F3DCD" w:rsidRPr="00C31CA4">
        <w:t xml:space="preserve"> neutrophils and platelets) in association with bone marrow aplasia and loss of h</w:t>
      </w:r>
      <w:r w:rsidR="00CE1F3B" w:rsidRPr="00C31CA4">
        <w:t>a</w:t>
      </w:r>
      <w:r w:rsidR="007F3DCD" w:rsidRPr="00C31CA4">
        <w:t>em</w:t>
      </w:r>
      <w:r w:rsidR="00FA6F94" w:rsidRPr="00C31CA4">
        <w:t>at</w:t>
      </w:r>
      <w:r w:rsidR="007F3DCD" w:rsidRPr="00C31CA4">
        <w:t>opoietic stem cell</w:t>
      </w:r>
      <w:r w:rsidR="00811B9B" w:rsidRPr="00C31CA4">
        <w:t>s</w:t>
      </w:r>
      <w:r w:rsidR="007F3DCD" w:rsidRPr="00C31CA4">
        <w:t xml:space="preserve">. </w:t>
      </w:r>
    </w:p>
    <w:p w14:paraId="4A5DCC25" w14:textId="7B2616CA" w:rsidR="00895CA5" w:rsidRPr="00C31CA4" w:rsidRDefault="00895CA5" w:rsidP="008B3F17">
      <w:pPr>
        <w:pStyle w:val="3-BodyText"/>
      </w:pPr>
      <w:r w:rsidRPr="00C31CA4">
        <w:t>AA is a rare disease</w:t>
      </w:r>
      <w:r w:rsidR="00696AA1" w:rsidRPr="00C31CA4">
        <w:t>, with an</w:t>
      </w:r>
      <w:r w:rsidRPr="00C31CA4">
        <w:t xml:space="preserve"> incidence of the order of 2</w:t>
      </w:r>
      <w:r w:rsidR="005B4875" w:rsidRPr="00C31CA4">
        <w:t xml:space="preserve"> per million</w:t>
      </w:r>
      <w:r w:rsidRPr="00C31CA4">
        <w:t xml:space="preserve"> per year</w:t>
      </w:r>
      <w:r w:rsidR="00696AA1" w:rsidRPr="00C31CA4">
        <w:t xml:space="preserve">. Incidence is higher in Asia, but whether people of Asian descent living outside Asia </w:t>
      </w:r>
      <w:r w:rsidR="00043EFC" w:rsidRPr="00C31CA4">
        <w:t xml:space="preserve">are also at higher risk </w:t>
      </w:r>
      <w:r w:rsidR="00696AA1" w:rsidRPr="00C31CA4">
        <w:t>is unknown</w:t>
      </w:r>
      <w:r w:rsidR="005B4875" w:rsidRPr="00C31CA4">
        <w:t xml:space="preserve">. Because of the high risk of severe infections and bleeding, </w:t>
      </w:r>
      <w:r w:rsidR="00696AA1" w:rsidRPr="00C31CA4">
        <w:t xml:space="preserve">untreated patients </w:t>
      </w:r>
      <w:r w:rsidR="005B4875" w:rsidRPr="00C31CA4">
        <w:t>have a poor outlook</w:t>
      </w:r>
      <w:r w:rsidR="0013575D" w:rsidRPr="00C31CA4">
        <w:t xml:space="preserve">. Current supportive treatment (prophylaxis of opportunistic infection and transfusion) improves the outlook substantially, but sAA remains a life-threatening illness, with </w:t>
      </w:r>
      <w:r w:rsidR="00BA50CE" w:rsidRPr="00C31CA4">
        <w:t>reported 3-5 year</w:t>
      </w:r>
      <w:r w:rsidR="0013575D" w:rsidRPr="00C31CA4">
        <w:t xml:space="preserve"> survival of the order of 85</w:t>
      </w:r>
      <w:r w:rsidR="00BA50CE" w:rsidRPr="00C31CA4">
        <w:t>-</w:t>
      </w:r>
      <w:r w:rsidR="00BA50CE" w:rsidRPr="00C31CA4">
        <w:lastRenderedPageBreak/>
        <w:t>90</w:t>
      </w:r>
      <w:r w:rsidR="0013575D" w:rsidRPr="00C31CA4">
        <w:t xml:space="preserve">%. </w:t>
      </w:r>
      <w:r w:rsidR="008323CB" w:rsidRPr="00C31CA4">
        <w:t xml:space="preserve">The ESC noted patients with AA typically die of infections or bleeding complications. </w:t>
      </w:r>
    </w:p>
    <w:p w14:paraId="2EAA6220" w14:textId="61FDADC5" w:rsidR="00CE1F3B" w:rsidRPr="00C31CA4" w:rsidRDefault="00D57674" w:rsidP="008B3F17">
      <w:pPr>
        <w:pStyle w:val="3-BodyText"/>
      </w:pPr>
      <w:r w:rsidRPr="00C31CA4">
        <w:t>The loss of h</w:t>
      </w:r>
      <w:r w:rsidR="00CE1F3B" w:rsidRPr="00C31CA4">
        <w:t>a</w:t>
      </w:r>
      <w:r w:rsidRPr="00C31CA4">
        <w:t>em</w:t>
      </w:r>
      <w:r w:rsidR="00975C39" w:rsidRPr="00C31CA4">
        <w:t>at</w:t>
      </w:r>
      <w:r w:rsidRPr="00C31CA4">
        <w:t xml:space="preserve">opoietic stem cells is </w:t>
      </w:r>
      <w:r w:rsidR="00CE1F3B" w:rsidRPr="00C31CA4">
        <w:t xml:space="preserve">caused by autoimmune destruction. Some cases are clearly preceded by exposure to a drug or virus, but it is believed that in these cases </w:t>
      </w:r>
      <w:r w:rsidR="00CF6013" w:rsidRPr="00C31CA4">
        <w:t xml:space="preserve">also </w:t>
      </w:r>
      <w:r w:rsidR="00CE1F3B" w:rsidRPr="00C31CA4">
        <w:t>the mechanism of destruction of stem cells is autoimmune.</w:t>
      </w:r>
    </w:p>
    <w:p w14:paraId="4A5DF853" w14:textId="77777777" w:rsidR="00CB3493" w:rsidRPr="00C31CA4" w:rsidRDefault="00D060BA" w:rsidP="008B3F17">
      <w:pPr>
        <w:pStyle w:val="3-BodyText"/>
      </w:pPr>
      <w:r w:rsidRPr="00C31CA4">
        <w:t>AA can evolve into disorders characterised by acquired genetic abnormalities (“clonal evolution”): paroxysmal nocturnal h</w:t>
      </w:r>
      <w:r w:rsidR="00CE1F3B" w:rsidRPr="00C31CA4">
        <w:t>a</w:t>
      </w:r>
      <w:r w:rsidRPr="00C31CA4">
        <w:t>emoglobinuria, myelodysplasia, and acute myeloid leuk</w:t>
      </w:r>
      <w:r w:rsidR="00CE1F3B" w:rsidRPr="00C31CA4">
        <w:t>a</w:t>
      </w:r>
      <w:r w:rsidRPr="00C31CA4">
        <w:t xml:space="preserve">emia. </w:t>
      </w:r>
      <w:r w:rsidR="00CB3493" w:rsidRPr="00C31CA4">
        <w:t xml:space="preserve">It has been suggested that because eltrombopag stimulates proliferation of haematopoietic stem cells it may increase the risk of clonal evolution. </w:t>
      </w:r>
    </w:p>
    <w:p w14:paraId="1571B1CF" w14:textId="1390D61F" w:rsidR="0013564F" w:rsidRPr="00C31CA4" w:rsidRDefault="00D060BA" w:rsidP="008B3F17">
      <w:pPr>
        <w:pStyle w:val="3-BodyText"/>
      </w:pPr>
      <w:r w:rsidRPr="00C31CA4">
        <w:t>The term “severe AA” (sAA) is used when there is hypocellular bone marrow and at least two of: absolute neutrophil count in peripheral blood &lt; 0.5 x 10</w:t>
      </w:r>
      <w:r w:rsidRPr="00C31CA4">
        <w:rPr>
          <w:vertAlign w:val="superscript"/>
        </w:rPr>
        <w:t>9</w:t>
      </w:r>
      <w:r w:rsidRPr="00C31CA4">
        <w:t>/L; platelet count in peripheral blood &lt; 20 x 10</w:t>
      </w:r>
      <w:r w:rsidRPr="00C31CA4">
        <w:rPr>
          <w:vertAlign w:val="superscript"/>
        </w:rPr>
        <w:t>9</w:t>
      </w:r>
      <w:r w:rsidRPr="00C31CA4">
        <w:t xml:space="preserve">/L; </w:t>
      </w:r>
      <w:r w:rsidR="00697B92" w:rsidRPr="00C31CA4">
        <w:t>reticulocyte (immature red cell) count in peripheral blood &lt; 60 x 10</w:t>
      </w:r>
      <w:r w:rsidR="00697B92" w:rsidRPr="00C31CA4">
        <w:rPr>
          <w:vertAlign w:val="superscript"/>
        </w:rPr>
        <w:t>9</w:t>
      </w:r>
      <w:r w:rsidR="00697B92" w:rsidRPr="00C31CA4">
        <w:t>/L.</w:t>
      </w:r>
      <w:r w:rsidR="000A19E6" w:rsidRPr="00C31CA4">
        <w:t xml:space="preserve"> </w:t>
      </w:r>
      <w:r w:rsidR="00C971F0" w:rsidRPr="00C31CA4">
        <w:t>Very severe AA (vsAA) fulfills the same criteria as sAA but with an absolute neutrophil count of &lt; 0.2 x 10</w:t>
      </w:r>
      <w:r w:rsidR="00C971F0" w:rsidRPr="00C31CA4">
        <w:rPr>
          <w:vertAlign w:val="superscript"/>
        </w:rPr>
        <w:t>9</w:t>
      </w:r>
      <w:r w:rsidR="00C971F0" w:rsidRPr="00C31CA4">
        <w:t xml:space="preserve">/L. </w:t>
      </w:r>
    </w:p>
    <w:p w14:paraId="26AA9BE7" w14:textId="2F2348A2" w:rsidR="00F65CF1" w:rsidRPr="00C31CA4" w:rsidRDefault="00697B92" w:rsidP="008B3F17">
      <w:pPr>
        <w:pStyle w:val="3-BodyText"/>
      </w:pPr>
      <w:r w:rsidRPr="00C31CA4">
        <w:t xml:space="preserve">In </w:t>
      </w:r>
      <w:r w:rsidR="00875B5C" w:rsidRPr="00C31CA4">
        <w:t>patients unsuitable</w:t>
      </w:r>
      <w:r w:rsidRPr="00C31CA4">
        <w:t xml:space="preserve"> </w:t>
      </w:r>
      <w:r w:rsidR="00875B5C" w:rsidRPr="00C31CA4">
        <w:t xml:space="preserve">for </w:t>
      </w:r>
      <w:r w:rsidRPr="00C31CA4">
        <w:t xml:space="preserve">bone marrow </w:t>
      </w:r>
      <w:r w:rsidR="00875B5C" w:rsidRPr="00C31CA4">
        <w:t xml:space="preserve">transplant or lacking a </w:t>
      </w:r>
      <w:r w:rsidRPr="00C31CA4">
        <w:t xml:space="preserve">donor, </w:t>
      </w:r>
      <w:r w:rsidR="00F65CF1" w:rsidRPr="00C31CA4">
        <w:t xml:space="preserve">treatment is </w:t>
      </w:r>
      <w:r w:rsidRPr="00C31CA4">
        <w:t>immunosuppressive therapy (IST)</w:t>
      </w:r>
      <w:r w:rsidR="00F65CF1" w:rsidRPr="00C31CA4">
        <w:t>. Standard practice is to give anti-thymocyte globulin from horses (hATG)</w:t>
      </w:r>
      <w:r w:rsidR="00875B5C" w:rsidRPr="00C31CA4">
        <w:t>,</w:t>
      </w:r>
      <w:r w:rsidR="00F65CF1" w:rsidRPr="00C31CA4">
        <w:t xml:space="preserve"> </w:t>
      </w:r>
      <w:r w:rsidR="009A6886">
        <w:t>ciclosporin</w:t>
      </w:r>
      <w:r w:rsidR="00F65CF1" w:rsidRPr="00C31CA4">
        <w:t xml:space="preserve"> A (CsA), </w:t>
      </w:r>
      <w:r w:rsidR="00875B5C" w:rsidRPr="00C31CA4">
        <w:t>and</w:t>
      </w:r>
      <w:r w:rsidR="00F65CF1" w:rsidRPr="00C31CA4">
        <w:t xml:space="preserve"> eltrombopag. T</w:t>
      </w:r>
      <w:r w:rsidR="00E82FDE" w:rsidRPr="00C31CA4">
        <w:t xml:space="preserve">his use of </w:t>
      </w:r>
      <w:r w:rsidR="00F65CF1" w:rsidRPr="00C31CA4">
        <w:t xml:space="preserve">eltrombopag is </w:t>
      </w:r>
      <w:r w:rsidR="00E82FDE" w:rsidRPr="00C31CA4">
        <w:t>consistent with</w:t>
      </w:r>
      <w:r w:rsidR="00F65CF1" w:rsidRPr="00C31CA4">
        <w:t xml:space="preserve"> the </w:t>
      </w:r>
      <w:r w:rsidR="00E82FDE" w:rsidRPr="00C31CA4">
        <w:t>TGA-approved indications</w:t>
      </w:r>
      <w:r w:rsidR="000255E1" w:rsidRPr="00C31CA4">
        <w:t>.</w:t>
      </w:r>
      <w:r w:rsidR="000A19E6" w:rsidRPr="00C31CA4">
        <w:t xml:space="preserve"> </w:t>
      </w:r>
    </w:p>
    <w:p w14:paraId="2643A448" w14:textId="2CFBCB4B" w:rsidR="000255E1" w:rsidRPr="00C31CA4" w:rsidRDefault="00F65CF1" w:rsidP="008B3F17">
      <w:pPr>
        <w:pStyle w:val="3-BodyText"/>
      </w:pPr>
      <w:r w:rsidRPr="00C31CA4">
        <w:t>Patients</w:t>
      </w:r>
      <w:r w:rsidR="000255E1" w:rsidRPr="00C31CA4">
        <w:t xml:space="preserve"> who have failed IST with CsA and </w:t>
      </w:r>
      <w:r w:rsidR="00272CFA" w:rsidRPr="00C31CA4">
        <w:t>h</w:t>
      </w:r>
      <w:r w:rsidR="000255E1" w:rsidRPr="00C31CA4">
        <w:t>ATG without eltrombopag,</w:t>
      </w:r>
      <w:r w:rsidRPr="00C31CA4">
        <w:t xml:space="preserve"> </w:t>
      </w:r>
      <w:r w:rsidR="000255E1" w:rsidRPr="00C31CA4">
        <w:t>can be given eltrombopag as a single agent</w:t>
      </w:r>
      <w:r w:rsidR="00E82FDE" w:rsidRPr="00C31CA4">
        <w:t>. This use is consistent with the TGA-approved indications.</w:t>
      </w:r>
      <w:r w:rsidR="000255E1" w:rsidRPr="00C31CA4">
        <w:t xml:space="preserve"> </w:t>
      </w:r>
    </w:p>
    <w:p w14:paraId="37CC7FD7" w14:textId="298319A0" w:rsidR="008323CB" w:rsidRPr="00C31CA4" w:rsidRDefault="008323CB" w:rsidP="008B3F17">
      <w:pPr>
        <w:pStyle w:val="3-BodyText"/>
      </w:pPr>
      <w:r w:rsidRPr="00C31CA4">
        <w:t xml:space="preserve">The ESC noted AA is typically the same condition in the first-line and refractory settings with the same level of transfusion dependence and risk of infection but cumulative issues arising with a longer duration of disease i.e., platelet refractoriness, iron overload and recurrent more difficult to treat infections. </w:t>
      </w:r>
    </w:p>
    <w:p w14:paraId="4C362AAF" w14:textId="3DD61A78" w:rsidR="00D16571" w:rsidRPr="00C31CA4" w:rsidRDefault="00D16571" w:rsidP="008B3F17">
      <w:pPr>
        <w:pStyle w:val="3-BodyText"/>
      </w:pPr>
      <w:r w:rsidRPr="00C31CA4">
        <w:t xml:space="preserve">Eltrombopag is a </w:t>
      </w:r>
      <w:r w:rsidR="00A62BDA" w:rsidRPr="00C31CA4">
        <w:t xml:space="preserve">non-peptide agonist of the thrombopoietin receptor. Thrombopoietin is an important regulator of </w:t>
      </w:r>
      <w:r w:rsidR="00A4098D" w:rsidRPr="00C31CA4">
        <w:t>stem cell survival, but thrombopoietin levels are elevated in aplastic an</w:t>
      </w:r>
      <w:r w:rsidR="00272CFA" w:rsidRPr="00C31CA4">
        <w:t>a</w:t>
      </w:r>
      <w:r w:rsidR="00A4098D" w:rsidRPr="00C31CA4">
        <w:t xml:space="preserve">emia, and the mechanism by which eltrombopag </w:t>
      </w:r>
      <w:r w:rsidR="00CF61EF" w:rsidRPr="00C31CA4">
        <w:t>acts</w:t>
      </w:r>
      <w:r w:rsidR="00A4098D" w:rsidRPr="00C31CA4">
        <w:t xml:space="preserve"> in aplastic an</w:t>
      </w:r>
      <w:r w:rsidR="00975C39" w:rsidRPr="00C31CA4">
        <w:t>a</w:t>
      </w:r>
      <w:r w:rsidR="00A4098D" w:rsidRPr="00C31CA4">
        <w:t xml:space="preserve">emia is not clear. </w:t>
      </w:r>
    </w:p>
    <w:p w14:paraId="768EC939" w14:textId="4FC0E71C" w:rsidR="004017D4" w:rsidRPr="00C31CA4" w:rsidRDefault="00277800" w:rsidP="008B3F17">
      <w:pPr>
        <w:pStyle w:val="3-BodyText"/>
      </w:pPr>
      <w:r w:rsidRPr="00C31CA4">
        <w:t xml:space="preserve">The principal adverse events associated with eltrombopag in trials for idiopathic thrombocytopenic purpura have been thrombo-embolic events associated with exuberant platelet responses, and elevation of transaminases and bilirubin, </w:t>
      </w:r>
      <w:r w:rsidR="00043EFC" w:rsidRPr="00C31CA4">
        <w:t>mostly mild and without</w:t>
      </w:r>
      <w:r w:rsidRPr="00C31CA4">
        <w:t xml:space="preserve"> hepatic functional impairment.</w:t>
      </w:r>
      <w:r w:rsidR="000A19E6" w:rsidRPr="00C31CA4">
        <w:t xml:space="preserve"> </w:t>
      </w:r>
    </w:p>
    <w:p w14:paraId="51E5AE96" w14:textId="4E36C82F" w:rsidR="00B50DB8" w:rsidRPr="00C31CA4" w:rsidRDefault="00B50DB8" w:rsidP="00723B50">
      <w:pPr>
        <w:pStyle w:val="2-SectionHeading"/>
      </w:pPr>
      <w:bookmarkStart w:id="13" w:name="_Toc144676125"/>
      <w:r w:rsidRPr="00C31CA4">
        <w:t>Comparator</w:t>
      </w:r>
      <w:bookmarkEnd w:id="13"/>
    </w:p>
    <w:p w14:paraId="42FCE36F" w14:textId="4ED457C1" w:rsidR="00E82FDE" w:rsidRPr="00C31CA4" w:rsidRDefault="00ED5BD4" w:rsidP="008B3F17">
      <w:pPr>
        <w:pStyle w:val="3-BodyText"/>
        <w:rPr>
          <w:i/>
          <w:iCs/>
        </w:rPr>
      </w:pPr>
      <w:r w:rsidRPr="00C31CA4">
        <w:t>The submission nominated</w:t>
      </w:r>
      <w:r w:rsidR="00B27CBB" w:rsidRPr="00C31CA4">
        <w:t xml:space="preserve"> </w:t>
      </w:r>
      <w:r w:rsidR="00E82FDE" w:rsidRPr="00C31CA4">
        <w:t xml:space="preserve">hATG + CsA </w:t>
      </w:r>
      <w:r w:rsidRPr="00C31CA4">
        <w:t>as the comparator</w:t>
      </w:r>
      <w:r w:rsidR="00E82FDE" w:rsidRPr="00C31CA4">
        <w:t xml:space="preserve"> for treatment-naïve patients with sAA</w:t>
      </w:r>
      <w:r w:rsidR="00C31CA4">
        <w:t xml:space="preserve">. </w:t>
      </w:r>
      <w:r w:rsidR="003E1788" w:rsidRPr="00C31CA4">
        <w:t>The ESC considered this was the appropriate comparator, noting that eltrombopag is given in combination with hATG and CsA</w:t>
      </w:r>
      <w:r w:rsidR="00C31CA4">
        <w:t xml:space="preserve">. </w:t>
      </w:r>
    </w:p>
    <w:p w14:paraId="47D9B48A" w14:textId="62139C50" w:rsidR="002C2775" w:rsidRPr="00C31CA4" w:rsidRDefault="00E82FDE" w:rsidP="008B3F17">
      <w:pPr>
        <w:pStyle w:val="3-BodyText"/>
      </w:pPr>
      <w:r w:rsidRPr="00C31CA4">
        <w:lastRenderedPageBreak/>
        <w:t xml:space="preserve">No comparator </w:t>
      </w:r>
      <w:r w:rsidR="004929FF" w:rsidRPr="00C31CA4">
        <w:t>wa</w:t>
      </w:r>
      <w:r w:rsidRPr="00C31CA4">
        <w:t xml:space="preserve">s nominated </w:t>
      </w:r>
      <w:r w:rsidR="00A51DFB" w:rsidRPr="00C31CA4">
        <w:t>for</w:t>
      </w:r>
      <w:r w:rsidRPr="00C31CA4">
        <w:t xml:space="preserve"> patients receiving eltrombopag as second-line treatment.</w:t>
      </w:r>
      <w:r w:rsidR="000A19E6" w:rsidRPr="00C31CA4">
        <w:t xml:space="preserve"> </w:t>
      </w:r>
      <w:r w:rsidR="00F35246" w:rsidRPr="00C31CA4">
        <w:t>The submission stated that there are no effective, established standard-of-care treatments available for sAA with an insufficient response to IST and ineligible for HSCT, other than infection treatment and transfusion support.</w:t>
      </w:r>
    </w:p>
    <w:p w14:paraId="7F9C27C8" w14:textId="77777777" w:rsidR="00223D5A" w:rsidRPr="00C31CA4" w:rsidRDefault="00223D5A" w:rsidP="00223D5A">
      <w:pPr>
        <w:pStyle w:val="2-SectionHeading"/>
      </w:pPr>
      <w:bookmarkStart w:id="14" w:name="_Toc144676126"/>
      <w:bookmarkStart w:id="15" w:name="_Toc22897640"/>
      <w:r w:rsidRPr="00C31CA4">
        <w:t>Consideration of the evidence</w:t>
      </w:r>
      <w:bookmarkEnd w:id="14"/>
    </w:p>
    <w:p w14:paraId="163504E1" w14:textId="77777777" w:rsidR="00780A49" w:rsidRPr="00C31CA4" w:rsidRDefault="00780A49" w:rsidP="00780A49">
      <w:pPr>
        <w:pStyle w:val="4-SubsectionHeading"/>
      </w:pPr>
      <w:bookmarkStart w:id="16" w:name="_Toc144676127"/>
      <w:r w:rsidRPr="00C31CA4">
        <w:t>Sponsor hearing</w:t>
      </w:r>
    </w:p>
    <w:p w14:paraId="0B08F6AC" w14:textId="40FD0239" w:rsidR="00780A49" w:rsidRPr="00C31CA4" w:rsidRDefault="00780A49" w:rsidP="00780A49">
      <w:pPr>
        <w:widowControl w:val="0"/>
        <w:numPr>
          <w:ilvl w:val="1"/>
          <w:numId w:val="1"/>
        </w:numPr>
        <w:spacing w:after="120"/>
        <w:ind w:left="720"/>
        <w:rPr>
          <w:rFonts w:asciiTheme="minorHAnsi" w:hAnsiTheme="minorHAnsi"/>
          <w:bCs/>
          <w:snapToGrid w:val="0"/>
        </w:rPr>
      </w:pPr>
      <w:bookmarkStart w:id="17" w:name="_Hlk76382586"/>
      <w:r w:rsidRPr="00C31CA4">
        <w:rPr>
          <w:rFonts w:asciiTheme="minorHAnsi" w:hAnsiTheme="minorHAnsi"/>
          <w:bCs/>
          <w:snapToGrid w:val="0"/>
        </w:rPr>
        <w:t>The sponsor requested a hearing for this item. The clinician discussed the natural history of the disease, how the drug would be used in practice, and addressed other matters in response to the Committee’s questions.</w:t>
      </w:r>
      <w:r w:rsidR="00801F09">
        <w:rPr>
          <w:rFonts w:asciiTheme="minorHAnsi" w:hAnsiTheme="minorHAnsi"/>
          <w:bCs/>
          <w:snapToGrid w:val="0"/>
        </w:rPr>
        <w:t xml:space="preserve"> The PBAC acknowledged the significant work by HSANZ in bringing this request to the PBAC.</w:t>
      </w:r>
    </w:p>
    <w:bookmarkEnd w:id="17"/>
    <w:p w14:paraId="125F9F4B" w14:textId="77777777" w:rsidR="00780A49" w:rsidRPr="00C31CA4" w:rsidRDefault="00780A49" w:rsidP="00780A49">
      <w:pPr>
        <w:pStyle w:val="4-SubsectionHeading"/>
      </w:pPr>
      <w:r w:rsidRPr="00C31CA4">
        <w:t>Consumer comments</w:t>
      </w:r>
    </w:p>
    <w:p w14:paraId="64FB6B7A" w14:textId="2D8951AC" w:rsidR="00633650" w:rsidRPr="00C31CA4" w:rsidRDefault="00780A49" w:rsidP="00633650">
      <w:pPr>
        <w:widowControl w:val="0"/>
        <w:numPr>
          <w:ilvl w:val="1"/>
          <w:numId w:val="1"/>
        </w:numPr>
        <w:spacing w:after="120"/>
        <w:ind w:left="720"/>
        <w:rPr>
          <w:rFonts w:asciiTheme="minorHAnsi" w:hAnsiTheme="minorHAnsi"/>
          <w:bCs/>
          <w:snapToGrid w:val="0"/>
        </w:rPr>
      </w:pPr>
      <w:r w:rsidRPr="00C31CA4">
        <w:rPr>
          <w:rFonts w:asciiTheme="minorHAnsi" w:hAnsiTheme="minorHAnsi"/>
          <w:bCs/>
          <w:snapToGrid w:val="0"/>
        </w:rPr>
        <w:t xml:space="preserve">The PBAC noted and welcomed the input from health care professionals (11) and organisations (1) via the Consumer Comments facility on the PBS website. The comments described a range of benefits of treatment with </w:t>
      </w:r>
      <w:r w:rsidR="00312AF8" w:rsidRPr="00C31CA4">
        <w:rPr>
          <w:rFonts w:asciiTheme="minorHAnsi" w:hAnsiTheme="minorHAnsi"/>
          <w:bCs/>
          <w:snapToGrid w:val="0"/>
        </w:rPr>
        <w:t>eltrombopag</w:t>
      </w:r>
      <w:r w:rsidRPr="00C31CA4">
        <w:rPr>
          <w:rFonts w:asciiTheme="minorHAnsi" w:hAnsiTheme="minorHAnsi"/>
          <w:bCs/>
          <w:snapToGrid w:val="0"/>
        </w:rPr>
        <w:t xml:space="preserve"> including the </w:t>
      </w:r>
      <w:r w:rsidR="00312AF8" w:rsidRPr="00C31CA4">
        <w:rPr>
          <w:rFonts w:asciiTheme="minorHAnsi" w:hAnsiTheme="minorHAnsi"/>
          <w:bCs/>
          <w:snapToGrid w:val="0"/>
        </w:rPr>
        <w:t>increased overall and complete response rates, reduced need for platelet transfusions, and resulting decrease in complications. The comments described the potential side effects of eltrombopag as manageable, with the benefits outweighing the risks.</w:t>
      </w:r>
      <w:r w:rsidR="00312AF8" w:rsidRPr="00C31CA4">
        <w:t xml:space="preserve"> </w:t>
      </w:r>
      <w:r w:rsidR="00312AF8" w:rsidRPr="00C31CA4">
        <w:rPr>
          <w:rFonts w:asciiTheme="minorHAnsi" w:hAnsiTheme="minorHAnsi"/>
          <w:bCs/>
          <w:snapToGrid w:val="0"/>
        </w:rPr>
        <w:t xml:space="preserve">Comments described the significant impacts of sAA on quality of life, as well as the effects of current treatment options and long hospital stays, and the complications resulting from both. Input noted the improvements to quality of life observed for an individual undergoing eltrombopag treatment, including </w:t>
      </w:r>
      <w:r w:rsidR="00206080">
        <w:rPr>
          <w:rFonts w:asciiTheme="minorHAnsi" w:hAnsiTheme="minorHAnsi"/>
          <w:bCs/>
          <w:snapToGrid w:val="0"/>
        </w:rPr>
        <w:t>fewer</w:t>
      </w:r>
      <w:r w:rsidR="00206080" w:rsidRPr="00C31CA4">
        <w:rPr>
          <w:rFonts w:asciiTheme="minorHAnsi" w:hAnsiTheme="minorHAnsi"/>
          <w:bCs/>
          <w:snapToGrid w:val="0"/>
        </w:rPr>
        <w:t xml:space="preserve"> </w:t>
      </w:r>
      <w:r w:rsidR="00312AF8" w:rsidRPr="00C31CA4">
        <w:rPr>
          <w:rFonts w:asciiTheme="minorHAnsi" w:hAnsiTheme="minorHAnsi"/>
          <w:bCs/>
          <w:snapToGrid w:val="0"/>
        </w:rPr>
        <w:t xml:space="preserve">blood tests, </w:t>
      </w:r>
      <w:r w:rsidR="00206080">
        <w:rPr>
          <w:rFonts w:asciiTheme="minorHAnsi" w:hAnsiTheme="minorHAnsi"/>
          <w:bCs/>
          <w:snapToGrid w:val="0"/>
        </w:rPr>
        <w:t>fewer</w:t>
      </w:r>
      <w:r w:rsidR="00206080" w:rsidRPr="00C31CA4">
        <w:rPr>
          <w:rFonts w:asciiTheme="minorHAnsi" w:hAnsiTheme="minorHAnsi"/>
          <w:bCs/>
          <w:snapToGrid w:val="0"/>
        </w:rPr>
        <w:t xml:space="preserve"> </w:t>
      </w:r>
      <w:r w:rsidR="00312AF8" w:rsidRPr="00C31CA4">
        <w:rPr>
          <w:rFonts w:asciiTheme="minorHAnsi" w:hAnsiTheme="minorHAnsi"/>
          <w:bCs/>
          <w:snapToGrid w:val="0"/>
        </w:rPr>
        <w:t xml:space="preserve">trips to the hospital, and </w:t>
      </w:r>
      <w:r w:rsidR="00206080">
        <w:rPr>
          <w:rFonts w:asciiTheme="minorHAnsi" w:hAnsiTheme="minorHAnsi"/>
          <w:bCs/>
          <w:snapToGrid w:val="0"/>
        </w:rPr>
        <w:t>fewer</w:t>
      </w:r>
      <w:r w:rsidR="00206080" w:rsidRPr="00C31CA4">
        <w:rPr>
          <w:rFonts w:asciiTheme="minorHAnsi" w:hAnsiTheme="minorHAnsi"/>
          <w:bCs/>
          <w:snapToGrid w:val="0"/>
        </w:rPr>
        <w:t xml:space="preserve"> </w:t>
      </w:r>
      <w:r w:rsidR="00312AF8" w:rsidRPr="00C31CA4">
        <w:rPr>
          <w:rFonts w:asciiTheme="minorHAnsi" w:hAnsiTheme="minorHAnsi"/>
          <w:bCs/>
          <w:snapToGrid w:val="0"/>
        </w:rPr>
        <w:t>transfusions.</w:t>
      </w:r>
      <w:r w:rsidR="00B929B0" w:rsidRPr="00C31CA4">
        <w:t xml:space="preserve"> Comments noted the </w:t>
      </w:r>
      <w:r w:rsidR="00212569">
        <w:t xml:space="preserve">significant </w:t>
      </w:r>
      <w:r w:rsidR="00B929B0" w:rsidRPr="00C31CA4">
        <w:rPr>
          <w:rFonts w:asciiTheme="minorHAnsi" w:hAnsiTheme="minorHAnsi"/>
          <w:bCs/>
          <w:snapToGrid w:val="0"/>
        </w:rPr>
        <w:t>cost of eltrombopag but noted the rarity of the disease, as well as the reduction in other resources, such as blood products, and resources associated with hospital admissions.</w:t>
      </w:r>
      <w:r w:rsidR="00212569">
        <w:rPr>
          <w:rFonts w:asciiTheme="minorHAnsi" w:hAnsiTheme="minorHAnsi"/>
          <w:bCs/>
          <w:snapToGrid w:val="0"/>
        </w:rPr>
        <w:t xml:space="preserve"> Some comments noted that inclusion of eltrombopag on the PBS for sAA would improve equity of access.</w:t>
      </w:r>
    </w:p>
    <w:p w14:paraId="33C72A1F" w14:textId="11683509" w:rsidR="00633650" w:rsidRPr="00C31CA4" w:rsidRDefault="00633650" w:rsidP="00633650">
      <w:pPr>
        <w:widowControl w:val="0"/>
        <w:numPr>
          <w:ilvl w:val="1"/>
          <w:numId w:val="1"/>
        </w:numPr>
        <w:spacing w:after="120"/>
        <w:ind w:left="720"/>
        <w:rPr>
          <w:rFonts w:asciiTheme="minorHAnsi" w:hAnsiTheme="minorHAnsi"/>
          <w:bCs/>
          <w:snapToGrid w:val="0"/>
        </w:rPr>
      </w:pPr>
      <w:r w:rsidRPr="00C31CA4">
        <w:rPr>
          <w:bCs/>
          <w:snapToGrid w:val="0"/>
        </w:rPr>
        <w:t xml:space="preserve">The National Paediatric Medicines Forum outlined the experience of Children’s Hospitals in using eltrombopag in paediatric patients and stated the availability of eltrombopag for sAA would </w:t>
      </w:r>
      <w:r w:rsidRPr="00C31CA4">
        <w:rPr>
          <w:bCs/>
        </w:rPr>
        <w:t>improve equity of access and clinical outcomes for paediatric patients with sAA.</w:t>
      </w:r>
    </w:p>
    <w:p w14:paraId="609C0765" w14:textId="0C3F76BE" w:rsidR="00B60939" w:rsidRPr="00C31CA4" w:rsidRDefault="00B60939" w:rsidP="002E4F02">
      <w:pPr>
        <w:pStyle w:val="4-SubsectionHeading"/>
      </w:pPr>
      <w:r w:rsidRPr="00C31CA4">
        <w:t xml:space="preserve">Clinical </w:t>
      </w:r>
      <w:bookmarkEnd w:id="15"/>
      <w:r w:rsidR="00187A90" w:rsidRPr="00C31CA4">
        <w:t>s</w:t>
      </w:r>
      <w:r w:rsidR="00FB275E" w:rsidRPr="00C31CA4">
        <w:t>tudies</w:t>
      </w:r>
      <w:bookmarkEnd w:id="16"/>
    </w:p>
    <w:p w14:paraId="1ABF5ED0" w14:textId="31A36304" w:rsidR="00CA7C80" w:rsidRPr="00C31CA4" w:rsidRDefault="000C7A0E" w:rsidP="008B3F17">
      <w:pPr>
        <w:pStyle w:val="3-BodyText"/>
        <w:rPr>
          <w:color w:val="0066FF"/>
        </w:rPr>
      </w:pPr>
      <w:r w:rsidRPr="00C31CA4">
        <w:rPr>
          <w:snapToGrid/>
        </w:rPr>
        <w:t>For first</w:t>
      </w:r>
      <w:r w:rsidR="00A65ACC" w:rsidRPr="00C31CA4">
        <w:rPr>
          <w:snapToGrid/>
        </w:rPr>
        <w:t>-</w:t>
      </w:r>
      <w:r w:rsidRPr="00C31CA4">
        <w:rPr>
          <w:snapToGrid/>
        </w:rPr>
        <w:t>line treatment, t</w:t>
      </w:r>
      <w:r w:rsidR="00A73134" w:rsidRPr="00C31CA4">
        <w:rPr>
          <w:snapToGrid/>
        </w:rPr>
        <w:t xml:space="preserve">he submission </w:t>
      </w:r>
      <w:r w:rsidRPr="00C31CA4">
        <w:rPr>
          <w:snapToGrid/>
        </w:rPr>
        <w:t>presented</w:t>
      </w:r>
      <w:r w:rsidR="00CA7C80" w:rsidRPr="00C31CA4">
        <w:rPr>
          <w:snapToGrid/>
        </w:rPr>
        <w:t xml:space="preserve"> </w:t>
      </w:r>
      <w:r w:rsidR="00A73134" w:rsidRPr="00C31CA4">
        <w:rPr>
          <w:snapToGrid/>
        </w:rPr>
        <w:t xml:space="preserve">one </w:t>
      </w:r>
      <w:r w:rsidR="00FB275E" w:rsidRPr="00C31CA4">
        <w:rPr>
          <w:snapToGrid/>
        </w:rPr>
        <w:t xml:space="preserve">open-label </w:t>
      </w:r>
      <w:r w:rsidR="00A2040D" w:rsidRPr="00C31CA4">
        <w:rPr>
          <w:snapToGrid/>
        </w:rPr>
        <w:t>randomi</w:t>
      </w:r>
      <w:r w:rsidR="00975796" w:rsidRPr="00C31CA4">
        <w:rPr>
          <w:snapToGrid/>
        </w:rPr>
        <w:t>s</w:t>
      </w:r>
      <w:r w:rsidR="00A2040D" w:rsidRPr="00C31CA4">
        <w:rPr>
          <w:snapToGrid/>
        </w:rPr>
        <w:t xml:space="preserve">ed </w:t>
      </w:r>
      <w:r w:rsidR="003E1BA9" w:rsidRPr="00C31CA4">
        <w:rPr>
          <w:snapToGrid/>
        </w:rPr>
        <w:t>trial</w:t>
      </w:r>
      <w:r w:rsidR="00CA7C80" w:rsidRPr="00C31CA4">
        <w:rPr>
          <w:snapToGrid/>
        </w:rPr>
        <w:t xml:space="preserve"> comparing hATG + CsA + eltrombopag</w:t>
      </w:r>
      <w:r w:rsidR="00A73134" w:rsidRPr="00C31CA4">
        <w:rPr>
          <w:snapToGrid/>
        </w:rPr>
        <w:t xml:space="preserve"> </w:t>
      </w:r>
      <w:r w:rsidR="00CA7C80" w:rsidRPr="00C31CA4">
        <w:rPr>
          <w:snapToGrid/>
        </w:rPr>
        <w:t xml:space="preserve">to hATG + CsA. </w:t>
      </w:r>
      <w:r w:rsidRPr="00C31CA4">
        <w:rPr>
          <w:snapToGrid/>
        </w:rPr>
        <w:t>For second</w:t>
      </w:r>
      <w:r w:rsidR="00A65ACC" w:rsidRPr="00C31CA4">
        <w:rPr>
          <w:snapToGrid/>
        </w:rPr>
        <w:t>-</w:t>
      </w:r>
      <w:r w:rsidRPr="00C31CA4">
        <w:rPr>
          <w:snapToGrid/>
        </w:rPr>
        <w:t>line treatment, t</w:t>
      </w:r>
      <w:r w:rsidR="00CA7C80" w:rsidRPr="00C31CA4">
        <w:rPr>
          <w:snapToGrid/>
        </w:rPr>
        <w:t xml:space="preserve">he submission </w:t>
      </w:r>
      <w:r w:rsidRPr="00C31CA4">
        <w:rPr>
          <w:snapToGrid/>
        </w:rPr>
        <w:t>presented</w:t>
      </w:r>
      <w:r w:rsidR="00CA7C80" w:rsidRPr="00C31CA4">
        <w:rPr>
          <w:snapToGrid/>
        </w:rPr>
        <w:t xml:space="preserve"> </w:t>
      </w:r>
      <w:r w:rsidR="00333704" w:rsidRPr="00C31CA4">
        <w:rPr>
          <w:snapToGrid/>
        </w:rPr>
        <w:t xml:space="preserve">a </w:t>
      </w:r>
      <w:r w:rsidR="00CA7C80" w:rsidRPr="00C31CA4">
        <w:rPr>
          <w:snapToGrid/>
        </w:rPr>
        <w:t xml:space="preserve">single case series. These </w:t>
      </w:r>
      <w:r w:rsidR="006255F7" w:rsidRPr="00C31CA4">
        <w:rPr>
          <w:snapToGrid/>
        </w:rPr>
        <w:t>studies</w:t>
      </w:r>
      <w:r w:rsidR="00CA7C80" w:rsidRPr="00C31CA4">
        <w:rPr>
          <w:snapToGrid/>
        </w:rPr>
        <w:t xml:space="preserve"> are </w:t>
      </w:r>
      <w:r w:rsidR="00A2040D" w:rsidRPr="00C31CA4">
        <w:rPr>
          <w:snapToGrid/>
        </w:rPr>
        <w:t xml:space="preserve">listed </w:t>
      </w:r>
      <w:r w:rsidR="00CA7C80" w:rsidRPr="00C31CA4">
        <w:rPr>
          <w:snapToGrid/>
        </w:rPr>
        <w:t>in</w:t>
      </w:r>
      <w:r w:rsidR="0001199D" w:rsidRPr="00C31CA4">
        <w:rPr>
          <w:snapToGrid/>
        </w:rPr>
        <w:t xml:space="preserve"> </w:t>
      </w:r>
      <w:r w:rsidR="0001199D" w:rsidRPr="00C31CA4">
        <w:rPr>
          <w:snapToGrid/>
        </w:rPr>
        <w:fldChar w:fldCharType="begin" w:fldLock="1"/>
      </w:r>
      <w:r w:rsidR="0001199D" w:rsidRPr="00C31CA4">
        <w:rPr>
          <w:snapToGrid/>
        </w:rPr>
        <w:instrText xml:space="preserve"> REF _Ref136944545 \h </w:instrText>
      </w:r>
      <w:r w:rsidR="0001199D" w:rsidRPr="00C31CA4">
        <w:rPr>
          <w:snapToGrid/>
        </w:rPr>
      </w:r>
      <w:r w:rsidR="0001199D" w:rsidRPr="00C31CA4">
        <w:rPr>
          <w:snapToGrid/>
        </w:rPr>
        <w:fldChar w:fldCharType="separate"/>
      </w:r>
      <w:r w:rsidR="00897FA1" w:rsidRPr="00C31CA4">
        <w:t xml:space="preserve">Table </w:t>
      </w:r>
      <w:r w:rsidR="00897FA1">
        <w:rPr>
          <w:noProof/>
        </w:rPr>
        <w:t>2</w:t>
      </w:r>
      <w:r w:rsidR="0001199D" w:rsidRPr="00C31CA4">
        <w:rPr>
          <w:snapToGrid/>
        </w:rPr>
        <w:fldChar w:fldCharType="end"/>
      </w:r>
      <w:r w:rsidR="00CA7C80" w:rsidRPr="00C31CA4">
        <w:rPr>
          <w:snapToGrid/>
        </w:rPr>
        <w:t xml:space="preserve">. </w:t>
      </w:r>
    </w:p>
    <w:p w14:paraId="1C4B984C" w14:textId="12C47655" w:rsidR="00B05770" w:rsidRPr="00C31CA4" w:rsidRDefault="00104EFD" w:rsidP="008B3F17">
      <w:pPr>
        <w:pStyle w:val="3-BodyText"/>
      </w:pPr>
      <w:r w:rsidRPr="00C31CA4">
        <w:t>A</w:t>
      </w:r>
      <w:r w:rsidR="009E3BC7" w:rsidRPr="00C31CA4">
        <w:t xml:space="preserve"> number of</w:t>
      </w:r>
      <w:r w:rsidR="00073E8A" w:rsidRPr="00C31CA4">
        <w:t xml:space="preserve"> </w:t>
      </w:r>
      <w:r w:rsidR="00CA7C80" w:rsidRPr="00C31CA4">
        <w:t xml:space="preserve">additional </w:t>
      </w:r>
      <w:r w:rsidR="00FB275E" w:rsidRPr="00C31CA4">
        <w:t>studies</w:t>
      </w:r>
      <w:r w:rsidRPr="00C31CA4">
        <w:t xml:space="preserve"> were identified during the evaluation</w:t>
      </w:r>
      <w:r w:rsidR="009E3BC7" w:rsidRPr="00C31CA4">
        <w:t xml:space="preserve">, including a randomised controlled </w:t>
      </w:r>
      <w:r w:rsidR="00754E6A" w:rsidRPr="00C31CA4">
        <w:t>study</w:t>
      </w:r>
      <w:r w:rsidR="009E3BC7" w:rsidRPr="00C31CA4">
        <w:t xml:space="preserve"> in children</w:t>
      </w:r>
      <w:r w:rsidR="003E1BA9" w:rsidRPr="00C31CA4">
        <w:rPr>
          <w:snapToGrid/>
        </w:rPr>
        <w:t>,</w:t>
      </w:r>
      <w:r w:rsidR="008A0850" w:rsidRPr="00C31CA4">
        <w:rPr>
          <w:snapToGrid/>
        </w:rPr>
        <w:t xml:space="preserve"> </w:t>
      </w:r>
      <w:r w:rsidR="003E1BA9" w:rsidRPr="00C31CA4">
        <w:rPr>
          <w:snapToGrid/>
        </w:rPr>
        <w:t xml:space="preserve">and two </w:t>
      </w:r>
      <w:r w:rsidR="001E3D92" w:rsidRPr="00C31CA4">
        <w:rPr>
          <w:snapToGrid/>
        </w:rPr>
        <w:t>recent systematic review</w:t>
      </w:r>
      <w:r w:rsidR="003E1BA9" w:rsidRPr="00C31CA4">
        <w:rPr>
          <w:snapToGrid/>
        </w:rPr>
        <w:t xml:space="preserve">s, one </w:t>
      </w:r>
      <w:r w:rsidR="004E321E" w:rsidRPr="00C31CA4">
        <w:rPr>
          <w:snapToGrid/>
        </w:rPr>
        <w:t xml:space="preserve">a </w:t>
      </w:r>
      <w:r w:rsidR="004E321E" w:rsidRPr="00C31CA4">
        <w:rPr>
          <w:snapToGrid/>
        </w:rPr>
        <w:lastRenderedPageBreak/>
        <w:t xml:space="preserve">systematic review and meta-analysis </w:t>
      </w:r>
      <w:r w:rsidR="003E1BA9" w:rsidRPr="00C31CA4">
        <w:rPr>
          <w:snapToGrid/>
        </w:rPr>
        <w:t>of data in adults and children</w:t>
      </w:r>
      <w:r w:rsidR="006645D7" w:rsidRPr="00C31CA4">
        <w:rPr>
          <w:snapToGrid/>
        </w:rPr>
        <w:t xml:space="preserve"> (Zhang 2023)</w:t>
      </w:r>
      <w:r w:rsidR="001E3D92" w:rsidRPr="00C31CA4">
        <w:rPr>
          <w:snapToGrid/>
        </w:rPr>
        <w:t xml:space="preserve"> </w:t>
      </w:r>
      <w:r w:rsidR="003E1BA9" w:rsidRPr="00C31CA4">
        <w:rPr>
          <w:snapToGrid/>
        </w:rPr>
        <w:t xml:space="preserve">and one </w:t>
      </w:r>
      <w:r w:rsidR="004E321E" w:rsidRPr="00C31CA4">
        <w:rPr>
          <w:snapToGrid/>
        </w:rPr>
        <w:t xml:space="preserve">a systematic review </w:t>
      </w:r>
      <w:r w:rsidR="003E1BA9" w:rsidRPr="00C31CA4">
        <w:rPr>
          <w:snapToGrid/>
        </w:rPr>
        <w:t xml:space="preserve">of data in children (Marrapodi, 2023). </w:t>
      </w:r>
    </w:p>
    <w:p w14:paraId="17DE34DC" w14:textId="24B2EA5A" w:rsidR="007F1017" w:rsidRPr="00C31CA4" w:rsidRDefault="008A0850" w:rsidP="008B3F17">
      <w:pPr>
        <w:pStyle w:val="3-BodyText"/>
        <w:rPr>
          <w:color w:val="0066FF"/>
        </w:rPr>
      </w:pPr>
      <w:r w:rsidRPr="00C31CA4">
        <w:rPr>
          <w:snapToGrid/>
        </w:rPr>
        <w:t>Th</w:t>
      </w:r>
      <w:r w:rsidR="00FB275E" w:rsidRPr="00C31CA4">
        <w:rPr>
          <w:snapToGrid/>
        </w:rPr>
        <w:t>e</w:t>
      </w:r>
      <w:r w:rsidR="001E3D92" w:rsidRPr="00C31CA4">
        <w:rPr>
          <w:snapToGrid/>
        </w:rPr>
        <w:t xml:space="preserve"> studies not presented in the submission but considered relevant</w:t>
      </w:r>
      <w:r w:rsidR="00FB275E" w:rsidRPr="00C31CA4">
        <w:rPr>
          <w:snapToGrid/>
        </w:rPr>
        <w:t xml:space="preserve"> are</w:t>
      </w:r>
      <w:r w:rsidRPr="00C31CA4">
        <w:rPr>
          <w:snapToGrid/>
        </w:rPr>
        <w:t xml:space="preserve"> </w:t>
      </w:r>
      <w:r w:rsidR="00A06F62" w:rsidRPr="00C31CA4">
        <w:rPr>
          <w:snapToGrid/>
        </w:rPr>
        <w:t xml:space="preserve">listed </w:t>
      </w:r>
      <w:r w:rsidRPr="00C31CA4">
        <w:rPr>
          <w:snapToGrid/>
        </w:rPr>
        <w:t>in</w:t>
      </w:r>
      <w:r w:rsidR="0001199D" w:rsidRPr="00C31CA4">
        <w:rPr>
          <w:snapToGrid/>
        </w:rPr>
        <w:t xml:space="preserve"> </w:t>
      </w:r>
      <w:r w:rsidR="0001199D" w:rsidRPr="00C31CA4">
        <w:rPr>
          <w:snapToGrid/>
        </w:rPr>
        <w:fldChar w:fldCharType="begin" w:fldLock="1"/>
      </w:r>
      <w:r w:rsidR="0001199D" w:rsidRPr="00C31CA4">
        <w:rPr>
          <w:snapToGrid/>
        </w:rPr>
        <w:instrText xml:space="preserve"> REF _Ref143459574 \h  \* MERGEFORMAT </w:instrText>
      </w:r>
      <w:r w:rsidR="0001199D" w:rsidRPr="00C31CA4">
        <w:rPr>
          <w:snapToGrid/>
        </w:rPr>
      </w:r>
      <w:r w:rsidR="0001199D" w:rsidRPr="00C31CA4">
        <w:rPr>
          <w:snapToGrid/>
        </w:rPr>
        <w:fldChar w:fldCharType="separate"/>
      </w:r>
      <w:r w:rsidR="00897FA1" w:rsidRPr="00C31CA4">
        <w:t xml:space="preserve">Table </w:t>
      </w:r>
      <w:r w:rsidR="00897FA1">
        <w:t>3</w:t>
      </w:r>
      <w:r w:rsidR="0001199D" w:rsidRPr="00C31CA4">
        <w:rPr>
          <w:snapToGrid/>
        </w:rPr>
        <w:fldChar w:fldCharType="end"/>
      </w:r>
      <w:r w:rsidRPr="00C31CA4">
        <w:rPr>
          <w:snapToGrid/>
        </w:rPr>
        <w:t xml:space="preserve">. </w:t>
      </w:r>
    </w:p>
    <w:p w14:paraId="28533452" w14:textId="64358CDD" w:rsidR="00CA7C80" w:rsidRPr="00C31CA4" w:rsidRDefault="00CA7C80" w:rsidP="00CA7C80">
      <w:pPr>
        <w:pStyle w:val="TableFigureHeading"/>
      </w:pPr>
      <w:bookmarkStart w:id="18" w:name="_Ref136944545"/>
      <w:r w:rsidRPr="00C31CA4">
        <w:t xml:space="preserve">Table </w:t>
      </w:r>
      <w:fldSimple w:instr=" SEQ Table \* ARABIC " w:fldLock="1">
        <w:r w:rsidR="00897FA1">
          <w:rPr>
            <w:noProof/>
          </w:rPr>
          <w:t>2</w:t>
        </w:r>
      </w:fldSimple>
      <w:bookmarkEnd w:id="18"/>
      <w:r w:rsidR="00A01B97" w:rsidRPr="00C31CA4">
        <w:t>:</w:t>
      </w:r>
      <w:r w:rsidRPr="00C31CA4">
        <w:t xml:space="preserve"> </w:t>
      </w:r>
      <w:r w:rsidR="00C4301B" w:rsidRPr="00C31CA4">
        <w:t>C</w:t>
      </w:r>
      <w:r w:rsidRPr="00C31CA4">
        <w:t>linical studies</w:t>
      </w:r>
      <w:r w:rsidR="00C4301B" w:rsidRPr="00C31CA4">
        <w:t xml:space="preserve"> included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86"/>
        <w:gridCol w:w="4561"/>
        <w:gridCol w:w="2770"/>
      </w:tblGrid>
      <w:tr w:rsidR="0048454B" w:rsidRPr="00C31CA4" w14:paraId="6CDB53D8" w14:textId="77777777" w:rsidTr="0048454B">
        <w:trPr>
          <w:tblHeader/>
        </w:trPr>
        <w:tc>
          <w:tcPr>
            <w:tcW w:w="935" w:type="pct"/>
          </w:tcPr>
          <w:p w14:paraId="1B0AFF8A" w14:textId="77777777" w:rsidR="00CA7C80" w:rsidRPr="00C31CA4" w:rsidRDefault="00CA7C80" w:rsidP="00CA7C80">
            <w:pPr>
              <w:pStyle w:val="TableText0"/>
              <w:rPr>
                <w:b/>
                <w:bCs w:val="0"/>
              </w:rPr>
            </w:pPr>
            <w:r w:rsidRPr="00C31CA4">
              <w:rPr>
                <w:b/>
                <w:bCs w:val="0"/>
              </w:rPr>
              <w:t>Trial ID</w:t>
            </w:r>
          </w:p>
        </w:tc>
        <w:tc>
          <w:tcPr>
            <w:tcW w:w="2529" w:type="pct"/>
          </w:tcPr>
          <w:p w14:paraId="0FFA0B21" w14:textId="77777777" w:rsidR="00CA7C80" w:rsidRPr="00C31CA4" w:rsidRDefault="00CA7C80" w:rsidP="00CA7C80">
            <w:pPr>
              <w:pStyle w:val="TableText0"/>
              <w:rPr>
                <w:b/>
                <w:bCs w:val="0"/>
              </w:rPr>
            </w:pPr>
            <w:r w:rsidRPr="00C31CA4">
              <w:rPr>
                <w:b/>
                <w:bCs w:val="0"/>
              </w:rPr>
              <w:t>Protocol title/ Publication title</w:t>
            </w:r>
          </w:p>
        </w:tc>
        <w:tc>
          <w:tcPr>
            <w:tcW w:w="1536" w:type="pct"/>
          </w:tcPr>
          <w:p w14:paraId="0689BB19" w14:textId="4AA88508" w:rsidR="00CA7C80" w:rsidRPr="00C31CA4" w:rsidRDefault="001848C4" w:rsidP="00CA7C80">
            <w:pPr>
              <w:pStyle w:val="TableText0"/>
              <w:rPr>
                <w:b/>
                <w:bCs w:val="0"/>
              </w:rPr>
            </w:pPr>
            <w:r w:rsidRPr="00C31CA4">
              <w:rPr>
                <w:b/>
                <w:bCs w:val="0"/>
              </w:rPr>
              <w:t>Publication citation</w:t>
            </w:r>
          </w:p>
        </w:tc>
      </w:tr>
      <w:tr w:rsidR="0048454B" w:rsidRPr="00C31CA4" w14:paraId="3A9A3A50" w14:textId="77777777" w:rsidTr="0048454B">
        <w:tc>
          <w:tcPr>
            <w:tcW w:w="935" w:type="pct"/>
            <w:tcBorders>
              <w:bottom w:val="single" w:sz="4" w:space="0" w:color="auto"/>
            </w:tcBorders>
          </w:tcPr>
          <w:p w14:paraId="1A38C468" w14:textId="77777777" w:rsidR="001848C4" w:rsidRPr="00C31CA4" w:rsidRDefault="001848C4" w:rsidP="00BE7592">
            <w:pPr>
              <w:pStyle w:val="TableText0"/>
            </w:pPr>
            <w:r w:rsidRPr="00C31CA4">
              <w:t>RACE</w:t>
            </w:r>
          </w:p>
          <w:p w14:paraId="1C006629" w14:textId="153CAE84" w:rsidR="00CA7C80" w:rsidRPr="00C31CA4" w:rsidRDefault="00DF7EE8" w:rsidP="00CA7C80">
            <w:pPr>
              <w:pStyle w:val="TableText0"/>
            </w:pPr>
            <w:r w:rsidRPr="00C31CA4">
              <w:t xml:space="preserve">NCT02099747 </w:t>
            </w:r>
          </w:p>
        </w:tc>
        <w:tc>
          <w:tcPr>
            <w:tcW w:w="2529" w:type="pct"/>
            <w:tcBorders>
              <w:bottom w:val="single" w:sz="4" w:space="0" w:color="auto"/>
            </w:tcBorders>
          </w:tcPr>
          <w:p w14:paraId="565BF2CF" w14:textId="47EC07E6" w:rsidR="00CA7C80" w:rsidRPr="00C31CA4" w:rsidRDefault="001848C4" w:rsidP="00CA7C80">
            <w:pPr>
              <w:pStyle w:val="TableText0"/>
              <w:rPr>
                <w:rFonts w:cs="Times New Roman"/>
              </w:rPr>
            </w:pPr>
            <w:r w:rsidRPr="00C31CA4">
              <w:rPr>
                <w:rFonts w:cs="Times New Roman"/>
              </w:rPr>
              <w:t>de Latour RP, Kulasekararaj A, Iacobelli S et al.</w:t>
            </w:r>
            <w:r w:rsidR="0068707D" w:rsidRPr="00C31CA4">
              <w:rPr>
                <w:rFonts w:cs="Times New Roman"/>
              </w:rPr>
              <w:t xml:space="preserve"> </w:t>
            </w:r>
            <w:r w:rsidR="00CA7C80" w:rsidRPr="00C31CA4">
              <w:rPr>
                <w:rFonts w:cs="Times New Roman"/>
              </w:rPr>
              <w:t>Eltrombopag added to immunosuppression in severe aplastic anemia</w:t>
            </w:r>
            <w:r w:rsidR="0068707D" w:rsidRPr="00C31CA4">
              <w:rPr>
                <w:rFonts w:cs="Times New Roman"/>
              </w:rPr>
              <w:t>.</w:t>
            </w:r>
          </w:p>
        </w:tc>
        <w:tc>
          <w:tcPr>
            <w:tcW w:w="1536" w:type="pct"/>
            <w:tcBorders>
              <w:bottom w:val="single" w:sz="4" w:space="0" w:color="auto"/>
            </w:tcBorders>
          </w:tcPr>
          <w:p w14:paraId="207EC6B8" w14:textId="4F390D26" w:rsidR="00CA7C80" w:rsidRPr="00C31CA4" w:rsidRDefault="00CA7C80" w:rsidP="00CA7C80">
            <w:pPr>
              <w:pStyle w:val="TableText0"/>
              <w:rPr>
                <w:rFonts w:cs="Times New Roman"/>
              </w:rPr>
            </w:pPr>
            <w:r w:rsidRPr="00C31CA4">
              <w:rPr>
                <w:rFonts w:cs="Times New Roman"/>
                <w:i/>
                <w:iCs/>
              </w:rPr>
              <w:t>N Engl J Med</w:t>
            </w:r>
            <w:r w:rsidRPr="00C31CA4">
              <w:rPr>
                <w:rFonts w:cs="Times New Roman"/>
              </w:rPr>
              <w:t xml:space="preserve"> 2022; 386: 11 </w:t>
            </w:r>
            <w:r w:rsidR="007E3242" w:rsidRPr="00C31CA4">
              <w:rPr>
                <w:rFonts w:cs="Times New Roman"/>
              </w:rPr>
              <w:t>–</w:t>
            </w:r>
            <w:r w:rsidRPr="00C31CA4">
              <w:rPr>
                <w:rFonts w:cs="Times New Roman"/>
              </w:rPr>
              <w:t xml:space="preserve"> 23</w:t>
            </w:r>
            <w:r w:rsidR="007E3242" w:rsidRPr="00C31CA4">
              <w:t>.</w:t>
            </w:r>
          </w:p>
        </w:tc>
      </w:tr>
      <w:tr w:rsidR="0048454B" w:rsidRPr="00C31CA4" w14:paraId="124765EB" w14:textId="77777777" w:rsidTr="0048454B">
        <w:tc>
          <w:tcPr>
            <w:tcW w:w="935" w:type="pct"/>
            <w:tcBorders>
              <w:bottom w:val="nil"/>
            </w:tcBorders>
          </w:tcPr>
          <w:p w14:paraId="77839D00" w14:textId="77777777" w:rsidR="0048454B" w:rsidRPr="00C31CA4" w:rsidRDefault="0048454B" w:rsidP="00BE7592">
            <w:pPr>
              <w:pStyle w:val="TableText0"/>
            </w:pPr>
          </w:p>
          <w:p w14:paraId="53AB431A" w14:textId="0F2AFFEA" w:rsidR="00BE7592" w:rsidRPr="00C31CA4" w:rsidRDefault="00BE7592" w:rsidP="00BE7592">
            <w:pPr>
              <w:pStyle w:val="TableText0"/>
              <w:rPr>
                <w:rFonts w:ascii="Times New Roman" w:hAnsi="Times New Roman" w:cs="Times New Roman"/>
                <w:sz w:val="24"/>
              </w:rPr>
            </w:pPr>
            <w:r w:rsidRPr="00C31CA4">
              <w:t xml:space="preserve">NCT00922883 </w:t>
            </w:r>
          </w:p>
          <w:p w14:paraId="737F616C" w14:textId="6886249D" w:rsidR="00CA7C80" w:rsidRPr="00C31CA4" w:rsidRDefault="00CA7C80" w:rsidP="00CA7C80">
            <w:pPr>
              <w:pStyle w:val="TableText0"/>
              <w:rPr>
                <w:rFonts w:cs="Times New Roman"/>
              </w:rPr>
            </w:pPr>
          </w:p>
        </w:tc>
        <w:tc>
          <w:tcPr>
            <w:tcW w:w="2529" w:type="pct"/>
            <w:tcBorders>
              <w:bottom w:val="nil"/>
            </w:tcBorders>
          </w:tcPr>
          <w:p w14:paraId="78C95129" w14:textId="3DE6C411" w:rsidR="00CA7C80" w:rsidRPr="00C31CA4" w:rsidRDefault="0048454B" w:rsidP="00CA7C80">
            <w:pPr>
              <w:pStyle w:val="TableText0"/>
            </w:pPr>
            <w:r w:rsidRPr="00C31CA4">
              <w:rPr>
                <w:rFonts w:cs="Times New Roman"/>
              </w:rPr>
              <w:t>Olnes MJ, Scheinberg P, Calvo KR et al.</w:t>
            </w:r>
            <w:r w:rsidRPr="00C31CA4">
              <w:t xml:space="preserve"> </w:t>
            </w:r>
            <w:r w:rsidR="00CA7C80" w:rsidRPr="00C31CA4">
              <w:rPr>
                <w:rFonts w:cs="Times New Roman"/>
              </w:rPr>
              <w:t xml:space="preserve">Eltrombopag and improved hematopoiesis in refractory </w:t>
            </w:r>
          </w:p>
          <w:p w14:paraId="5E3B8582" w14:textId="6CCD2736" w:rsidR="00CA7C80" w:rsidRPr="00C31CA4" w:rsidRDefault="00CA7C80" w:rsidP="00CA7C80">
            <w:pPr>
              <w:pStyle w:val="TableText0"/>
              <w:rPr>
                <w:rFonts w:cs="Times New Roman"/>
              </w:rPr>
            </w:pPr>
            <w:r w:rsidRPr="00C31CA4">
              <w:rPr>
                <w:rFonts w:cs="Times New Roman"/>
              </w:rPr>
              <w:t>aplastic anemia</w:t>
            </w:r>
            <w:r w:rsidR="0048454B" w:rsidRPr="00C31CA4">
              <w:rPr>
                <w:rFonts w:cs="Times New Roman"/>
              </w:rPr>
              <w:t>.</w:t>
            </w:r>
          </w:p>
        </w:tc>
        <w:tc>
          <w:tcPr>
            <w:tcW w:w="1536" w:type="pct"/>
            <w:tcBorders>
              <w:bottom w:val="nil"/>
            </w:tcBorders>
          </w:tcPr>
          <w:p w14:paraId="6CEB19BD" w14:textId="7C1DC021" w:rsidR="00CA7C80" w:rsidRPr="00C31CA4" w:rsidRDefault="0048454B" w:rsidP="00CA7C80">
            <w:pPr>
              <w:pStyle w:val="TableText0"/>
            </w:pPr>
            <w:r w:rsidRPr="00C31CA4">
              <w:rPr>
                <w:rFonts w:cs="Times New Roman"/>
                <w:i/>
                <w:iCs/>
              </w:rPr>
              <w:t>N Engl J Med</w:t>
            </w:r>
            <w:r w:rsidRPr="00C31CA4">
              <w:rPr>
                <w:rFonts w:cs="Times New Roman"/>
              </w:rPr>
              <w:t xml:space="preserve"> 2012; 367: 11 – 19.</w:t>
            </w:r>
          </w:p>
        </w:tc>
      </w:tr>
      <w:tr w:rsidR="0048454B" w:rsidRPr="00C31CA4" w14:paraId="5D2A67A0" w14:textId="77777777" w:rsidTr="0048454B">
        <w:tc>
          <w:tcPr>
            <w:tcW w:w="935" w:type="pct"/>
            <w:tcBorders>
              <w:top w:val="nil"/>
            </w:tcBorders>
          </w:tcPr>
          <w:p w14:paraId="4D6DC0FB" w14:textId="77777777" w:rsidR="0048454B" w:rsidRPr="00C31CA4" w:rsidRDefault="0048454B" w:rsidP="00BE7592">
            <w:pPr>
              <w:pStyle w:val="TableText0"/>
            </w:pPr>
          </w:p>
        </w:tc>
        <w:tc>
          <w:tcPr>
            <w:tcW w:w="2529" w:type="pct"/>
            <w:tcBorders>
              <w:top w:val="nil"/>
            </w:tcBorders>
          </w:tcPr>
          <w:p w14:paraId="06912F75" w14:textId="317F6846" w:rsidR="0048454B" w:rsidRPr="00C31CA4" w:rsidRDefault="0048454B" w:rsidP="00CA7C80">
            <w:pPr>
              <w:pStyle w:val="TableText0"/>
              <w:rPr>
                <w:rFonts w:cs="Times New Roman"/>
              </w:rPr>
            </w:pPr>
            <w:r w:rsidRPr="00C31CA4">
              <w:t xml:space="preserve">Desmond R, Townsley DM, Dumitriu B et al. </w:t>
            </w:r>
            <w:r w:rsidRPr="00C31CA4">
              <w:rPr>
                <w:rFonts w:eastAsia="Times New Roman" w:cs="Times New Roman"/>
                <w:color w:val="000000"/>
                <w:spacing w:val="-2"/>
                <w:kern w:val="36"/>
                <w:szCs w:val="20"/>
                <w:lang w:eastAsia="en-GB"/>
              </w:rPr>
              <w:t>Eltrombopag restores trilineage hematopoiesis in refractory severe aplastic anemia that can be sustained on discontinuation of drug.</w:t>
            </w:r>
          </w:p>
        </w:tc>
        <w:tc>
          <w:tcPr>
            <w:tcW w:w="1536" w:type="pct"/>
            <w:tcBorders>
              <w:top w:val="nil"/>
            </w:tcBorders>
          </w:tcPr>
          <w:p w14:paraId="0AD65FEB" w14:textId="711848A3" w:rsidR="0048454B" w:rsidRPr="00C31CA4" w:rsidRDefault="0048454B" w:rsidP="00CA7C80">
            <w:pPr>
              <w:pStyle w:val="TableText0"/>
              <w:rPr>
                <w:rFonts w:cs="Times New Roman"/>
              </w:rPr>
            </w:pPr>
            <w:r w:rsidRPr="00C31CA4">
              <w:rPr>
                <w:i/>
                <w:iCs/>
              </w:rPr>
              <w:t>Blood</w:t>
            </w:r>
            <w:r w:rsidRPr="00C31CA4">
              <w:t xml:space="preserve"> 2014; 123(12): 1818 – 1825</w:t>
            </w:r>
            <w:r w:rsidRPr="00C31CA4">
              <w:rPr>
                <w:szCs w:val="20"/>
              </w:rPr>
              <w:t>.</w:t>
            </w:r>
          </w:p>
        </w:tc>
      </w:tr>
    </w:tbl>
    <w:p w14:paraId="2BCB7568" w14:textId="0DAFBFCD" w:rsidR="001848C4" w:rsidRDefault="00CA7C80" w:rsidP="003945F4">
      <w:pPr>
        <w:pStyle w:val="TableFooter"/>
      </w:pPr>
      <w:r w:rsidRPr="00C31CA4">
        <w:t xml:space="preserve">Source: Table 1, p14 of the submission. </w:t>
      </w:r>
    </w:p>
    <w:p w14:paraId="2A5DC895" w14:textId="77777777" w:rsidR="00795FCD" w:rsidRPr="00795FCD" w:rsidRDefault="00795FCD" w:rsidP="00795FCD">
      <w:pPr>
        <w:pStyle w:val="In-tableHeading"/>
        <w:rPr>
          <w:lang w:val="en-AU"/>
        </w:rPr>
      </w:pPr>
    </w:p>
    <w:p w14:paraId="1F3C5BCF" w14:textId="321502B0" w:rsidR="008A0850" w:rsidRPr="00C31CA4" w:rsidRDefault="0001199D" w:rsidP="00D92642">
      <w:pPr>
        <w:pStyle w:val="TableFigureHeading"/>
        <w:keepLines/>
      </w:pPr>
      <w:bookmarkStart w:id="19" w:name="_Ref143459574"/>
      <w:r w:rsidRPr="00C31CA4">
        <w:t xml:space="preserve">Table </w:t>
      </w:r>
      <w:fldSimple w:instr=" SEQ Table \* ARABIC " w:fldLock="1">
        <w:r w:rsidR="00897FA1">
          <w:rPr>
            <w:noProof/>
          </w:rPr>
          <w:t>3</w:t>
        </w:r>
      </w:fldSimple>
      <w:bookmarkEnd w:id="19"/>
      <w:r w:rsidR="006645D7" w:rsidRPr="00C31CA4">
        <w:t>:</w:t>
      </w:r>
      <w:r w:rsidR="008A0850" w:rsidRPr="00C31CA4">
        <w:t xml:space="preserve"> Additional relevant clinical studies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6"/>
        <w:gridCol w:w="5078"/>
        <w:gridCol w:w="2623"/>
      </w:tblGrid>
      <w:tr w:rsidR="006645D7" w:rsidRPr="00C31CA4" w14:paraId="023E493A" w14:textId="77777777" w:rsidTr="006645D7">
        <w:trPr>
          <w:tblHeader/>
        </w:trPr>
        <w:tc>
          <w:tcPr>
            <w:tcW w:w="687" w:type="pct"/>
          </w:tcPr>
          <w:p w14:paraId="699AD922" w14:textId="77777777" w:rsidR="008A0850" w:rsidRPr="00C31CA4" w:rsidRDefault="008A0850" w:rsidP="00D92642">
            <w:pPr>
              <w:pStyle w:val="TableText0"/>
              <w:keepLines/>
              <w:rPr>
                <w:b/>
                <w:bCs w:val="0"/>
              </w:rPr>
            </w:pPr>
            <w:r w:rsidRPr="00C31CA4">
              <w:rPr>
                <w:b/>
                <w:bCs w:val="0"/>
              </w:rPr>
              <w:t>Trial ID</w:t>
            </w:r>
          </w:p>
        </w:tc>
        <w:tc>
          <w:tcPr>
            <w:tcW w:w="2844" w:type="pct"/>
          </w:tcPr>
          <w:p w14:paraId="7488CB62" w14:textId="77777777" w:rsidR="008A0850" w:rsidRPr="00C31CA4" w:rsidRDefault="008A0850" w:rsidP="00D92642">
            <w:pPr>
              <w:pStyle w:val="TableText0"/>
              <w:keepLines/>
              <w:rPr>
                <w:b/>
                <w:bCs w:val="0"/>
              </w:rPr>
            </w:pPr>
            <w:r w:rsidRPr="00C31CA4">
              <w:rPr>
                <w:b/>
                <w:bCs w:val="0"/>
              </w:rPr>
              <w:t>Protocol title/ Publication title</w:t>
            </w:r>
          </w:p>
        </w:tc>
        <w:tc>
          <w:tcPr>
            <w:tcW w:w="1469" w:type="pct"/>
          </w:tcPr>
          <w:p w14:paraId="3EEF6D3B" w14:textId="4C03AE12" w:rsidR="008A0850" w:rsidRPr="00C31CA4" w:rsidRDefault="006645D7" w:rsidP="00D92642">
            <w:pPr>
              <w:pStyle w:val="TableText0"/>
              <w:keepLines/>
              <w:rPr>
                <w:b/>
                <w:bCs w:val="0"/>
              </w:rPr>
            </w:pPr>
            <w:r w:rsidRPr="00C31CA4">
              <w:rPr>
                <w:b/>
                <w:bCs w:val="0"/>
              </w:rPr>
              <w:t>Publication citation</w:t>
            </w:r>
          </w:p>
        </w:tc>
      </w:tr>
      <w:tr w:rsidR="006645D7" w:rsidRPr="00C31CA4" w14:paraId="55F2C15E" w14:textId="77777777" w:rsidTr="006645D7">
        <w:tc>
          <w:tcPr>
            <w:tcW w:w="5000" w:type="pct"/>
            <w:gridSpan w:val="3"/>
          </w:tcPr>
          <w:p w14:paraId="2A8BF2EA" w14:textId="65E51932" w:rsidR="008A0850" w:rsidRPr="00C31CA4" w:rsidRDefault="008A0850" w:rsidP="00D92642">
            <w:pPr>
              <w:pStyle w:val="TableText0"/>
              <w:keepLines/>
              <w:rPr>
                <w:rFonts w:cs="Times New Roman"/>
                <w:b/>
                <w:bCs w:val="0"/>
                <w:i/>
                <w:iCs/>
              </w:rPr>
            </w:pPr>
            <w:r w:rsidRPr="00C31CA4">
              <w:rPr>
                <w:rFonts w:cs="Times New Roman"/>
                <w:b/>
                <w:bCs w:val="0"/>
                <w:i/>
                <w:iCs/>
              </w:rPr>
              <w:t xml:space="preserve">First-line </w:t>
            </w:r>
            <w:r w:rsidR="006645D7" w:rsidRPr="00C31CA4">
              <w:rPr>
                <w:rFonts w:cs="Times New Roman"/>
                <w:b/>
                <w:bCs w:val="0"/>
                <w:i/>
                <w:iCs/>
              </w:rPr>
              <w:t>t</w:t>
            </w:r>
            <w:r w:rsidR="00C4301B" w:rsidRPr="00C31CA4">
              <w:rPr>
                <w:rFonts w:cs="Times New Roman"/>
                <w:b/>
                <w:bCs w:val="0"/>
                <w:i/>
                <w:iCs/>
              </w:rPr>
              <w:t>reatment</w:t>
            </w:r>
          </w:p>
        </w:tc>
      </w:tr>
      <w:tr w:rsidR="006645D7" w:rsidRPr="00C31CA4" w14:paraId="1800D52C" w14:textId="77777777" w:rsidTr="00BA5300">
        <w:tc>
          <w:tcPr>
            <w:tcW w:w="687" w:type="pct"/>
            <w:vAlign w:val="center"/>
          </w:tcPr>
          <w:p w14:paraId="25ED39A5" w14:textId="77777777" w:rsidR="00DF7EE8" w:rsidRPr="00C31CA4" w:rsidRDefault="00DF7EE8" w:rsidP="00D92642">
            <w:pPr>
              <w:pStyle w:val="TableText0"/>
              <w:keepLines/>
              <w:rPr>
                <w:rFonts w:cs="Times New Roman"/>
              </w:rPr>
            </w:pPr>
            <w:r w:rsidRPr="00C31CA4">
              <w:rPr>
                <w:rFonts w:cs="Times New Roman"/>
              </w:rPr>
              <w:t xml:space="preserve">NCT01624805 </w:t>
            </w:r>
          </w:p>
          <w:p w14:paraId="5CF11321" w14:textId="032B0F0E" w:rsidR="008A0850" w:rsidRPr="00C31CA4" w:rsidRDefault="008A0850" w:rsidP="00D92642">
            <w:pPr>
              <w:pStyle w:val="TableText0"/>
              <w:keepLines/>
              <w:rPr>
                <w:rFonts w:cs="Times New Roman"/>
              </w:rPr>
            </w:pPr>
          </w:p>
        </w:tc>
        <w:tc>
          <w:tcPr>
            <w:tcW w:w="2844" w:type="pct"/>
          </w:tcPr>
          <w:p w14:paraId="2777CCFB" w14:textId="1557C1BF" w:rsidR="008A0850" w:rsidRPr="00C31CA4" w:rsidRDefault="006645D7" w:rsidP="00D92642">
            <w:pPr>
              <w:pStyle w:val="TableText0"/>
              <w:keepLines/>
              <w:rPr>
                <w:rFonts w:cs="Times New Roman"/>
              </w:rPr>
            </w:pPr>
            <w:r w:rsidRPr="00C31CA4">
              <w:rPr>
                <w:rFonts w:cs="Times New Roman"/>
              </w:rPr>
              <w:t xml:space="preserve">Assi R, Garcia-Manero G, Ravandi F, et al. </w:t>
            </w:r>
            <w:r w:rsidR="008A0850" w:rsidRPr="00C31CA4">
              <w:rPr>
                <w:rFonts w:cs="Times New Roman"/>
              </w:rPr>
              <w:t xml:space="preserve">Addition of </w:t>
            </w:r>
            <w:r w:rsidR="002945D0" w:rsidRPr="00C31CA4">
              <w:rPr>
                <w:rFonts w:cs="Times New Roman"/>
              </w:rPr>
              <w:t>e</w:t>
            </w:r>
            <w:r w:rsidR="008A0850" w:rsidRPr="00C31CA4">
              <w:rPr>
                <w:rFonts w:cs="Times New Roman"/>
              </w:rPr>
              <w:t xml:space="preserve">ltrombopag to </w:t>
            </w:r>
            <w:r w:rsidR="002945D0" w:rsidRPr="00C31CA4">
              <w:rPr>
                <w:rFonts w:cs="Times New Roman"/>
              </w:rPr>
              <w:t>i</w:t>
            </w:r>
            <w:r w:rsidR="008A0850" w:rsidRPr="00C31CA4">
              <w:rPr>
                <w:rFonts w:cs="Times New Roman"/>
              </w:rPr>
              <w:t xml:space="preserve">mmunosuppressive </w:t>
            </w:r>
            <w:r w:rsidR="002945D0" w:rsidRPr="00C31CA4">
              <w:rPr>
                <w:rFonts w:cs="Times New Roman"/>
              </w:rPr>
              <w:t>t</w:t>
            </w:r>
            <w:r w:rsidR="008A0850" w:rsidRPr="00C31CA4">
              <w:rPr>
                <w:rFonts w:cs="Times New Roman"/>
              </w:rPr>
              <w:t>herapy in</w:t>
            </w:r>
            <w:r w:rsidR="002945D0" w:rsidRPr="00C31CA4">
              <w:rPr>
                <w:rFonts w:cs="Times New Roman"/>
              </w:rPr>
              <w:t xml:space="preserve"> p</w:t>
            </w:r>
            <w:r w:rsidR="008A0850" w:rsidRPr="00C31CA4">
              <w:rPr>
                <w:rFonts w:cs="Times New Roman"/>
              </w:rPr>
              <w:t xml:space="preserve">atients </w:t>
            </w:r>
            <w:r w:rsidR="00DF7EE8" w:rsidRPr="00C31CA4">
              <w:rPr>
                <w:rFonts w:cs="Times New Roman"/>
              </w:rPr>
              <w:t>w</w:t>
            </w:r>
            <w:r w:rsidR="008A0850" w:rsidRPr="00C31CA4">
              <w:rPr>
                <w:rFonts w:cs="Times New Roman"/>
              </w:rPr>
              <w:t xml:space="preserve">ith </w:t>
            </w:r>
            <w:r w:rsidR="002945D0" w:rsidRPr="00C31CA4">
              <w:rPr>
                <w:rFonts w:cs="Times New Roman"/>
              </w:rPr>
              <w:t>n</w:t>
            </w:r>
            <w:r w:rsidR="008A0850" w:rsidRPr="00C31CA4">
              <w:rPr>
                <w:rFonts w:cs="Times New Roman"/>
              </w:rPr>
              <w:t xml:space="preserve">ewly </w:t>
            </w:r>
            <w:r w:rsidR="002945D0" w:rsidRPr="00C31CA4">
              <w:rPr>
                <w:rFonts w:cs="Times New Roman"/>
              </w:rPr>
              <w:t>d</w:t>
            </w:r>
            <w:r w:rsidR="008A0850" w:rsidRPr="00C31CA4">
              <w:rPr>
                <w:rFonts w:cs="Times New Roman"/>
              </w:rPr>
              <w:t xml:space="preserve">iagnosed </w:t>
            </w:r>
            <w:r w:rsidR="002945D0" w:rsidRPr="00C31CA4">
              <w:rPr>
                <w:rFonts w:cs="Times New Roman"/>
              </w:rPr>
              <w:t>a</w:t>
            </w:r>
            <w:r w:rsidR="008A0850" w:rsidRPr="00C31CA4">
              <w:rPr>
                <w:rFonts w:cs="Times New Roman"/>
              </w:rPr>
              <w:t xml:space="preserve">plastic </w:t>
            </w:r>
            <w:r w:rsidR="002945D0" w:rsidRPr="00C31CA4">
              <w:rPr>
                <w:rFonts w:cs="Times New Roman"/>
              </w:rPr>
              <w:t>a</w:t>
            </w:r>
            <w:r w:rsidR="008A0850" w:rsidRPr="00C31CA4">
              <w:rPr>
                <w:rFonts w:cs="Times New Roman"/>
              </w:rPr>
              <w:t>nemia</w:t>
            </w:r>
            <w:r w:rsidR="00EB1790" w:rsidRPr="00C31CA4">
              <w:rPr>
                <w:rFonts w:cs="Times New Roman"/>
              </w:rPr>
              <w:t>.</w:t>
            </w:r>
            <w:r w:rsidR="008A0850" w:rsidRPr="00C31CA4">
              <w:rPr>
                <w:rFonts w:cs="Times New Roman"/>
              </w:rPr>
              <w:t xml:space="preserve"> </w:t>
            </w:r>
          </w:p>
        </w:tc>
        <w:tc>
          <w:tcPr>
            <w:tcW w:w="1469" w:type="pct"/>
          </w:tcPr>
          <w:p w14:paraId="39FF738E" w14:textId="2D6D4055" w:rsidR="008A0850" w:rsidRPr="00C31CA4" w:rsidRDefault="008A0850" w:rsidP="00D92642">
            <w:pPr>
              <w:pStyle w:val="TableText0"/>
              <w:keepLines/>
              <w:rPr>
                <w:rFonts w:cs="Times New Roman"/>
              </w:rPr>
            </w:pPr>
            <w:r w:rsidRPr="00C31CA4">
              <w:rPr>
                <w:rFonts w:cs="Times New Roman"/>
                <w:i/>
                <w:iCs/>
              </w:rPr>
              <w:t>Cancer</w:t>
            </w:r>
            <w:r w:rsidRPr="00C31CA4">
              <w:rPr>
                <w:rFonts w:cs="Times New Roman"/>
              </w:rPr>
              <w:t xml:space="preserve"> 2018; 124:4192-420</w:t>
            </w:r>
            <w:r w:rsidR="00C4301B" w:rsidRPr="00C31CA4">
              <w:rPr>
                <w:rFonts w:cs="Times New Roman"/>
              </w:rPr>
              <w:t>1</w:t>
            </w:r>
            <w:r w:rsidRPr="00C31CA4">
              <w:rPr>
                <w:rFonts w:cs="Times New Roman"/>
              </w:rPr>
              <w:t>.</w:t>
            </w:r>
          </w:p>
        </w:tc>
      </w:tr>
      <w:tr w:rsidR="006645D7" w:rsidRPr="00C31CA4" w14:paraId="7A88857B" w14:textId="77777777" w:rsidTr="00BA5300">
        <w:tc>
          <w:tcPr>
            <w:tcW w:w="687" w:type="pct"/>
            <w:vAlign w:val="center"/>
          </w:tcPr>
          <w:p w14:paraId="115894BB" w14:textId="7BC3C62F" w:rsidR="002945D0" w:rsidRPr="00C31CA4" w:rsidRDefault="002945D0" w:rsidP="00D92642">
            <w:pPr>
              <w:pStyle w:val="TableText0"/>
              <w:keepLines/>
              <w:rPr>
                <w:rFonts w:cs="Times New Roman"/>
              </w:rPr>
            </w:pPr>
            <w:r w:rsidRPr="00C31CA4">
              <w:rPr>
                <w:rFonts w:cs="Times New Roman"/>
              </w:rPr>
              <w:t xml:space="preserve">NCT03413306 </w:t>
            </w:r>
          </w:p>
          <w:p w14:paraId="164D7425" w14:textId="1B2C662D" w:rsidR="008A0850" w:rsidRPr="00C31CA4" w:rsidRDefault="008A0850" w:rsidP="00D92642">
            <w:pPr>
              <w:pStyle w:val="TableText0"/>
              <w:keepLines/>
              <w:rPr>
                <w:rFonts w:cs="Times New Roman"/>
              </w:rPr>
            </w:pPr>
          </w:p>
        </w:tc>
        <w:tc>
          <w:tcPr>
            <w:tcW w:w="2844" w:type="pct"/>
          </w:tcPr>
          <w:p w14:paraId="346D6BC2" w14:textId="6BAD1C95" w:rsidR="008A0850" w:rsidRPr="00C31CA4" w:rsidRDefault="006645D7" w:rsidP="00D92642">
            <w:pPr>
              <w:pStyle w:val="TableText0"/>
              <w:keepLines/>
              <w:rPr>
                <w:rFonts w:cs="Times New Roman"/>
              </w:rPr>
            </w:pPr>
            <w:r w:rsidRPr="00C31CA4">
              <w:rPr>
                <w:rFonts w:cs="Times New Roman"/>
              </w:rPr>
              <w:t xml:space="preserve">Goronkova O, Novichkova G, Salimova T, et al. </w:t>
            </w:r>
            <w:r w:rsidR="002945D0" w:rsidRPr="00C31CA4">
              <w:rPr>
                <w:rFonts w:cs="Times New Roman"/>
              </w:rPr>
              <w:t>Efficacy of combined immunosuppression with or without eltrombopag in children with newly diagnosed aplastic anemia</w:t>
            </w:r>
            <w:r w:rsidR="00EB1790" w:rsidRPr="00C31CA4">
              <w:rPr>
                <w:rFonts w:cs="Times New Roman"/>
              </w:rPr>
              <w:t>.</w:t>
            </w:r>
            <w:r w:rsidR="002945D0" w:rsidRPr="00C31CA4">
              <w:rPr>
                <w:rFonts w:cs="Times New Roman"/>
              </w:rPr>
              <w:t xml:space="preserve"> </w:t>
            </w:r>
          </w:p>
        </w:tc>
        <w:tc>
          <w:tcPr>
            <w:tcW w:w="1469" w:type="pct"/>
          </w:tcPr>
          <w:p w14:paraId="64CBD3C8" w14:textId="3811A8C2" w:rsidR="008A0850" w:rsidRPr="00C31CA4" w:rsidRDefault="00EB1790" w:rsidP="00D92642">
            <w:pPr>
              <w:pStyle w:val="TableText0"/>
              <w:keepLines/>
            </w:pPr>
            <w:r w:rsidRPr="00C31CA4">
              <w:rPr>
                <w:i/>
                <w:iCs/>
              </w:rPr>
              <w:t>Blood Adv</w:t>
            </w:r>
            <w:r w:rsidRPr="00C31CA4">
              <w:t xml:space="preserve"> 2023; 7(6):953-962.</w:t>
            </w:r>
            <w:r w:rsidR="002945D0" w:rsidRPr="00C31CA4">
              <w:t xml:space="preserve"> </w:t>
            </w:r>
          </w:p>
        </w:tc>
      </w:tr>
      <w:tr w:rsidR="00910DB1" w:rsidRPr="00C31CA4" w14:paraId="14975BC7" w14:textId="77777777" w:rsidTr="00BA5300">
        <w:tc>
          <w:tcPr>
            <w:tcW w:w="687" w:type="pct"/>
            <w:vMerge w:val="restart"/>
            <w:vAlign w:val="center"/>
          </w:tcPr>
          <w:p w14:paraId="052EED7F" w14:textId="77777777" w:rsidR="00910DB1" w:rsidRPr="00C31CA4" w:rsidRDefault="00910DB1" w:rsidP="00D92642">
            <w:pPr>
              <w:pStyle w:val="TableText0"/>
              <w:keepLines/>
              <w:rPr>
                <w:rFonts w:cs="Times New Roman"/>
              </w:rPr>
            </w:pPr>
            <w:r w:rsidRPr="00C31CA4">
              <w:rPr>
                <w:rFonts w:cs="Times New Roman"/>
              </w:rPr>
              <w:t xml:space="preserve">NCT01623167 </w:t>
            </w:r>
          </w:p>
          <w:p w14:paraId="7459CFAA" w14:textId="4835BA15" w:rsidR="00910DB1" w:rsidRPr="00C31CA4" w:rsidRDefault="00910DB1" w:rsidP="00D92642">
            <w:pPr>
              <w:pStyle w:val="TableText0"/>
              <w:keepLines/>
              <w:rPr>
                <w:rFonts w:cs="Times New Roman"/>
              </w:rPr>
            </w:pPr>
          </w:p>
          <w:p w14:paraId="446419A4" w14:textId="4D4A17FE" w:rsidR="00910DB1" w:rsidRPr="00C31CA4" w:rsidRDefault="00910DB1" w:rsidP="00D92642">
            <w:pPr>
              <w:pStyle w:val="TableText0"/>
              <w:keepLines/>
              <w:rPr>
                <w:rFonts w:cs="Times New Roman"/>
              </w:rPr>
            </w:pPr>
          </w:p>
        </w:tc>
        <w:tc>
          <w:tcPr>
            <w:tcW w:w="2844" w:type="pct"/>
          </w:tcPr>
          <w:p w14:paraId="4F38827E" w14:textId="63165AFA" w:rsidR="00910DB1" w:rsidRPr="00C31CA4" w:rsidRDefault="00910DB1" w:rsidP="00D92642">
            <w:pPr>
              <w:pStyle w:val="TableText0"/>
              <w:keepLines/>
              <w:rPr>
                <w:rFonts w:cs="Times New Roman"/>
              </w:rPr>
            </w:pPr>
            <w:r w:rsidRPr="00C31CA4">
              <w:rPr>
                <w:rFonts w:cs="Times New Roman"/>
              </w:rPr>
              <w:t>Townsley D, Scheinberg P, Winkler T, et al. Eltrombopag added to standard immunosuppression for aplastic anemia .</w:t>
            </w:r>
          </w:p>
        </w:tc>
        <w:tc>
          <w:tcPr>
            <w:tcW w:w="1469" w:type="pct"/>
          </w:tcPr>
          <w:p w14:paraId="45F2F46A" w14:textId="4D29A1C3" w:rsidR="00910DB1" w:rsidRPr="00C31CA4" w:rsidRDefault="00910DB1" w:rsidP="00D92642">
            <w:pPr>
              <w:pStyle w:val="TableText0"/>
              <w:keepLines/>
            </w:pPr>
            <w:r w:rsidRPr="00C31CA4">
              <w:rPr>
                <w:i/>
                <w:iCs/>
              </w:rPr>
              <w:t>N</w:t>
            </w:r>
            <w:r w:rsidRPr="00C31CA4">
              <w:rPr>
                <w:b/>
                <w:i/>
                <w:iCs/>
              </w:rPr>
              <w:t xml:space="preserve"> </w:t>
            </w:r>
            <w:r w:rsidRPr="00C31CA4">
              <w:rPr>
                <w:bCs w:val="0"/>
                <w:i/>
                <w:iCs/>
              </w:rPr>
              <w:t>Engl J Med</w:t>
            </w:r>
            <w:r w:rsidRPr="00C31CA4">
              <w:rPr>
                <w:bCs w:val="0"/>
              </w:rPr>
              <w:t xml:space="preserve"> 2017; 376:1540-50.</w:t>
            </w:r>
          </w:p>
        </w:tc>
      </w:tr>
      <w:tr w:rsidR="00910DB1" w:rsidRPr="00C31CA4" w14:paraId="42667D42" w14:textId="77777777" w:rsidTr="00BA5300">
        <w:tc>
          <w:tcPr>
            <w:tcW w:w="687" w:type="pct"/>
            <w:vMerge/>
            <w:vAlign w:val="center"/>
          </w:tcPr>
          <w:p w14:paraId="3DABA52B" w14:textId="506671F7" w:rsidR="00910DB1" w:rsidRPr="00C31CA4" w:rsidRDefault="00910DB1" w:rsidP="00D92642">
            <w:pPr>
              <w:pStyle w:val="TableText0"/>
              <w:keepLines/>
              <w:rPr>
                <w:rFonts w:cs="Times New Roman"/>
              </w:rPr>
            </w:pPr>
          </w:p>
        </w:tc>
        <w:tc>
          <w:tcPr>
            <w:tcW w:w="2844" w:type="pct"/>
          </w:tcPr>
          <w:p w14:paraId="7CEC2980" w14:textId="7DE2063D" w:rsidR="00910DB1" w:rsidRPr="00C31CA4" w:rsidRDefault="00910DB1" w:rsidP="00D92642">
            <w:pPr>
              <w:pStyle w:val="TableText0"/>
              <w:keepLines/>
              <w:rPr>
                <w:rFonts w:cs="Times New Roman"/>
              </w:rPr>
            </w:pPr>
            <w:r w:rsidRPr="00C31CA4">
              <w:rPr>
                <w:rFonts w:cs="Times New Roman"/>
              </w:rPr>
              <w:t>Patel BA, Groarke EM, Lotter J, et al. Long-term outcomes in patients with severe aplastic anemia treated with immunosuppression and eltrombopag: a phase 2 study .</w:t>
            </w:r>
          </w:p>
        </w:tc>
        <w:tc>
          <w:tcPr>
            <w:tcW w:w="1469" w:type="pct"/>
          </w:tcPr>
          <w:p w14:paraId="0B010D43" w14:textId="20A5FAFC" w:rsidR="00910DB1" w:rsidRPr="00C31CA4" w:rsidRDefault="00910DB1" w:rsidP="00D92642">
            <w:pPr>
              <w:pStyle w:val="TableText0"/>
              <w:keepLines/>
              <w:rPr>
                <w:rFonts w:cs="Times New Roman"/>
              </w:rPr>
            </w:pPr>
            <w:r w:rsidRPr="00C31CA4">
              <w:rPr>
                <w:rFonts w:cs="Times New Roman"/>
                <w:i/>
                <w:iCs/>
              </w:rPr>
              <w:t>Blood</w:t>
            </w:r>
            <w:r w:rsidRPr="00C31CA4">
              <w:rPr>
                <w:rFonts w:cs="Times New Roman"/>
              </w:rPr>
              <w:t xml:space="preserve"> 2022; 139:34-43. </w:t>
            </w:r>
          </w:p>
        </w:tc>
      </w:tr>
      <w:tr w:rsidR="00910DB1" w:rsidRPr="00C31CA4" w14:paraId="2CDBA079" w14:textId="77777777" w:rsidTr="00BA5300">
        <w:tc>
          <w:tcPr>
            <w:tcW w:w="687" w:type="pct"/>
            <w:vMerge/>
            <w:vAlign w:val="center"/>
          </w:tcPr>
          <w:p w14:paraId="4E0361BA" w14:textId="2D14B7DF" w:rsidR="00910DB1" w:rsidRPr="00C31CA4" w:rsidRDefault="00910DB1" w:rsidP="00D92642">
            <w:pPr>
              <w:pStyle w:val="TableText0"/>
              <w:keepLines/>
              <w:rPr>
                <w:rFonts w:cs="Times New Roman"/>
              </w:rPr>
            </w:pPr>
          </w:p>
        </w:tc>
        <w:tc>
          <w:tcPr>
            <w:tcW w:w="2844" w:type="pct"/>
          </w:tcPr>
          <w:p w14:paraId="72C8FE93" w14:textId="17A7D295" w:rsidR="00910DB1" w:rsidRPr="00C31CA4" w:rsidRDefault="00910DB1" w:rsidP="00D92642">
            <w:pPr>
              <w:pStyle w:val="TableText0"/>
              <w:keepLines/>
              <w:rPr>
                <w:rFonts w:cs="Times New Roman"/>
              </w:rPr>
            </w:pPr>
            <w:r w:rsidRPr="00C31CA4">
              <w:rPr>
                <w:rFonts w:cs="Times New Roman"/>
              </w:rPr>
              <w:t xml:space="preserve">Groarke E, Patel B, Gutierrez-Rodriguez F, et al. Eltrombopag added to immunosuppression for children with treatment-naive severe aplastic anaemia. </w:t>
            </w:r>
          </w:p>
        </w:tc>
        <w:tc>
          <w:tcPr>
            <w:tcW w:w="1469" w:type="pct"/>
          </w:tcPr>
          <w:p w14:paraId="23DB3DB9" w14:textId="498381F6" w:rsidR="00910DB1" w:rsidRPr="00C31CA4" w:rsidRDefault="00910DB1" w:rsidP="00D92642">
            <w:pPr>
              <w:pStyle w:val="TableText0"/>
              <w:keepLines/>
              <w:rPr>
                <w:rFonts w:cs="Times New Roman"/>
                <w:i/>
                <w:iCs/>
              </w:rPr>
            </w:pPr>
            <w:r w:rsidRPr="00C31CA4">
              <w:rPr>
                <w:rFonts w:cs="Times New Roman"/>
                <w:i/>
                <w:iCs/>
              </w:rPr>
              <w:t xml:space="preserve">Br J Haematol </w:t>
            </w:r>
            <w:r w:rsidRPr="00C31CA4">
              <w:rPr>
                <w:rFonts w:cs="Times New Roman"/>
              </w:rPr>
              <w:t>2021; 192:605-614</w:t>
            </w:r>
            <w:r w:rsidRPr="00C31CA4">
              <w:rPr>
                <w:rFonts w:cs="Times New Roman"/>
                <w:i/>
                <w:iCs/>
              </w:rPr>
              <w:t xml:space="preserve">. </w:t>
            </w:r>
          </w:p>
        </w:tc>
      </w:tr>
      <w:tr w:rsidR="006645D7" w:rsidRPr="00C31CA4" w14:paraId="5AD135E7" w14:textId="77777777" w:rsidTr="00BA5300">
        <w:tc>
          <w:tcPr>
            <w:tcW w:w="687" w:type="pct"/>
            <w:vAlign w:val="center"/>
          </w:tcPr>
          <w:p w14:paraId="3591577F" w14:textId="6CD22B97" w:rsidR="007E3242" w:rsidRPr="00C31CA4" w:rsidRDefault="001D7055" w:rsidP="00D92642">
            <w:pPr>
              <w:pStyle w:val="TableText0"/>
              <w:keepLines/>
              <w:rPr>
                <w:rFonts w:cs="Times New Roman"/>
              </w:rPr>
            </w:pPr>
            <w:r w:rsidRPr="00C31CA4">
              <w:rPr>
                <w:rFonts w:cs="Times New Roman"/>
              </w:rPr>
              <w:t>NR</w:t>
            </w:r>
          </w:p>
        </w:tc>
        <w:tc>
          <w:tcPr>
            <w:tcW w:w="2844" w:type="pct"/>
          </w:tcPr>
          <w:p w14:paraId="23D66D65" w14:textId="1C60D5A5" w:rsidR="007E3242" w:rsidRPr="00C31CA4" w:rsidRDefault="006645D7" w:rsidP="00D92642">
            <w:pPr>
              <w:pStyle w:val="TableText0"/>
              <w:keepLines/>
              <w:rPr>
                <w:rFonts w:cs="Times New Roman"/>
              </w:rPr>
            </w:pPr>
            <w:r w:rsidRPr="00C31CA4">
              <w:rPr>
                <w:rFonts w:cs="Times New Roman"/>
              </w:rPr>
              <w:t xml:space="preserve">Fang M, Song H, Zhang J et al. </w:t>
            </w:r>
            <w:r w:rsidR="007E3242" w:rsidRPr="00C31CA4">
              <w:rPr>
                <w:rFonts w:cs="Times New Roman"/>
              </w:rPr>
              <w:t>Efficacy and safety of immunosuppressive therapy with or without eltrombopag in pediatric patients with acquired aplastic anemia: A Chinese retrospective study.</w:t>
            </w:r>
          </w:p>
        </w:tc>
        <w:tc>
          <w:tcPr>
            <w:tcW w:w="1469" w:type="pct"/>
          </w:tcPr>
          <w:p w14:paraId="742F6F64" w14:textId="49F0E32C" w:rsidR="007E3242" w:rsidRPr="00C31CA4" w:rsidRDefault="007E3242" w:rsidP="00D92642">
            <w:pPr>
              <w:pStyle w:val="TableText0"/>
              <w:keepLines/>
              <w:rPr>
                <w:rFonts w:cs="Times New Roman"/>
              </w:rPr>
            </w:pPr>
            <w:r w:rsidRPr="00C31CA4">
              <w:rPr>
                <w:rFonts w:cs="Times New Roman"/>
                <w:i/>
                <w:iCs/>
              </w:rPr>
              <w:t>Pediatr Hematol Oncol</w:t>
            </w:r>
            <w:r w:rsidRPr="00C31CA4">
              <w:rPr>
                <w:rFonts w:cs="Times New Roman"/>
              </w:rPr>
              <w:t xml:space="preserve"> 2021; 38:633-646. </w:t>
            </w:r>
          </w:p>
        </w:tc>
      </w:tr>
      <w:tr w:rsidR="006645D7" w:rsidRPr="00C31CA4" w14:paraId="1420FC1A" w14:textId="77777777" w:rsidTr="00BA5300">
        <w:tc>
          <w:tcPr>
            <w:tcW w:w="687" w:type="pct"/>
            <w:vAlign w:val="center"/>
          </w:tcPr>
          <w:p w14:paraId="2B3852A6" w14:textId="6CC99DBC" w:rsidR="007E3242" w:rsidRPr="00C31CA4" w:rsidRDefault="001D7055" w:rsidP="00D92642">
            <w:pPr>
              <w:pStyle w:val="TableText0"/>
              <w:keepLines/>
              <w:rPr>
                <w:rFonts w:cs="Times New Roman"/>
              </w:rPr>
            </w:pPr>
            <w:r w:rsidRPr="00C31CA4">
              <w:rPr>
                <w:rFonts w:cs="Times New Roman"/>
              </w:rPr>
              <w:t>NR</w:t>
            </w:r>
          </w:p>
        </w:tc>
        <w:tc>
          <w:tcPr>
            <w:tcW w:w="2844" w:type="pct"/>
          </w:tcPr>
          <w:p w14:paraId="2AC76AAB" w14:textId="7302EDE5" w:rsidR="007E3242" w:rsidRPr="00C31CA4" w:rsidRDefault="006645D7" w:rsidP="00D92642">
            <w:pPr>
              <w:pStyle w:val="TableText0"/>
              <w:keepLines/>
              <w:rPr>
                <w:rFonts w:cs="Times New Roman"/>
              </w:rPr>
            </w:pPr>
            <w:r w:rsidRPr="00C31CA4">
              <w:rPr>
                <w:rFonts w:cs="Times New Roman"/>
              </w:rPr>
              <w:t xml:space="preserve">Lesmana H, Jacobs T, Boals M, et al. </w:t>
            </w:r>
            <w:r w:rsidR="007E3242" w:rsidRPr="00C31CA4">
              <w:rPr>
                <w:rFonts w:cs="Times New Roman"/>
              </w:rPr>
              <w:t>Eltrombopag in children with severe aplastic anemia.</w:t>
            </w:r>
          </w:p>
        </w:tc>
        <w:tc>
          <w:tcPr>
            <w:tcW w:w="1469" w:type="pct"/>
          </w:tcPr>
          <w:p w14:paraId="3F53FD16" w14:textId="4ADA3CE2" w:rsidR="007E3242" w:rsidRPr="00C31CA4" w:rsidRDefault="007E3242" w:rsidP="00D92642">
            <w:pPr>
              <w:pStyle w:val="TableText0"/>
              <w:keepLines/>
              <w:rPr>
                <w:rFonts w:cs="Times New Roman"/>
              </w:rPr>
            </w:pPr>
            <w:r w:rsidRPr="00C31CA4">
              <w:rPr>
                <w:rFonts w:cs="Times New Roman"/>
                <w:i/>
                <w:iCs/>
              </w:rPr>
              <w:t>Pediatr Blood Cancer</w:t>
            </w:r>
            <w:r w:rsidRPr="00C31CA4">
              <w:rPr>
                <w:rFonts w:cs="Times New Roman"/>
              </w:rPr>
              <w:t xml:space="preserve"> 2021; 68:e29066. </w:t>
            </w:r>
          </w:p>
        </w:tc>
      </w:tr>
      <w:tr w:rsidR="004E321E" w:rsidRPr="00C31CA4" w14:paraId="68F61C58" w14:textId="77777777" w:rsidTr="00BA5300">
        <w:tc>
          <w:tcPr>
            <w:tcW w:w="687" w:type="pct"/>
            <w:vAlign w:val="center"/>
          </w:tcPr>
          <w:p w14:paraId="2D87424E" w14:textId="2D621812" w:rsidR="004E321E" w:rsidRPr="00C31CA4" w:rsidRDefault="004E321E" w:rsidP="00D92642">
            <w:pPr>
              <w:pStyle w:val="TableText0"/>
              <w:keepLines/>
              <w:rPr>
                <w:rFonts w:cs="Times New Roman"/>
              </w:rPr>
            </w:pPr>
            <w:r w:rsidRPr="00C31CA4">
              <w:rPr>
                <w:rFonts w:cs="Times New Roman"/>
              </w:rPr>
              <w:t>NR</w:t>
            </w:r>
          </w:p>
        </w:tc>
        <w:tc>
          <w:tcPr>
            <w:tcW w:w="2844" w:type="pct"/>
          </w:tcPr>
          <w:p w14:paraId="390780A7" w14:textId="5471EA40" w:rsidR="004E321E" w:rsidRPr="00C31CA4" w:rsidRDefault="004E321E" w:rsidP="00D92642">
            <w:pPr>
              <w:pStyle w:val="TableText0"/>
              <w:keepLines/>
              <w:rPr>
                <w:rFonts w:cs="Times New Roman"/>
                <w:b/>
              </w:rPr>
            </w:pPr>
            <w:r w:rsidRPr="00C31CA4">
              <w:rPr>
                <w:rFonts w:cs="Times New Roman"/>
              </w:rPr>
              <w:t xml:space="preserve">Jie M, Fu L, Li S, et al. </w:t>
            </w:r>
            <w:r w:rsidRPr="00C31CA4">
              <w:rPr>
                <w:rFonts w:cs="Times New Roman"/>
                <w:bCs w:val="0"/>
              </w:rPr>
              <w:t xml:space="preserve">Efficacy and safety of eltrombopag in the first-line therapy of severe aplastic anemia in children. </w:t>
            </w:r>
          </w:p>
        </w:tc>
        <w:tc>
          <w:tcPr>
            <w:tcW w:w="1469" w:type="pct"/>
          </w:tcPr>
          <w:p w14:paraId="6FDF6A18" w14:textId="6C475CE0" w:rsidR="004E321E" w:rsidRPr="00C31CA4" w:rsidRDefault="004E321E" w:rsidP="00D92642">
            <w:pPr>
              <w:pStyle w:val="TableText0"/>
              <w:keepLines/>
              <w:rPr>
                <w:rFonts w:cs="Times New Roman"/>
                <w:i/>
                <w:iCs/>
              </w:rPr>
            </w:pPr>
            <w:r w:rsidRPr="00C31CA4">
              <w:rPr>
                <w:rFonts w:cs="Times New Roman"/>
                <w:i/>
                <w:iCs/>
              </w:rPr>
              <w:t xml:space="preserve">Pediatr Hematol Oncol </w:t>
            </w:r>
            <w:r w:rsidRPr="00C31CA4">
              <w:rPr>
                <w:rFonts w:cs="Times New Roman"/>
              </w:rPr>
              <w:t>2021; 38:647-657</w:t>
            </w:r>
            <w:r w:rsidR="00C31CA4">
              <w:rPr>
                <w:rFonts w:cs="Times New Roman"/>
              </w:rPr>
              <w:t xml:space="preserve">. </w:t>
            </w:r>
          </w:p>
        </w:tc>
      </w:tr>
      <w:tr w:rsidR="004E321E" w:rsidRPr="00C31CA4" w14:paraId="0B1CC7C1" w14:textId="77777777" w:rsidTr="00BA5300">
        <w:tc>
          <w:tcPr>
            <w:tcW w:w="687" w:type="pct"/>
            <w:vAlign w:val="center"/>
          </w:tcPr>
          <w:p w14:paraId="3D46D6C3" w14:textId="29517602" w:rsidR="004E321E" w:rsidRPr="00C31CA4" w:rsidRDefault="00A06F62" w:rsidP="00D92642">
            <w:pPr>
              <w:pStyle w:val="TableText0"/>
              <w:keepLines/>
              <w:rPr>
                <w:rFonts w:cs="Times New Roman"/>
              </w:rPr>
            </w:pPr>
            <w:r w:rsidRPr="00C31CA4">
              <w:rPr>
                <w:rFonts w:cs="Times New Roman"/>
              </w:rPr>
              <w:t>NR</w:t>
            </w:r>
          </w:p>
        </w:tc>
        <w:tc>
          <w:tcPr>
            <w:tcW w:w="2844" w:type="pct"/>
          </w:tcPr>
          <w:p w14:paraId="61A9C42A" w14:textId="59AE7E26" w:rsidR="004E321E" w:rsidRPr="00C31CA4" w:rsidRDefault="004E321E" w:rsidP="00D92642">
            <w:pPr>
              <w:pStyle w:val="TableText0"/>
              <w:keepLines/>
              <w:rPr>
                <w:rFonts w:cs="Times New Roman"/>
                <w:b/>
              </w:rPr>
            </w:pPr>
            <w:r w:rsidRPr="00C31CA4">
              <w:rPr>
                <w:rFonts w:cs="Times New Roman"/>
              </w:rPr>
              <w:t xml:space="preserve">Filippidou M, Avgerinou G, Tsipou H, et al. </w:t>
            </w:r>
            <w:r w:rsidRPr="00C31CA4">
              <w:rPr>
                <w:rFonts w:cs="Times New Roman"/>
                <w:bCs w:val="0"/>
              </w:rPr>
              <w:t>Longitudinal evaluation of eltrombopag in paediatric acquired severe aplastic anaemia.</w:t>
            </w:r>
          </w:p>
        </w:tc>
        <w:tc>
          <w:tcPr>
            <w:tcW w:w="1469" w:type="pct"/>
          </w:tcPr>
          <w:p w14:paraId="48D76A7B" w14:textId="5F722113" w:rsidR="004E321E" w:rsidRPr="00C31CA4" w:rsidRDefault="004E321E" w:rsidP="00D92642">
            <w:pPr>
              <w:pStyle w:val="TableText0"/>
              <w:keepLines/>
              <w:rPr>
                <w:rFonts w:cs="Times New Roman"/>
                <w:i/>
                <w:iCs/>
              </w:rPr>
            </w:pPr>
            <w:r w:rsidRPr="00C31CA4">
              <w:rPr>
                <w:rFonts w:cs="Times New Roman"/>
                <w:i/>
                <w:iCs/>
              </w:rPr>
              <w:t>Br J Ha</w:t>
            </w:r>
            <w:r w:rsidR="006A7690" w:rsidRPr="00C31CA4">
              <w:rPr>
                <w:rFonts w:cs="Times New Roman"/>
                <w:i/>
                <w:iCs/>
              </w:rPr>
              <w:t>em</w:t>
            </w:r>
            <w:r w:rsidRPr="00C31CA4">
              <w:rPr>
                <w:rFonts w:cs="Times New Roman"/>
                <w:i/>
                <w:iCs/>
              </w:rPr>
              <w:t xml:space="preserve">atol </w:t>
            </w:r>
            <w:r w:rsidRPr="00C31CA4">
              <w:rPr>
                <w:rFonts w:cs="Times New Roman"/>
              </w:rPr>
              <w:t>2020; 190:e157-e159.</w:t>
            </w:r>
            <w:r w:rsidRPr="00C31CA4">
              <w:rPr>
                <w:rFonts w:cs="Times New Roman"/>
                <w:i/>
                <w:iCs/>
              </w:rPr>
              <w:t xml:space="preserve"> </w:t>
            </w:r>
          </w:p>
        </w:tc>
      </w:tr>
      <w:tr w:rsidR="004E321E" w:rsidRPr="00C31CA4" w14:paraId="2D30E2CC" w14:textId="77777777" w:rsidTr="00BA5300">
        <w:tc>
          <w:tcPr>
            <w:tcW w:w="687" w:type="pct"/>
            <w:vAlign w:val="center"/>
          </w:tcPr>
          <w:p w14:paraId="3EC083C4" w14:textId="439C02AA" w:rsidR="004E321E" w:rsidRPr="00C31CA4" w:rsidRDefault="00A06F62" w:rsidP="00D92642">
            <w:pPr>
              <w:pStyle w:val="TableText0"/>
              <w:keepLines/>
              <w:rPr>
                <w:rFonts w:cs="Times New Roman"/>
              </w:rPr>
            </w:pPr>
            <w:r w:rsidRPr="00C31CA4">
              <w:rPr>
                <w:rFonts w:cs="Times New Roman"/>
              </w:rPr>
              <w:t>NR</w:t>
            </w:r>
          </w:p>
        </w:tc>
        <w:tc>
          <w:tcPr>
            <w:tcW w:w="2844" w:type="pct"/>
          </w:tcPr>
          <w:p w14:paraId="7A8BDD9A" w14:textId="5DB9241B" w:rsidR="004E321E" w:rsidRPr="00C31CA4" w:rsidRDefault="004E321E" w:rsidP="00D92642">
            <w:pPr>
              <w:pStyle w:val="TableText0"/>
              <w:keepLines/>
              <w:rPr>
                <w:rFonts w:cs="Times New Roman"/>
                <w:bCs w:val="0"/>
              </w:rPr>
            </w:pPr>
            <w:r w:rsidRPr="00C31CA4">
              <w:rPr>
                <w:rFonts w:cs="Times New Roman"/>
              </w:rPr>
              <w:t xml:space="preserve">Su MY, Chang HH, Chou SW, et al. </w:t>
            </w:r>
            <w:r w:rsidRPr="00C31CA4">
              <w:rPr>
                <w:rFonts w:cs="Times New Roman"/>
                <w:bCs w:val="0"/>
              </w:rPr>
              <w:t>Role of eltrombopag in severe aplastic anemia treatment in children.</w:t>
            </w:r>
          </w:p>
        </w:tc>
        <w:tc>
          <w:tcPr>
            <w:tcW w:w="1469" w:type="pct"/>
          </w:tcPr>
          <w:p w14:paraId="62C15042" w14:textId="723D7269" w:rsidR="004E321E" w:rsidRPr="00C31CA4" w:rsidRDefault="004E321E" w:rsidP="00D92642">
            <w:pPr>
              <w:pStyle w:val="TableText0"/>
              <w:keepLines/>
              <w:rPr>
                <w:rFonts w:cs="Times New Roman"/>
                <w:i/>
                <w:iCs/>
              </w:rPr>
            </w:pPr>
            <w:r w:rsidRPr="00C31CA4">
              <w:rPr>
                <w:rFonts w:cs="Times New Roman"/>
                <w:i/>
                <w:iCs/>
              </w:rPr>
              <w:t xml:space="preserve"> Pediatr Neonatol </w:t>
            </w:r>
            <w:r w:rsidRPr="00C31CA4">
              <w:rPr>
                <w:rFonts w:cs="Times New Roman"/>
              </w:rPr>
              <w:t>2021; 62:655-657.</w:t>
            </w:r>
            <w:r w:rsidRPr="00C31CA4">
              <w:rPr>
                <w:rFonts w:cs="Times New Roman"/>
                <w:i/>
                <w:iCs/>
              </w:rPr>
              <w:t xml:space="preserve"> </w:t>
            </w:r>
          </w:p>
        </w:tc>
      </w:tr>
      <w:tr w:rsidR="006645D7" w:rsidRPr="00C31CA4" w14:paraId="2FC6358F" w14:textId="77777777" w:rsidTr="00BA5300">
        <w:tc>
          <w:tcPr>
            <w:tcW w:w="5000" w:type="pct"/>
            <w:gridSpan w:val="3"/>
            <w:vAlign w:val="center"/>
          </w:tcPr>
          <w:p w14:paraId="72FEB081" w14:textId="5B83BD60" w:rsidR="008A0850" w:rsidRPr="00C31CA4" w:rsidRDefault="009A52AD" w:rsidP="00D92642">
            <w:pPr>
              <w:pStyle w:val="TableText0"/>
              <w:keepLines/>
              <w:rPr>
                <w:rFonts w:cs="Times New Roman"/>
                <w:b/>
                <w:bCs w:val="0"/>
                <w:i/>
                <w:iCs/>
              </w:rPr>
            </w:pPr>
            <w:r w:rsidRPr="00C31CA4">
              <w:rPr>
                <w:rFonts w:cs="Times New Roman"/>
                <w:b/>
                <w:bCs w:val="0"/>
                <w:i/>
                <w:iCs/>
              </w:rPr>
              <w:t xml:space="preserve">Systematic </w:t>
            </w:r>
            <w:r w:rsidR="006645D7" w:rsidRPr="00C31CA4">
              <w:rPr>
                <w:rFonts w:cs="Times New Roman"/>
                <w:b/>
                <w:bCs w:val="0"/>
                <w:i/>
                <w:iCs/>
              </w:rPr>
              <w:t>r</w:t>
            </w:r>
            <w:r w:rsidRPr="00C31CA4">
              <w:rPr>
                <w:rFonts w:cs="Times New Roman"/>
                <w:b/>
                <w:bCs w:val="0"/>
                <w:i/>
                <w:iCs/>
              </w:rPr>
              <w:t>eview</w:t>
            </w:r>
            <w:r w:rsidR="00D00BD7" w:rsidRPr="00C31CA4">
              <w:rPr>
                <w:rFonts w:cs="Times New Roman"/>
                <w:b/>
                <w:bCs w:val="0"/>
                <w:i/>
                <w:iCs/>
              </w:rPr>
              <w:t>s</w:t>
            </w:r>
          </w:p>
        </w:tc>
      </w:tr>
      <w:tr w:rsidR="006645D7" w:rsidRPr="00C31CA4" w14:paraId="44A1A0D3" w14:textId="77777777" w:rsidTr="00BA5300">
        <w:tc>
          <w:tcPr>
            <w:tcW w:w="687" w:type="pct"/>
            <w:vAlign w:val="center"/>
          </w:tcPr>
          <w:p w14:paraId="6201699E" w14:textId="098E7C9B" w:rsidR="008A0850" w:rsidRPr="00C31CA4" w:rsidRDefault="006645D7" w:rsidP="00D92642">
            <w:pPr>
              <w:pStyle w:val="TableText0"/>
              <w:keepLines/>
              <w:rPr>
                <w:rFonts w:cs="Times New Roman"/>
              </w:rPr>
            </w:pPr>
            <w:r w:rsidRPr="00C31CA4">
              <w:rPr>
                <w:rFonts w:cs="Times New Roman"/>
              </w:rPr>
              <w:t>NR</w:t>
            </w:r>
          </w:p>
        </w:tc>
        <w:tc>
          <w:tcPr>
            <w:tcW w:w="2844" w:type="pct"/>
          </w:tcPr>
          <w:p w14:paraId="395002F6" w14:textId="62B0678B" w:rsidR="008A0850" w:rsidRPr="00C31CA4" w:rsidRDefault="006645D7" w:rsidP="00D92642">
            <w:pPr>
              <w:pStyle w:val="TableText0"/>
              <w:keepLines/>
              <w:rPr>
                <w:rFonts w:cs="Times New Roman"/>
                <w:bCs w:val="0"/>
              </w:rPr>
            </w:pPr>
            <w:r w:rsidRPr="00C31CA4">
              <w:rPr>
                <w:rFonts w:cs="Times New Roman"/>
              </w:rPr>
              <w:t>Zhang S, Wang Q, Cui K</w:t>
            </w:r>
            <w:r w:rsidRPr="00C31CA4">
              <w:rPr>
                <w:rFonts w:cs="Times New Roman"/>
                <w:bCs w:val="0"/>
              </w:rPr>
              <w:t xml:space="preserve"> et al. </w:t>
            </w:r>
            <w:r w:rsidR="009A52AD" w:rsidRPr="00C31CA4">
              <w:rPr>
                <w:rFonts w:cs="Times New Roman"/>
                <w:bCs w:val="0"/>
              </w:rPr>
              <w:t>Efficacy of eltrombopag with immunosuppressive therapy versus immunosuppressive therapy alone on severe aplastic anaemia: A systematic review and meta</w:t>
            </w:r>
            <w:r w:rsidR="009A52AD" w:rsidRPr="00C31CA4">
              <w:rPr>
                <w:rFonts w:ascii="Cambria Math" w:hAnsi="Cambria Math" w:cs="Cambria Math"/>
                <w:bCs w:val="0"/>
              </w:rPr>
              <w:t>‐</w:t>
            </w:r>
            <w:r w:rsidR="009A52AD" w:rsidRPr="00C31CA4">
              <w:rPr>
                <w:rFonts w:cs="Times New Roman"/>
                <w:bCs w:val="0"/>
              </w:rPr>
              <w:t>analysis</w:t>
            </w:r>
            <w:r w:rsidR="00EB1790" w:rsidRPr="00C31CA4">
              <w:rPr>
                <w:rFonts w:cs="Times New Roman"/>
                <w:bCs w:val="0"/>
              </w:rPr>
              <w:t>.</w:t>
            </w:r>
            <w:r w:rsidR="009A52AD" w:rsidRPr="00C31CA4">
              <w:rPr>
                <w:rFonts w:cs="Times New Roman"/>
                <w:bCs w:val="0"/>
              </w:rPr>
              <w:t xml:space="preserve"> </w:t>
            </w:r>
          </w:p>
        </w:tc>
        <w:tc>
          <w:tcPr>
            <w:tcW w:w="1469" w:type="pct"/>
          </w:tcPr>
          <w:p w14:paraId="04C4D54E" w14:textId="2FA205D7" w:rsidR="009A52AD" w:rsidRPr="00C31CA4" w:rsidRDefault="009A52AD" w:rsidP="00D92642">
            <w:pPr>
              <w:pStyle w:val="TableText0"/>
              <w:keepLines/>
              <w:rPr>
                <w:rFonts w:cs="Times New Roman"/>
              </w:rPr>
            </w:pPr>
            <w:r w:rsidRPr="00C31CA4">
              <w:rPr>
                <w:rFonts w:cs="Times New Roman"/>
                <w:bCs w:val="0"/>
                <w:i/>
                <w:iCs/>
              </w:rPr>
              <w:t>Clin Drug Investig</w:t>
            </w:r>
            <w:r w:rsidRPr="00C31CA4">
              <w:rPr>
                <w:rFonts w:cs="Times New Roman"/>
                <w:bCs w:val="0"/>
              </w:rPr>
              <w:t xml:space="preserve"> 2023; 43:315–324. </w:t>
            </w:r>
          </w:p>
          <w:p w14:paraId="6A8327FA" w14:textId="0943CF19" w:rsidR="009A52AD" w:rsidRPr="00C31CA4" w:rsidRDefault="009A52AD" w:rsidP="00D92642">
            <w:pPr>
              <w:pStyle w:val="TableText0"/>
              <w:keepLines/>
              <w:rPr>
                <w:rFonts w:cs="Times New Roman"/>
              </w:rPr>
            </w:pPr>
          </w:p>
        </w:tc>
      </w:tr>
      <w:tr w:rsidR="00D00BD7" w:rsidRPr="00C31CA4" w14:paraId="73F6D336" w14:textId="77777777" w:rsidTr="00BA5300">
        <w:tc>
          <w:tcPr>
            <w:tcW w:w="687" w:type="pct"/>
            <w:vAlign w:val="center"/>
          </w:tcPr>
          <w:p w14:paraId="0858DC67" w14:textId="4ABE36DE" w:rsidR="00D00BD7" w:rsidRPr="00C31CA4" w:rsidRDefault="00D00BD7" w:rsidP="00D92642">
            <w:pPr>
              <w:pStyle w:val="TableText0"/>
              <w:keepLines/>
              <w:rPr>
                <w:rFonts w:cs="Times New Roman"/>
              </w:rPr>
            </w:pPr>
            <w:r w:rsidRPr="00C31CA4">
              <w:rPr>
                <w:rFonts w:cs="Times New Roman"/>
              </w:rPr>
              <w:t>NR</w:t>
            </w:r>
          </w:p>
        </w:tc>
        <w:tc>
          <w:tcPr>
            <w:tcW w:w="2844" w:type="pct"/>
          </w:tcPr>
          <w:p w14:paraId="540C0022" w14:textId="6837AA64" w:rsidR="00D00BD7" w:rsidRPr="00C31CA4" w:rsidRDefault="00D00BD7" w:rsidP="00D92642">
            <w:pPr>
              <w:pStyle w:val="TableText0"/>
              <w:keepLines/>
              <w:rPr>
                <w:rFonts w:cs="Times New Roman"/>
              </w:rPr>
            </w:pPr>
            <w:r w:rsidRPr="00C31CA4">
              <w:rPr>
                <w:rFonts w:cs="Times New Roman"/>
              </w:rPr>
              <w:t>Marrapodi MM, Mascolo A, Robert D, et al. The efficacy and safety of elt</w:t>
            </w:r>
            <w:r w:rsidR="00625123" w:rsidRPr="00C31CA4">
              <w:rPr>
                <w:rFonts w:cs="Times New Roman"/>
              </w:rPr>
              <w:t>r</w:t>
            </w:r>
            <w:r w:rsidRPr="00C31CA4">
              <w:rPr>
                <w:rFonts w:cs="Times New Roman"/>
              </w:rPr>
              <w:t>ombopag in pediatric pat</w:t>
            </w:r>
            <w:r w:rsidR="00625123" w:rsidRPr="00C31CA4">
              <w:rPr>
                <w:rFonts w:cs="Times New Roman"/>
              </w:rPr>
              <w:t>i</w:t>
            </w:r>
            <w:r w:rsidRPr="00C31CA4">
              <w:rPr>
                <w:rFonts w:cs="Times New Roman"/>
              </w:rPr>
              <w:t>ents with severe aplastic anemia: a systematic review.</w:t>
            </w:r>
          </w:p>
        </w:tc>
        <w:tc>
          <w:tcPr>
            <w:tcW w:w="1469" w:type="pct"/>
          </w:tcPr>
          <w:p w14:paraId="6B6DF257" w14:textId="39F557D0" w:rsidR="00D00BD7" w:rsidRPr="00C31CA4" w:rsidRDefault="00D00BD7" w:rsidP="00D92642">
            <w:pPr>
              <w:pStyle w:val="TableText0"/>
              <w:keepLines/>
              <w:rPr>
                <w:rFonts w:cs="Times New Roman"/>
                <w:bCs w:val="0"/>
                <w:i/>
                <w:iCs/>
              </w:rPr>
            </w:pPr>
            <w:r w:rsidRPr="00C31CA4">
              <w:rPr>
                <w:rFonts w:cs="Times New Roman"/>
                <w:bCs w:val="0"/>
                <w:i/>
                <w:iCs/>
              </w:rPr>
              <w:t xml:space="preserve">Front Pediatr, </w:t>
            </w:r>
            <w:r w:rsidRPr="00C31CA4">
              <w:rPr>
                <w:rFonts w:cs="Times New Roman"/>
                <w:bCs w:val="0"/>
              </w:rPr>
              <w:t>2023; 11:1149718.</w:t>
            </w:r>
            <w:r w:rsidRPr="00C31CA4">
              <w:rPr>
                <w:rFonts w:cs="Times New Roman"/>
                <w:bCs w:val="0"/>
                <w:i/>
                <w:iCs/>
              </w:rPr>
              <w:t xml:space="preserve"> </w:t>
            </w:r>
          </w:p>
        </w:tc>
      </w:tr>
    </w:tbl>
    <w:p w14:paraId="4998B5F7" w14:textId="40B8F2BC" w:rsidR="008A0850" w:rsidRPr="00C31CA4" w:rsidRDefault="00DF7EE8" w:rsidP="00D92642">
      <w:pPr>
        <w:pStyle w:val="TableFooter"/>
        <w:keepNext/>
        <w:keepLines/>
      </w:pPr>
      <w:r w:rsidRPr="00C31CA4">
        <w:t xml:space="preserve">Source: </w:t>
      </w:r>
      <w:r w:rsidR="006645D7" w:rsidRPr="00C31CA4">
        <w:t>C</w:t>
      </w:r>
      <w:r w:rsidRPr="00C31CA4">
        <w:t xml:space="preserve">onstructed during the evaluation. </w:t>
      </w:r>
    </w:p>
    <w:p w14:paraId="70AD66CE" w14:textId="6BB37DA8" w:rsidR="00F95355" w:rsidRPr="00C31CA4" w:rsidRDefault="001D7D6F" w:rsidP="00A40684">
      <w:pPr>
        <w:pStyle w:val="FooterTableFigure"/>
      </w:pPr>
      <w:r w:rsidRPr="00C31CA4">
        <w:t>NR = No</w:t>
      </w:r>
      <w:r w:rsidR="00403651" w:rsidRPr="00C31CA4">
        <w:t>ne</w:t>
      </w:r>
      <w:r w:rsidRPr="00C31CA4">
        <w:t xml:space="preserve"> </w:t>
      </w:r>
      <w:r w:rsidR="006645D7" w:rsidRPr="00C31CA4">
        <w:t>r</w:t>
      </w:r>
      <w:r w:rsidRPr="00C31CA4">
        <w:t>eported</w:t>
      </w:r>
      <w:r w:rsidR="00B05770" w:rsidRPr="00C31CA4">
        <w:t xml:space="preserve"> </w:t>
      </w:r>
    </w:p>
    <w:p w14:paraId="65A8118D" w14:textId="518B3644" w:rsidR="00C4301B" w:rsidRPr="00C31CA4" w:rsidRDefault="00FB275E" w:rsidP="008B3F17">
      <w:pPr>
        <w:pStyle w:val="3-BodyText"/>
      </w:pPr>
      <w:r w:rsidRPr="00C31CA4">
        <w:t>The key features of the relevant studies</w:t>
      </w:r>
      <w:r w:rsidR="00FC488E" w:rsidRPr="00C31CA4">
        <w:t>, both those included in the submission and those identified during the evaluation,</w:t>
      </w:r>
      <w:r w:rsidRPr="00C31CA4">
        <w:t xml:space="preserve"> are presented in</w:t>
      </w:r>
      <w:r w:rsidR="00342C67" w:rsidRPr="00C31CA4">
        <w:t xml:space="preserve"> </w:t>
      </w:r>
      <w:r w:rsidR="00342C67" w:rsidRPr="00C31CA4">
        <w:fldChar w:fldCharType="begin" w:fldLock="1"/>
      </w:r>
      <w:r w:rsidR="00342C67" w:rsidRPr="00C31CA4">
        <w:instrText xml:space="preserve"> REF _Ref143460492 \h  \* MERGEFORMAT </w:instrText>
      </w:r>
      <w:r w:rsidR="00342C67" w:rsidRPr="00C31CA4">
        <w:fldChar w:fldCharType="separate"/>
      </w:r>
      <w:r w:rsidR="00897FA1" w:rsidRPr="00897FA1">
        <w:t xml:space="preserve">Table </w:t>
      </w:r>
      <w:r w:rsidR="00897FA1">
        <w:t>4</w:t>
      </w:r>
      <w:r w:rsidR="00342C67" w:rsidRPr="00C31CA4">
        <w:fldChar w:fldCharType="end"/>
      </w:r>
      <w:r w:rsidR="00342C67" w:rsidRPr="00C31CA4">
        <w:t xml:space="preserve"> (first-line treatment)</w:t>
      </w:r>
      <w:r w:rsidRPr="00C31CA4">
        <w:t xml:space="preserve"> </w:t>
      </w:r>
      <w:r w:rsidR="00C4301B" w:rsidRPr="00C31CA4">
        <w:t xml:space="preserve">and </w:t>
      </w:r>
      <w:r w:rsidR="00342C67" w:rsidRPr="00C31CA4">
        <w:fldChar w:fldCharType="begin" w:fldLock="1"/>
      </w:r>
      <w:r w:rsidR="00342C67" w:rsidRPr="00C31CA4">
        <w:instrText xml:space="preserve"> REF _Ref143460543 \h  \* MERGEFORMAT </w:instrText>
      </w:r>
      <w:r w:rsidR="00342C67" w:rsidRPr="00C31CA4">
        <w:fldChar w:fldCharType="separate"/>
      </w:r>
      <w:r w:rsidR="00897FA1" w:rsidRPr="00897FA1">
        <w:rPr>
          <w:rFonts w:eastAsiaTheme="majorEastAsia"/>
        </w:rPr>
        <w:t xml:space="preserve">Table </w:t>
      </w:r>
      <w:r w:rsidR="00897FA1">
        <w:t>5</w:t>
      </w:r>
      <w:r w:rsidR="00342C67" w:rsidRPr="00C31CA4">
        <w:fldChar w:fldCharType="end"/>
      </w:r>
      <w:r w:rsidR="00342C67" w:rsidRPr="00C31CA4">
        <w:t xml:space="preserve"> (second-line treatment)</w:t>
      </w:r>
      <w:r w:rsidR="00C4301B" w:rsidRPr="00C31CA4">
        <w:t xml:space="preserve">. </w:t>
      </w:r>
    </w:p>
    <w:p w14:paraId="277225F7" w14:textId="0DD40AF3" w:rsidR="00934093" w:rsidRPr="00C31CA4" w:rsidRDefault="00C4301B" w:rsidP="008B3F17">
      <w:pPr>
        <w:pStyle w:val="3-BodyText"/>
      </w:pPr>
      <w:r w:rsidRPr="00C31CA4">
        <w:t xml:space="preserve">The </w:t>
      </w:r>
      <w:r w:rsidR="00270AD4" w:rsidRPr="00C31CA4">
        <w:t xml:space="preserve">evaluation considered the </w:t>
      </w:r>
      <w:r w:rsidRPr="00C31CA4">
        <w:t xml:space="preserve">evidence in relation to first-line treatment </w:t>
      </w:r>
      <w:r w:rsidR="00270AD4" w:rsidRPr="00C31CA4">
        <w:t>wa</w:t>
      </w:r>
      <w:r w:rsidRPr="00C31CA4">
        <w:t xml:space="preserve">s of moderate </w:t>
      </w:r>
      <w:r w:rsidR="00FE4E1F" w:rsidRPr="00C31CA4">
        <w:t xml:space="preserve">to poor </w:t>
      </w:r>
      <w:r w:rsidRPr="00C31CA4">
        <w:t>quality</w:t>
      </w:r>
      <w:r w:rsidR="001D7D6F" w:rsidRPr="00C31CA4">
        <w:t xml:space="preserve">, with </w:t>
      </w:r>
      <w:r w:rsidR="004929FF" w:rsidRPr="00C31CA4">
        <w:t>u</w:t>
      </w:r>
      <w:r w:rsidR="001D7D6F" w:rsidRPr="00C31CA4">
        <w:t>n</w:t>
      </w:r>
      <w:r w:rsidR="000E4265" w:rsidRPr="00C31CA4">
        <w:t xml:space="preserve">clear or </w:t>
      </w:r>
      <w:r w:rsidR="004929FF" w:rsidRPr="00C31CA4">
        <w:t>h</w:t>
      </w:r>
      <w:r w:rsidR="000E4265" w:rsidRPr="00C31CA4">
        <w:t>igh risk of bias</w:t>
      </w:r>
      <w:r w:rsidRPr="00C31CA4">
        <w:t xml:space="preserve">. </w:t>
      </w:r>
      <w:r w:rsidR="000C661C" w:rsidRPr="00C31CA4">
        <w:t xml:space="preserve">Of note, </w:t>
      </w:r>
      <w:r w:rsidR="00934093" w:rsidRPr="00C31CA4">
        <w:t>in de Latour</w:t>
      </w:r>
      <w:r w:rsidR="00540B85" w:rsidRPr="00C31CA4">
        <w:t xml:space="preserve"> </w:t>
      </w:r>
      <w:r w:rsidR="00351D4D" w:rsidRPr="00C31CA4">
        <w:t>(</w:t>
      </w:r>
      <w:r w:rsidR="00934093" w:rsidRPr="00C31CA4">
        <w:t>2022</w:t>
      </w:r>
      <w:r w:rsidR="00351D4D" w:rsidRPr="00C31CA4">
        <w:t>)</w:t>
      </w:r>
      <w:r w:rsidR="00934093" w:rsidRPr="00C31CA4">
        <w:t xml:space="preserve"> red cell and platelet transfusions were given at the investigators’ discretion,</w:t>
      </w:r>
      <w:r w:rsidR="00D04112" w:rsidRPr="00C31CA4">
        <w:t xml:space="preserve"> and</w:t>
      </w:r>
      <w:r w:rsidR="009E3BC7" w:rsidRPr="00C31CA4">
        <w:t>,</w:t>
      </w:r>
      <w:r w:rsidR="00D04112" w:rsidRPr="00C31CA4">
        <w:t xml:space="preserve"> since the definition</w:t>
      </w:r>
      <w:r w:rsidR="00FE4E1F" w:rsidRPr="00C31CA4">
        <w:t>s</w:t>
      </w:r>
      <w:r w:rsidR="00D04112" w:rsidRPr="00C31CA4">
        <w:t xml:space="preserve"> of response excluded transfused patients</w:t>
      </w:r>
      <w:r w:rsidR="009E3BC7" w:rsidRPr="00C31CA4">
        <w:t>,</w:t>
      </w:r>
      <w:r w:rsidR="003568C9" w:rsidRPr="00C31CA4">
        <w:t xml:space="preserve"> achieving</w:t>
      </w:r>
      <w:r w:rsidR="009E3BC7" w:rsidRPr="00C31CA4">
        <w:t xml:space="preserve"> </w:t>
      </w:r>
      <w:r w:rsidR="00FE4E1F" w:rsidRPr="00C31CA4">
        <w:t>a response</w:t>
      </w:r>
      <w:r w:rsidR="00D04112" w:rsidRPr="00C31CA4">
        <w:t xml:space="preserve"> </w:t>
      </w:r>
      <w:r w:rsidR="003568C9" w:rsidRPr="00C31CA4">
        <w:t>could be</w:t>
      </w:r>
      <w:r w:rsidR="00934093" w:rsidRPr="00C31CA4">
        <w:t xml:space="preserve"> </w:t>
      </w:r>
      <w:r w:rsidR="00FE4E1F" w:rsidRPr="00C31CA4">
        <w:t>influenced by a</w:t>
      </w:r>
      <w:r w:rsidR="006554CE" w:rsidRPr="00C31CA4">
        <w:t>n investigator’s</w:t>
      </w:r>
      <w:r w:rsidR="00FE4E1F" w:rsidRPr="00C31CA4">
        <w:t xml:space="preserve"> belief that patients </w:t>
      </w:r>
      <w:r w:rsidR="006554CE" w:rsidRPr="00C31CA4">
        <w:t>receiving</w:t>
      </w:r>
      <w:r w:rsidR="00FE4E1F" w:rsidRPr="00C31CA4">
        <w:t xml:space="preserve"> eltrombopag were more likely to respond</w:t>
      </w:r>
      <w:r w:rsidR="00C31CA4">
        <w:t xml:space="preserve">. </w:t>
      </w:r>
      <w:r w:rsidR="00D04112" w:rsidRPr="00C31CA4">
        <w:t>It could be argued that for this reason the trial should be classified as at high risk of bias</w:t>
      </w:r>
      <w:r w:rsidR="00D55DEC" w:rsidRPr="00C31CA4">
        <w:t xml:space="preserve">, and in that case the overall quality of evidence would </w:t>
      </w:r>
      <w:r w:rsidR="00D55DEC" w:rsidRPr="00C31CA4">
        <w:lastRenderedPageBreak/>
        <w:t xml:space="preserve">be </w:t>
      </w:r>
      <w:r w:rsidR="00872A9C" w:rsidRPr="00C31CA4">
        <w:t>low</w:t>
      </w:r>
      <w:r w:rsidR="00D04112" w:rsidRPr="00C31CA4">
        <w:t>.</w:t>
      </w:r>
      <w:r w:rsidR="0069143F" w:rsidRPr="00C31CA4">
        <w:t xml:space="preserve"> The </w:t>
      </w:r>
      <w:r w:rsidR="00270AD4" w:rsidRPr="00C31CA4">
        <w:t xml:space="preserve">ESC acknowledged the </w:t>
      </w:r>
      <w:r w:rsidR="0069143F" w:rsidRPr="00C31CA4">
        <w:t xml:space="preserve">de Latour (2022) trial </w:t>
      </w:r>
      <w:r w:rsidR="00270AD4" w:rsidRPr="00C31CA4">
        <w:t>wa</w:t>
      </w:r>
      <w:r w:rsidR="0069143F" w:rsidRPr="00C31CA4">
        <w:t>s a large randomised,</w:t>
      </w:r>
      <w:r w:rsidR="00270AD4" w:rsidRPr="00C31CA4">
        <w:t xml:space="preserve"> controlled</w:t>
      </w:r>
      <w:r w:rsidR="0069143F" w:rsidRPr="00C31CA4">
        <w:t xml:space="preserve"> clinical trial </w:t>
      </w:r>
      <w:r w:rsidR="00270AD4" w:rsidRPr="00C31CA4">
        <w:t>for a rare condition</w:t>
      </w:r>
      <w:r w:rsidR="00C31CA4">
        <w:t xml:space="preserve">. </w:t>
      </w:r>
      <w:r w:rsidR="00270AD4" w:rsidRPr="00C31CA4">
        <w:t xml:space="preserve">The ESC noted that </w:t>
      </w:r>
      <w:r w:rsidR="0069143F" w:rsidRPr="00C31CA4">
        <w:t xml:space="preserve">whilst red cell and platelet transfusions </w:t>
      </w:r>
      <w:r w:rsidR="00270AD4" w:rsidRPr="00C31CA4">
        <w:t xml:space="preserve">were </w:t>
      </w:r>
      <w:r w:rsidR="0069143F" w:rsidRPr="00C31CA4">
        <w:t xml:space="preserve">at </w:t>
      </w:r>
      <w:r w:rsidR="00270AD4" w:rsidRPr="00C31CA4">
        <w:t xml:space="preserve">the discretion of the investigator, </w:t>
      </w:r>
      <w:r w:rsidR="0069143F" w:rsidRPr="00C31CA4">
        <w:t>there are clear international standards for transfusion</w:t>
      </w:r>
      <w:r w:rsidR="00270AD4" w:rsidRPr="00C31CA4">
        <w:t>. Additionally, the ESC considered</w:t>
      </w:r>
      <w:r w:rsidR="0069143F" w:rsidRPr="00C31CA4">
        <w:t xml:space="preserve"> it </w:t>
      </w:r>
      <w:r w:rsidR="00270AD4" w:rsidRPr="00C31CA4">
        <w:t>was</w:t>
      </w:r>
      <w:r w:rsidR="0069143F" w:rsidRPr="00C31CA4">
        <w:t xml:space="preserve"> very unlikely that blood products were given more or less often based on investigators knowledge of which arm the patient was </w:t>
      </w:r>
      <w:r w:rsidR="00A405ED" w:rsidRPr="00C31CA4">
        <w:t>in</w:t>
      </w:r>
      <w:r w:rsidR="00270AD4" w:rsidRPr="00C31CA4">
        <w:t xml:space="preserve"> and</w:t>
      </w:r>
      <w:r w:rsidR="0069143F" w:rsidRPr="00C31CA4">
        <w:t xml:space="preserve"> </w:t>
      </w:r>
      <w:r w:rsidR="00270AD4" w:rsidRPr="00C31CA4">
        <w:t xml:space="preserve">a </w:t>
      </w:r>
      <w:r w:rsidR="00A405ED" w:rsidRPr="00C31CA4">
        <w:t xml:space="preserve">guiding </w:t>
      </w:r>
      <w:r w:rsidR="0069143F" w:rsidRPr="00C31CA4">
        <w:t>principle of any haematology practice is to minimise blood product use</w:t>
      </w:r>
      <w:r w:rsidR="00270AD4" w:rsidRPr="00C31CA4">
        <w:t xml:space="preserve"> in all patients</w:t>
      </w:r>
      <w:r w:rsidR="0069143F" w:rsidRPr="00C31CA4">
        <w:t xml:space="preserve">. </w:t>
      </w:r>
    </w:p>
    <w:p w14:paraId="2D055A3E" w14:textId="31D8FA38" w:rsidR="00A228E4" w:rsidRPr="00C31CA4" w:rsidRDefault="00374C0C" w:rsidP="008B3F17">
      <w:pPr>
        <w:pStyle w:val="3-BodyText"/>
      </w:pPr>
      <w:r w:rsidRPr="00C31CA4">
        <w:t>Although the submission propos</w:t>
      </w:r>
      <w:r w:rsidR="00351D4D" w:rsidRPr="00C31CA4">
        <w:t>e</w:t>
      </w:r>
      <w:r w:rsidR="004929FF" w:rsidRPr="00C31CA4">
        <w:t>d</w:t>
      </w:r>
      <w:r w:rsidRPr="00C31CA4">
        <w:t xml:space="preserve"> listing of eltrombopag for all age groups, the</w:t>
      </w:r>
      <w:r w:rsidR="00A228E4" w:rsidRPr="00C31CA4">
        <w:t xml:space="preserve"> </w:t>
      </w:r>
      <w:r w:rsidR="007E3242" w:rsidRPr="00C31CA4">
        <w:t xml:space="preserve">randomised controlled </w:t>
      </w:r>
      <w:r w:rsidR="00A228E4" w:rsidRPr="00C31CA4">
        <w:t>trial</w:t>
      </w:r>
      <w:r w:rsidR="007E3242" w:rsidRPr="00C31CA4">
        <w:t xml:space="preserve"> and</w:t>
      </w:r>
      <w:r w:rsidR="00E12C00" w:rsidRPr="00C31CA4">
        <w:t xml:space="preserve"> the</w:t>
      </w:r>
      <w:r w:rsidR="007E3242" w:rsidRPr="00C31CA4">
        <w:t xml:space="preserve"> case series</w:t>
      </w:r>
      <w:r w:rsidR="00A228E4" w:rsidRPr="00C31CA4">
        <w:t xml:space="preserve"> </w:t>
      </w:r>
      <w:r w:rsidR="007E3242" w:rsidRPr="00C31CA4">
        <w:t xml:space="preserve">identified </w:t>
      </w:r>
      <w:r w:rsidR="00E71130" w:rsidRPr="00C31CA4">
        <w:t>during the evaluation</w:t>
      </w:r>
      <w:r w:rsidR="007E3242" w:rsidRPr="00C31CA4">
        <w:t xml:space="preserve"> </w:t>
      </w:r>
      <w:r w:rsidR="00E71130" w:rsidRPr="00C31CA4">
        <w:t xml:space="preserve">as specifically relevant to use in children </w:t>
      </w:r>
      <w:r w:rsidR="007E3242" w:rsidRPr="00C31CA4">
        <w:t>were</w:t>
      </w:r>
      <w:r w:rsidR="00A228E4" w:rsidRPr="00C31CA4">
        <w:t xml:space="preserve"> </w:t>
      </w:r>
      <w:r w:rsidR="00E71130" w:rsidRPr="00C31CA4">
        <w:t xml:space="preserve">not </w:t>
      </w:r>
      <w:r w:rsidR="00A228E4" w:rsidRPr="00C31CA4">
        <w:t>presented in the submission</w:t>
      </w:r>
      <w:r w:rsidR="007A10B7" w:rsidRPr="00C31CA4">
        <w:t xml:space="preserve">; </w:t>
      </w:r>
      <w:r w:rsidR="00D55DEC" w:rsidRPr="00C31CA4">
        <w:t xml:space="preserve">those studies suggest that </w:t>
      </w:r>
      <w:r w:rsidR="006554CE" w:rsidRPr="00C31CA4">
        <w:t>in children</w:t>
      </w:r>
      <w:r w:rsidR="007A10B7" w:rsidRPr="00C31CA4">
        <w:t xml:space="preserve"> the advantage of regimens containing</w:t>
      </w:r>
      <w:r w:rsidR="006554CE" w:rsidRPr="00C31CA4">
        <w:t xml:space="preserve"> </w:t>
      </w:r>
      <w:r w:rsidR="007A10B7" w:rsidRPr="00C31CA4">
        <w:t>eltrombopag is highly uncertain,</w:t>
      </w:r>
      <w:r w:rsidR="00AD0284" w:rsidRPr="00C31CA4">
        <w:t xml:space="preserve"> </w:t>
      </w:r>
      <w:r w:rsidR="007A10B7" w:rsidRPr="00C31CA4">
        <w:t xml:space="preserve">but </w:t>
      </w:r>
      <w:r w:rsidR="00910DB1" w:rsidRPr="00C31CA4">
        <w:t>may be</w:t>
      </w:r>
      <w:r w:rsidR="007A10B7" w:rsidRPr="00C31CA4">
        <w:t xml:space="preserve"> less than</w:t>
      </w:r>
      <w:r w:rsidR="006554CE" w:rsidRPr="00C31CA4">
        <w:t xml:space="preserve"> in adults</w:t>
      </w:r>
      <w:r w:rsidR="00E71130" w:rsidRPr="00C31CA4">
        <w:t xml:space="preserve">. </w:t>
      </w:r>
    </w:p>
    <w:p w14:paraId="066B998E" w14:textId="7ACAF7A8" w:rsidR="00FB275E" w:rsidRPr="00C31CA4" w:rsidRDefault="00C4301B" w:rsidP="008B3F17">
      <w:pPr>
        <w:pStyle w:val="3-BodyText"/>
      </w:pPr>
      <w:r w:rsidRPr="00C31CA4">
        <w:t xml:space="preserve">The </w:t>
      </w:r>
      <w:r w:rsidR="00AD0284" w:rsidRPr="00C31CA4">
        <w:t xml:space="preserve">evaluation considered the </w:t>
      </w:r>
      <w:r w:rsidRPr="00C31CA4">
        <w:t xml:space="preserve">evidence in relation to second-line treatment </w:t>
      </w:r>
      <w:r w:rsidR="00AD0284" w:rsidRPr="00C31CA4">
        <w:t>wa</w:t>
      </w:r>
      <w:r w:rsidRPr="00C31CA4">
        <w:t>s of low quality</w:t>
      </w:r>
      <w:r w:rsidR="00681035" w:rsidRPr="00C31CA4">
        <w:t>. It should be noted that t</w:t>
      </w:r>
      <w:r w:rsidR="006554CE" w:rsidRPr="00C31CA4">
        <w:t xml:space="preserve">he results are not directly comparable </w:t>
      </w:r>
      <w:r w:rsidR="00351D4D" w:rsidRPr="00C31CA4">
        <w:t xml:space="preserve">to those for first-line treatment </w:t>
      </w:r>
      <w:r w:rsidR="006554CE" w:rsidRPr="00C31CA4">
        <w:t>because t</w:t>
      </w:r>
      <w:r w:rsidR="00073E8A" w:rsidRPr="00C31CA4">
        <w:t>he</w:t>
      </w:r>
      <w:r w:rsidR="00681035" w:rsidRPr="00C31CA4">
        <w:t xml:space="preserve"> d</w:t>
      </w:r>
      <w:r w:rsidR="00073E8A" w:rsidRPr="00C31CA4">
        <w:t xml:space="preserve">efinition of response used in the Olnes </w:t>
      </w:r>
      <w:r w:rsidR="00351D4D" w:rsidRPr="00C31CA4">
        <w:t>(</w:t>
      </w:r>
      <w:r w:rsidR="00073E8A" w:rsidRPr="00C31CA4">
        <w:t>2012</w:t>
      </w:r>
      <w:r w:rsidR="00351D4D" w:rsidRPr="00C31CA4">
        <w:t>)</w:t>
      </w:r>
      <w:r w:rsidR="00073E8A" w:rsidRPr="00C31CA4">
        <w:t xml:space="preserve"> and Desmond </w:t>
      </w:r>
      <w:r w:rsidR="00351D4D" w:rsidRPr="00C31CA4">
        <w:t>(</w:t>
      </w:r>
      <w:r w:rsidR="00073E8A" w:rsidRPr="00C31CA4">
        <w:t>2014</w:t>
      </w:r>
      <w:r w:rsidR="00351D4D" w:rsidRPr="00C31CA4">
        <w:t>)</w:t>
      </w:r>
      <w:r w:rsidR="00073E8A" w:rsidRPr="00C31CA4">
        <w:t xml:space="preserve"> stud</w:t>
      </w:r>
      <w:r w:rsidR="00540B85" w:rsidRPr="00C31CA4">
        <w:t>y</w:t>
      </w:r>
      <w:r w:rsidR="00681035" w:rsidRPr="00C31CA4">
        <w:t xml:space="preserve"> w</w:t>
      </w:r>
      <w:r w:rsidR="00EE6110" w:rsidRPr="00C31CA4">
        <w:t>ere</w:t>
      </w:r>
      <w:r w:rsidR="00681035" w:rsidRPr="00C31CA4">
        <w:t xml:space="preserve"> less stringent than that used in studies of first-line treatment. </w:t>
      </w:r>
      <w:r w:rsidR="00A405ED" w:rsidRPr="00C31CA4">
        <w:t>The ESC noted o</w:t>
      </w:r>
      <w:r w:rsidR="00890B8A" w:rsidRPr="00C31CA4">
        <w:t xml:space="preserve">nly single arm studies are available due to the nature of the condition and </w:t>
      </w:r>
      <w:r w:rsidR="00A405ED" w:rsidRPr="00C31CA4">
        <w:t xml:space="preserve">considered use in the second line setting </w:t>
      </w:r>
      <w:r w:rsidR="00890B8A" w:rsidRPr="00C31CA4">
        <w:t xml:space="preserve">will likely become rare after the first 12 – 24 months with patients accessing eltrombopag in first line. </w:t>
      </w:r>
    </w:p>
    <w:p w14:paraId="355E2F15" w14:textId="688D0B9A" w:rsidR="007F1017" w:rsidRPr="00C31CA4" w:rsidRDefault="00696EF9" w:rsidP="00B15089">
      <w:pPr>
        <w:pStyle w:val="TableFigureHeading"/>
        <w:keepNext w:val="0"/>
        <w:widowControl w:val="0"/>
        <w:rPr>
          <w:rStyle w:val="CommentReference"/>
          <w:b/>
          <w:szCs w:val="24"/>
        </w:rPr>
      </w:pPr>
      <w:bookmarkStart w:id="20" w:name="_Ref104804098"/>
      <w:bookmarkStart w:id="21" w:name="_Ref143460492"/>
      <w:r w:rsidRPr="00C31CA4">
        <w:rPr>
          <w:rStyle w:val="CommentReference"/>
          <w:b/>
          <w:szCs w:val="24"/>
        </w:rPr>
        <w:t xml:space="preserve">Table </w:t>
      </w:r>
      <w:bookmarkEnd w:id="20"/>
      <w:r w:rsidR="008D63AA" w:rsidRPr="00C31CA4">
        <w:fldChar w:fldCharType="begin" w:fldLock="1"/>
      </w:r>
      <w:r w:rsidR="008D63AA" w:rsidRPr="00C31CA4">
        <w:instrText xml:space="preserve"> SEQ Table \* ARABIC </w:instrText>
      </w:r>
      <w:r w:rsidR="008D63AA" w:rsidRPr="00C31CA4">
        <w:fldChar w:fldCharType="separate"/>
      </w:r>
      <w:r w:rsidR="00897FA1">
        <w:rPr>
          <w:noProof/>
        </w:rPr>
        <w:t>4</w:t>
      </w:r>
      <w:r w:rsidR="008D63AA" w:rsidRPr="00C31CA4">
        <w:fldChar w:fldCharType="end"/>
      </w:r>
      <w:bookmarkEnd w:id="21"/>
      <w:r w:rsidR="008D63AA" w:rsidRPr="00C31CA4">
        <w:t xml:space="preserve">: </w:t>
      </w:r>
      <w:r w:rsidR="007F1017" w:rsidRPr="00C31CA4">
        <w:rPr>
          <w:rStyle w:val="CommentReference"/>
          <w:b/>
          <w:szCs w:val="24"/>
        </w:rPr>
        <w:t>Key features of the evidence</w:t>
      </w:r>
      <w:r w:rsidR="00DF7EE8" w:rsidRPr="00C31CA4">
        <w:rPr>
          <w:rStyle w:val="CommentReference"/>
          <w:b/>
          <w:szCs w:val="24"/>
        </w:rPr>
        <w:t xml:space="preserve"> relating to first-line treatment</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6"/>
        <w:gridCol w:w="334"/>
        <w:gridCol w:w="2602"/>
        <w:gridCol w:w="730"/>
        <w:gridCol w:w="1763"/>
        <w:gridCol w:w="2620"/>
      </w:tblGrid>
      <w:tr w:rsidR="008D63AA" w:rsidRPr="00C31CA4" w14:paraId="53DD7CC6" w14:textId="77777777" w:rsidTr="00CC2B38">
        <w:trPr>
          <w:cantSplit/>
          <w:tblHeader/>
        </w:trPr>
        <w:tc>
          <w:tcPr>
            <w:tcW w:w="521" w:type="pct"/>
            <w:shd w:val="clear" w:color="auto" w:fill="auto"/>
            <w:vAlign w:val="center"/>
          </w:tcPr>
          <w:p w14:paraId="794116BC" w14:textId="3E4A9CB6" w:rsidR="003C571A" w:rsidRPr="00C31CA4" w:rsidRDefault="00073E8A" w:rsidP="00B15089">
            <w:pPr>
              <w:pStyle w:val="TableText0"/>
              <w:keepNext w:val="0"/>
              <w:widowControl w:val="0"/>
              <w:rPr>
                <w:b/>
                <w:bCs w:val="0"/>
              </w:rPr>
            </w:pPr>
            <w:r w:rsidRPr="00C31CA4">
              <w:rPr>
                <w:b/>
                <w:bCs w:val="0"/>
              </w:rPr>
              <w:t>Study</w:t>
            </w:r>
          </w:p>
        </w:tc>
        <w:tc>
          <w:tcPr>
            <w:tcW w:w="186" w:type="pct"/>
            <w:shd w:val="clear" w:color="auto" w:fill="auto"/>
            <w:vAlign w:val="center"/>
          </w:tcPr>
          <w:p w14:paraId="51122FE5" w14:textId="77777777" w:rsidR="003C571A" w:rsidRPr="00C31CA4" w:rsidRDefault="003C571A" w:rsidP="00B15089">
            <w:pPr>
              <w:pStyle w:val="TableText0"/>
              <w:keepNext w:val="0"/>
              <w:widowControl w:val="0"/>
              <w:jc w:val="center"/>
              <w:rPr>
                <w:b/>
                <w:bCs w:val="0"/>
              </w:rPr>
            </w:pPr>
            <w:r w:rsidRPr="00C31CA4">
              <w:rPr>
                <w:b/>
                <w:bCs w:val="0"/>
              </w:rPr>
              <w:t>N</w:t>
            </w:r>
          </w:p>
        </w:tc>
        <w:tc>
          <w:tcPr>
            <w:tcW w:w="1448" w:type="pct"/>
            <w:shd w:val="clear" w:color="auto" w:fill="auto"/>
            <w:vAlign w:val="center"/>
          </w:tcPr>
          <w:p w14:paraId="41C438EF" w14:textId="77777777" w:rsidR="003C571A" w:rsidRPr="00C31CA4" w:rsidRDefault="003C571A" w:rsidP="00B15089">
            <w:pPr>
              <w:pStyle w:val="TableText0"/>
              <w:keepNext w:val="0"/>
              <w:widowControl w:val="0"/>
              <w:jc w:val="center"/>
              <w:rPr>
                <w:b/>
                <w:bCs w:val="0"/>
              </w:rPr>
            </w:pPr>
            <w:r w:rsidRPr="00C31CA4">
              <w:rPr>
                <w:b/>
                <w:bCs w:val="0"/>
              </w:rPr>
              <w:t>Design/ duration</w:t>
            </w:r>
          </w:p>
        </w:tc>
        <w:tc>
          <w:tcPr>
            <w:tcW w:w="406" w:type="pct"/>
            <w:shd w:val="clear" w:color="auto" w:fill="auto"/>
            <w:vAlign w:val="center"/>
          </w:tcPr>
          <w:p w14:paraId="1FC91360" w14:textId="77777777" w:rsidR="003C571A" w:rsidRPr="00C31CA4" w:rsidRDefault="003C571A" w:rsidP="00B15089">
            <w:pPr>
              <w:pStyle w:val="TableText0"/>
              <w:keepNext w:val="0"/>
              <w:widowControl w:val="0"/>
              <w:jc w:val="center"/>
              <w:rPr>
                <w:b/>
                <w:bCs w:val="0"/>
              </w:rPr>
            </w:pPr>
            <w:r w:rsidRPr="00C31CA4">
              <w:rPr>
                <w:b/>
                <w:bCs w:val="0"/>
              </w:rPr>
              <w:t>Risk of bias</w:t>
            </w:r>
          </w:p>
        </w:tc>
        <w:tc>
          <w:tcPr>
            <w:tcW w:w="981" w:type="pct"/>
            <w:shd w:val="clear" w:color="auto" w:fill="auto"/>
            <w:vAlign w:val="center"/>
          </w:tcPr>
          <w:p w14:paraId="7FF90896" w14:textId="77777777" w:rsidR="003C571A" w:rsidRPr="00C31CA4" w:rsidRDefault="003C571A" w:rsidP="00B15089">
            <w:pPr>
              <w:pStyle w:val="TableText0"/>
              <w:keepNext w:val="0"/>
              <w:widowControl w:val="0"/>
              <w:jc w:val="center"/>
              <w:rPr>
                <w:b/>
                <w:bCs w:val="0"/>
              </w:rPr>
            </w:pPr>
            <w:r w:rsidRPr="00C31CA4">
              <w:rPr>
                <w:b/>
                <w:bCs w:val="0"/>
              </w:rPr>
              <w:t>Patient population</w:t>
            </w:r>
          </w:p>
        </w:tc>
        <w:tc>
          <w:tcPr>
            <w:tcW w:w="1458" w:type="pct"/>
            <w:shd w:val="clear" w:color="auto" w:fill="auto"/>
            <w:vAlign w:val="center"/>
          </w:tcPr>
          <w:p w14:paraId="0FCB63F9" w14:textId="0CD41D97" w:rsidR="003C571A" w:rsidRPr="00C31CA4" w:rsidRDefault="002D30E6" w:rsidP="00B15089">
            <w:pPr>
              <w:pStyle w:val="TableText0"/>
              <w:keepNext w:val="0"/>
              <w:widowControl w:val="0"/>
              <w:jc w:val="center"/>
              <w:rPr>
                <w:b/>
                <w:bCs w:val="0"/>
              </w:rPr>
            </w:pPr>
            <w:r w:rsidRPr="00C31CA4">
              <w:rPr>
                <w:b/>
                <w:bCs w:val="0"/>
              </w:rPr>
              <w:t xml:space="preserve">Primary </w:t>
            </w:r>
            <w:r w:rsidR="0001199D" w:rsidRPr="00C31CA4">
              <w:rPr>
                <w:b/>
                <w:bCs w:val="0"/>
              </w:rPr>
              <w:t>o</w:t>
            </w:r>
            <w:r w:rsidR="003C571A" w:rsidRPr="00C31CA4">
              <w:rPr>
                <w:b/>
                <w:bCs w:val="0"/>
              </w:rPr>
              <w:t>utcome</w:t>
            </w:r>
          </w:p>
        </w:tc>
      </w:tr>
      <w:tr w:rsidR="005D37F5" w:rsidRPr="00C31CA4" w14:paraId="5E986A35" w14:textId="77777777" w:rsidTr="00CC2B38">
        <w:trPr>
          <w:cantSplit/>
        </w:trPr>
        <w:tc>
          <w:tcPr>
            <w:tcW w:w="5000" w:type="pct"/>
            <w:gridSpan w:val="6"/>
            <w:shd w:val="clear" w:color="auto" w:fill="auto"/>
            <w:vAlign w:val="center"/>
          </w:tcPr>
          <w:p w14:paraId="6E3679CF" w14:textId="4BEEFE76" w:rsidR="002C2619" w:rsidRPr="00C31CA4" w:rsidRDefault="002C2619" w:rsidP="00B15089">
            <w:pPr>
              <w:pStyle w:val="TableText0"/>
              <w:keepNext w:val="0"/>
              <w:widowControl w:val="0"/>
              <w:rPr>
                <w:b/>
                <w:bCs w:val="0"/>
              </w:rPr>
            </w:pPr>
            <w:r w:rsidRPr="00C31CA4">
              <w:rPr>
                <w:b/>
                <w:bCs w:val="0"/>
              </w:rPr>
              <w:t>Randomised studies</w:t>
            </w:r>
          </w:p>
        </w:tc>
      </w:tr>
      <w:tr w:rsidR="008D63AA" w:rsidRPr="00C31CA4" w14:paraId="4EE88DCB" w14:textId="77777777" w:rsidTr="00CC2B38">
        <w:trPr>
          <w:cantSplit/>
        </w:trPr>
        <w:tc>
          <w:tcPr>
            <w:tcW w:w="521" w:type="pct"/>
            <w:shd w:val="clear" w:color="auto" w:fill="auto"/>
            <w:vAlign w:val="center"/>
          </w:tcPr>
          <w:p w14:paraId="6EE77D33" w14:textId="16FB4C92" w:rsidR="003C571A" w:rsidRPr="00C31CA4" w:rsidRDefault="003C571A" w:rsidP="00B15089">
            <w:pPr>
              <w:pStyle w:val="TableText0"/>
              <w:keepNext w:val="0"/>
              <w:widowControl w:val="0"/>
            </w:pPr>
            <w:r w:rsidRPr="00C31CA4">
              <w:t xml:space="preserve">de Latour 2022 </w:t>
            </w:r>
          </w:p>
        </w:tc>
        <w:tc>
          <w:tcPr>
            <w:tcW w:w="186" w:type="pct"/>
            <w:shd w:val="clear" w:color="auto" w:fill="auto"/>
            <w:vAlign w:val="center"/>
          </w:tcPr>
          <w:p w14:paraId="41BB0E41" w14:textId="0D3115D5" w:rsidR="003C571A" w:rsidRPr="00C31CA4" w:rsidRDefault="003C571A" w:rsidP="00B15089">
            <w:pPr>
              <w:pStyle w:val="TableText0"/>
              <w:keepNext w:val="0"/>
              <w:widowControl w:val="0"/>
              <w:jc w:val="center"/>
            </w:pPr>
            <w:r w:rsidRPr="00C31CA4">
              <w:t>197</w:t>
            </w:r>
          </w:p>
        </w:tc>
        <w:tc>
          <w:tcPr>
            <w:tcW w:w="1448" w:type="pct"/>
            <w:shd w:val="clear" w:color="auto" w:fill="auto"/>
            <w:vAlign w:val="center"/>
          </w:tcPr>
          <w:p w14:paraId="401EAFDA" w14:textId="74D876D2" w:rsidR="003C571A" w:rsidRPr="00C31CA4" w:rsidRDefault="003C571A" w:rsidP="00B15089">
            <w:pPr>
              <w:pStyle w:val="TableText0"/>
              <w:keepNext w:val="0"/>
              <w:widowControl w:val="0"/>
            </w:pPr>
            <w:r w:rsidRPr="00C31CA4">
              <w:t xml:space="preserve">R, OL, MC, </w:t>
            </w:r>
          </w:p>
          <w:p w14:paraId="744D08AC" w14:textId="5C17D294" w:rsidR="003C571A" w:rsidRPr="00C31CA4" w:rsidRDefault="003C571A" w:rsidP="00B15089">
            <w:pPr>
              <w:pStyle w:val="TableText0"/>
              <w:keepNext w:val="0"/>
              <w:widowControl w:val="0"/>
            </w:pPr>
            <w:r w:rsidRPr="00C31CA4">
              <w:t>24 m</w:t>
            </w:r>
            <w:r w:rsidR="0012512D" w:rsidRPr="00C31CA4">
              <w:t>on</w:t>
            </w:r>
            <w:r w:rsidRPr="00C31CA4">
              <w:t>ths; hATG + CsA vs hATG + CsA + ELT</w:t>
            </w:r>
          </w:p>
        </w:tc>
        <w:tc>
          <w:tcPr>
            <w:tcW w:w="406" w:type="pct"/>
            <w:shd w:val="clear" w:color="auto" w:fill="auto"/>
            <w:vAlign w:val="center"/>
          </w:tcPr>
          <w:p w14:paraId="4A529D74" w14:textId="5F699318" w:rsidR="003C571A" w:rsidRPr="00C31CA4" w:rsidRDefault="003C571A" w:rsidP="00B15089">
            <w:pPr>
              <w:pStyle w:val="TableText0"/>
              <w:keepNext w:val="0"/>
              <w:widowControl w:val="0"/>
              <w:jc w:val="center"/>
              <w:rPr>
                <w:iCs/>
              </w:rPr>
            </w:pPr>
            <w:r w:rsidRPr="00C31CA4">
              <w:rPr>
                <w:iCs/>
              </w:rPr>
              <w:t>Unclear</w:t>
            </w:r>
          </w:p>
        </w:tc>
        <w:tc>
          <w:tcPr>
            <w:tcW w:w="981" w:type="pct"/>
            <w:shd w:val="clear" w:color="auto" w:fill="auto"/>
            <w:vAlign w:val="center"/>
          </w:tcPr>
          <w:p w14:paraId="5E6F456D" w14:textId="5536C982" w:rsidR="003C571A" w:rsidRPr="00C31CA4" w:rsidRDefault="003C571A" w:rsidP="00B15089">
            <w:pPr>
              <w:pStyle w:val="TableText0"/>
              <w:keepNext w:val="0"/>
              <w:widowControl w:val="0"/>
            </w:pPr>
            <w:r w:rsidRPr="00C31CA4">
              <w:t xml:space="preserve">Age </w:t>
            </w:r>
            <w:r w:rsidRPr="00C31CA4">
              <w:sym w:font="Symbol" w:char="F0B3"/>
            </w:r>
            <w:r w:rsidRPr="00C31CA4">
              <w:t xml:space="preserve"> 15; newly diagnosed sAA or vsAA, not eligible for HSCT</w:t>
            </w:r>
          </w:p>
        </w:tc>
        <w:tc>
          <w:tcPr>
            <w:tcW w:w="1458" w:type="pct"/>
            <w:shd w:val="clear" w:color="auto" w:fill="auto"/>
            <w:vAlign w:val="center"/>
          </w:tcPr>
          <w:p w14:paraId="6DC76214" w14:textId="75BFB4F2" w:rsidR="003C571A" w:rsidRPr="00C31CA4" w:rsidRDefault="003C571A" w:rsidP="00B15089">
            <w:pPr>
              <w:pStyle w:val="TableText0"/>
              <w:keepNext w:val="0"/>
              <w:widowControl w:val="0"/>
            </w:pPr>
            <w:r w:rsidRPr="00C31CA4">
              <w:t>CR at 3 months = Hb &gt; 100 g/L and ANC &gt; 1 x 10</w:t>
            </w:r>
            <w:r w:rsidRPr="00C31CA4">
              <w:rPr>
                <w:vertAlign w:val="superscript"/>
              </w:rPr>
              <w:t>9</w:t>
            </w:r>
            <w:r w:rsidRPr="00C31CA4">
              <w:t xml:space="preserve">/L and platelet count &gt; </w:t>
            </w:r>
            <w:r w:rsidR="002D30E6" w:rsidRPr="00C31CA4">
              <w:t>100</w:t>
            </w:r>
            <w:r w:rsidRPr="00C31CA4">
              <w:t xml:space="preserve"> X 10</w:t>
            </w:r>
            <w:r w:rsidRPr="00C31CA4">
              <w:rPr>
                <w:vertAlign w:val="superscript"/>
              </w:rPr>
              <w:t>9</w:t>
            </w:r>
            <w:r w:rsidRPr="00C31CA4">
              <w:t xml:space="preserve">/L excluding </w:t>
            </w:r>
            <w:r w:rsidR="00456CC7" w:rsidRPr="00C31CA4">
              <w:t xml:space="preserve">patients receiving </w:t>
            </w:r>
            <w:r w:rsidRPr="00C31CA4">
              <w:t>transfusion</w:t>
            </w:r>
            <w:r w:rsidR="00456CC7" w:rsidRPr="00C31CA4">
              <w:t xml:space="preserve">s </w:t>
            </w:r>
          </w:p>
        </w:tc>
      </w:tr>
      <w:tr w:rsidR="004B33B7" w:rsidRPr="00C31CA4" w14:paraId="0C75A3C9" w14:textId="77777777" w:rsidTr="00CC2B38">
        <w:trPr>
          <w:cantSplit/>
        </w:trPr>
        <w:tc>
          <w:tcPr>
            <w:tcW w:w="521" w:type="pct"/>
            <w:shd w:val="clear" w:color="auto" w:fill="auto"/>
            <w:vAlign w:val="center"/>
          </w:tcPr>
          <w:p w14:paraId="50B35B13" w14:textId="205B4E52" w:rsidR="004B33B7" w:rsidRPr="00C31CA4" w:rsidRDefault="004B33B7" w:rsidP="00B15089">
            <w:pPr>
              <w:pStyle w:val="TableText0"/>
              <w:keepNext w:val="0"/>
              <w:widowControl w:val="0"/>
            </w:pPr>
            <w:r w:rsidRPr="00C31CA4">
              <w:t>Goronkova 2023</w:t>
            </w:r>
          </w:p>
        </w:tc>
        <w:tc>
          <w:tcPr>
            <w:tcW w:w="186" w:type="pct"/>
            <w:shd w:val="clear" w:color="auto" w:fill="auto"/>
            <w:vAlign w:val="center"/>
          </w:tcPr>
          <w:p w14:paraId="0BB9BE73" w14:textId="11EA39B1" w:rsidR="004B33B7" w:rsidRPr="00C31CA4" w:rsidRDefault="004B33B7" w:rsidP="00B15089">
            <w:pPr>
              <w:pStyle w:val="TableText0"/>
              <w:keepNext w:val="0"/>
              <w:widowControl w:val="0"/>
              <w:jc w:val="center"/>
            </w:pPr>
            <w:r w:rsidRPr="00C31CA4">
              <w:t>98</w:t>
            </w:r>
          </w:p>
        </w:tc>
        <w:tc>
          <w:tcPr>
            <w:tcW w:w="1448" w:type="pct"/>
            <w:shd w:val="clear" w:color="auto" w:fill="auto"/>
            <w:vAlign w:val="center"/>
          </w:tcPr>
          <w:p w14:paraId="6FCBED62" w14:textId="0AA96F40" w:rsidR="004B33B7" w:rsidRPr="00C31CA4" w:rsidRDefault="004B33B7" w:rsidP="00B15089">
            <w:pPr>
              <w:pStyle w:val="TableText0"/>
              <w:keepNext w:val="0"/>
              <w:widowControl w:val="0"/>
            </w:pPr>
            <w:r w:rsidRPr="00C31CA4">
              <w:t>OL, R, MC, hATG + CsA vs hATG + CsA + ELT; after 4 months non-responders crossed over to the other group</w:t>
            </w:r>
          </w:p>
        </w:tc>
        <w:tc>
          <w:tcPr>
            <w:tcW w:w="406" w:type="pct"/>
            <w:shd w:val="clear" w:color="auto" w:fill="auto"/>
            <w:vAlign w:val="center"/>
          </w:tcPr>
          <w:p w14:paraId="7D5EBDDC" w14:textId="211DAF69" w:rsidR="004B33B7" w:rsidRPr="00C31CA4" w:rsidRDefault="004B33B7" w:rsidP="00B15089">
            <w:pPr>
              <w:pStyle w:val="TableText0"/>
              <w:keepNext w:val="0"/>
              <w:widowControl w:val="0"/>
              <w:jc w:val="center"/>
              <w:rPr>
                <w:iCs/>
              </w:rPr>
            </w:pPr>
            <w:r w:rsidRPr="00C31CA4">
              <w:rPr>
                <w:iCs/>
              </w:rPr>
              <w:t>Unclear</w:t>
            </w:r>
          </w:p>
        </w:tc>
        <w:tc>
          <w:tcPr>
            <w:tcW w:w="981" w:type="pct"/>
            <w:shd w:val="clear" w:color="auto" w:fill="auto"/>
            <w:vAlign w:val="center"/>
          </w:tcPr>
          <w:p w14:paraId="36A6AB77" w14:textId="50441D9D" w:rsidR="004B33B7" w:rsidRPr="00C31CA4" w:rsidRDefault="004B33B7" w:rsidP="00B15089">
            <w:pPr>
              <w:pStyle w:val="TableText0"/>
              <w:keepNext w:val="0"/>
              <w:widowControl w:val="0"/>
            </w:pPr>
            <w:r w:rsidRPr="00C31CA4">
              <w:t>Ages 2-18, newly diagnosed sAA, no matched sibling donor</w:t>
            </w:r>
          </w:p>
        </w:tc>
        <w:tc>
          <w:tcPr>
            <w:tcW w:w="1458" w:type="pct"/>
            <w:shd w:val="clear" w:color="auto" w:fill="auto"/>
            <w:vAlign w:val="center"/>
          </w:tcPr>
          <w:p w14:paraId="330CC887" w14:textId="6030F377" w:rsidR="004B33B7" w:rsidRPr="00C31CA4" w:rsidRDefault="004B33B7" w:rsidP="00B15089">
            <w:pPr>
              <w:pStyle w:val="TableText0"/>
              <w:keepNext w:val="0"/>
              <w:widowControl w:val="0"/>
            </w:pPr>
            <w:r w:rsidRPr="00C31CA4">
              <w:t>CR + PR at 4 months; CR = ANC ≥1.0 × 10</w:t>
            </w:r>
            <w:r w:rsidRPr="00C31CA4">
              <w:rPr>
                <w:vertAlign w:val="superscript"/>
              </w:rPr>
              <w:t>9</w:t>
            </w:r>
            <w:r w:rsidRPr="00C31CA4">
              <w:t>/L and Hb ≥100 g/L, and platelet count ≥100 × 10</w:t>
            </w:r>
            <w:r w:rsidRPr="00C31CA4">
              <w:rPr>
                <w:vertAlign w:val="superscript"/>
              </w:rPr>
              <w:t>9</w:t>
            </w:r>
            <w:r w:rsidRPr="00C31CA4">
              <w:t xml:space="preserve">/L (not clear but probably excludes patients receiving transfusion); PR = transfusion independence </w:t>
            </w:r>
            <w:r w:rsidRPr="00C31CA4">
              <w:rPr>
                <w:i/>
                <w:iCs/>
              </w:rPr>
              <w:t>and</w:t>
            </w:r>
            <w:r w:rsidRPr="00C31CA4">
              <w:t xml:space="preserve"> ANC ≥0.5 × 10</w:t>
            </w:r>
            <w:r w:rsidRPr="00C31CA4">
              <w:rPr>
                <w:vertAlign w:val="superscript"/>
              </w:rPr>
              <w:t>9</w:t>
            </w:r>
            <w:r w:rsidRPr="00C31CA4">
              <w:t>/L, Hb ≥85 g/dL and platelet count ≥30 × 10</w:t>
            </w:r>
            <w:r w:rsidRPr="00C31CA4">
              <w:rPr>
                <w:vertAlign w:val="superscript"/>
              </w:rPr>
              <w:t>9</w:t>
            </w:r>
            <w:r w:rsidRPr="00C31CA4">
              <w:t>/L</w:t>
            </w:r>
          </w:p>
        </w:tc>
      </w:tr>
      <w:tr w:rsidR="004B33B7" w:rsidRPr="00C31CA4" w14:paraId="51D6D172" w14:textId="77777777" w:rsidTr="00CC2B38">
        <w:trPr>
          <w:cantSplit/>
        </w:trPr>
        <w:tc>
          <w:tcPr>
            <w:tcW w:w="5000" w:type="pct"/>
            <w:gridSpan w:val="6"/>
            <w:shd w:val="clear" w:color="auto" w:fill="auto"/>
            <w:vAlign w:val="center"/>
          </w:tcPr>
          <w:p w14:paraId="25191401" w14:textId="075FFE06" w:rsidR="004B33B7" w:rsidRPr="00C31CA4" w:rsidRDefault="004B33B7" w:rsidP="00B15089">
            <w:pPr>
              <w:pStyle w:val="TableText0"/>
              <w:keepNext w:val="0"/>
              <w:widowControl w:val="0"/>
              <w:rPr>
                <w:b/>
                <w:bCs w:val="0"/>
              </w:rPr>
            </w:pPr>
            <w:r w:rsidRPr="00C31CA4">
              <w:rPr>
                <w:b/>
                <w:bCs w:val="0"/>
              </w:rPr>
              <w:t>Non-randomised studies</w:t>
            </w:r>
          </w:p>
        </w:tc>
      </w:tr>
      <w:tr w:rsidR="004B33B7" w:rsidRPr="00C31CA4" w14:paraId="6DAFAEAF" w14:textId="77777777" w:rsidTr="00CC2B38">
        <w:trPr>
          <w:cantSplit/>
        </w:trPr>
        <w:tc>
          <w:tcPr>
            <w:tcW w:w="521" w:type="pct"/>
            <w:shd w:val="clear" w:color="auto" w:fill="auto"/>
            <w:vAlign w:val="center"/>
          </w:tcPr>
          <w:p w14:paraId="76F0584C" w14:textId="41B52A39" w:rsidR="004B33B7" w:rsidRPr="00C31CA4" w:rsidRDefault="004B33B7" w:rsidP="00B15089">
            <w:pPr>
              <w:pStyle w:val="TableText0"/>
              <w:keepNext w:val="0"/>
              <w:widowControl w:val="0"/>
            </w:pPr>
            <w:r w:rsidRPr="00C31CA4">
              <w:t>Assi 2018</w:t>
            </w:r>
          </w:p>
        </w:tc>
        <w:tc>
          <w:tcPr>
            <w:tcW w:w="186" w:type="pct"/>
            <w:shd w:val="clear" w:color="auto" w:fill="auto"/>
            <w:vAlign w:val="center"/>
          </w:tcPr>
          <w:p w14:paraId="7D785F8E" w14:textId="085FAD9A" w:rsidR="004B33B7" w:rsidRPr="00C31CA4" w:rsidRDefault="004B33B7" w:rsidP="00B15089">
            <w:pPr>
              <w:pStyle w:val="TableText0"/>
              <w:keepNext w:val="0"/>
              <w:widowControl w:val="0"/>
              <w:jc w:val="center"/>
            </w:pPr>
            <w:r w:rsidRPr="00C31CA4">
              <w:t>38</w:t>
            </w:r>
          </w:p>
        </w:tc>
        <w:tc>
          <w:tcPr>
            <w:tcW w:w="1448" w:type="pct"/>
            <w:shd w:val="clear" w:color="auto" w:fill="auto"/>
            <w:vAlign w:val="center"/>
          </w:tcPr>
          <w:p w14:paraId="4F10C1AA" w14:textId="6C91B1CE" w:rsidR="004B33B7" w:rsidRPr="00C31CA4" w:rsidRDefault="004B33B7" w:rsidP="00B15089">
            <w:pPr>
              <w:pStyle w:val="TableText0"/>
              <w:keepNext w:val="0"/>
              <w:widowControl w:val="0"/>
            </w:pPr>
            <w:r w:rsidRPr="00C31CA4">
              <w:t>OL, non-randomised, sequential cohorts (unclear if consecutive patients): 1</w:t>
            </w:r>
            <w:r w:rsidRPr="00C31CA4">
              <w:rPr>
                <w:vertAlign w:val="superscript"/>
              </w:rPr>
              <w:t>st</w:t>
            </w:r>
            <w:r w:rsidRPr="00C31CA4">
              <w:t xml:space="preserve"> cohort hATG + CsA + G-CSF; 2</w:t>
            </w:r>
            <w:r w:rsidRPr="00C31CA4">
              <w:rPr>
                <w:vertAlign w:val="superscript"/>
              </w:rPr>
              <w:t>nd</w:t>
            </w:r>
            <w:r w:rsidRPr="00C31CA4">
              <w:t xml:space="preserve"> cohort hATG + CsA + ELT </w:t>
            </w:r>
          </w:p>
        </w:tc>
        <w:tc>
          <w:tcPr>
            <w:tcW w:w="406" w:type="pct"/>
            <w:shd w:val="clear" w:color="auto" w:fill="auto"/>
            <w:vAlign w:val="center"/>
          </w:tcPr>
          <w:p w14:paraId="50E27A90" w14:textId="06C73BAF" w:rsidR="004B33B7" w:rsidRPr="00C31CA4" w:rsidRDefault="004B33B7" w:rsidP="00B15089">
            <w:pPr>
              <w:pStyle w:val="TableText0"/>
              <w:keepNext w:val="0"/>
              <w:widowControl w:val="0"/>
              <w:jc w:val="center"/>
              <w:rPr>
                <w:iCs/>
              </w:rPr>
            </w:pPr>
            <w:r w:rsidRPr="00C31CA4">
              <w:rPr>
                <w:iCs/>
              </w:rPr>
              <w:t>High</w:t>
            </w:r>
          </w:p>
        </w:tc>
        <w:tc>
          <w:tcPr>
            <w:tcW w:w="981" w:type="pct"/>
            <w:shd w:val="clear" w:color="auto" w:fill="auto"/>
            <w:vAlign w:val="center"/>
          </w:tcPr>
          <w:p w14:paraId="1B84BE0E" w14:textId="723DFCD7" w:rsidR="004B33B7" w:rsidRPr="00C31CA4" w:rsidRDefault="004B33B7" w:rsidP="00B15089">
            <w:pPr>
              <w:pStyle w:val="TableText0"/>
              <w:keepNext w:val="0"/>
              <w:widowControl w:val="0"/>
            </w:pPr>
            <w:r w:rsidRPr="00C31CA4">
              <w:t>Newly diagnosed sAA</w:t>
            </w:r>
            <w:r w:rsidR="00EE6110" w:rsidRPr="00C31CA4">
              <w:t xml:space="preserve"> (no limit on age)</w:t>
            </w:r>
            <w:r w:rsidRPr="00C31CA4">
              <w:t xml:space="preserve">, adequate renal and liver function, ECOG status </w:t>
            </w:r>
            <w:r w:rsidRPr="00C31CA4">
              <w:sym w:font="Symbol" w:char="F0A3"/>
            </w:r>
            <w:r w:rsidRPr="00C31CA4">
              <w:t xml:space="preserve"> 2</w:t>
            </w:r>
          </w:p>
        </w:tc>
        <w:tc>
          <w:tcPr>
            <w:tcW w:w="1458" w:type="pct"/>
            <w:shd w:val="clear" w:color="auto" w:fill="auto"/>
            <w:vAlign w:val="center"/>
          </w:tcPr>
          <w:p w14:paraId="4E7BED76" w14:textId="2986B5E2" w:rsidR="004B33B7" w:rsidRPr="00C31CA4" w:rsidRDefault="004B33B7" w:rsidP="00B15089">
            <w:pPr>
              <w:pStyle w:val="TableText0"/>
              <w:keepNext w:val="0"/>
              <w:widowControl w:val="0"/>
            </w:pPr>
            <w:r w:rsidRPr="00C31CA4">
              <w:t>CR at any time, median follow-up 21 months (range 3-49); CR = &lt; 5% myeloblasts in BM with normal maturation and no dysplasia and Hb &gt; 100 g/L and ANC &gt; 1 x 10</w:t>
            </w:r>
            <w:r w:rsidRPr="00C31CA4">
              <w:rPr>
                <w:vertAlign w:val="superscript"/>
              </w:rPr>
              <w:t>9</w:t>
            </w:r>
            <w:r w:rsidRPr="00C31CA4">
              <w:t>/L and platelet count &gt; 100 X 10</w:t>
            </w:r>
            <w:r w:rsidRPr="00C31CA4">
              <w:rPr>
                <w:vertAlign w:val="superscript"/>
              </w:rPr>
              <w:t>9</w:t>
            </w:r>
            <w:r w:rsidRPr="00C31CA4">
              <w:t>/L</w:t>
            </w:r>
          </w:p>
        </w:tc>
      </w:tr>
      <w:tr w:rsidR="004B33B7" w:rsidRPr="00C31CA4" w14:paraId="6BB16954" w14:textId="77777777" w:rsidTr="00CC2B38">
        <w:trPr>
          <w:cantSplit/>
        </w:trPr>
        <w:tc>
          <w:tcPr>
            <w:tcW w:w="521" w:type="pct"/>
            <w:shd w:val="clear" w:color="auto" w:fill="auto"/>
            <w:vAlign w:val="center"/>
          </w:tcPr>
          <w:p w14:paraId="587801CB" w14:textId="494A59B3" w:rsidR="004B33B7" w:rsidRPr="00C31CA4" w:rsidRDefault="004B33B7" w:rsidP="00B15089">
            <w:pPr>
              <w:pStyle w:val="TableText0"/>
              <w:keepNext w:val="0"/>
              <w:widowControl w:val="0"/>
            </w:pPr>
            <w:r w:rsidRPr="00C31CA4">
              <w:t>Townsley 2017</w:t>
            </w:r>
          </w:p>
        </w:tc>
        <w:tc>
          <w:tcPr>
            <w:tcW w:w="186" w:type="pct"/>
            <w:shd w:val="clear" w:color="auto" w:fill="auto"/>
            <w:vAlign w:val="center"/>
          </w:tcPr>
          <w:p w14:paraId="0EE9B253" w14:textId="3D6F0329" w:rsidR="004B33B7" w:rsidRPr="00C31CA4" w:rsidRDefault="004B33B7" w:rsidP="00B15089">
            <w:pPr>
              <w:pStyle w:val="TableText0"/>
              <w:keepNext w:val="0"/>
              <w:widowControl w:val="0"/>
              <w:jc w:val="center"/>
            </w:pPr>
            <w:r w:rsidRPr="00C31CA4">
              <w:t>92</w:t>
            </w:r>
          </w:p>
        </w:tc>
        <w:tc>
          <w:tcPr>
            <w:tcW w:w="1448" w:type="pct"/>
            <w:shd w:val="clear" w:color="auto" w:fill="auto"/>
            <w:vAlign w:val="center"/>
          </w:tcPr>
          <w:p w14:paraId="366ACB02" w14:textId="45C0CC8A" w:rsidR="004B33B7" w:rsidRPr="00C31CA4" w:rsidRDefault="004B33B7" w:rsidP="00B15089">
            <w:pPr>
              <w:pStyle w:val="TableText0"/>
              <w:keepNext w:val="0"/>
              <w:widowControl w:val="0"/>
            </w:pPr>
            <w:r w:rsidRPr="00C31CA4">
              <w:t>OL, non-randomised, sequential cohorts of consecutive patients; all patients received hATG + CsA;1</w:t>
            </w:r>
            <w:r w:rsidRPr="00C31CA4">
              <w:rPr>
                <w:vertAlign w:val="superscript"/>
              </w:rPr>
              <w:t>st</w:t>
            </w:r>
            <w:r w:rsidRPr="00C31CA4">
              <w:t xml:space="preserve"> cohort + ELT day 14-6 months; 2</w:t>
            </w:r>
            <w:r w:rsidRPr="00C31CA4">
              <w:rPr>
                <w:vertAlign w:val="superscript"/>
              </w:rPr>
              <w:t>nd</w:t>
            </w:r>
            <w:r w:rsidRPr="00C31CA4">
              <w:t xml:space="preserve"> cohort + ELT day 14-3 months; 3</w:t>
            </w:r>
            <w:r w:rsidRPr="00C31CA4">
              <w:rPr>
                <w:vertAlign w:val="superscript"/>
              </w:rPr>
              <w:t>rd</w:t>
            </w:r>
            <w:r w:rsidRPr="00C31CA4">
              <w:t xml:space="preserve"> cohort + ELT day 1-6 months</w:t>
            </w:r>
          </w:p>
        </w:tc>
        <w:tc>
          <w:tcPr>
            <w:tcW w:w="406" w:type="pct"/>
            <w:shd w:val="clear" w:color="auto" w:fill="auto"/>
            <w:vAlign w:val="center"/>
          </w:tcPr>
          <w:p w14:paraId="39FACFB0" w14:textId="138D10D4" w:rsidR="004B33B7" w:rsidRPr="00C31CA4" w:rsidRDefault="004B33B7" w:rsidP="00B15089">
            <w:pPr>
              <w:pStyle w:val="TableText0"/>
              <w:keepNext w:val="0"/>
              <w:widowControl w:val="0"/>
              <w:jc w:val="center"/>
              <w:rPr>
                <w:iCs/>
              </w:rPr>
            </w:pPr>
            <w:r w:rsidRPr="00C31CA4">
              <w:rPr>
                <w:iCs/>
              </w:rPr>
              <w:t>High</w:t>
            </w:r>
          </w:p>
        </w:tc>
        <w:tc>
          <w:tcPr>
            <w:tcW w:w="981" w:type="pct"/>
            <w:shd w:val="clear" w:color="auto" w:fill="auto"/>
            <w:vAlign w:val="center"/>
          </w:tcPr>
          <w:p w14:paraId="65FE631C" w14:textId="44AA64B8" w:rsidR="004B33B7" w:rsidRPr="00C31CA4" w:rsidRDefault="004B33B7" w:rsidP="00B15089">
            <w:pPr>
              <w:pStyle w:val="TableText0"/>
              <w:keepNext w:val="0"/>
              <w:widowControl w:val="0"/>
            </w:pPr>
            <w:r w:rsidRPr="00C31CA4">
              <w:t xml:space="preserve">Age </w:t>
            </w:r>
            <w:r w:rsidRPr="00C31CA4">
              <w:sym w:font="Symbol" w:char="F0B3"/>
            </w:r>
            <w:r w:rsidRPr="00C31CA4">
              <w:t xml:space="preserve"> 2 yr; newly diagnosed sAA</w:t>
            </w:r>
          </w:p>
        </w:tc>
        <w:tc>
          <w:tcPr>
            <w:tcW w:w="1458" w:type="pct"/>
            <w:shd w:val="clear" w:color="auto" w:fill="auto"/>
            <w:vAlign w:val="center"/>
          </w:tcPr>
          <w:p w14:paraId="6B2D10A5" w14:textId="352EF26B" w:rsidR="004B33B7" w:rsidRPr="00C31CA4" w:rsidRDefault="004B33B7" w:rsidP="00B15089">
            <w:pPr>
              <w:pStyle w:val="TableText0"/>
              <w:keepNext w:val="0"/>
              <w:widowControl w:val="0"/>
            </w:pPr>
            <w:r w:rsidRPr="00C31CA4">
              <w:t>CR at 6 months; CR = ANC ≥1.0 × 10</w:t>
            </w:r>
            <w:r w:rsidRPr="00C31CA4">
              <w:rPr>
                <w:vertAlign w:val="superscript"/>
              </w:rPr>
              <w:t>9</w:t>
            </w:r>
            <w:r w:rsidRPr="00C31CA4">
              <w:t>/L and Hb ≥100 g/L, and platelet count ≥100 × 10</w:t>
            </w:r>
            <w:r w:rsidRPr="00C31CA4">
              <w:rPr>
                <w:vertAlign w:val="superscript"/>
              </w:rPr>
              <w:t>9</w:t>
            </w:r>
            <w:r w:rsidRPr="00C31CA4">
              <w:t>/L</w:t>
            </w:r>
          </w:p>
        </w:tc>
      </w:tr>
      <w:tr w:rsidR="004B33B7" w:rsidRPr="00C31CA4" w14:paraId="4C6E6304" w14:textId="77777777" w:rsidTr="00CC2B38">
        <w:trPr>
          <w:cantSplit/>
        </w:trPr>
        <w:tc>
          <w:tcPr>
            <w:tcW w:w="521" w:type="pct"/>
            <w:shd w:val="clear" w:color="auto" w:fill="auto"/>
            <w:vAlign w:val="center"/>
          </w:tcPr>
          <w:p w14:paraId="224311EB" w14:textId="445FFD25" w:rsidR="004B33B7" w:rsidRPr="00C31CA4" w:rsidRDefault="004B33B7" w:rsidP="00B15089">
            <w:pPr>
              <w:pStyle w:val="TableText0"/>
              <w:keepNext w:val="0"/>
              <w:widowControl w:val="0"/>
            </w:pPr>
            <w:r w:rsidRPr="00C31CA4">
              <w:lastRenderedPageBreak/>
              <w:t>Patel 2022</w:t>
            </w:r>
          </w:p>
        </w:tc>
        <w:tc>
          <w:tcPr>
            <w:tcW w:w="186" w:type="pct"/>
            <w:shd w:val="clear" w:color="auto" w:fill="auto"/>
            <w:vAlign w:val="center"/>
          </w:tcPr>
          <w:p w14:paraId="02133A8B" w14:textId="31E8E800" w:rsidR="004B33B7" w:rsidRPr="00C31CA4" w:rsidRDefault="004B33B7" w:rsidP="00B15089">
            <w:pPr>
              <w:pStyle w:val="TableText0"/>
              <w:keepNext w:val="0"/>
              <w:widowControl w:val="0"/>
              <w:jc w:val="center"/>
            </w:pPr>
            <w:r w:rsidRPr="00C31CA4">
              <w:t>178</w:t>
            </w:r>
          </w:p>
        </w:tc>
        <w:tc>
          <w:tcPr>
            <w:tcW w:w="1448" w:type="pct"/>
            <w:shd w:val="clear" w:color="auto" w:fill="auto"/>
            <w:vAlign w:val="center"/>
          </w:tcPr>
          <w:p w14:paraId="36B995A0" w14:textId="39780C92" w:rsidR="004B33B7" w:rsidRPr="00C31CA4" w:rsidRDefault="004B33B7" w:rsidP="00B15089">
            <w:pPr>
              <w:pStyle w:val="TableText0"/>
              <w:keepNext w:val="0"/>
              <w:widowControl w:val="0"/>
            </w:pPr>
            <w:r w:rsidRPr="00C31CA4">
              <w:t>Extension of Townsley 2017, with 86 additional patients receiving same treatment as 3</w:t>
            </w:r>
            <w:r w:rsidRPr="00C31CA4">
              <w:rPr>
                <w:vertAlign w:val="superscript"/>
              </w:rPr>
              <w:t>rd</w:t>
            </w:r>
            <w:r w:rsidRPr="00C31CA4">
              <w:t xml:space="preserve"> cohort; 102 historical controls treated with hATG + CsA from previous trials NCT00061360 and NCT00260689 </w:t>
            </w:r>
          </w:p>
        </w:tc>
        <w:tc>
          <w:tcPr>
            <w:tcW w:w="406" w:type="pct"/>
            <w:shd w:val="clear" w:color="auto" w:fill="auto"/>
            <w:vAlign w:val="center"/>
          </w:tcPr>
          <w:p w14:paraId="08ADFEA3" w14:textId="1B24DDFE" w:rsidR="004B33B7" w:rsidRPr="00C31CA4" w:rsidRDefault="004B33B7" w:rsidP="00B15089">
            <w:pPr>
              <w:pStyle w:val="TableText0"/>
              <w:keepNext w:val="0"/>
              <w:widowControl w:val="0"/>
              <w:jc w:val="center"/>
            </w:pPr>
            <w:r w:rsidRPr="00C31CA4">
              <w:t>High</w:t>
            </w:r>
          </w:p>
        </w:tc>
        <w:tc>
          <w:tcPr>
            <w:tcW w:w="981" w:type="pct"/>
            <w:shd w:val="clear" w:color="auto" w:fill="auto"/>
            <w:vAlign w:val="center"/>
          </w:tcPr>
          <w:p w14:paraId="160E5FBA" w14:textId="4D758DD5" w:rsidR="004B33B7" w:rsidRPr="00C31CA4" w:rsidRDefault="004B33B7" w:rsidP="00B15089">
            <w:pPr>
              <w:pStyle w:val="TableText0"/>
              <w:keepNext w:val="0"/>
              <w:widowControl w:val="0"/>
            </w:pPr>
            <w:r w:rsidRPr="00C31CA4">
              <w:t xml:space="preserve">Age </w:t>
            </w:r>
            <w:r w:rsidRPr="00C31CA4">
              <w:sym w:font="Symbol" w:char="F0B3"/>
            </w:r>
            <w:r w:rsidRPr="00C31CA4">
              <w:t xml:space="preserve"> 2 yr; sAA “not definitively treated with ATG-based IST” and not eligible for HSCT</w:t>
            </w:r>
          </w:p>
        </w:tc>
        <w:tc>
          <w:tcPr>
            <w:tcW w:w="1458" w:type="pct"/>
            <w:shd w:val="clear" w:color="auto" w:fill="auto"/>
            <w:vAlign w:val="center"/>
          </w:tcPr>
          <w:p w14:paraId="407B1200" w14:textId="7596A5F6" w:rsidR="004B33B7" w:rsidRPr="00C31CA4" w:rsidRDefault="004B33B7" w:rsidP="00B15089">
            <w:pPr>
              <w:pStyle w:val="TableText0"/>
              <w:keepNext w:val="0"/>
              <w:widowControl w:val="0"/>
            </w:pPr>
            <w:r w:rsidRPr="00C31CA4">
              <w:t>CR at 6 months; CR = ANC ≥1.0 × 10</w:t>
            </w:r>
            <w:r w:rsidRPr="00C31CA4">
              <w:rPr>
                <w:vertAlign w:val="superscript"/>
              </w:rPr>
              <w:t>9</w:t>
            </w:r>
            <w:r w:rsidRPr="00C31CA4">
              <w:t>/L and Hb ≥100 g/L, and platelet count ≥100 × 10</w:t>
            </w:r>
            <w:r w:rsidRPr="00C31CA4">
              <w:rPr>
                <w:vertAlign w:val="superscript"/>
              </w:rPr>
              <w:t>9</w:t>
            </w:r>
            <w:r w:rsidRPr="00C31CA4">
              <w:t>/L</w:t>
            </w:r>
          </w:p>
        </w:tc>
      </w:tr>
      <w:tr w:rsidR="004B33B7" w:rsidRPr="00C31CA4" w14:paraId="556FCBA3" w14:textId="77777777" w:rsidTr="00CC2B38">
        <w:trPr>
          <w:cantSplit/>
        </w:trPr>
        <w:tc>
          <w:tcPr>
            <w:tcW w:w="521" w:type="pct"/>
            <w:shd w:val="clear" w:color="auto" w:fill="auto"/>
            <w:vAlign w:val="center"/>
          </w:tcPr>
          <w:p w14:paraId="55A84859" w14:textId="0BD00585" w:rsidR="004B33B7" w:rsidRPr="00C31CA4" w:rsidRDefault="004B33B7" w:rsidP="00B15089">
            <w:pPr>
              <w:pStyle w:val="TableText0"/>
              <w:keepNext w:val="0"/>
              <w:widowControl w:val="0"/>
            </w:pPr>
            <w:r w:rsidRPr="00C31CA4">
              <w:t>Groarke 2021</w:t>
            </w:r>
          </w:p>
        </w:tc>
        <w:tc>
          <w:tcPr>
            <w:tcW w:w="186" w:type="pct"/>
            <w:shd w:val="clear" w:color="auto" w:fill="auto"/>
            <w:vAlign w:val="center"/>
          </w:tcPr>
          <w:p w14:paraId="33EC55D9" w14:textId="25998BD0" w:rsidR="004B33B7" w:rsidRPr="00C31CA4" w:rsidRDefault="004B33B7" w:rsidP="00B15089">
            <w:pPr>
              <w:pStyle w:val="TableText0"/>
              <w:keepNext w:val="0"/>
              <w:widowControl w:val="0"/>
              <w:jc w:val="center"/>
            </w:pPr>
            <w:r w:rsidRPr="00C31CA4">
              <w:t>127</w:t>
            </w:r>
          </w:p>
        </w:tc>
        <w:tc>
          <w:tcPr>
            <w:tcW w:w="1448" w:type="pct"/>
            <w:shd w:val="clear" w:color="auto" w:fill="auto"/>
            <w:vAlign w:val="center"/>
          </w:tcPr>
          <w:p w14:paraId="0CA645AB" w14:textId="32A441C6" w:rsidR="004B33B7" w:rsidRPr="00C31CA4" w:rsidRDefault="004B33B7" w:rsidP="00B15089">
            <w:pPr>
              <w:pStyle w:val="TableText0"/>
              <w:keepNext w:val="0"/>
              <w:widowControl w:val="0"/>
            </w:pPr>
            <w:r w:rsidRPr="00C31CA4">
              <w:t xml:space="preserve">Sub-group analysis of Patel 2022 </w:t>
            </w:r>
          </w:p>
        </w:tc>
        <w:tc>
          <w:tcPr>
            <w:tcW w:w="406" w:type="pct"/>
            <w:shd w:val="clear" w:color="auto" w:fill="auto"/>
            <w:vAlign w:val="center"/>
          </w:tcPr>
          <w:p w14:paraId="61CB70CF" w14:textId="5EE4745B" w:rsidR="004B33B7" w:rsidRPr="00C31CA4" w:rsidRDefault="004B33B7" w:rsidP="007D1F58">
            <w:pPr>
              <w:pStyle w:val="TableText0"/>
              <w:keepNext w:val="0"/>
              <w:widowControl w:val="0"/>
              <w:jc w:val="center"/>
            </w:pPr>
            <w:r w:rsidRPr="00C31CA4">
              <w:t>High</w:t>
            </w:r>
          </w:p>
        </w:tc>
        <w:tc>
          <w:tcPr>
            <w:tcW w:w="981" w:type="pct"/>
            <w:shd w:val="clear" w:color="auto" w:fill="auto"/>
            <w:vAlign w:val="center"/>
          </w:tcPr>
          <w:p w14:paraId="54B39E2C" w14:textId="197F5036" w:rsidR="004B33B7" w:rsidRPr="00C31CA4" w:rsidRDefault="004B33B7" w:rsidP="00B15089">
            <w:pPr>
              <w:pStyle w:val="TableText0"/>
              <w:keepNext w:val="0"/>
              <w:widowControl w:val="0"/>
            </w:pPr>
            <w:r w:rsidRPr="00C31CA4">
              <w:t xml:space="preserve">Age &lt; 18. </w:t>
            </w:r>
          </w:p>
        </w:tc>
        <w:tc>
          <w:tcPr>
            <w:tcW w:w="1458" w:type="pct"/>
            <w:shd w:val="clear" w:color="auto" w:fill="auto"/>
            <w:vAlign w:val="center"/>
          </w:tcPr>
          <w:p w14:paraId="09C7EA2F" w14:textId="175A867A" w:rsidR="004B33B7" w:rsidRPr="00C31CA4" w:rsidRDefault="004B33B7" w:rsidP="00B15089">
            <w:pPr>
              <w:pStyle w:val="TableText0"/>
              <w:keepNext w:val="0"/>
              <w:widowControl w:val="0"/>
            </w:pPr>
            <w:r w:rsidRPr="00C31CA4">
              <w:t xml:space="preserve">Same as Patel 2022 </w:t>
            </w:r>
          </w:p>
        </w:tc>
      </w:tr>
      <w:tr w:rsidR="004B33B7" w:rsidRPr="00C31CA4" w14:paraId="658F5AB6" w14:textId="77777777" w:rsidTr="00CC2B38">
        <w:trPr>
          <w:cantSplit/>
        </w:trPr>
        <w:tc>
          <w:tcPr>
            <w:tcW w:w="521" w:type="pct"/>
            <w:shd w:val="clear" w:color="auto" w:fill="auto"/>
            <w:vAlign w:val="center"/>
          </w:tcPr>
          <w:p w14:paraId="66AF2B8D" w14:textId="317F5B78" w:rsidR="004B33B7" w:rsidRPr="00C31CA4" w:rsidRDefault="004B33B7" w:rsidP="00B15089">
            <w:pPr>
              <w:pStyle w:val="TableText0"/>
              <w:keepNext w:val="0"/>
              <w:widowControl w:val="0"/>
            </w:pPr>
            <w:r w:rsidRPr="00C31CA4">
              <w:t>Fang 2021</w:t>
            </w:r>
          </w:p>
        </w:tc>
        <w:tc>
          <w:tcPr>
            <w:tcW w:w="186" w:type="pct"/>
            <w:shd w:val="clear" w:color="auto" w:fill="auto"/>
            <w:vAlign w:val="center"/>
          </w:tcPr>
          <w:p w14:paraId="6926B077" w14:textId="48718E46" w:rsidR="004B33B7" w:rsidRPr="00C31CA4" w:rsidRDefault="004B33B7" w:rsidP="00B15089">
            <w:pPr>
              <w:pStyle w:val="TableText0"/>
              <w:keepNext w:val="0"/>
              <w:widowControl w:val="0"/>
              <w:jc w:val="center"/>
            </w:pPr>
            <w:r w:rsidRPr="00C31CA4">
              <w:t>57</w:t>
            </w:r>
          </w:p>
        </w:tc>
        <w:tc>
          <w:tcPr>
            <w:tcW w:w="1448" w:type="pct"/>
            <w:shd w:val="clear" w:color="auto" w:fill="auto"/>
            <w:vAlign w:val="center"/>
          </w:tcPr>
          <w:p w14:paraId="0C4CA2D2" w14:textId="2C7DB06D" w:rsidR="004B33B7" w:rsidRPr="00C31CA4" w:rsidRDefault="004B33B7" w:rsidP="00B15089">
            <w:pPr>
              <w:pStyle w:val="TableText0"/>
              <w:keepNext w:val="0"/>
              <w:widowControl w:val="0"/>
            </w:pPr>
            <w:r w:rsidRPr="00C31CA4">
              <w:t xml:space="preserve">Retrospective consecutive cohort, 2012 to 2018; 2012-2016, 39 patients received hATG + CsA, 2017-2018, 17 patients received hATG + CsA + ELT </w:t>
            </w:r>
          </w:p>
        </w:tc>
        <w:tc>
          <w:tcPr>
            <w:tcW w:w="406" w:type="pct"/>
            <w:shd w:val="clear" w:color="auto" w:fill="auto"/>
            <w:vAlign w:val="center"/>
          </w:tcPr>
          <w:p w14:paraId="730F00BE" w14:textId="5DD8BE3A" w:rsidR="004B33B7" w:rsidRPr="00C31CA4" w:rsidRDefault="004B33B7" w:rsidP="00B15089">
            <w:pPr>
              <w:pStyle w:val="TableText0"/>
              <w:keepNext w:val="0"/>
              <w:widowControl w:val="0"/>
              <w:jc w:val="center"/>
            </w:pPr>
            <w:r w:rsidRPr="00C31CA4">
              <w:t>High</w:t>
            </w:r>
          </w:p>
        </w:tc>
        <w:tc>
          <w:tcPr>
            <w:tcW w:w="981" w:type="pct"/>
            <w:shd w:val="clear" w:color="auto" w:fill="auto"/>
            <w:vAlign w:val="center"/>
          </w:tcPr>
          <w:p w14:paraId="219C6A8B" w14:textId="0E3A1969" w:rsidR="004B33B7" w:rsidRPr="00C31CA4" w:rsidRDefault="004B33B7" w:rsidP="00B15089">
            <w:pPr>
              <w:pStyle w:val="TableText0"/>
              <w:keepNext w:val="0"/>
              <w:widowControl w:val="0"/>
            </w:pPr>
            <w:r w:rsidRPr="00C31CA4">
              <w:sym w:font="Symbol" w:char="F0A3"/>
            </w:r>
            <w:r w:rsidRPr="00C31CA4">
              <w:t xml:space="preserve"> 16 years; newly diagnosed, treatment-naive sAA</w:t>
            </w:r>
          </w:p>
        </w:tc>
        <w:tc>
          <w:tcPr>
            <w:tcW w:w="1458" w:type="pct"/>
            <w:shd w:val="clear" w:color="auto" w:fill="auto"/>
            <w:vAlign w:val="center"/>
          </w:tcPr>
          <w:p w14:paraId="12A3461F" w14:textId="00F1C0E4" w:rsidR="004B33B7" w:rsidRPr="00C31CA4" w:rsidRDefault="004B33B7" w:rsidP="00B15089">
            <w:pPr>
              <w:pStyle w:val="TableText0"/>
              <w:keepNext w:val="0"/>
              <w:widowControl w:val="0"/>
            </w:pPr>
            <w:r w:rsidRPr="00C31CA4">
              <w:t xml:space="preserve">CR (ANC </w:t>
            </w:r>
            <w:r w:rsidRPr="00C31CA4">
              <w:sym w:font="Symbol" w:char="F0B3"/>
            </w:r>
            <w:r w:rsidRPr="00C31CA4">
              <w:t xml:space="preserve"> 1.5 x 10</w:t>
            </w:r>
            <w:r w:rsidRPr="00C31CA4">
              <w:rPr>
                <w:vertAlign w:val="superscript"/>
              </w:rPr>
              <w:t>9</w:t>
            </w:r>
            <w:r w:rsidRPr="00C31CA4">
              <w:t xml:space="preserve">/L, Hb </w:t>
            </w:r>
            <w:r w:rsidRPr="00C31CA4">
              <w:sym w:font="Symbol" w:char="F0B3"/>
            </w:r>
            <w:r w:rsidRPr="00C31CA4">
              <w:t xml:space="preserve"> 110 g/L, platelet </w:t>
            </w:r>
            <w:r w:rsidRPr="00C31CA4">
              <w:sym w:font="Symbol" w:char="F0B3"/>
            </w:r>
            <w:r w:rsidRPr="00C31CA4">
              <w:t xml:space="preserve"> 100 x 10</w:t>
            </w:r>
            <w:r w:rsidRPr="00C31CA4">
              <w:rPr>
                <w:vertAlign w:val="superscript"/>
              </w:rPr>
              <w:t>9</w:t>
            </w:r>
            <w:r w:rsidRPr="00C31CA4">
              <w:t xml:space="preserve">/L); PR (ANC </w:t>
            </w:r>
            <w:r w:rsidRPr="00C31CA4">
              <w:sym w:font="Symbol" w:char="F0B3"/>
            </w:r>
            <w:r w:rsidRPr="00C31CA4">
              <w:t xml:space="preserve"> 0.5 x 10</w:t>
            </w:r>
            <w:r w:rsidRPr="00C31CA4">
              <w:rPr>
                <w:vertAlign w:val="superscript"/>
              </w:rPr>
              <w:t>9</w:t>
            </w:r>
            <w:r w:rsidRPr="00C31CA4">
              <w:t xml:space="preserve">/L, Hb </w:t>
            </w:r>
            <w:r w:rsidRPr="00C31CA4">
              <w:sym w:font="Symbol" w:char="F0B3"/>
            </w:r>
            <w:r w:rsidRPr="00C31CA4">
              <w:t xml:space="preserve"> 80 g/L, platelet </w:t>
            </w:r>
            <w:r w:rsidRPr="00C31CA4">
              <w:sym w:font="Symbol" w:char="F0B3"/>
            </w:r>
            <w:r w:rsidRPr="00C31CA4">
              <w:t xml:space="preserve"> 20 x 10</w:t>
            </w:r>
            <w:r w:rsidRPr="00C31CA4">
              <w:rPr>
                <w:vertAlign w:val="superscript"/>
              </w:rPr>
              <w:t>9</w:t>
            </w:r>
            <w:r w:rsidRPr="00C31CA4">
              <w:t>/L); not stated whether regardless of transfusion.</w:t>
            </w:r>
          </w:p>
          <w:p w14:paraId="08B0112B" w14:textId="036D92AC" w:rsidR="004B33B7" w:rsidRPr="00C31CA4" w:rsidRDefault="004B33B7" w:rsidP="00B15089">
            <w:pPr>
              <w:pStyle w:val="TableText0"/>
              <w:keepNext w:val="0"/>
              <w:widowControl w:val="0"/>
            </w:pPr>
            <w:r w:rsidRPr="00C31CA4">
              <w:t xml:space="preserve"> </w:t>
            </w:r>
          </w:p>
        </w:tc>
      </w:tr>
      <w:tr w:rsidR="004B33B7" w:rsidRPr="00C31CA4" w14:paraId="01E0D0DC" w14:textId="77777777" w:rsidTr="00CC2B38">
        <w:trPr>
          <w:cantSplit/>
        </w:trPr>
        <w:tc>
          <w:tcPr>
            <w:tcW w:w="521" w:type="pct"/>
            <w:shd w:val="clear" w:color="auto" w:fill="auto"/>
            <w:vAlign w:val="center"/>
          </w:tcPr>
          <w:p w14:paraId="2E924E9D" w14:textId="6CA126C4" w:rsidR="004B33B7" w:rsidRPr="00C31CA4" w:rsidRDefault="004B33B7" w:rsidP="00B15089">
            <w:pPr>
              <w:pStyle w:val="TableText0"/>
              <w:keepNext w:val="0"/>
              <w:widowControl w:val="0"/>
            </w:pPr>
            <w:r w:rsidRPr="00C31CA4">
              <w:t>Lesmana 2021</w:t>
            </w:r>
          </w:p>
        </w:tc>
        <w:tc>
          <w:tcPr>
            <w:tcW w:w="186" w:type="pct"/>
            <w:shd w:val="clear" w:color="auto" w:fill="auto"/>
            <w:vAlign w:val="center"/>
          </w:tcPr>
          <w:p w14:paraId="3DDEB8E6" w14:textId="2710FD10" w:rsidR="004B33B7" w:rsidRPr="00C31CA4" w:rsidRDefault="004B33B7" w:rsidP="00B15089">
            <w:pPr>
              <w:pStyle w:val="TableText0"/>
              <w:keepNext w:val="0"/>
              <w:widowControl w:val="0"/>
              <w:jc w:val="center"/>
            </w:pPr>
            <w:r w:rsidRPr="00C31CA4">
              <w:t>25</w:t>
            </w:r>
          </w:p>
        </w:tc>
        <w:tc>
          <w:tcPr>
            <w:tcW w:w="1448" w:type="pct"/>
            <w:shd w:val="clear" w:color="auto" w:fill="auto"/>
            <w:vAlign w:val="center"/>
          </w:tcPr>
          <w:p w14:paraId="24681D8F" w14:textId="7E246F9A" w:rsidR="004B33B7" w:rsidRPr="00C31CA4" w:rsidRDefault="004B33B7" w:rsidP="00B15089">
            <w:pPr>
              <w:pStyle w:val="TableText0"/>
              <w:keepNext w:val="0"/>
              <w:widowControl w:val="0"/>
            </w:pPr>
            <w:r w:rsidRPr="00C31CA4">
              <w:t>Retrospective review of consecutive patients 2000-2018; 16 treated before 2015 received hATG + CsA, 9 treated after 2015 received hATG + CsA + ELT (2 after failed hATG + CsA)</w:t>
            </w:r>
          </w:p>
        </w:tc>
        <w:tc>
          <w:tcPr>
            <w:tcW w:w="406" w:type="pct"/>
            <w:shd w:val="clear" w:color="auto" w:fill="auto"/>
            <w:vAlign w:val="center"/>
          </w:tcPr>
          <w:p w14:paraId="4942ADCC" w14:textId="6089E8E2" w:rsidR="004B33B7" w:rsidRPr="00C31CA4" w:rsidRDefault="004B33B7" w:rsidP="00B15089">
            <w:pPr>
              <w:pStyle w:val="TableText0"/>
              <w:keepNext w:val="0"/>
              <w:widowControl w:val="0"/>
              <w:jc w:val="center"/>
            </w:pPr>
            <w:r w:rsidRPr="00C31CA4">
              <w:t>High</w:t>
            </w:r>
          </w:p>
        </w:tc>
        <w:tc>
          <w:tcPr>
            <w:tcW w:w="981" w:type="pct"/>
            <w:shd w:val="clear" w:color="auto" w:fill="auto"/>
            <w:vAlign w:val="center"/>
          </w:tcPr>
          <w:p w14:paraId="1E124374" w14:textId="375C3487" w:rsidR="004B33B7" w:rsidRPr="00C31CA4" w:rsidRDefault="004B33B7" w:rsidP="00B15089">
            <w:pPr>
              <w:pStyle w:val="TableText0"/>
              <w:keepNext w:val="0"/>
              <w:widowControl w:val="0"/>
            </w:pPr>
            <w:r w:rsidRPr="00C31CA4">
              <w:sym w:font="Symbol" w:char="F0A3"/>
            </w:r>
            <w:r w:rsidRPr="00C31CA4">
              <w:t xml:space="preserve"> 18 years, sAA with &gt; 12 months follow-up</w:t>
            </w:r>
          </w:p>
        </w:tc>
        <w:tc>
          <w:tcPr>
            <w:tcW w:w="1458" w:type="pct"/>
            <w:shd w:val="clear" w:color="auto" w:fill="auto"/>
            <w:vAlign w:val="center"/>
          </w:tcPr>
          <w:p w14:paraId="3DB27289" w14:textId="1B232081" w:rsidR="004B33B7" w:rsidRPr="00C31CA4" w:rsidRDefault="004B33B7" w:rsidP="00B15089">
            <w:pPr>
              <w:pStyle w:val="TableText0"/>
              <w:keepNext w:val="0"/>
              <w:widowControl w:val="0"/>
            </w:pPr>
            <w:r w:rsidRPr="00C31CA4">
              <w:t xml:space="preserve">CR, PR, CR + PR (same definitions as de Latour 2022). </w:t>
            </w:r>
          </w:p>
        </w:tc>
      </w:tr>
      <w:tr w:rsidR="004B33B7" w:rsidRPr="00C31CA4" w14:paraId="0641DD21" w14:textId="77777777" w:rsidTr="00CC2B38">
        <w:trPr>
          <w:cantSplit/>
        </w:trPr>
        <w:tc>
          <w:tcPr>
            <w:tcW w:w="521" w:type="pct"/>
            <w:shd w:val="clear" w:color="auto" w:fill="auto"/>
            <w:vAlign w:val="center"/>
          </w:tcPr>
          <w:p w14:paraId="73F26012" w14:textId="5B3EB416" w:rsidR="004B33B7" w:rsidRPr="00C31CA4" w:rsidRDefault="004B33B7" w:rsidP="00B15089">
            <w:pPr>
              <w:pStyle w:val="TableText0"/>
              <w:keepNext w:val="0"/>
              <w:widowControl w:val="0"/>
            </w:pPr>
            <w:r w:rsidRPr="00C31CA4">
              <w:t>Jie 2021</w:t>
            </w:r>
          </w:p>
        </w:tc>
        <w:tc>
          <w:tcPr>
            <w:tcW w:w="186" w:type="pct"/>
            <w:shd w:val="clear" w:color="auto" w:fill="auto"/>
            <w:vAlign w:val="center"/>
          </w:tcPr>
          <w:p w14:paraId="345C8A0D" w14:textId="2F4B3DE0" w:rsidR="004B33B7" w:rsidRPr="00C31CA4" w:rsidRDefault="004B33B7" w:rsidP="00B15089">
            <w:pPr>
              <w:pStyle w:val="TableText0"/>
              <w:keepNext w:val="0"/>
              <w:widowControl w:val="0"/>
              <w:jc w:val="center"/>
            </w:pPr>
            <w:r w:rsidRPr="00C31CA4">
              <w:t>14</w:t>
            </w:r>
          </w:p>
        </w:tc>
        <w:tc>
          <w:tcPr>
            <w:tcW w:w="1448" w:type="pct"/>
            <w:shd w:val="clear" w:color="auto" w:fill="auto"/>
            <w:vAlign w:val="center"/>
          </w:tcPr>
          <w:p w14:paraId="5D28E3C5" w14:textId="6BD918FD" w:rsidR="004B33B7" w:rsidRPr="00C31CA4" w:rsidRDefault="004B33B7" w:rsidP="00B15089">
            <w:pPr>
              <w:pStyle w:val="TableText0"/>
              <w:keepNext w:val="0"/>
              <w:widowControl w:val="0"/>
            </w:pPr>
            <w:r w:rsidRPr="00C31CA4">
              <w:t>Case series, retrospective record review, not clear whether consecutive cases but only patients seen March – September 2017. Data for a “historical cohort” is provided but no information about how, when or where these patients were treated is given</w:t>
            </w:r>
            <w:r w:rsidR="00C31CA4">
              <w:t xml:space="preserve">. </w:t>
            </w:r>
          </w:p>
        </w:tc>
        <w:tc>
          <w:tcPr>
            <w:tcW w:w="406" w:type="pct"/>
            <w:shd w:val="clear" w:color="auto" w:fill="auto"/>
            <w:vAlign w:val="center"/>
          </w:tcPr>
          <w:p w14:paraId="04B6EE9C" w14:textId="222D56FD" w:rsidR="004B33B7" w:rsidRPr="00C31CA4" w:rsidRDefault="004B33B7" w:rsidP="00B15089">
            <w:pPr>
              <w:pStyle w:val="TableText0"/>
              <w:keepNext w:val="0"/>
              <w:widowControl w:val="0"/>
              <w:jc w:val="center"/>
            </w:pPr>
            <w:r w:rsidRPr="00C31CA4">
              <w:t>High</w:t>
            </w:r>
          </w:p>
        </w:tc>
        <w:tc>
          <w:tcPr>
            <w:tcW w:w="981" w:type="pct"/>
            <w:shd w:val="clear" w:color="auto" w:fill="auto"/>
            <w:vAlign w:val="center"/>
          </w:tcPr>
          <w:p w14:paraId="78EC9BAD" w14:textId="255BAD4E" w:rsidR="004B33B7" w:rsidRPr="00C31CA4" w:rsidRDefault="004B33B7" w:rsidP="00B15089">
            <w:pPr>
              <w:pStyle w:val="TableText0"/>
              <w:keepNext w:val="0"/>
              <w:widowControl w:val="0"/>
            </w:pPr>
            <w:r w:rsidRPr="00C31CA4">
              <w:t xml:space="preserve">Age &lt; 18, sAA; IST was rabbit ATG + CsA. </w:t>
            </w:r>
          </w:p>
        </w:tc>
        <w:tc>
          <w:tcPr>
            <w:tcW w:w="1458" w:type="pct"/>
            <w:shd w:val="clear" w:color="auto" w:fill="auto"/>
            <w:vAlign w:val="center"/>
          </w:tcPr>
          <w:p w14:paraId="281D4737" w14:textId="3092ED5D" w:rsidR="004B33B7" w:rsidRPr="00C31CA4" w:rsidRDefault="004B33B7" w:rsidP="00B15089">
            <w:pPr>
              <w:pStyle w:val="TableText0"/>
              <w:keepNext w:val="0"/>
              <w:widowControl w:val="0"/>
            </w:pPr>
            <w:r w:rsidRPr="00C31CA4">
              <w:t>C</w:t>
            </w:r>
            <w:r w:rsidR="00D42DA8" w:rsidRPr="00C31CA4">
              <w:t>R</w:t>
            </w:r>
            <w:r w:rsidRPr="00C31CA4">
              <w:t xml:space="preserve"> and </w:t>
            </w:r>
            <w:r w:rsidR="00D42DA8" w:rsidRPr="00C31CA4">
              <w:t>PR</w:t>
            </w:r>
            <w:r w:rsidRPr="00C31CA4">
              <w:t xml:space="preserve"> at 3, 6, 12 and 24 months; </w:t>
            </w:r>
            <w:r w:rsidR="00D42DA8" w:rsidRPr="00C31CA4">
              <w:t xml:space="preserve">CR </w:t>
            </w:r>
            <w:r w:rsidRPr="00C31CA4">
              <w:t xml:space="preserve">= BM &lt;5% myeloblasts, normal maturation, no dysplasia </w:t>
            </w:r>
            <w:r w:rsidRPr="00C31CA4">
              <w:rPr>
                <w:i/>
                <w:iCs/>
              </w:rPr>
              <w:t>and</w:t>
            </w:r>
            <w:r w:rsidRPr="00C31CA4">
              <w:t xml:space="preserve"> ANC &gt; 1  x 10</w:t>
            </w:r>
            <w:r w:rsidRPr="00C31CA4">
              <w:rPr>
                <w:vertAlign w:val="superscript"/>
              </w:rPr>
              <w:t>9</w:t>
            </w:r>
            <w:r w:rsidRPr="00C31CA4">
              <w:t>/L, Hb &gt; 100 g/L, platelet count &gt; 100 x 10</w:t>
            </w:r>
            <w:r w:rsidRPr="00C31CA4">
              <w:rPr>
                <w:vertAlign w:val="superscript"/>
              </w:rPr>
              <w:t>9</w:t>
            </w:r>
            <w:r w:rsidRPr="00C31CA4">
              <w:t>/L. PR = transfusion independence, no G-CSF ANC &gt; 0.5 x 10</w:t>
            </w:r>
            <w:r w:rsidRPr="00C31CA4">
              <w:rPr>
                <w:vertAlign w:val="superscript"/>
              </w:rPr>
              <w:t>9</w:t>
            </w:r>
            <w:r w:rsidRPr="00C31CA4">
              <w:t>/L, Hb &gt; 80 g/L, platelet count &gt; 20 x 10</w:t>
            </w:r>
            <w:r w:rsidRPr="00C31CA4">
              <w:rPr>
                <w:vertAlign w:val="superscript"/>
              </w:rPr>
              <w:t>9</w:t>
            </w:r>
            <w:r w:rsidRPr="00C31CA4">
              <w:t>/L. Transfusion independence for RBC = “lowest Hb &gt; 60 g/L after the last blood transfusion; for platelets =  lowest platelet count &gt; 10 x 10</w:t>
            </w:r>
            <w:r w:rsidRPr="00C31CA4">
              <w:rPr>
                <w:vertAlign w:val="superscript"/>
              </w:rPr>
              <w:t>9</w:t>
            </w:r>
            <w:r w:rsidRPr="00C31CA4">
              <w:t>/L after the last platelet transfusion; for G-CSF =  lowest ANC &gt;  0.5 x 10</w:t>
            </w:r>
            <w:r w:rsidRPr="00C31CA4">
              <w:rPr>
                <w:vertAlign w:val="superscript"/>
              </w:rPr>
              <w:t>9</w:t>
            </w:r>
            <w:r w:rsidRPr="00C31CA4">
              <w:t xml:space="preserve">/L after the last G-CSF”. </w:t>
            </w:r>
          </w:p>
        </w:tc>
      </w:tr>
      <w:tr w:rsidR="004B33B7" w:rsidRPr="00C31CA4" w14:paraId="19EB27DA" w14:textId="77777777" w:rsidTr="00CC2B38">
        <w:trPr>
          <w:cantSplit/>
        </w:trPr>
        <w:tc>
          <w:tcPr>
            <w:tcW w:w="521" w:type="pct"/>
            <w:shd w:val="clear" w:color="auto" w:fill="auto"/>
            <w:vAlign w:val="center"/>
          </w:tcPr>
          <w:p w14:paraId="613BBF8D" w14:textId="7537CDB5" w:rsidR="004B33B7" w:rsidRPr="00C31CA4" w:rsidRDefault="004B33B7" w:rsidP="00B15089">
            <w:pPr>
              <w:pStyle w:val="TableText0"/>
              <w:keepNext w:val="0"/>
              <w:widowControl w:val="0"/>
            </w:pPr>
            <w:r w:rsidRPr="00C31CA4">
              <w:t>Filippidou 2020</w:t>
            </w:r>
          </w:p>
        </w:tc>
        <w:tc>
          <w:tcPr>
            <w:tcW w:w="186" w:type="pct"/>
            <w:shd w:val="clear" w:color="auto" w:fill="auto"/>
            <w:vAlign w:val="center"/>
          </w:tcPr>
          <w:p w14:paraId="4C30645B" w14:textId="5D398514" w:rsidR="004B33B7" w:rsidRPr="00C31CA4" w:rsidRDefault="004B33B7" w:rsidP="00B15089">
            <w:pPr>
              <w:pStyle w:val="TableText0"/>
              <w:keepNext w:val="0"/>
              <w:widowControl w:val="0"/>
              <w:jc w:val="center"/>
            </w:pPr>
            <w:r w:rsidRPr="00C31CA4">
              <w:t>11</w:t>
            </w:r>
            <w:r w:rsidR="00B15089" w:rsidRPr="00C31CA4">
              <w:rPr>
                <w:vertAlign w:val="superscript"/>
              </w:rPr>
              <w:t>b</w:t>
            </w:r>
          </w:p>
        </w:tc>
        <w:tc>
          <w:tcPr>
            <w:tcW w:w="1448" w:type="pct"/>
            <w:shd w:val="clear" w:color="auto" w:fill="auto"/>
            <w:vAlign w:val="center"/>
          </w:tcPr>
          <w:p w14:paraId="7786D29E" w14:textId="6403ADB0" w:rsidR="004B33B7" w:rsidRPr="00C31CA4" w:rsidRDefault="004B33B7" w:rsidP="00B15089">
            <w:pPr>
              <w:pStyle w:val="TableText0"/>
              <w:keepNext w:val="0"/>
              <w:widowControl w:val="0"/>
            </w:pPr>
            <w:r w:rsidRPr="00C31CA4">
              <w:t>Case series, not clear whether prospective or retrospective or whether consecutive cases.</w:t>
            </w:r>
          </w:p>
        </w:tc>
        <w:tc>
          <w:tcPr>
            <w:tcW w:w="406" w:type="pct"/>
            <w:shd w:val="clear" w:color="auto" w:fill="auto"/>
            <w:vAlign w:val="center"/>
          </w:tcPr>
          <w:p w14:paraId="0A4AF641" w14:textId="6FB61370" w:rsidR="004B33B7" w:rsidRPr="00C31CA4" w:rsidRDefault="004B33B7" w:rsidP="00B15089">
            <w:pPr>
              <w:pStyle w:val="TableText0"/>
              <w:keepNext w:val="0"/>
              <w:widowControl w:val="0"/>
              <w:jc w:val="center"/>
            </w:pPr>
            <w:r w:rsidRPr="00C31CA4">
              <w:t>High</w:t>
            </w:r>
          </w:p>
        </w:tc>
        <w:tc>
          <w:tcPr>
            <w:tcW w:w="981" w:type="pct"/>
            <w:shd w:val="clear" w:color="auto" w:fill="auto"/>
            <w:vAlign w:val="center"/>
          </w:tcPr>
          <w:p w14:paraId="78D5E304" w14:textId="4CF5356F" w:rsidR="004B33B7" w:rsidRPr="00C31CA4" w:rsidRDefault="004B33B7" w:rsidP="00B15089">
            <w:pPr>
              <w:pStyle w:val="TableText0"/>
              <w:keepNext w:val="0"/>
              <w:widowControl w:val="0"/>
            </w:pPr>
            <w:r w:rsidRPr="00C31CA4">
              <w:t>Age &lt;18, sAA</w:t>
            </w:r>
          </w:p>
        </w:tc>
        <w:tc>
          <w:tcPr>
            <w:tcW w:w="1458" w:type="pct"/>
            <w:shd w:val="clear" w:color="auto" w:fill="auto"/>
            <w:vAlign w:val="center"/>
          </w:tcPr>
          <w:p w14:paraId="407314A0" w14:textId="15AB8374" w:rsidR="004B33B7" w:rsidRPr="00C31CA4" w:rsidRDefault="004B33B7" w:rsidP="00B15089">
            <w:pPr>
              <w:pStyle w:val="TableText0"/>
              <w:keepNext w:val="0"/>
              <w:widowControl w:val="0"/>
            </w:pPr>
            <w:r w:rsidRPr="00C31CA4">
              <w:t>C</w:t>
            </w:r>
            <w:r w:rsidR="00D42DA8" w:rsidRPr="00C31CA4">
              <w:t>R</w:t>
            </w:r>
            <w:r w:rsidRPr="00C31CA4">
              <w:t xml:space="preserve"> and </w:t>
            </w:r>
            <w:r w:rsidR="00D42DA8" w:rsidRPr="00C31CA4">
              <w:t>PR</w:t>
            </w:r>
            <w:r w:rsidRPr="00C31CA4">
              <w:t xml:space="preserve">, but no definition provided. </w:t>
            </w:r>
          </w:p>
        </w:tc>
      </w:tr>
      <w:tr w:rsidR="004B33B7" w:rsidRPr="00C31CA4" w14:paraId="15BC8B21" w14:textId="77777777" w:rsidTr="00CC2B38">
        <w:trPr>
          <w:cantSplit/>
        </w:trPr>
        <w:tc>
          <w:tcPr>
            <w:tcW w:w="521" w:type="pct"/>
            <w:shd w:val="clear" w:color="auto" w:fill="auto"/>
            <w:vAlign w:val="center"/>
          </w:tcPr>
          <w:p w14:paraId="37BE2173" w14:textId="387010D9" w:rsidR="004B33B7" w:rsidRPr="00C31CA4" w:rsidRDefault="004B33B7" w:rsidP="00B15089">
            <w:pPr>
              <w:pStyle w:val="TableText0"/>
              <w:keepNext w:val="0"/>
              <w:widowControl w:val="0"/>
            </w:pPr>
            <w:r w:rsidRPr="00C31CA4">
              <w:t>Su 2021</w:t>
            </w:r>
          </w:p>
        </w:tc>
        <w:tc>
          <w:tcPr>
            <w:tcW w:w="186" w:type="pct"/>
            <w:shd w:val="clear" w:color="auto" w:fill="auto"/>
            <w:vAlign w:val="center"/>
          </w:tcPr>
          <w:p w14:paraId="14160788" w14:textId="0FCF6795" w:rsidR="004B33B7" w:rsidRPr="00C31CA4" w:rsidRDefault="004B33B7" w:rsidP="00B15089">
            <w:pPr>
              <w:pStyle w:val="TableText0"/>
              <w:keepNext w:val="0"/>
              <w:widowControl w:val="0"/>
              <w:jc w:val="center"/>
            </w:pPr>
            <w:r w:rsidRPr="00C31CA4">
              <w:t>5</w:t>
            </w:r>
            <w:r w:rsidR="00B15089" w:rsidRPr="00C31CA4">
              <w:rPr>
                <w:vertAlign w:val="superscript"/>
              </w:rPr>
              <w:t>a</w:t>
            </w:r>
            <w:r w:rsidRPr="00C31CA4">
              <w:t xml:space="preserve"> </w:t>
            </w:r>
          </w:p>
        </w:tc>
        <w:tc>
          <w:tcPr>
            <w:tcW w:w="1448" w:type="pct"/>
            <w:shd w:val="clear" w:color="auto" w:fill="auto"/>
            <w:vAlign w:val="center"/>
          </w:tcPr>
          <w:p w14:paraId="2C2B9C36" w14:textId="5B147E18" w:rsidR="004B33B7" w:rsidRPr="00C31CA4" w:rsidRDefault="004B33B7" w:rsidP="00B15089">
            <w:pPr>
              <w:pStyle w:val="TableText0"/>
              <w:keepNext w:val="0"/>
              <w:widowControl w:val="0"/>
            </w:pPr>
            <w:r w:rsidRPr="00C31CA4">
              <w:t>Case series, retrospective record review, 2016-2020</w:t>
            </w:r>
          </w:p>
        </w:tc>
        <w:tc>
          <w:tcPr>
            <w:tcW w:w="406" w:type="pct"/>
            <w:shd w:val="clear" w:color="auto" w:fill="auto"/>
            <w:vAlign w:val="center"/>
          </w:tcPr>
          <w:p w14:paraId="2014991D" w14:textId="6E8C5557" w:rsidR="004B33B7" w:rsidRPr="00C31CA4" w:rsidRDefault="004B33B7" w:rsidP="00B15089">
            <w:pPr>
              <w:pStyle w:val="TableText0"/>
              <w:keepNext w:val="0"/>
              <w:widowControl w:val="0"/>
              <w:jc w:val="center"/>
            </w:pPr>
            <w:r w:rsidRPr="00C31CA4">
              <w:t>High</w:t>
            </w:r>
          </w:p>
        </w:tc>
        <w:tc>
          <w:tcPr>
            <w:tcW w:w="981" w:type="pct"/>
            <w:shd w:val="clear" w:color="auto" w:fill="auto"/>
            <w:vAlign w:val="center"/>
          </w:tcPr>
          <w:p w14:paraId="5142AAAD" w14:textId="589096A1" w:rsidR="004B33B7" w:rsidRPr="00C31CA4" w:rsidRDefault="004B33B7" w:rsidP="00B15089">
            <w:pPr>
              <w:pStyle w:val="TableText0"/>
              <w:keepNext w:val="0"/>
              <w:widowControl w:val="0"/>
            </w:pPr>
            <w:r w:rsidRPr="00C31CA4">
              <w:t>Age &lt;18, sAA; IST was rabbit ATG + CsA</w:t>
            </w:r>
          </w:p>
        </w:tc>
        <w:tc>
          <w:tcPr>
            <w:tcW w:w="1458" w:type="pct"/>
            <w:shd w:val="clear" w:color="auto" w:fill="auto"/>
            <w:vAlign w:val="center"/>
          </w:tcPr>
          <w:p w14:paraId="059A9115" w14:textId="79F6EA7A" w:rsidR="004B33B7" w:rsidRPr="00C31CA4" w:rsidRDefault="00D42DA8" w:rsidP="00B15089">
            <w:pPr>
              <w:pStyle w:val="TableText0"/>
              <w:keepNext w:val="0"/>
              <w:widowControl w:val="0"/>
            </w:pPr>
            <w:r w:rsidRPr="00C31CA4">
              <w:t>CR</w:t>
            </w:r>
            <w:r w:rsidR="004B33B7" w:rsidRPr="00C31CA4">
              <w:t xml:space="preserve"> = ANC &gt; 1 X 10</w:t>
            </w:r>
            <w:r w:rsidR="004B33B7" w:rsidRPr="00C31CA4">
              <w:rPr>
                <w:vertAlign w:val="superscript"/>
              </w:rPr>
              <w:t>9</w:t>
            </w:r>
            <w:r w:rsidR="004B33B7" w:rsidRPr="00C31CA4">
              <w:t>/L + Hb &gt; 100 g/L + platelet count &gt; 100 x 10</w:t>
            </w:r>
            <w:r w:rsidR="004B33B7" w:rsidRPr="00C31CA4">
              <w:rPr>
                <w:vertAlign w:val="superscript"/>
              </w:rPr>
              <w:t>9</w:t>
            </w:r>
            <w:r w:rsidR="004B33B7" w:rsidRPr="00C31CA4">
              <w:t>/L; Robust response = same except platelet count &gt; 50 x 10</w:t>
            </w:r>
            <w:r w:rsidR="004B33B7" w:rsidRPr="00C31CA4">
              <w:rPr>
                <w:vertAlign w:val="superscript"/>
              </w:rPr>
              <w:t>9</w:t>
            </w:r>
            <w:r w:rsidR="004B33B7" w:rsidRPr="00C31CA4">
              <w:t>/L but less than 100 x 10</w:t>
            </w:r>
            <w:r w:rsidR="004B33B7" w:rsidRPr="00C31CA4">
              <w:rPr>
                <w:vertAlign w:val="superscript"/>
              </w:rPr>
              <w:t>9</w:t>
            </w:r>
            <w:r w:rsidR="004B33B7" w:rsidRPr="00C31CA4">
              <w:t xml:space="preserve">/L; No response = “still in SAA status”; </w:t>
            </w:r>
            <w:r w:rsidRPr="00C31CA4">
              <w:t>PR</w:t>
            </w:r>
            <w:r w:rsidR="004B33B7" w:rsidRPr="00C31CA4">
              <w:t xml:space="preserve"> = neither no response nor </w:t>
            </w:r>
            <w:r w:rsidR="00B15089" w:rsidRPr="00C31CA4">
              <w:t>c</w:t>
            </w:r>
            <w:r w:rsidR="004B33B7" w:rsidRPr="00C31CA4">
              <w:t xml:space="preserve">omplete response nor </w:t>
            </w:r>
            <w:r w:rsidR="00B15089" w:rsidRPr="00C31CA4">
              <w:t>r</w:t>
            </w:r>
            <w:r w:rsidR="004B33B7" w:rsidRPr="00C31CA4">
              <w:t>obust response.</w:t>
            </w:r>
          </w:p>
        </w:tc>
      </w:tr>
    </w:tbl>
    <w:p w14:paraId="560080D2" w14:textId="716B8FFF" w:rsidR="00045017" w:rsidRPr="00C31CA4" w:rsidRDefault="00045017" w:rsidP="00B15089">
      <w:pPr>
        <w:pStyle w:val="FooterTableFigure"/>
        <w:widowControl w:val="0"/>
      </w:pPr>
      <w:r w:rsidRPr="00C31CA4">
        <w:t xml:space="preserve">Source: </w:t>
      </w:r>
      <w:r w:rsidR="003C571A" w:rsidRPr="00C31CA4">
        <w:t xml:space="preserve">Constructed during the evaluation. </w:t>
      </w:r>
    </w:p>
    <w:p w14:paraId="59D3294D" w14:textId="48F68C7F" w:rsidR="00A06F62" w:rsidRPr="00C31CA4" w:rsidRDefault="003C571A" w:rsidP="00B15089">
      <w:pPr>
        <w:pStyle w:val="FooterTableFigure"/>
        <w:widowControl w:val="0"/>
      </w:pPr>
      <w:r w:rsidRPr="00C31CA4">
        <w:t xml:space="preserve">ANC = </w:t>
      </w:r>
      <w:r w:rsidR="008D63AA" w:rsidRPr="00C31CA4">
        <w:t>a</w:t>
      </w:r>
      <w:r w:rsidRPr="00C31CA4">
        <w:t xml:space="preserve">bsolute </w:t>
      </w:r>
      <w:r w:rsidR="008D63AA" w:rsidRPr="00C31CA4">
        <w:t>n</w:t>
      </w:r>
      <w:r w:rsidRPr="00C31CA4">
        <w:t xml:space="preserve">eutrophil </w:t>
      </w:r>
      <w:r w:rsidR="008D63AA" w:rsidRPr="00C31CA4">
        <w:t>c</w:t>
      </w:r>
      <w:r w:rsidRPr="00C31CA4">
        <w:t xml:space="preserve">ount; </w:t>
      </w:r>
      <w:r w:rsidR="00C82385" w:rsidRPr="00C31CA4">
        <w:t xml:space="preserve">BM = </w:t>
      </w:r>
      <w:r w:rsidR="008D63AA" w:rsidRPr="00C31CA4">
        <w:t>b</w:t>
      </w:r>
      <w:r w:rsidR="00C82385" w:rsidRPr="00C31CA4">
        <w:t xml:space="preserve">one </w:t>
      </w:r>
      <w:r w:rsidR="008D63AA" w:rsidRPr="00C31CA4">
        <w:t>m</w:t>
      </w:r>
      <w:r w:rsidR="00C82385" w:rsidRPr="00C31CA4">
        <w:t xml:space="preserve">arrow; </w:t>
      </w:r>
      <w:r w:rsidRPr="00C31CA4">
        <w:t xml:space="preserve">CR = </w:t>
      </w:r>
      <w:r w:rsidR="008D63AA" w:rsidRPr="00C31CA4">
        <w:t>c</w:t>
      </w:r>
      <w:r w:rsidRPr="00C31CA4">
        <w:t xml:space="preserve">omplete </w:t>
      </w:r>
      <w:r w:rsidR="008D63AA" w:rsidRPr="00C31CA4">
        <w:t>r</w:t>
      </w:r>
      <w:r w:rsidRPr="00C31CA4">
        <w:t xml:space="preserve">esponse; CsA = </w:t>
      </w:r>
      <w:r w:rsidR="009A6886">
        <w:t>ciclosporin</w:t>
      </w:r>
      <w:r w:rsidRPr="00C31CA4">
        <w:t xml:space="preserve"> A; ELT = </w:t>
      </w:r>
      <w:r w:rsidR="008D63AA" w:rsidRPr="00C31CA4">
        <w:t>e</w:t>
      </w:r>
      <w:r w:rsidRPr="00C31CA4">
        <w:t xml:space="preserve">ltrombopag; hATG = horse </w:t>
      </w:r>
      <w:r w:rsidR="008D63AA" w:rsidRPr="00C31CA4">
        <w:t>a</w:t>
      </w:r>
      <w:r w:rsidRPr="00C31CA4">
        <w:t>nti-</w:t>
      </w:r>
      <w:r w:rsidR="008D63AA" w:rsidRPr="00C31CA4">
        <w:t>t</w:t>
      </w:r>
      <w:r w:rsidRPr="00C31CA4">
        <w:t xml:space="preserve">hymocyte </w:t>
      </w:r>
      <w:r w:rsidR="008D63AA" w:rsidRPr="00C31CA4">
        <w:t>g</w:t>
      </w:r>
      <w:r w:rsidRPr="00C31CA4">
        <w:t xml:space="preserve">lobulin; HSCT = </w:t>
      </w:r>
      <w:r w:rsidR="008D63AA" w:rsidRPr="00C31CA4">
        <w:t>ha</w:t>
      </w:r>
      <w:r w:rsidRPr="00C31CA4">
        <w:t>em</w:t>
      </w:r>
      <w:r w:rsidR="00FA6F94" w:rsidRPr="00C31CA4">
        <w:t>at</w:t>
      </w:r>
      <w:r w:rsidRPr="00C31CA4">
        <w:t xml:space="preserve">opoietic </w:t>
      </w:r>
      <w:r w:rsidR="008D63AA" w:rsidRPr="00C31CA4">
        <w:t>s</w:t>
      </w:r>
      <w:r w:rsidRPr="00C31CA4">
        <w:t xml:space="preserve">tem </w:t>
      </w:r>
      <w:r w:rsidR="008D63AA" w:rsidRPr="00C31CA4">
        <w:t>c</w:t>
      </w:r>
      <w:r w:rsidRPr="00C31CA4">
        <w:t xml:space="preserve">ell </w:t>
      </w:r>
      <w:r w:rsidR="008D63AA" w:rsidRPr="00C31CA4">
        <w:t>t</w:t>
      </w:r>
      <w:r w:rsidRPr="00C31CA4">
        <w:t xml:space="preserve">ransplant; </w:t>
      </w:r>
      <w:r w:rsidR="001E3D36" w:rsidRPr="00C31CA4">
        <w:t xml:space="preserve">IST = </w:t>
      </w:r>
      <w:r w:rsidR="008D63AA" w:rsidRPr="00C31CA4">
        <w:t>i</w:t>
      </w:r>
      <w:r w:rsidR="001E3D36" w:rsidRPr="00C31CA4">
        <w:t>mmuno</w:t>
      </w:r>
      <w:r w:rsidR="008D63AA" w:rsidRPr="00C31CA4">
        <w:t>s</w:t>
      </w:r>
      <w:r w:rsidR="001E3D36" w:rsidRPr="00C31CA4">
        <w:t xml:space="preserve">uppressive </w:t>
      </w:r>
      <w:r w:rsidR="008D63AA" w:rsidRPr="00C31CA4">
        <w:t>t</w:t>
      </w:r>
      <w:r w:rsidR="001E3D36" w:rsidRPr="00C31CA4">
        <w:t xml:space="preserve">herapy; </w:t>
      </w:r>
      <w:r w:rsidR="00620C25" w:rsidRPr="00C31CA4">
        <w:t xml:space="preserve">MC = multi-centre; OL = open label; </w:t>
      </w:r>
      <w:r w:rsidR="00C82385" w:rsidRPr="00C31CA4">
        <w:t xml:space="preserve">PR = </w:t>
      </w:r>
      <w:r w:rsidR="008D63AA" w:rsidRPr="00C31CA4">
        <w:t>p</w:t>
      </w:r>
      <w:r w:rsidR="00C82385" w:rsidRPr="00C31CA4">
        <w:t xml:space="preserve">artial </w:t>
      </w:r>
      <w:r w:rsidR="008D63AA" w:rsidRPr="00C31CA4">
        <w:t>r</w:t>
      </w:r>
      <w:r w:rsidR="00C82385" w:rsidRPr="00C31CA4">
        <w:t xml:space="preserve">esponse; </w:t>
      </w:r>
      <w:r w:rsidR="00620C25" w:rsidRPr="00C31CA4">
        <w:t>R = randomised</w:t>
      </w:r>
      <w:r w:rsidRPr="00C31CA4">
        <w:t xml:space="preserve">; sAA = severe </w:t>
      </w:r>
      <w:r w:rsidR="008D63AA" w:rsidRPr="00C31CA4">
        <w:t>a</w:t>
      </w:r>
      <w:r w:rsidRPr="00C31CA4">
        <w:t xml:space="preserve">plastic </w:t>
      </w:r>
      <w:r w:rsidR="008D63AA" w:rsidRPr="00C31CA4">
        <w:t>a</w:t>
      </w:r>
      <w:r w:rsidRPr="00C31CA4">
        <w:t>n</w:t>
      </w:r>
      <w:r w:rsidR="008D63AA" w:rsidRPr="00C31CA4">
        <w:t>a</w:t>
      </w:r>
      <w:r w:rsidRPr="00C31CA4">
        <w:t xml:space="preserve">emia; vsAA = very severe </w:t>
      </w:r>
      <w:r w:rsidR="008D63AA" w:rsidRPr="00C31CA4">
        <w:t>a</w:t>
      </w:r>
      <w:r w:rsidRPr="00C31CA4">
        <w:t xml:space="preserve">plastic </w:t>
      </w:r>
      <w:r w:rsidR="008D63AA" w:rsidRPr="00C31CA4">
        <w:t>a</w:t>
      </w:r>
      <w:r w:rsidRPr="00C31CA4">
        <w:t>n</w:t>
      </w:r>
      <w:r w:rsidR="008D63AA" w:rsidRPr="00C31CA4">
        <w:t>a</w:t>
      </w:r>
      <w:r w:rsidRPr="00C31CA4">
        <w:t>emia</w:t>
      </w:r>
      <w:r w:rsidR="0012512D" w:rsidRPr="00C31CA4">
        <w:t>; yr = year</w:t>
      </w:r>
    </w:p>
    <w:p w14:paraId="6E696393" w14:textId="0F3D6272" w:rsidR="00A06F62" w:rsidRPr="00C31CA4" w:rsidRDefault="00B15089" w:rsidP="00B15089">
      <w:pPr>
        <w:pStyle w:val="FooterTableFigure"/>
        <w:widowControl w:val="0"/>
      </w:pPr>
      <w:r w:rsidRPr="00C31CA4">
        <w:rPr>
          <w:vertAlign w:val="superscript"/>
        </w:rPr>
        <w:t>a</w:t>
      </w:r>
      <w:r w:rsidR="00A06F62" w:rsidRPr="00C31CA4">
        <w:t xml:space="preserve"> Three additional patients were </w:t>
      </w:r>
      <w:r w:rsidR="00116828" w:rsidRPr="00C31CA4">
        <w:t>included</w:t>
      </w:r>
      <w:r w:rsidR="00A06F62" w:rsidRPr="00C31CA4">
        <w:t xml:space="preserve"> who received eltrombopag as second-line treatment. </w:t>
      </w:r>
    </w:p>
    <w:p w14:paraId="318B69B6" w14:textId="59CE0DA0" w:rsidR="00456CC7" w:rsidRPr="00C31CA4" w:rsidRDefault="00B15089" w:rsidP="00D92642">
      <w:pPr>
        <w:pStyle w:val="FooterTableFigure"/>
        <w:widowControl w:val="0"/>
      </w:pPr>
      <w:r w:rsidRPr="00C31CA4">
        <w:rPr>
          <w:vertAlign w:val="superscript"/>
        </w:rPr>
        <w:lastRenderedPageBreak/>
        <w:t>b</w:t>
      </w:r>
      <w:r w:rsidR="00116828" w:rsidRPr="00C31CA4">
        <w:rPr>
          <w:vertAlign w:val="superscript"/>
        </w:rPr>
        <w:t xml:space="preserve"> </w:t>
      </w:r>
      <w:r w:rsidR="00116828" w:rsidRPr="00C31CA4">
        <w:t xml:space="preserve">Only four patients received eltrombopag from the start of IST; the others started eltrombopag 1-8 weeks after IST began. </w:t>
      </w:r>
    </w:p>
    <w:p w14:paraId="1B0B052B" w14:textId="44A79A04" w:rsidR="00AD0284" w:rsidRPr="00C31CA4" w:rsidRDefault="00D55DEC" w:rsidP="008B3F17">
      <w:pPr>
        <w:pStyle w:val="3-BodyText"/>
        <w:rPr>
          <w:i/>
          <w:iCs/>
        </w:rPr>
      </w:pPr>
      <w:r w:rsidRPr="00C31CA4">
        <w:t>Although the rates of complete and partial response were outcomes in all of the studies, t</w:t>
      </w:r>
      <w:r w:rsidR="00456CC7" w:rsidRPr="00C31CA4">
        <w:t xml:space="preserve">he definitions of complete and partial responses </w:t>
      </w:r>
      <w:r w:rsidR="00404DD3" w:rsidRPr="00C31CA4">
        <w:t xml:space="preserve">were variable and </w:t>
      </w:r>
      <w:r w:rsidR="00456CC7" w:rsidRPr="00C31CA4">
        <w:t xml:space="preserve">in several studies </w:t>
      </w:r>
      <w:r w:rsidR="00AD62F2" w:rsidRPr="00C31CA4">
        <w:t>we</w:t>
      </w:r>
      <w:r w:rsidR="00456CC7" w:rsidRPr="00C31CA4">
        <w:t xml:space="preserve">re unclear. </w:t>
      </w:r>
      <w:bookmarkStart w:id="22" w:name="_Hlk143782650"/>
      <w:r w:rsidR="0069143F" w:rsidRPr="00C31CA4">
        <w:t xml:space="preserve">The </w:t>
      </w:r>
      <w:r w:rsidR="00AD0284" w:rsidRPr="00C31CA4">
        <w:t>ESC noted th</w:t>
      </w:r>
      <w:r w:rsidR="00651FA6" w:rsidRPr="00C31CA4">
        <w:t xml:space="preserve">at </w:t>
      </w:r>
      <w:r w:rsidR="0069143F" w:rsidRPr="00C31CA4">
        <w:t xml:space="preserve">transfusion independence </w:t>
      </w:r>
      <w:r w:rsidR="00AD0284" w:rsidRPr="00C31CA4">
        <w:t>was</w:t>
      </w:r>
      <w:r w:rsidR="0069143F" w:rsidRPr="00C31CA4">
        <w:t xml:space="preserve"> defined in </w:t>
      </w:r>
      <w:r w:rsidR="00AD0284" w:rsidRPr="00C31CA4">
        <w:t xml:space="preserve">the </w:t>
      </w:r>
      <w:r w:rsidR="0069143F" w:rsidRPr="00C31CA4">
        <w:t>de Latour (2022)</w:t>
      </w:r>
      <w:r w:rsidR="00AD0284" w:rsidRPr="00C31CA4">
        <w:t xml:space="preserve"> study</w:t>
      </w:r>
      <w:r w:rsidR="0069143F" w:rsidRPr="00C31CA4">
        <w:t xml:space="preserve"> as no red cell or platelet transfusions for two weeks prior to </w:t>
      </w:r>
      <w:r w:rsidR="00A405ED" w:rsidRPr="00C31CA4">
        <w:t xml:space="preserve">response </w:t>
      </w:r>
      <w:r w:rsidR="0069143F" w:rsidRPr="00C31CA4">
        <w:t>assessment</w:t>
      </w:r>
      <w:r w:rsidR="00965568" w:rsidRPr="00C31CA4">
        <w:t>.</w:t>
      </w:r>
      <w:r w:rsidR="00965568" w:rsidRPr="00C31CA4">
        <w:rPr>
          <w:i/>
          <w:iCs/>
        </w:rPr>
        <w:t xml:space="preserve"> </w:t>
      </w:r>
    </w:p>
    <w:p w14:paraId="0EFC4DD6" w14:textId="513037EF" w:rsidR="004E4DE4" w:rsidRPr="00C31CA4" w:rsidRDefault="004E4DE4" w:rsidP="008B3F17">
      <w:pPr>
        <w:pStyle w:val="3-BodyText"/>
      </w:pPr>
      <w:r w:rsidRPr="00C31CA4">
        <w:t xml:space="preserve">A partial response was defined </w:t>
      </w:r>
      <w:r w:rsidR="00801B0D" w:rsidRPr="00C31CA4">
        <w:t xml:space="preserve">in de Latour </w:t>
      </w:r>
      <w:r w:rsidR="00351D4D" w:rsidRPr="00C31CA4">
        <w:t>(</w:t>
      </w:r>
      <w:r w:rsidR="00801B0D" w:rsidRPr="00C31CA4">
        <w:t>2022</w:t>
      </w:r>
      <w:r w:rsidR="00351D4D" w:rsidRPr="00C31CA4">
        <w:t>)</w:t>
      </w:r>
      <w:r w:rsidR="00801B0D" w:rsidRPr="00C31CA4">
        <w:t xml:space="preserve"> </w:t>
      </w:r>
      <w:r w:rsidRPr="00C31CA4">
        <w:t xml:space="preserve">as “transfusion independence (both red cells and platelets), with a blood lineage that did not meet the criteria of severe aplastic </w:t>
      </w:r>
      <w:r w:rsidR="00C31CA4" w:rsidRPr="00C31CA4">
        <w:t>anaemia</w:t>
      </w:r>
      <w:r w:rsidRPr="00C31CA4">
        <w:t xml:space="preserve"> but was insufficient for a complete response [i</w:t>
      </w:r>
      <w:r w:rsidR="00342C67" w:rsidRPr="00C31CA4">
        <w:t>.</w:t>
      </w:r>
      <w:r w:rsidRPr="00C31CA4">
        <w:t>e</w:t>
      </w:r>
      <w:r w:rsidR="00342C67" w:rsidRPr="00C31CA4">
        <w:t>.</w:t>
      </w:r>
      <w:r w:rsidRPr="00C31CA4">
        <w:t>, Hb &gt; 80 g/L</w:t>
      </w:r>
      <w:r w:rsidR="000E4265" w:rsidRPr="00C31CA4">
        <w:t xml:space="preserve"> but &lt; 100 g/L</w:t>
      </w:r>
      <w:r w:rsidRPr="00C31CA4">
        <w:t>,</w:t>
      </w:r>
      <w:r w:rsidR="000E4265" w:rsidRPr="00C31CA4">
        <w:t xml:space="preserve"> </w:t>
      </w:r>
      <w:r w:rsidRPr="00C31CA4">
        <w:t>ANC &gt; 0.5 x 109/L</w:t>
      </w:r>
      <w:r w:rsidR="000E4265" w:rsidRPr="00C31CA4">
        <w:t xml:space="preserve"> but &lt; 1 x 10</w:t>
      </w:r>
      <w:r w:rsidR="000E4265" w:rsidRPr="00C31CA4">
        <w:rPr>
          <w:vertAlign w:val="superscript"/>
        </w:rPr>
        <w:t>9</w:t>
      </w:r>
      <w:r w:rsidR="000E4265" w:rsidRPr="00C31CA4">
        <w:t>/L</w:t>
      </w:r>
      <w:r w:rsidRPr="00C31CA4">
        <w:t>, and platelet count &gt; 20 x 109/L</w:t>
      </w:r>
      <w:r w:rsidR="000E4265" w:rsidRPr="00C31CA4">
        <w:t xml:space="preserve"> but &lt; 100 x 10</w:t>
      </w:r>
      <w:r w:rsidR="000E4265" w:rsidRPr="00C31CA4">
        <w:rPr>
          <w:vertAlign w:val="superscript"/>
        </w:rPr>
        <w:t>9</w:t>
      </w:r>
      <w:r w:rsidR="000E4265" w:rsidRPr="00C31CA4">
        <w:t>/L</w:t>
      </w:r>
      <w:r w:rsidRPr="00C31CA4">
        <w:t>]”</w:t>
      </w:r>
      <w:r w:rsidR="00A405ED" w:rsidRPr="00C31CA4">
        <w:t xml:space="preserve">. </w:t>
      </w:r>
      <w:r w:rsidR="00363B6C" w:rsidRPr="00C31CA4">
        <w:t>Th</w:t>
      </w:r>
      <w:r w:rsidR="00A405ED" w:rsidRPr="00C31CA4">
        <w:t xml:space="preserve">e ESC noted it </w:t>
      </w:r>
      <w:r w:rsidR="00363B6C" w:rsidRPr="00C31CA4">
        <w:t xml:space="preserve">was defined in the protocol that response assessment must be completed at least 2 weeks </w:t>
      </w:r>
      <w:r w:rsidR="00A405ED" w:rsidRPr="00C31CA4">
        <w:t>after the last t</w:t>
      </w:r>
      <w:r w:rsidR="00363B6C" w:rsidRPr="00C31CA4">
        <w:t>ransfusion</w:t>
      </w:r>
      <w:r w:rsidR="00A405ED" w:rsidRPr="00C31CA4">
        <w:t xml:space="preserve"> and any platelet transfusions given purely to facilitate an invasive procedure did not impact on response assessment.</w:t>
      </w:r>
      <w:r w:rsidR="00A405ED" w:rsidRPr="00C31CA4">
        <w:rPr>
          <w:i/>
          <w:iCs/>
        </w:rPr>
        <w:t xml:space="preserve"> </w:t>
      </w:r>
    </w:p>
    <w:p w14:paraId="44185A42" w14:textId="22B31D8B" w:rsidR="001E3D36" w:rsidRPr="00C31CA4" w:rsidRDefault="004E4DE4" w:rsidP="008B3F17">
      <w:pPr>
        <w:pStyle w:val="3-BodyText"/>
        <w:rPr>
          <w:i/>
          <w:iCs/>
        </w:rPr>
      </w:pPr>
      <w:r w:rsidRPr="00C31CA4">
        <w:t xml:space="preserve">An alternative definition of </w:t>
      </w:r>
      <w:r w:rsidR="001C7AB3" w:rsidRPr="00C31CA4">
        <w:t xml:space="preserve">partial </w:t>
      </w:r>
      <w:r w:rsidRPr="00C31CA4">
        <w:t xml:space="preserve">response, using </w:t>
      </w:r>
      <w:r w:rsidR="00151230" w:rsidRPr="00C31CA4">
        <w:t xml:space="preserve">the same </w:t>
      </w:r>
      <w:r w:rsidRPr="00C31CA4">
        <w:t>blood count</w:t>
      </w:r>
      <w:r w:rsidR="00151230" w:rsidRPr="00C31CA4">
        <w:t xml:space="preserve"> criteria</w:t>
      </w:r>
      <w:r w:rsidRPr="00C31CA4">
        <w:t xml:space="preserve"> </w:t>
      </w:r>
      <w:r w:rsidR="00151230" w:rsidRPr="00C31CA4">
        <w:t>but</w:t>
      </w:r>
      <w:r w:rsidR="002C2619" w:rsidRPr="00C31CA4">
        <w:t xml:space="preserve"> not including </w:t>
      </w:r>
      <w:r w:rsidRPr="00C31CA4">
        <w:t>transfusion</w:t>
      </w:r>
      <w:r w:rsidR="002C2619" w:rsidRPr="00C31CA4">
        <w:t xml:space="preserve"> independence</w:t>
      </w:r>
      <w:r w:rsidRPr="00C31CA4">
        <w:t xml:space="preserve">, is referred to </w:t>
      </w:r>
      <w:r w:rsidR="00151230" w:rsidRPr="00C31CA4">
        <w:t>in de Latour</w:t>
      </w:r>
      <w:r w:rsidR="00342C67" w:rsidRPr="00C31CA4">
        <w:t xml:space="preserve"> </w:t>
      </w:r>
      <w:r w:rsidR="00351D4D" w:rsidRPr="00C31CA4">
        <w:t>(</w:t>
      </w:r>
      <w:r w:rsidR="00151230" w:rsidRPr="00C31CA4">
        <w:t>2022</w:t>
      </w:r>
      <w:r w:rsidR="00351D4D" w:rsidRPr="00C31CA4">
        <w:t>)</w:t>
      </w:r>
      <w:r w:rsidRPr="00C31CA4">
        <w:t xml:space="preserve"> as the NIH criteria</w:t>
      </w:r>
      <w:r w:rsidR="00FC488E" w:rsidRPr="00C31CA4">
        <w:t>. R</w:t>
      </w:r>
      <w:r w:rsidR="00151230" w:rsidRPr="00C31CA4">
        <w:t>esponse rates using this definition</w:t>
      </w:r>
      <w:r w:rsidR="00FC488E" w:rsidRPr="00C31CA4">
        <w:t xml:space="preserve"> are materially different</w:t>
      </w:r>
      <w:bookmarkEnd w:id="22"/>
      <w:r w:rsidR="00C31CA4">
        <w:t xml:space="preserve">. </w:t>
      </w:r>
      <w:r w:rsidR="00363B6C" w:rsidRPr="00C31CA4">
        <w:t xml:space="preserve">The </w:t>
      </w:r>
      <w:r w:rsidR="00A405ED" w:rsidRPr="00C31CA4">
        <w:t xml:space="preserve">ESC noted the </w:t>
      </w:r>
      <w:r w:rsidR="00363B6C" w:rsidRPr="00C31CA4">
        <w:t>De Latour response criteria are more rigorous than the NIH criteria</w:t>
      </w:r>
      <w:r w:rsidR="00A405ED" w:rsidRPr="00C31CA4">
        <w:t xml:space="preserve"> as it</w:t>
      </w:r>
      <w:r w:rsidR="00A405ED" w:rsidRPr="00C31CA4">
        <w:rPr>
          <w:i/>
          <w:iCs/>
        </w:rPr>
        <w:t xml:space="preserve"> </w:t>
      </w:r>
      <w:r w:rsidR="00A405ED" w:rsidRPr="00C31CA4">
        <w:t>required a minimum of 3 determinations over a period of at least 2 weeks starting a least 2 weeks after last transfusion i.e., required transfusion independence</w:t>
      </w:r>
      <w:r w:rsidR="00363B6C" w:rsidRPr="00C31CA4">
        <w:t>.</w:t>
      </w:r>
      <w:r w:rsidR="00363B6C" w:rsidRPr="00C31CA4">
        <w:rPr>
          <w:i/>
          <w:iCs/>
        </w:rPr>
        <w:t xml:space="preserve"> </w:t>
      </w:r>
    </w:p>
    <w:p w14:paraId="4EDFA96B" w14:textId="06126EBC" w:rsidR="007A10B7" w:rsidRPr="00C31CA4" w:rsidRDefault="007A10B7" w:rsidP="008B3F17">
      <w:pPr>
        <w:pStyle w:val="3-BodyText"/>
      </w:pPr>
      <w:r w:rsidRPr="00C31CA4">
        <w:t>In the case series of Olnes (2012) and Desmond (2014) and in the case series of Jie (2021) there w</w:t>
      </w:r>
      <w:r w:rsidR="000F797F" w:rsidRPr="00C31CA4">
        <w:t>ere</w:t>
      </w:r>
      <w:r w:rsidRPr="00C31CA4">
        <w:t xml:space="preserve"> definition</w:t>
      </w:r>
      <w:r w:rsidR="000F797F" w:rsidRPr="00C31CA4">
        <w:t>s</w:t>
      </w:r>
      <w:r w:rsidRPr="00C31CA4">
        <w:t xml:space="preserve"> of </w:t>
      </w:r>
      <w:r w:rsidR="000F797F" w:rsidRPr="00C31CA4">
        <w:t>response</w:t>
      </w:r>
      <w:r w:rsidRPr="00C31CA4">
        <w:t xml:space="preserve"> </w:t>
      </w:r>
      <w:r w:rsidR="000F797F" w:rsidRPr="00C31CA4">
        <w:t xml:space="preserve">that allowed some transfusions to be given, but in other studies </w:t>
      </w:r>
      <w:r w:rsidR="00AB1193" w:rsidRPr="00C31CA4">
        <w:t>the definition was unclear</w:t>
      </w:r>
      <w:r w:rsidR="00212569">
        <w:t>.</w:t>
      </w:r>
      <w:r w:rsidR="00702B83" w:rsidRPr="00C31CA4">
        <w:t xml:space="preserve"> </w:t>
      </w:r>
    </w:p>
    <w:p w14:paraId="72747FBB" w14:textId="0CDE2788" w:rsidR="001E3D36" w:rsidRPr="00C31CA4" w:rsidRDefault="001E3D36" w:rsidP="001E3D36">
      <w:pPr>
        <w:pStyle w:val="Caption"/>
        <w:rPr>
          <w:rStyle w:val="CommentReference"/>
          <w:rFonts w:eastAsiaTheme="majorEastAsia" w:cstheme="majorBidi"/>
          <w:b/>
          <w:szCs w:val="24"/>
        </w:rPr>
      </w:pPr>
      <w:bookmarkStart w:id="23" w:name="_Ref143460543"/>
      <w:r w:rsidRPr="00C31CA4">
        <w:rPr>
          <w:rStyle w:val="CommentReference"/>
          <w:rFonts w:eastAsiaTheme="majorEastAsia" w:cstheme="majorBidi"/>
          <w:b/>
          <w:szCs w:val="24"/>
        </w:rPr>
        <w:lastRenderedPageBreak/>
        <w:t xml:space="preserve">Table </w:t>
      </w:r>
      <w:fldSimple w:instr=" SEQ Table \* ARABIC " w:fldLock="1">
        <w:r w:rsidR="00897FA1">
          <w:rPr>
            <w:noProof/>
          </w:rPr>
          <w:t>5</w:t>
        </w:r>
      </w:fldSimple>
      <w:bookmarkEnd w:id="23"/>
      <w:r w:rsidR="008D63AA" w:rsidRPr="00C31CA4">
        <w:t>:</w:t>
      </w:r>
      <w:r w:rsidRPr="00C31CA4">
        <w:rPr>
          <w:rStyle w:val="CommentReference"/>
          <w:rFonts w:eastAsiaTheme="majorEastAsia" w:cstheme="majorBidi"/>
          <w:b/>
          <w:szCs w:val="24"/>
        </w:rPr>
        <w:t xml:space="preserve"> Key features of the evidence relating to second-line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1"/>
        <w:gridCol w:w="564"/>
        <w:gridCol w:w="1695"/>
        <w:gridCol w:w="837"/>
        <w:gridCol w:w="2402"/>
        <w:gridCol w:w="2678"/>
      </w:tblGrid>
      <w:tr w:rsidR="00287C52" w:rsidRPr="00C31CA4" w14:paraId="093EF998" w14:textId="77777777" w:rsidTr="00287C52">
        <w:trPr>
          <w:cantSplit/>
          <w:tblHeader/>
        </w:trPr>
        <w:tc>
          <w:tcPr>
            <w:tcW w:w="466" w:type="pct"/>
            <w:shd w:val="clear" w:color="auto" w:fill="auto"/>
            <w:vAlign w:val="center"/>
          </w:tcPr>
          <w:p w14:paraId="7A552A7B" w14:textId="6131A91B" w:rsidR="001E3D36" w:rsidRPr="00C31CA4" w:rsidRDefault="00073E8A" w:rsidP="000E6098">
            <w:pPr>
              <w:pStyle w:val="In-tableHeading"/>
              <w:rPr>
                <w:lang w:val="en-AU"/>
              </w:rPr>
            </w:pPr>
            <w:r w:rsidRPr="00C31CA4">
              <w:rPr>
                <w:lang w:val="en-AU"/>
              </w:rPr>
              <w:t>Study</w:t>
            </w:r>
          </w:p>
        </w:tc>
        <w:tc>
          <w:tcPr>
            <w:tcW w:w="313" w:type="pct"/>
            <w:shd w:val="clear" w:color="auto" w:fill="auto"/>
            <w:vAlign w:val="center"/>
          </w:tcPr>
          <w:p w14:paraId="304BB323" w14:textId="77777777" w:rsidR="001E3D36" w:rsidRPr="00C31CA4" w:rsidRDefault="001E3D36" w:rsidP="000E6098">
            <w:pPr>
              <w:pStyle w:val="In-tableHeading"/>
              <w:jc w:val="center"/>
              <w:rPr>
                <w:lang w:val="en-AU"/>
              </w:rPr>
            </w:pPr>
            <w:r w:rsidRPr="00C31CA4">
              <w:rPr>
                <w:lang w:val="en-AU"/>
              </w:rPr>
              <w:t>N</w:t>
            </w:r>
          </w:p>
        </w:tc>
        <w:tc>
          <w:tcPr>
            <w:tcW w:w="940" w:type="pct"/>
            <w:shd w:val="clear" w:color="auto" w:fill="auto"/>
            <w:vAlign w:val="center"/>
          </w:tcPr>
          <w:p w14:paraId="63240254" w14:textId="77777777" w:rsidR="001E3D36" w:rsidRPr="00C31CA4" w:rsidRDefault="001E3D36" w:rsidP="000E6098">
            <w:pPr>
              <w:pStyle w:val="In-tableHeading"/>
              <w:jc w:val="center"/>
              <w:rPr>
                <w:lang w:val="en-AU"/>
              </w:rPr>
            </w:pPr>
            <w:r w:rsidRPr="00C31CA4">
              <w:rPr>
                <w:lang w:val="en-AU"/>
              </w:rPr>
              <w:t>Design/ duration</w:t>
            </w:r>
          </w:p>
        </w:tc>
        <w:tc>
          <w:tcPr>
            <w:tcW w:w="464" w:type="pct"/>
            <w:shd w:val="clear" w:color="auto" w:fill="auto"/>
            <w:vAlign w:val="center"/>
          </w:tcPr>
          <w:p w14:paraId="777A4EB1" w14:textId="77777777" w:rsidR="001E3D36" w:rsidRPr="00C31CA4" w:rsidRDefault="001E3D36" w:rsidP="000E6098">
            <w:pPr>
              <w:pStyle w:val="In-tableHeading"/>
              <w:jc w:val="center"/>
              <w:rPr>
                <w:lang w:val="en-AU"/>
              </w:rPr>
            </w:pPr>
            <w:r w:rsidRPr="00C31CA4">
              <w:rPr>
                <w:lang w:val="en-AU"/>
              </w:rPr>
              <w:t>Risk of bias</w:t>
            </w:r>
          </w:p>
        </w:tc>
        <w:tc>
          <w:tcPr>
            <w:tcW w:w="1332" w:type="pct"/>
            <w:shd w:val="clear" w:color="auto" w:fill="auto"/>
            <w:vAlign w:val="center"/>
          </w:tcPr>
          <w:p w14:paraId="2A29D802" w14:textId="77777777" w:rsidR="001E3D36" w:rsidRPr="00C31CA4" w:rsidRDefault="001E3D36" w:rsidP="000E6098">
            <w:pPr>
              <w:pStyle w:val="In-tableHeading"/>
              <w:jc w:val="center"/>
              <w:rPr>
                <w:lang w:val="en-AU"/>
              </w:rPr>
            </w:pPr>
            <w:r w:rsidRPr="00C31CA4">
              <w:rPr>
                <w:lang w:val="en-AU"/>
              </w:rPr>
              <w:t>Patient population</w:t>
            </w:r>
          </w:p>
        </w:tc>
        <w:tc>
          <w:tcPr>
            <w:tcW w:w="1485" w:type="pct"/>
            <w:shd w:val="clear" w:color="auto" w:fill="auto"/>
            <w:vAlign w:val="center"/>
          </w:tcPr>
          <w:p w14:paraId="22509A5F" w14:textId="1D255DAE" w:rsidR="001E3D36" w:rsidRPr="00C31CA4" w:rsidRDefault="001E3D36" w:rsidP="000E6098">
            <w:pPr>
              <w:pStyle w:val="In-tableHeading"/>
              <w:jc w:val="center"/>
              <w:rPr>
                <w:lang w:val="en-AU"/>
              </w:rPr>
            </w:pPr>
            <w:r w:rsidRPr="00C31CA4">
              <w:rPr>
                <w:lang w:val="en-AU"/>
              </w:rPr>
              <w:t xml:space="preserve">Primary </w:t>
            </w:r>
            <w:r w:rsidR="00564EE3" w:rsidRPr="00C31CA4">
              <w:rPr>
                <w:lang w:val="en-AU"/>
              </w:rPr>
              <w:t>o</w:t>
            </w:r>
            <w:r w:rsidRPr="00C31CA4">
              <w:rPr>
                <w:lang w:val="en-AU"/>
              </w:rPr>
              <w:t>utcome</w:t>
            </w:r>
          </w:p>
        </w:tc>
      </w:tr>
      <w:tr w:rsidR="00287C52" w:rsidRPr="00C31CA4" w14:paraId="48F52583" w14:textId="77777777" w:rsidTr="00287C52">
        <w:trPr>
          <w:cantSplit/>
        </w:trPr>
        <w:tc>
          <w:tcPr>
            <w:tcW w:w="466" w:type="pct"/>
            <w:shd w:val="clear" w:color="auto" w:fill="auto"/>
            <w:vAlign w:val="center"/>
          </w:tcPr>
          <w:p w14:paraId="0C24DC23" w14:textId="66DDF039" w:rsidR="00FA3AA6" w:rsidRPr="00C31CA4" w:rsidRDefault="00FA3AA6" w:rsidP="000E6098">
            <w:pPr>
              <w:pStyle w:val="TableText0"/>
            </w:pPr>
            <w:r w:rsidRPr="00C31CA4">
              <w:t>Olnes 2012</w:t>
            </w:r>
          </w:p>
        </w:tc>
        <w:tc>
          <w:tcPr>
            <w:tcW w:w="313" w:type="pct"/>
            <w:shd w:val="clear" w:color="auto" w:fill="auto"/>
            <w:vAlign w:val="center"/>
          </w:tcPr>
          <w:p w14:paraId="7D1DDEC9" w14:textId="227C3019" w:rsidR="00FA3AA6" w:rsidRPr="00C31CA4" w:rsidRDefault="00FA3AA6" w:rsidP="000E6098">
            <w:pPr>
              <w:pStyle w:val="TableText0"/>
              <w:jc w:val="center"/>
            </w:pPr>
            <w:r w:rsidRPr="00C31CA4">
              <w:t>25</w:t>
            </w:r>
          </w:p>
        </w:tc>
        <w:tc>
          <w:tcPr>
            <w:tcW w:w="940" w:type="pct"/>
            <w:shd w:val="clear" w:color="auto" w:fill="auto"/>
            <w:vAlign w:val="center"/>
          </w:tcPr>
          <w:p w14:paraId="7DF8CE6F" w14:textId="3580FC5C" w:rsidR="00FA3AA6" w:rsidRPr="00C31CA4" w:rsidRDefault="00FA3AA6" w:rsidP="0081094C">
            <w:pPr>
              <w:pStyle w:val="TableText0"/>
              <w:jc w:val="center"/>
            </w:pPr>
            <w:r w:rsidRPr="00C31CA4">
              <w:t xml:space="preserve">OL, non-randomised, </w:t>
            </w:r>
            <w:r w:rsidR="00C82385" w:rsidRPr="00C31CA4">
              <w:t xml:space="preserve">consecutive </w:t>
            </w:r>
            <w:r w:rsidRPr="00C31CA4">
              <w:t>case series, ELT +/- CsA</w:t>
            </w:r>
          </w:p>
        </w:tc>
        <w:tc>
          <w:tcPr>
            <w:tcW w:w="464" w:type="pct"/>
            <w:shd w:val="clear" w:color="auto" w:fill="auto"/>
            <w:vAlign w:val="center"/>
          </w:tcPr>
          <w:p w14:paraId="4D147D79" w14:textId="21398FBE" w:rsidR="00FA3AA6" w:rsidRPr="00C31CA4" w:rsidRDefault="00FA3AA6" w:rsidP="000E6098">
            <w:pPr>
              <w:pStyle w:val="TableText0"/>
              <w:jc w:val="center"/>
              <w:rPr>
                <w:iCs/>
              </w:rPr>
            </w:pPr>
            <w:r w:rsidRPr="00C31CA4">
              <w:rPr>
                <w:iCs/>
              </w:rPr>
              <w:t>High</w:t>
            </w:r>
          </w:p>
        </w:tc>
        <w:tc>
          <w:tcPr>
            <w:tcW w:w="1332" w:type="pct"/>
            <w:shd w:val="clear" w:color="auto" w:fill="auto"/>
            <w:vAlign w:val="center"/>
          </w:tcPr>
          <w:p w14:paraId="261E5C42" w14:textId="5085A392" w:rsidR="00FA3AA6" w:rsidRPr="00C31CA4" w:rsidRDefault="00C82385" w:rsidP="00BE7592">
            <w:pPr>
              <w:pStyle w:val="TableText0"/>
            </w:pPr>
            <w:r w:rsidRPr="00C31CA4">
              <w:t>Adults, sAA</w:t>
            </w:r>
            <w:r w:rsidRPr="00212569">
              <w:t xml:space="preserve"> and platelet count </w:t>
            </w:r>
            <w:r w:rsidRPr="00212569">
              <w:sym w:font="Symbol" w:char="F0A3"/>
            </w:r>
            <w:r w:rsidRPr="00212569">
              <w:t xml:space="preserve"> 30 x 10</w:t>
            </w:r>
            <w:r w:rsidRPr="00212569">
              <w:rPr>
                <w:vertAlign w:val="superscript"/>
              </w:rPr>
              <w:t>9</w:t>
            </w:r>
            <w:r w:rsidRPr="00212569">
              <w:t>/L and</w:t>
            </w:r>
            <w:r w:rsidRPr="00C31CA4">
              <w:t xml:space="preserve"> at least one course of ATG + CsA &gt; 6 months before</w:t>
            </w:r>
          </w:p>
        </w:tc>
        <w:tc>
          <w:tcPr>
            <w:tcW w:w="1485" w:type="pct"/>
            <w:shd w:val="clear" w:color="auto" w:fill="auto"/>
            <w:vAlign w:val="center"/>
          </w:tcPr>
          <w:p w14:paraId="42E13E9F" w14:textId="32A1C2DD" w:rsidR="00C82385" w:rsidRPr="00C31CA4" w:rsidRDefault="00C82385" w:rsidP="00C82385">
            <w:pPr>
              <w:pStyle w:val="TableText0"/>
            </w:pPr>
            <w:r w:rsidRPr="00C31CA4">
              <w:t xml:space="preserve">Response at 12 weeks = one or more of: </w:t>
            </w:r>
          </w:p>
          <w:p w14:paraId="79FADEA6" w14:textId="7DD7A2C8" w:rsidR="00C82385" w:rsidRPr="00C31CA4" w:rsidRDefault="00C82385" w:rsidP="00C82385">
            <w:pPr>
              <w:pStyle w:val="TableText0"/>
            </w:pPr>
            <w:r w:rsidRPr="00C31CA4">
              <w:t xml:space="preserve">Hb increased </w:t>
            </w:r>
            <w:r w:rsidRPr="00C31CA4">
              <w:sym w:font="Symbol" w:char="F0B3"/>
            </w:r>
            <w:r w:rsidRPr="00C31CA4">
              <w:t xml:space="preserve"> 15 g/L or reduction in RBC transfusions of at least 4 units over 8 consecutive weeks, compared with the </w:t>
            </w:r>
            <w:r w:rsidR="00C31CA4" w:rsidRPr="00C31CA4">
              <w:t>pre-treatment</w:t>
            </w:r>
            <w:r w:rsidRPr="00C31CA4">
              <w:t xml:space="preserve"> number in the previous 8 weeks; </w:t>
            </w:r>
          </w:p>
          <w:p w14:paraId="317A6395" w14:textId="12265158" w:rsidR="00C82385" w:rsidRPr="00C31CA4" w:rsidRDefault="00C82385" w:rsidP="00C82385">
            <w:pPr>
              <w:pStyle w:val="TableText0"/>
            </w:pPr>
            <w:r w:rsidRPr="00C31CA4">
              <w:t>ANC increase &gt; 0.5 x 10</w:t>
            </w:r>
            <w:r w:rsidRPr="00C31CA4">
              <w:rPr>
                <w:vertAlign w:val="superscript"/>
              </w:rPr>
              <w:t>9</w:t>
            </w:r>
            <w:r w:rsidRPr="00C31CA4">
              <w:t xml:space="preserve">/L </w:t>
            </w:r>
            <w:r w:rsidRPr="00C31CA4">
              <w:rPr>
                <w:i/>
                <w:iCs/>
              </w:rPr>
              <w:t>or</w:t>
            </w:r>
            <w:r w:rsidRPr="00C31CA4">
              <w:t xml:space="preserve"> </w:t>
            </w:r>
            <w:r w:rsidRPr="00C31CA4">
              <w:sym w:font="Symbol" w:char="F0B3"/>
            </w:r>
            <w:r w:rsidRPr="00C31CA4">
              <w:t xml:space="preserve"> 100% increase if pre-treatment ANC &lt; 0.5 x 10</w:t>
            </w:r>
            <w:r w:rsidRPr="00C31CA4">
              <w:rPr>
                <w:vertAlign w:val="superscript"/>
              </w:rPr>
              <w:t>9</w:t>
            </w:r>
            <w:r w:rsidRPr="00C31CA4">
              <w:t xml:space="preserve">/L; </w:t>
            </w:r>
          </w:p>
          <w:p w14:paraId="75C60685" w14:textId="630B547D" w:rsidR="00FA3AA6" w:rsidRPr="00C31CA4" w:rsidRDefault="00C82385" w:rsidP="0081094C">
            <w:pPr>
              <w:pStyle w:val="TableText0"/>
            </w:pPr>
            <w:r w:rsidRPr="00C31CA4">
              <w:t>Platelet count 20 x 10</w:t>
            </w:r>
            <w:r w:rsidRPr="00C31CA4">
              <w:rPr>
                <w:vertAlign w:val="superscript"/>
              </w:rPr>
              <w:t>9</w:t>
            </w:r>
            <w:r w:rsidRPr="00C31CA4">
              <w:t xml:space="preserve">/L above pre-treatment </w:t>
            </w:r>
            <w:r w:rsidRPr="00C31CA4">
              <w:rPr>
                <w:i/>
                <w:iCs/>
              </w:rPr>
              <w:t>or</w:t>
            </w:r>
            <w:r w:rsidRPr="00C31CA4">
              <w:t xml:space="preserve"> stable platelet counts with transfusion independence for a minimum of 8 weeks if platelet transfusion dependent pre-treatment. </w:t>
            </w:r>
          </w:p>
        </w:tc>
      </w:tr>
      <w:tr w:rsidR="00287C52" w:rsidRPr="00C31CA4" w14:paraId="30147EF7" w14:textId="77777777" w:rsidTr="00287C52">
        <w:trPr>
          <w:cantSplit/>
        </w:trPr>
        <w:tc>
          <w:tcPr>
            <w:tcW w:w="466" w:type="pct"/>
            <w:shd w:val="clear" w:color="auto" w:fill="auto"/>
            <w:vAlign w:val="center"/>
          </w:tcPr>
          <w:p w14:paraId="4FF9EFD8" w14:textId="6B559D16" w:rsidR="001E3D36" w:rsidRPr="00C31CA4" w:rsidRDefault="00BE7592" w:rsidP="000E6098">
            <w:pPr>
              <w:pStyle w:val="TableText0"/>
            </w:pPr>
            <w:r w:rsidRPr="00C31CA4">
              <w:t>Desmond 2014</w:t>
            </w:r>
            <w:r w:rsidR="001E3D36" w:rsidRPr="00C31CA4">
              <w:t xml:space="preserve"> </w:t>
            </w:r>
          </w:p>
        </w:tc>
        <w:tc>
          <w:tcPr>
            <w:tcW w:w="313" w:type="pct"/>
            <w:shd w:val="clear" w:color="auto" w:fill="auto"/>
            <w:vAlign w:val="center"/>
          </w:tcPr>
          <w:p w14:paraId="42731114" w14:textId="30B86B91" w:rsidR="001E3D36" w:rsidRPr="00C31CA4" w:rsidRDefault="00BE7592" w:rsidP="000E6098">
            <w:pPr>
              <w:pStyle w:val="TableText0"/>
              <w:jc w:val="center"/>
            </w:pPr>
            <w:r w:rsidRPr="00C31CA4">
              <w:t>43</w:t>
            </w:r>
          </w:p>
        </w:tc>
        <w:tc>
          <w:tcPr>
            <w:tcW w:w="940" w:type="pct"/>
            <w:shd w:val="clear" w:color="auto" w:fill="auto"/>
            <w:vAlign w:val="center"/>
          </w:tcPr>
          <w:p w14:paraId="17A09A7C" w14:textId="7D5AEAD9" w:rsidR="001E3D36" w:rsidRPr="00C31CA4" w:rsidRDefault="00FA3AA6" w:rsidP="0081094C">
            <w:pPr>
              <w:pStyle w:val="TableText0"/>
              <w:jc w:val="center"/>
            </w:pPr>
            <w:r w:rsidRPr="00C31CA4">
              <w:t>Extension of Olnes, 2012, with 18 additional patients</w:t>
            </w:r>
          </w:p>
        </w:tc>
        <w:tc>
          <w:tcPr>
            <w:tcW w:w="464" w:type="pct"/>
            <w:shd w:val="clear" w:color="auto" w:fill="auto"/>
            <w:vAlign w:val="center"/>
          </w:tcPr>
          <w:p w14:paraId="07534BC3" w14:textId="0DA57F6D" w:rsidR="001E3D36" w:rsidRPr="00C31CA4" w:rsidRDefault="00BE7592" w:rsidP="000E6098">
            <w:pPr>
              <w:pStyle w:val="TableText0"/>
              <w:jc w:val="center"/>
              <w:rPr>
                <w:iCs/>
              </w:rPr>
            </w:pPr>
            <w:r w:rsidRPr="00C31CA4">
              <w:rPr>
                <w:iCs/>
              </w:rPr>
              <w:t>High</w:t>
            </w:r>
          </w:p>
        </w:tc>
        <w:tc>
          <w:tcPr>
            <w:tcW w:w="1332" w:type="pct"/>
            <w:shd w:val="clear" w:color="auto" w:fill="auto"/>
            <w:vAlign w:val="center"/>
          </w:tcPr>
          <w:p w14:paraId="218E1A9C" w14:textId="0DCBB74B" w:rsidR="001E3D36" w:rsidRPr="00C31CA4" w:rsidRDefault="001E3D36" w:rsidP="00BE7592">
            <w:pPr>
              <w:pStyle w:val="TableText0"/>
            </w:pPr>
            <w:r w:rsidRPr="00C31CA4">
              <w:t xml:space="preserve">Age </w:t>
            </w:r>
            <w:r w:rsidRPr="00C31CA4">
              <w:sym w:font="Symbol" w:char="F0B3"/>
            </w:r>
            <w:r w:rsidRPr="00C31CA4">
              <w:t xml:space="preserve"> 1</w:t>
            </w:r>
            <w:r w:rsidR="00BE7592" w:rsidRPr="00C31CA4">
              <w:t>2</w:t>
            </w:r>
            <w:r w:rsidRPr="00C31CA4">
              <w:t xml:space="preserve">; sAA </w:t>
            </w:r>
            <w:r w:rsidR="00C82385" w:rsidRPr="00212569">
              <w:t>and</w:t>
            </w:r>
            <w:r w:rsidR="00BE7592" w:rsidRPr="00212569">
              <w:t xml:space="preserve"> </w:t>
            </w:r>
            <w:r w:rsidR="00C82385" w:rsidRPr="00212569">
              <w:t>platelet count &lt; 30 x 10</w:t>
            </w:r>
            <w:r w:rsidR="00C82385" w:rsidRPr="00212569">
              <w:rPr>
                <w:vertAlign w:val="superscript"/>
              </w:rPr>
              <w:t>9</w:t>
            </w:r>
            <w:r w:rsidR="00C82385" w:rsidRPr="00212569">
              <w:t>/L and</w:t>
            </w:r>
            <w:r w:rsidR="00C82385" w:rsidRPr="00C31CA4">
              <w:t xml:space="preserve"> </w:t>
            </w:r>
            <w:r w:rsidR="00BE7592" w:rsidRPr="00C31CA4">
              <w:t>at least one course of ATG-based IST begun &gt; 6 months before</w:t>
            </w:r>
            <w:r w:rsidR="00C82385" w:rsidRPr="00C31CA4">
              <w:t xml:space="preserve">; </w:t>
            </w:r>
            <w:r w:rsidR="00BE7592" w:rsidRPr="00C31CA4">
              <w:t xml:space="preserve">patients responding to initial IST but then relapsing and refractory </w:t>
            </w:r>
            <w:r w:rsidR="00735569" w:rsidRPr="00C31CA4">
              <w:t>t</w:t>
            </w:r>
            <w:r w:rsidR="00BE7592" w:rsidRPr="00C31CA4">
              <w:t>o re-treatment were eligible</w:t>
            </w:r>
          </w:p>
        </w:tc>
        <w:tc>
          <w:tcPr>
            <w:tcW w:w="1485" w:type="pct"/>
            <w:shd w:val="clear" w:color="auto" w:fill="auto"/>
            <w:vAlign w:val="center"/>
          </w:tcPr>
          <w:p w14:paraId="639F90EF" w14:textId="2BF28731" w:rsidR="001E3D36" w:rsidRPr="00C31CA4" w:rsidRDefault="00BE7592" w:rsidP="00C82385">
            <w:pPr>
              <w:pStyle w:val="TableText0"/>
            </w:pPr>
            <w:r w:rsidRPr="00C31CA4">
              <w:t>Response</w:t>
            </w:r>
            <w:r w:rsidR="001E3D36" w:rsidRPr="00C31CA4">
              <w:t xml:space="preserve"> at 3</w:t>
            </w:r>
            <w:r w:rsidRPr="00C31CA4">
              <w:t>-4</w:t>
            </w:r>
            <w:r w:rsidR="001E3D36" w:rsidRPr="00C31CA4">
              <w:t xml:space="preserve"> months </w:t>
            </w:r>
            <w:r w:rsidR="00C82385" w:rsidRPr="00C31CA4">
              <w:t>= same as Olnes, 2012</w:t>
            </w:r>
          </w:p>
          <w:p w14:paraId="7B881EDA" w14:textId="77777777" w:rsidR="001E3D36" w:rsidRPr="00C31CA4" w:rsidRDefault="001E3D36" w:rsidP="000E6098">
            <w:pPr>
              <w:pStyle w:val="TableText0"/>
              <w:jc w:val="center"/>
            </w:pPr>
          </w:p>
        </w:tc>
      </w:tr>
    </w:tbl>
    <w:p w14:paraId="10EB4761" w14:textId="77777777" w:rsidR="001E3D36" w:rsidRPr="00C31CA4" w:rsidRDefault="001E3D36" w:rsidP="001E3D36">
      <w:pPr>
        <w:pStyle w:val="FooterTableFigure"/>
      </w:pPr>
      <w:r w:rsidRPr="00C31CA4">
        <w:t xml:space="preserve">Source: Constructed during the evaluation. </w:t>
      </w:r>
    </w:p>
    <w:p w14:paraId="6C521C79" w14:textId="0DCC9A63" w:rsidR="001E3D36" w:rsidRPr="00C31CA4" w:rsidRDefault="001E3D36" w:rsidP="001E3D36">
      <w:pPr>
        <w:pStyle w:val="FooterTableFigure"/>
      </w:pPr>
      <w:r w:rsidRPr="00C31CA4">
        <w:t xml:space="preserve">ANC = </w:t>
      </w:r>
      <w:r w:rsidR="00564EE3" w:rsidRPr="00C31CA4">
        <w:t>a</w:t>
      </w:r>
      <w:r w:rsidRPr="00C31CA4">
        <w:t xml:space="preserve">bsolute </w:t>
      </w:r>
      <w:r w:rsidR="00564EE3" w:rsidRPr="00C31CA4">
        <w:t>n</w:t>
      </w:r>
      <w:r w:rsidRPr="00C31CA4">
        <w:t xml:space="preserve">eutrophil </w:t>
      </w:r>
      <w:r w:rsidR="00564EE3" w:rsidRPr="00C31CA4">
        <w:t>c</w:t>
      </w:r>
      <w:r w:rsidRPr="00C31CA4">
        <w:t xml:space="preserve">ount; CsA = </w:t>
      </w:r>
      <w:r w:rsidR="009A6886">
        <w:t>ciclosporin</w:t>
      </w:r>
      <w:r w:rsidRPr="00C31CA4">
        <w:t xml:space="preserve"> A; ELT = </w:t>
      </w:r>
      <w:r w:rsidR="00564EE3" w:rsidRPr="00C31CA4">
        <w:t>e</w:t>
      </w:r>
      <w:r w:rsidRPr="00C31CA4">
        <w:t xml:space="preserve">ltrombopag; hATG = horse </w:t>
      </w:r>
      <w:r w:rsidR="00564EE3" w:rsidRPr="00C31CA4">
        <w:t>a</w:t>
      </w:r>
      <w:r w:rsidRPr="00C31CA4">
        <w:t>nti-</w:t>
      </w:r>
      <w:r w:rsidR="00564EE3" w:rsidRPr="00C31CA4">
        <w:t>t</w:t>
      </w:r>
      <w:r w:rsidRPr="00C31CA4">
        <w:t xml:space="preserve">hymocyte </w:t>
      </w:r>
      <w:r w:rsidR="00564EE3" w:rsidRPr="00C31CA4">
        <w:t>g</w:t>
      </w:r>
      <w:r w:rsidRPr="00C31CA4">
        <w:t xml:space="preserve">lobulin; </w:t>
      </w:r>
      <w:r w:rsidR="00735569" w:rsidRPr="00C31CA4">
        <w:t xml:space="preserve">Hb = </w:t>
      </w:r>
      <w:r w:rsidR="00564EE3" w:rsidRPr="00C31CA4">
        <w:t>hae</w:t>
      </w:r>
      <w:r w:rsidR="00735569" w:rsidRPr="00C31CA4">
        <w:t>moglobin;</w:t>
      </w:r>
      <w:r w:rsidRPr="00C31CA4">
        <w:t xml:space="preserve"> IST = </w:t>
      </w:r>
      <w:r w:rsidR="00564EE3" w:rsidRPr="00C31CA4">
        <w:t>i</w:t>
      </w:r>
      <w:r w:rsidRPr="00C31CA4">
        <w:t>mmuno</w:t>
      </w:r>
      <w:r w:rsidR="00564EE3" w:rsidRPr="00C31CA4">
        <w:t>s</w:t>
      </w:r>
      <w:r w:rsidRPr="00C31CA4">
        <w:t xml:space="preserve">uppressive </w:t>
      </w:r>
      <w:r w:rsidR="00564EE3" w:rsidRPr="00C31CA4">
        <w:t>t</w:t>
      </w:r>
      <w:r w:rsidRPr="00C31CA4">
        <w:t>herapy</w:t>
      </w:r>
      <w:r w:rsidR="00735569" w:rsidRPr="00C31CA4">
        <w:t>;</w:t>
      </w:r>
      <w:r w:rsidRPr="00C31CA4">
        <w:t xml:space="preserve"> OL = open label; sAA = severe </w:t>
      </w:r>
      <w:r w:rsidR="00564EE3" w:rsidRPr="00C31CA4">
        <w:t>a</w:t>
      </w:r>
      <w:r w:rsidRPr="00C31CA4">
        <w:t xml:space="preserve">plastic </w:t>
      </w:r>
      <w:r w:rsidR="00564EE3" w:rsidRPr="00C31CA4">
        <w:t>a</w:t>
      </w:r>
      <w:r w:rsidRPr="00C31CA4">
        <w:t>n</w:t>
      </w:r>
      <w:r w:rsidR="00564EE3" w:rsidRPr="00C31CA4">
        <w:t>a</w:t>
      </w:r>
      <w:r w:rsidRPr="00C31CA4">
        <w:t>emia.</w:t>
      </w:r>
    </w:p>
    <w:p w14:paraId="50E5EF20" w14:textId="05E33073" w:rsidR="00B25538" w:rsidRPr="00C31CA4" w:rsidRDefault="00B60939" w:rsidP="00B25538">
      <w:pPr>
        <w:pStyle w:val="4-SubsectionHeading"/>
      </w:pPr>
      <w:bookmarkStart w:id="24" w:name="_Toc22897641"/>
      <w:bookmarkStart w:id="25" w:name="_Toc144676128"/>
      <w:r w:rsidRPr="00C31CA4">
        <w:t>Comparative effectiveness</w:t>
      </w:r>
      <w:bookmarkEnd w:id="24"/>
      <w:bookmarkEnd w:id="25"/>
    </w:p>
    <w:p w14:paraId="7E55EB06" w14:textId="688A2E1D" w:rsidR="00B72D10" w:rsidRPr="00C31CA4" w:rsidRDefault="00B72D10" w:rsidP="008B3F17">
      <w:pPr>
        <w:pStyle w:val="3-BodyText"/>
        <w:numPr>
          <w:ilvl w:val="0"/>
          <w:numId w:val="0"/>
        </w:numPr>
        <w:rPr>
          <w:u w:val="single"/>
        </w:rPr>
      </w:pPr>
      <w:r w:rsidRPr="00C31CA4">
        <w:rPr>
          <w:u w:val="single"/>
        </w:rPr>
        <w:t>First line treatment</w:t>
      </w:r>
    </w:p>
    <w:p w14:paraId="792E19E2" w14:textId="188A2E0A" w:rsidR="00D803E4" w:rsidRPr="00C31CA4" w:rsidRDefault="00D803E4" w:rsidP="00897FA1">
      <w:pPr>
        <w:pStyle w:val="3-BodyText"/>
      </w:pPr>
      <w:r w:rsidRPr="00C31CA4">
        <w:t xml:space="preserve">Results from the two </w:t>
      </w:r>
      <w:r w:rsidR="002C2619" w:rsidRPr="00C31CA4">
        <w:t xml:space="preserve">randomised, </w:t>
      </w:r>
      <w:r w:rsidRPr="00C31CA4">
        <w:t xml:space="preserve">open-label studies are summarised in </w:t>
      </w:r>
      <w:r w:rsidRPr="00C31CA4">
        <w:fldChar w:fldCharType="begin" w:fldLock="1"/>
      </w:r>
      <w:r w:rsidRPr="00C31CA4">
        <w:instrText xml:space="preserve"> REF _Ref143461296 \h </w:instrText>
      </w:r>
      <w:r w:rsidRPr="00C31CA4">
        <w:fldChar w:fldCharType="separate"/>
      </w:r>
      <w:r w:rsidR="00897FA1" w:rsidRPr="00C31CA4">
        <w:t xml:space="preserve">Table </w:t>
      </w:r>
      <w:r w:rsidR="00897FA1">
        <w:rPr>
          <w:noProof/>
        </w:rPr>
        <w:t>6</w:t>
      </w:r>
      <w:r w:rsidRPr="00C31CA4">
        <w:fldChar w:fldCharType="end"/>
      </w:r>
      <w:r w:rsidRPr="00C31CA4">
        <w:t xml:space="preserve"> and results from the remaining case series studies are summarised in </w:t>
      </w:r>
      <w:r w:rsidRPr="00C31CA4">
        <w:fldChar w:fldCharType="begin" w:fldLock="1"/>
      </w:r>
      <w:r w:rsidRPr="00C31CA4">
        <w:instrText xml:space="preserve"> REF _Ref143461333 \h  \* MERGEFORMAT </w:instrText>
      </w:r>
      <w:r w:rsidRPr="00C31CA4">
        <w:fldChar w:fldCharType="separate"/>
      </w:r>
      <w:r w:rsidR="00897FA1" w:rsidRPr="00897FA1">
        <w:t>Table 7</w:t>
      </w:r>
      <w:r w:rsidRPr="00C31CA4">
        <w:fldChar w:fldCharType="end"/>
      </w:r>
      <w:r w:rsidRPr="00C31CA4">
        <w:t>.</w:t>
      </w:r>
    </w:p>
    <w:p w14:paraId="4B90D9E5" w14:textId="30D342AB" w:rsidR="00B25538" w:rsidRPr="00C31CA4" w:rsidRDefault="00B25538" w:rsidP="00B25538">
      <w:pPr>
        <w:pStyle w:val="TableFigureHeading"/>
      </w:pPr>
      <w:bookmarkStart w:id="26" w:name="_Ref143461296"/>
      <w:bookmarkStart w:id="27" w:name="_Hlk143782726"/>
      <w:bookmarkStart w:id="28" w:name="_Hlk143782982"/>
      <w:r w:rsidRPr="00C31CA4">
        <w:lastRenderedPageBreak/>
        <w:t xml:space="preserve">Table </w:t>
      </w:r>
      <w:fldSimple w:instr=" SEQ Table \* ARABIC " w:fldLock="1">
        <w:r w:rsidR="00897FA1">
          <w:rPr>
            <w:noProof/>
          </w:rPr>
          <w:t>6</w:t>
        </w:r>
      </w:fldSimple>
      <w:bookmarkEnd w:id="26"/>
      <w:r w:rsidRPr="00C31CA4">
        <w:t xml:space="preserve">: Results of </w:t>
      </w:r>
      <w:r w:rsidR="002C2619" w:rsidRPr="00C31CA4">
        <w:t xml:space="preserve">randomised, </w:t>
      </w:r>
      <w:r w:rsidR="00D803E4" w:rsidRPr="00C31CA4">
        <w:t>open label s</w:t>
      </w:r>
      <w:r w:rsidRPr="00C31CA4">
        <w:t xml:space="preserve">tudies of </w:t>
      </w:r>
      <w:r w:rsidR="00D803E4" w:rsidRPr="00C31CA4">
        <w:t>e</w:t>
      </w:r>
      <w:r w:rsidRPr="00C31CA4">
        <w:t xml:space="preserve">ltrombopag in </w:t>
      </w:r>
      <w:r w:rsidR="00D803E4" w:rsidRPr="00C31CA4">
        <w:t>f</w:t>
      </w:r>
      <w:r w:rsidRPr="00C31CA4">
        <w:t>irst-</w:t>
      </w:r>
      <w:r w:rsidR="00D803E4" w:rsidRPr="00C31CA4">
        <w:t>l</w:t>
      </w:r>
      <w:r w:rsidRPr="00C31CA4">
        <w:t xml:space="preserve">ine </w:t>
      </w:r>
      <w:r w:rsidR="00D803E4" w:rsidRPr="00C31CA4">
        <w:t>t</w:t>
      </w:r>
      <w:r w:rsidRPr="00C31CA4">
        <w:t xml:space="preserve">reatment </w:t>
      </w:r>
    </w:p>
    <w:tbl>
      <w:tblPr>
        <w:tblStyle w:val="TableGrid"/>
        <w:tblW w:w="5000" w:type="pct"/>
        <w:tblCellMar>
          <w:left w:w="28" w:type="dxa"/>
          <w:right w:w="28" w:type="dxa"/>
        </w:tblCellMar>
        <w:tblLook w:val="04A0" w:firstRow="1" w:lastRow="0" w:firstColumn="1" w:lastColumn="0" w:noHBand="0" w:noVBand="1"/>
      </w:tblPr>
      <w:tblGrid>
        <w:gridCol w:w="3129"/>
        <w:gridCol w:w="1683"/>
        <w:gridCol w:w="2327"/>
        <w:gridCol w:w="1878"/>
      </w:tblGrid>
      <w:tr w:rsidR="00922A76" w:rsidRPr="00C31CA4" w14:paraId="4E129743" w14:textId="77777777" w:rsidTr="00CC3B14">
        <w:tc>
          <w:tcPr>
            <w:tcW w:w="3129" w:type="dxa"/>
            <w:vAlign w:val="center"/>
          </w:tcPr>
          <w:p w14:paraId="44B6333E" w14:textId="5CAD6245" w:rsidR="00922A76" w:rsidRPr="00C31CA4" w:rsidRDefault="00CC3B14" w:rsidP="00224ACF">
            <w:pPr>
              <w:pStyle w:val="TableText0"/>
              <w:tabs>
                <w:tab w:val="left" w:pos="102"/>
              </w:tabs>
            </w:pPr>
            <w:r w:rsidRPr="00C31CA4">
              <w:rPr>
                <w:b/>
                <w:bCs w:val="0"/>
              </w:rPr>
              <w:t>de Latour 2022</w:t>
            </w:r>
          </w:p>
        </w:tc>
        <w:tc>
          <w:tcPr>
            <w:tcW w:w="1683" w:type="dxa"/>
          </w:tcPr>
          <w:p w14:paraId="1CD8ACCA" w14:textId="77777777" w:rsidR="00922A76" w:rsidRPr="00C31CA4" w:rsidRDefault="00922A76" w:rsidP="00224ACF">
            <w:pPr>
              <w:pStyle w:val="TableText0"/>
              <w:jc w:val="center"/>
              <w:rPr>
                <w:b/>
                <w:bCs w:val="0"/>
              </w:rPr>
            </w:pPr>
            <w:r w:rsidRPr="00C31CA4">
              <w:rPr>
                <w:b/>
                <w:bCs w:val="0"/>
              </w:rPr>
              <w:t>hATG + CsA</w:t>
            </w:r>
          </w:p>
          <w:p w14:paraId="3F697E00" w14:textId="77777777" w:rsidR="00922A76" w:rsidRPr="00C31CA4" w:rsidRDefault="00922A76" w:rsidP="00224ACF">
            <w:pPr>
              <w:pStyle w:val="TableText0"/>
              <w:jc w:val="center"/>
            </w:pPr>
            <w:r w:rsidRPr="00C31CA4">
              <w:rPr>
                <w:b/>
                <w:bCs w:val="0"/>
              </w:rPr>
              <w:t>N = 101</w:t>
            </w:r>
          </w:p>
        </w:tc>
        <w:tc>
          <w:tcPr>
            <w:tcW w:w="2327" w:type="dxa"/>
          </w:tcPr>
          <w:p w14:paraId="4D139DD1" w14:textId="77777777" w:rsidR="00922A76" w:rsidRPr="00C31CA4" w:rsidRDefault="00922A76" w:rsidP="00224ACF">
            <w:pPr>
              <w:pStyle w:val="TableText0"/>
              <w:jc w:val="center"/>
              <w:rPr>
                <w:b/>
                <w:bCs w:val="0"/>
              </w:rPr>
            </w:pPr>
            <w:r w:rsidRPr="00C31CA4">
              <w:rPr>
                <w:b/>
                <w:bCs w:val="0"/>
              </w:rPr>
              <w:t>hATG + CsA + eltrombopag</w:t>
            </w:r>
          </w:p>
          <w:p w14:paraId="049A3046" w14:textId="77777777" w:rsidR="00922A76" w:rsidRPr="00C31CA4" w:rsidRDefault="00922A76" w:rsidP="00224ACF">
            <w:pPr>
              <w:pStyle w:val="TableText0"/>
              <w:jc w:val="center"/>
            </w:pPr>
            <w:r w:rsidRPr="00C31CA4">
              <w:rPr>
                <w:b/>
                <w:bCs w:val="0"/>
              </w:rPr>
              <w:t>N = 96</w:t>
            </w:r>
          </w:p>
        </w:tc>
        <w:tc>
          <w:tcPr>
            <w:tcW w:w="1878" w:type="dxa"/>
          </w:tcPr>
          <w:p w14:paraId="2A3A9CA3" w14:textId="77777777" w:rsidR="00922A76" w:rsidRPr="00C31CA4" w:rsidRDefault="00922A76" w:rsidP="00224ACF">
            <w:pPr>
              <w:pStyle w:val="TableText0"/>
              <w:jc w:val="center"/>
              <w:rPr>
                <w:b/>
                <w:bCs w:val="0"/>
              </w:rPr>
            </w:pPr>
            <w:r w:rsidRPr="00C31CA4">
              <w:rPr>
                <w:b/>
                <w:bCs w:val="0"/>
              </w:rPr>
              <w:t xml:space="preserve">Comparison </w:t>
            </w:r>
          </w:p>
          <w:p w14:paraId="2597DD54" w14:textId="77777777" w:rsidR="00922A76" w:rsidRPr="00C31CA4" w:rsidRDefault="00922A76" w:rsidP="00224ACF">
            <w:pPr>
              <w:pStyle w:val="TableText0"/>
              <w:jc w:val="center"/>
              <w:rPr>
                <w:b/>
                <w:bCs w:val="0"/>
              </w:rPr>
            </w:pPr>
            <w:r w:rsidRPr="00C31CA4">
              <w:rPr>
                <w:b/>
                <w:bCs w:val="0"/>
              </w:rPr>
              <w:t>(95% CI)</w:t>
            </w:r>
          </w:p>
        </w:tc>
      </w:tr>
      <w:tr w:rsidR="00922A76" w:rsidRPr="00C31CA4" w14:paraId="081F1013" w14:textId="77777777" w:rsidTr="00CC3B14">
        <w:tc>
          <w:tcPr>
            <w:tcW w:w="9017" w:type="dxa"/>
            <w:gridSpan w:val="4"/>
          </w:tcPr>
          <w:p w14:paraId="3A41C493" w14:textId="2DFA217A" w:rsidR="00922A76" w:rsidRPr="00C31CA4" w:rsidRDefault="00CC3B14" w:rsidP="00224ACF">
            <w:pPr>
              <w:pStyle w:val="TableText0"/>
              <w:tabs>
                <w:tab w:val="left" w:pos="102"/>
              </w:tabs>
              <w:rPr>
                <w:b/>
                <w:bCs w:val="0"/>
              </w:rPr>
            </w:pPr>
            <w:r w:rsidRPr="00C31CA4">
              <w:rPr>
                <w:b/>
                <w:bCs w:val="0"/>
              </w:rPr>
              <w:t>Response at 3 months</w:t>
            </w:r>
            <w:r w:rsidR="00920A53" w:rsidRPr="00C31CA4">
              <w:rPr>
                <w:b/>
                <w:bCs w:val="0"/>
              </w:rPr>
              <w:t xml:space="preserve"> n (%)</w:t>
            </w:r>
          </w:p>
        </w:tc>
      </w:tr>
      <w:tr w:rsidR="00922A76" w:rsidRPr="00C31CA4" w14:paraId="6052FEBA" w14:textId="77777777" w:rsidTr="00CC3B14">
        <w:tc>
          <w:tcPr>
            <w:tcW w:w="3129" w:type="dxa"/>
          </w:tcPr>
          <w:p w14:paraId="2AB8661F" w14:textId="27E7FD45" w:rsidR="00922A76" w:rsidRPr="00C31CA4" w:rsidRDefault="00922A76" w:rsidP="00224ACF">
            <w:pPr>
              <w:pStyle w:val="TableText0"/>
              <w:tabs>
                <w:tab w:val="left" w:pos="102"/>
              </w:tabs>
            </w:pPr>
            <w:r w:rsidRPr="00C31CA4">
              <w:tab/>
              <w:t xml:space="preserve">Complete response </w:t>
            </w:r>
          </w:p>
        </w:tc>
        <w:tc>
          <w:tcPr>
            <w:tcW w:w="1683" w:type="dxa"/>
            <w:vAlign w:val="center"/>
          </w:tcPr>
          <w:p w14:paraId="7F327618" w14:textId="77777777" w:rsidR="00922A76" w:rsidRPr="00C31CA4" w:rsidRDefault="00922A76" w:rsidP="00224ACF">
            <w:pPr>
              <w:pStyle w:val="TableText0"/>
              <w:jc w:val="center"/>
            </w:pPr>
            <w:r w:rsidRPr="00C31CA4">
              <w:t>10 (9.9%)</w:t>
            </w:r>
          </w:p>
        </w:tc>
        <w:tc>
          <w:tcPr>
            <w:tcW w:w="2327" w:type="dxa"/>
            <w:vAlign w:val="center"/>
          </w:tcPr>
          <w:p w14:paraId="4DE977D2" w14:textId="77777777" w:rsidR="00922A76" w:rsidRPr="00C31CA4" w:rsidRDefault="00922A76" w:rsidP="00224ACF">
            <w:pPr>
              <w:pStyle w:val="TableText0"/>
              <w:jc w:val="center"/>
            </w:pPr>
            <w:r w:rsidRPr="00C31CA4">
              <w:t>21 (21.9%)</w:t>
            </w:r>
          </w:p>
        </w:tc>
        <w:tc>
          <w:tcPr>
            <w:tcW w:w="1878" w:type="dxa"/>
            <w:vAlign w:val="center"/>
          </w:tcPr>
          <w:p w14:paraId="10A68BEF" w14:textId="796DE667" w:rsidR="00922A76" w:rsidRPr="00C31CA4" w:rsidRDefault="00922A76" w:rsidP="00224ACF">
            <w:pPr>
              <w:pStyle w:val="TableText0"/>
              <w:jc w:val="center"/>
              <w:rPr>
                <w:b/>
                <w:bCs w:val="0"/>
              </w:rPr>
            </w:pPr>
            <w:r w:rsidRPr="00C31CA4">
              <w:rPr>
                <w:b/>
                <w:bCs w:val="0"/>
              </w:rPr>
              <w:t>RR 2.21 (1.10, 4.45)</w:t>
            </w:r>
            <w:r w:rsidR="00C41748" w:rsidRPr="00C31CA4">
              <w:rPr>
                <w:b/>
                <w:bCs w:val="0"/>
                <w:vertAlign w:val="superscript"/>
              </w:rPr>
              <w:t>a</w:t>
            </w:r>
          </w:p>
        </w:tc>
      </w:tr>
      <w:tr w:rsidR="00922A76" w:rsidRPr="00C31CA4" w14:paraId="0B9D7DDF" w14:textId="77777777" w:rsidTr="00CC3B14">
        <w:tc>
          <w:tcPr>
            <w:tcW w:w="3129" w:type="dxa"/>
          </w:tcPr>
          <w:p w14:paraId="6B031A88" w14:textId="158B523D" w:rsidR="00922A76" w:rsidRPr="00C31CA4" w:rsidRDefault="00922A76" w:rsidP="00224ACF">
            <w:pPr>
              <w:pStyle w:val="TableText0"/>
              <w:tabs>
                <w:tab w:val="left" w:pos="102"/>
              </w:tabs>
            </w:pPr>
            <w:r w:rsidRPr="00C31CA4">
              <w:tab/>
              <w:t>Partial response</w:t>
            </w:r>
          </w:p>
        </w:tc>
        <w:tc>
          <w:tcPr>
            <w:tcW w:w="1683" w:type="dxa"/>
            <w:vAlign w:val="center"/>
          </w:tcPr>
          <w:p w14:paraId="711DC1FF" w14:textId="77777777" w:rsidR="00922A76" w:rsidRPr="00C31CA4" w:rsidRDefault="00922A76" w:rsidP="00224ACF">
            <w:pPr>
              <w:pStyle w:val="TableText0"/>
              <w:jc w:val="center"/>
            </w:pPr>
            <w:r w:rsidRPr="00C31CA4">
              <w:t>21 (20.8%)</w:t>
            </w:r>
          </w:p>
        </w:tc>
        <w:tc>
          <w:tcPr>
            <w:tcW w:w="2327" w:type="dxa"/>
            <w:vAlign w:val="center"/>
          </w:tcPr>
          <w:p w14:paraId="1DA857BD" w14:textId="77777777" w:rsidR="00922A76" w:rsidRPr="00C31CA4" w:rsidRDefault="00922A76" w:rsidP="00224ACF">
            <w:pPr>
              <w:pStyle w:val="TableText0"/>
              <w:jc w:val="center"/>
            </w:pPr>
            <w:r w:rsidRPr="00C31CA4">
              <w:t>36 (37.5%)</w:t>
            </w:r>
          </w:p>
        </w:tc>
        <w:tc>
          <w:tcPr>
            <w:tcW w:w="1878" w:type="dxa"/>
            <w:vAlign w:val="center"/>
          </w:tcPr>
          <w:p w14:paraId="5E3AAA20" w14:textId="77777777" w:rsidR="00922A76" w:rsidRPr="00C31CA4" w:rsidRDefault="00922A76" w:rsidP="00224ACF">
            <w:pPr>
              <w:pStyle w:val="TableText0"/>
              <w:jc w:val="center"/>
            </w:pPr>
            <w:r w:rsidRPr="00C31CA4">
              <w:t>NR</w:t>
            </w:r>
          </w:p>
        </w:tc>
      </w:tr>
      <w:tr w:rsidR="00922A76" w:rsidRPr="00C31CA4" w14:paraId="4F652712" w14:textId="77777777" w:rsidTr="00CC3B14">
        <w:tc>
          <w:tcPr>
            <w:tcW w:w="3129" w:type="dxa"/>
          </w:tcPr>
          <w:p w14:paraId="33F28B3C" w14:textId="3ECACC10" w:rsidR="00922A76" w:rsidRPr="00C31CA4" w:rsidRDefault="00922A76" w:rsidP="00224ACF">
            <w:pPr>
              <w:pStyle w:val="TableText0"/>
              <w:tabs>
                <w:tab w:val="left" w:pos="102"/>
              </w:tabs>
              <w:ind w:left="102" w:hanging="102"/>
            </w:pPr>
            <w:r w:rsidRPr="00C31CA4">
              <w:tab/>
              <w:t xml:space="preserve">Complete + partial response  </w:t>
            </w:r>
          </w:p>
        </w:tc>
        <w:tc>
          <w:tcPr>
            <w:tcW w:w="1683" w:type="dxa"/>
            <w:vAlign w:val="center"/>
          </w:tcPr>
          <w:p w14:paraId="7AD4519D" w14:textId="77777777" w:rsidR="00922A76" w:rsidRPr="00C31CA4" w:rsidRDefault="00922A76" w:rsidP="00224ACF">
            <w:pPr>
              <w:pStyle w:val="TableText0"/>
              <w:jc w:val="center"/>
            </w:pPr>
            <w:r w:rsidRPr="00C31CA4">
              <w:t>31 (30.7%)</w:t>
            </w:r>
          </w:p>
        </w:tc>
        <w:tc>
          <w:tcPr>
            <w:tcW w:w="2327" w:type="dxa"/>
            <w:vAlign w:val="center"/>
          </w:tcPr>
          <w:p w14:paraId="3E4BE58D" w14:textId="77777777" w:rsidR="00922A76" w:rsidRPr="00C31CA4" w:rsidRDefault="00922A76" w:rsidP="00224ACF">
            <w:pPr>
              <w:pStyle w:val="TableText0"/>
              <w:jc w:val="center"/>
            </w:pPr>
            <w:r w:rsidRPr="00C31CA4">
              <w:t>57 (59.4%)</w:t>
            </w:r>
          </w:p>
        </w:tc>
        <w:tc>
          <w:tcPr>
            <w:tcW w:w="1878" w:type="dxa"/>
            <w:vAlign w:val="center"/>
          </w:tcPr>
          <w:p w14:paraId="00B23342" w14:textId="77777777" w:rsidR="00922A76" w:rsidRPr="00C31CA4" w:rsidRDefault="00922A76" w:rsidP="00224ACF">
            <w:pPr>
              <w:pStyle w:val="TableText0"/>
              <w:jc w:val="center"/>
              <w:rPr>
                <w:b/>
                <w:bCs w:val="0"/>
              </w:rPr>
            </w:pPr>
            <w:r w:rsidRPr="00C31CA4">
              <w:rPr>
                <w:b/>
                <w:bCs w:val="0"/>
              </w:rPr>
              <w:t>RR 1.97 (1.44, 2.69)</w:t>
            </w:r>
          </w:p>
        </w:tc>
      </w:tr>
      <w:tr w:rsidR="00922A76" w:rsidRPr="00C31CA4" w14:paraId="672BBB7B" w14:textId="77777777" w:rsidTr="00CC3B14">
        <w:tc>
          <w:tcPr>
            <w:tcW w:w="3129" w:type="dxa"/>
          </w:tcPr>
          <w:p w14:paraId="1B749B13" w14:textId="18230D5A" w:rsidR="00922A76" w:rsidRPr="00C31CA4" w:rsidRDefault="00922A76" w:rsidP="00224ACF">
            <w:pPr>
              <w:pStyle w:val="TableText0"/>
              <w:tabs>
                <w:tab w:val="left" w:pos="102"/>
              </w:tabs>
              <w:ind w:left="102" w:hanging="102"/>
            </w:pPr>
            <w:r w:rsidRPr="00C31CA4">
              <w:tab/>
              <w:t>Complete response in patients with vsAA</w:t>
            </w:r>
          </w:p>
        </w:tc>
        <w:tc>
          <w:tcPr>
            <w:tcW w:w="1683" w:type="dxa"/>
            <w:vAlign w:val="center"/>
          </w:tcPr>
          <w:p w14:paraId="636DDB00" w14:textId="77777777" w:rsidR="00922A76" w:rsidRPr="00C31CA4" w:rsidRDefault="00922A76" w:rsidP="00224ACF">
            <w:pPr>
              <w:pStyle w:val="TableText0"/>
              <w:jc w:val="center"/>
              <w:rPr>
                <w:b/>
                <w:bCs w:val="0"/>
              </w:rPr>
            </w:pPr>
            <w:r w:rsidRPr="00C31CA4">
              <w:t>0/34</w:t>
            </w:r>
          </w:p>
        </w:tc>
        <w:tc>
          <w:tcPr>
            <w:tcW w:w="2327" w:type="dxa"/>
            <w:vAlign w:val="center"/>
          </w:tcPr>
          <w:p w14:paraId="08778A8F" w14:textId="77777777" w:rsidR="00922A76" w:rsidRPr="00C31CA4" w:rsidRDefault="00922A76" w:rsidP="00224ACF">
            <w:pPr>
              <w:pStyle w:val="TableText0"/>
              <w:jc w:val="center"/>
              <w:rPr>
                <w:b/>
                <w:bCs w:val="0"/>
              </w:rPr>
            </w:pPr>
            <w:r w:rsidRPr="00C31CA4">
              <w:t>4/34 (11.8%)</w:t>
            </w:r>
          </w:p>
        </w:tc>
        <w:tc>
          <w:tcPr>
            <w:tcW w:w="1878" w:type="dxa"/>
            <w:vAlign w:val="center"/>
          </w:tcPr>
          <w:p w14:paraId="6D0B5794" w14:textId="77777777" w:rsidR="00922A76" w:rsidRPr="00C31CA4" w:rsidRDefault="00922A76" w:rsidP="00224ACF">
            <w:pPr>
              <w:pStyle w:val="TableText0"/>
              <w:jc w:val="center"/>
            </w:pPr>
            <w:r w:rsidRPr="00C31CA4">
              <w:t>NR</w:t>
            </w:r>
          </w:p>
        </w:tc>
      </w:tr>
      <w:tr w:rsidR="00922A76" w:rsidRPr="00C31CA4" w14:paraId="37C4EECF" w14:textId="77777777" w:rsidTr="00CC3B14">
        <w:tc>
          <w:tcPr>
            <w:tcW w:w="3129" w:type="dxa"/>
          </w:tcPr>
          <w:p w14:paraId="13C43B1F" w14:textId="4357877C" w:rsidR="00922A76" w:rsidRPr="00C31CA4" w:rsidRDefault="00922A76" w:rsidP="00224ACF">
            <w:pPr>
              <w:pStyle w:val="TableText0"/>
              <w:tabs>
                <w:tab w:val="left" w:pos="102"/>
              </w:tabs>
              <w:ind w:left="102" w:hanging="102"/>
            </w:pPr>
            <w:r w:rsidRPr="00C31CA4">
              <w:tab/>
              <w:t xml:space="preserve">Partial response in patients with vsAA </w:t>
            </w:r>
          </w:p>
        </w:tc>
        <w:tc>
          <w:tcPr>
            <w:tcW w:w="1683" w:type="dxa"/>
            <w:vAlign w:val="center"/>
          </w:tcPr>
          <w:p w14:paraId="6A1CDB24" w14:textId="77777777" w:rsidR="00922A76" w:rsidRPr="00C31CA4" w:rsidRDefault="00922A76" w:rsidP="00224ACF">
            <w:pPr>
              <w:pStyle w:val="TableText0"/>
              <w:jc w:val="center"/>
            </w:pPr>
            <w:r w:rsidRPr="00C31CA4">
              <w:t>4/34 (11.8%)</w:t>
            </w:r>
          </w:p>
        </w:tc>
        <w:tc>
          <w:tcPr>
            <w:tcW w:w="2327" w:type="dxa"/>
            <w:vAlign w:val="center"/>
          </w:tcPr>
          <w:p w14:paraId="700FEDD6" w14:textId="77777777" w:rsidR="00922A76" w:rsidRPr="00C31CA4" w:rsidRDefault="00922A76" w:rsidP="00224ACF">
            <w:pPr>
              <w:pStyle w:val="TableText0"/>
              <w:jc w:val="center"/>
            </w:pPr>
            <w:r w:rsidRPr="00C31CA4">
              <w:t>9/34 (26.5%)</w:t>
            </w:r>
          </w:p>
        </w:tc>
        <w:tc>
          <w:tcPr>
            <w:tcW w:w="1878" w:type="dxa"/>
            <w:vAlign w:val="center"/>
          </w:tcPr>
          <w:p w14:paraId="2E240AF4" w14:textId="77777777" w:rsidR="00922A76" w:rsidRPr="00C31CA4" w:rsidRDefault="00922A76" w:rsidP="00224ACF">
            <w:pPr>
              <w:pStyle w:val="TableText0"/>
              <w:jc w:val="center"/>
            </w:pPr>
            <w:r w:rsidRPr="00C31CA4">
              <w:t>NR</w:t>
            </w:r>
          </w:p>
        </w:tc>
      </w:tr>
      <w:tr w:rsidR="00CC3B14" w:rsidRPr="00C31CA4" w14:paraId="302B5A7F" w14:textId="77777777" w:rsidTr="000050D0">
        <w:tc>
          <w:tcPr>
            <w:tcW w:w="9017" w:type="dxa"/>
            <w:gridSpan w:val="4"/>
          </w:tcPr>
          <w:p w14:paraId="7C6E57CD" w14:textId="6265A0DE" w:rsidR="00CC3B14" w:rsidRPr="00C31CA4" w:rsidRDefault="00CC3B14" w:rsidP="00CC3B14">
            <w:pPr>
              <w:pStyle w:val="TableText0"/>
              <w:rPr>
                <w:b/>
                <w:bCs w:val="0"/>
              </w:rPr>
            </w:pPr>
            <w:r w:rsidRPr="00C31CA4">
              <w:rPr>
                <w:b/>
                <w:bCs w:val="0"/>
              </w:rPr>
              <w:t>Response at 6 months</w:t>
            </w:r>
            <w:r w:rsidR="00920A53" w:rsidRPr="00C31CA4">
              <w:rPr>
                <w:b/>
                <w:bCs w:val="0"/>
              </w:rPr>
              <w:t xml:space="preserve"> n (%)</w:t>
            </w:r>
          </w:p>
        </w:tc>
      </w:tr>
      <w:tr w:rsidR="00922A76" w:rsidRPr="00C31CA4" w14:paraId="7D34CC0E" w14:textId="77777777" w:rsidTr="00CC3B14">
        <w:tc>
          <w:tcPr>
            <w:tcW w:w="3129" w:type="dxa"/>
          </w:tcPr>
          <w:p w14:paraId="5402F317" w14:textId="5D1EB39A" w:rsidR="00922A76" w:rsidRPr="00C31CA4" w:rsidRDefault="00922A76" w:rsidP="00224ACF">
            <w:pPr>
              <w:pStyle w:val="TableText0"/>
              <w:tabs>
                <w:tab w:val="left" w:pos="102"/>
              </w:tabs>
            </w:pPr>
            <w:r w:rsidRPr="00C31CA4">
              <w:tab/>
              <w:t xml:space="preserve">Complete response </w:t>
            </w:r>
          </w:p>
        </w:tc>
        <w:tc>
          <w:tcPr>
            <w:tcW w:w="1683" w:type="dxa"/>
            <w:vAlign w:val="center"/>
          </w:tcPr>
          <w:p w14:paraId="1034AB06" w14:textId="77777777" w:rsidR="00922A76" w:rsidRPr="00C31CA4" w:rsidRDefault="00922A76" w:rsidP="00224ACF">
            <w:pPr>
              <w:pStyle w:val="TableText0"/>
              <w:jc w:val="center"/>
            </w:pPr>
            <w:r w:rsidRPr="00C31CA4">
              <w:t>20 (19.8%)</w:t>
            </w:r>
          </w:p>
        </w:tc>
        <w:tc>
          <w:tcPr>
            <w:tcW w:w="2327" w:type="dxa"/>
            <w:vAlign w:val="center"/>
          </w:tcPr>
          <w:p w14:paraId="4F91CDB6" w14:textId="77777777" w:rsidR="00922A76" w:rsidRPr="00C31CA4" w:rsidRDefault="00922A76" w:rsidP="00224ACF">
            <w:pPr>
              <w:pStyle w:val="TableText0"/>
              <w:jc w:val="center"/>
            </w:pPr>
            <w:r w:rsidRPr="00C31CA4">
              <w:t>30 (31.2%)</w:t>
            </w:r>
          </w:p>
        </w:tc>
        <w:tc>
          <w:tcPr>
            <w:tcW w:w="1878" w:type="dxa"/>
            <w:vAlign w:val="center"/>
          </w:tcPr>
          <w:p w14:paraId="278D925D" w14:textId="77777777" w:rsidR="00922A76" w:rsidRPr="00C31CA4" w:rsidRDefault="00922A76" w:rsidP="00224ACF">
            <w:pPr>
              <w:pStyle w:val="TableText0"/>
              <w:jc w:val="center"/>
              <w:rPr>
                <w:b/>
                <w:bCs w:val="0"/>
              </w:rPr>
            </w:pPr>
            <w:r w:rsidRPr="00C31CA4">
              <w:rPr>
                <w:b/>
                <w:bCs w:val="0"/>
              </w:rPr>
              <w:t>RR 1.68 (1.05, 2.68)</w:t>
            </w:r>
          </w:p>
        </w:tc>
      </w:tr>
      <w:tr w:rsidR="00922A76" w:rsidRPr="00C31CA4" w14:paraId="6AA7B4AC" w14:textId="77777777" w:rsidTr="00CC3B14">
        <w:tc>
          <w:tcPr>
            <w:tcW w:w="3129" w:type="dxa"/>
          </w:tcPr>
          <w:p w14:paraId="6D851FDB" w14:textId="7DDD0411" w:rsidR="00922A76" w:rsidRPr="00C31CA4" w:rsidRDefault="00922A76" w:rsidP="00224ACF">
            <w:pPr>
              <w:pStyle w:val="TableText0"/>
              <w:tabs>
                <w:tab w:val="left" w:pos="102"/>
              </w:tabs>
            </w:pPr>
            <w:r w:rsidRPr="00C31CA4">
              <w:tab/>
              <w:t>Partial response</w:t>
            </w:r>
          </w:p>
        </w:tc>
        <w:tc>
          <w:tcPr>
            <w:tcW w:w="1683" w:type="dxa"/>
            <w:vAlign w:val="center"/>
          </w:tcPr>
          <w:p w14:paraId="27240E9E" w14:textId="77777777" w:rsidR="00922A76" w:rsidRPr="00C31CA4" w:rsidRDefault="00922A76" w:rsidP="00224ACF">
            <w:pPr>
              <w:pStyle w:val="TableText0"/>
              <w:jc w:val="center"/>
            </w:pPr>
            <w:r w:rsidRPr="00C31CA4">
              <w:t>21 (20.8%)</w:t>
            </w:r>
          </w:p>
        </w:tc>
        <w:tc>
          <w:tcPr>
            <w:tcW w:w="2327" w:type="dxa"/>
            <w:vAlign w:val="center"/>
          </w:tcPr>
          <w:p w14:paraId="2D519931" w14:textId="77777777" w:rsidR="00922A76" w:rsidRPr="00C31CA4" w:rsidRDefault="00922A76" w:rsidP="00224ACF">
            <w:pPr>
              <w:pStyle w:val="TableText0"/>
              <w:jc w:val="center"/>
            </w:pPr>
            <w:r w:rsidRPr="00C31CA4">
              <w:t>35 (36.5%)</w:t>
            </w:r>
          </w:p>
        </w:tc>
        <w:tc>
          <w:tcPr>
            <w:tcW w:w="1878" w:type="dxa"/>
            <w:vAlign w:val="center"/>
          </w:tcPr>
          <w:p w14:paraId="2E6EC5D1" w14:textId="77777777" w:rsidR="00922A76" w:rsidRPr="00C31CA4" w:rsidRDefault="00922A76" w:rsidP="00224ACF">
            <w:pPr>
              <w:pStyle w:val="TableText0"/>
              <w:jc w:val="center"/>
            </w:pPr>
            <w:r w:rsidRPr="00C31CA4">
              <w:t>NR</w:t>
            </w:r>
          </w:p>
        </w:tc>
      </w:tr>
      <w:tr w:rsidR="00922A76" w:rsidRPr="00C31CA4" w14:paraId="4F596C90" w14:textId="77777777" w:rsidTr="00CC3B14">
        <w:tc>
          <w:tcPr>
            <w:tcW w:w="3129" w:type="dxa"/>
          </w:tcPr>
          <w:p w14:paraId="3ECB0AD8" w14:textId="22F1FA50" w:rsidR="00922A76" w:rsidRPr="00C31CA4" w:rsidRDefault="00922A76" w:rsidP="00224ACF">
            <w:pPr>
              <w:pStyle w:val="TableText0"/>
              <w:tabs>
                <w:tab w:val="left" w:pos="102"/>
              </w:tabs>
              <w:ind w:left="102" w:hanging="102"/>
            </w:pPr>
            <w:r w:rsidRPr="00C31CA4">
              <w:tab/>
              <w:t xml:space="preserve">Complete + partial response </w:t>
            </w:r>
          </w:p>
        </w:tc>
        <w:tc>
          <w:tcPr>
            <w:tcW w:w="1683" w:type="dxa"/>
            <w:vAlign w:val="center"/>
          </w:tcPr>
          <w:p w14:paraId="0E6BCA94" w14:textId="77777777" w:rsidR="00922A76" w:rsidRPr="00C31CA4" w:rsidRDefault="00922A76" w:rsidP="00224ACF">
            <w:pPr>
              <w:pStyle w:val="TableText0"/>
              <w:jc w:val="center"/>
            </w:pPr>
            <w:r w:rsidRPr="00C31CA4">
              <w:t>41 (40.6%)</w:t>
            </w:r>
          </w:p>
        </w:tc>
        <w:tc>
          <w:tcPr>
            <w:tcW w:w="2327" w:type="dxa"/>
            <w:vAlign w:val="center"/>
          </w:tcPr>
          <w:p w14:paraId="58473587" w14:textId="77777777" w:rsidR="00922A76" w:rsidRPr="00C31CA4" w:rsidRDefault="00922A76" w:rsidP="00224ACF">
            <w:pPr>
              <w:pStyle w:val="TableText0"/>
              <w:jc w:val="center"/>
            </w:pPr>
            <w:r w:rsidRPr="00C31CA4">
              <w:t>65 (67.7%)</w:t>
            </w:r>
          </w:p>
        </w:tc>
        <w:tc>
          <w:tcPr>
            <w:tcW w:w="1878" w:type="dxa"/>
            <w:vAlign w:val="center"/>
          </w:tcPr>
          <w:p w14:paraId="3EDD6ADD" w14:textId="77777777" w:rsidR="00922A76" w:rsidRPr="00C31CA4" w:rsidRDefault="00922A76" w:rsidP="00224ACF">
            <w:pPr>
              <w:pStyle w:val="TableText0"/>
              <w:jc w:val="center"/>
              <w:rPr>
                <w:b/>
                <w:bCs w:val="0"/>
              </w:rPr>
            </w:pPr>
            <w:r w:rsidRPr="00C31CA4">
              <w:rPr>
                <w:b/>
                <w:bCs w:val="0"/>
              </w:rPr>
              <w:t>RR 1.71 (1.33, 2.21)</w:t>
            </w:r>
          </w:p>
        </w:tc>
      </w:tr>
      <w:tr w:rsidR="00163B34" w:rsidRPr="00C31CA4" w14:paraId="0BA90FEF" w14:textId="77777777" w:rsidTr="00F32290">
        <w:tc>
          <w:tcPr>
            <w:tcW w:w="9017" w:type="dxa"/>
            <w:gridSpan w:val="4"/>
          </w:tcPr>
          <w:p w14:paraId="0A41716D" w14:textId="41971883" w:rsidR="00163B34" w:rsidRPr="00C31CA4" w:rsidRDefault="00163B34" w:rsidP="00163B34">
            <w:pPr>
              <w:pStyle w:val="TableText0"/>
              <w:rPr>
                <w:b/>
                <w:bCs w:val="0"/>
              </w:rPr>
            </w:pPr>
            <w:r w:rsidRPr="00C31CA4">
              <w:rPr>
                <w:b/>
                <w:bCs w:val="0"/>
              </w:rPr>
              <w:t>Other outcomes</w:t>
            </w:r>
          </w:p>
        </w:tc>
      </w:tr>
      <w:bookmarkEnd w:id="27"/>
      <w:bookmarkEnd w:id="28"/>
      <w:tr w:rsidR="00CC3B14" w:rsidRPr="00C31CA4" w14:paraId="27AEA143" w14:textId="77777777" w:rsidTr="00CC3B14">
        <w:tc>
          <w:tcPr>
            <w:tcW w:w="3129" w:type="dxa"/>
          </w:tcPr>
          <w:p w14:paraId="4CD530CE" w14:textId="77777777" w:rsidR="00CC3B14" w:rsidRPr="00C31CA4" w:rsidRDefault="00CC3B14" w:rsidP="00CC3B14">
            <w:pPr>
              <w:pStyle w:val="TableText0"/>
              <w:tabs>
                <w:tab w:val="left" w:pos="102"/>
              </w:tabs>
            </w:pPr>
            <w:r w:rsidRPr="00C31CA4">
              <w:tab/>
              <w:t>Overall survival</w:t>
            </w:r>
            <w:r w:rsidRPr="00C31CA4">
              <w:rPr>
                <w:vertAlign w:val="superscript"/>
              </w:rPr>
              <w:t>c</w:t>
            </w:r>
            <w:r w:rsidRPr="00C31CA4">
              <w:t xml:space="preserve"> % (95% CI)</w:t>
            </w:r>
          </w:p>
          <w:p w14:paraId="29BE3ABC" w14:textId="77777777" w:rsidR="00CC3B14" w:rsidRPr="00C31CA4" w:rsidRDefault="00CC3B14" w:rsidP="00CC3B14">
            <w:pPr>
              <w:pStyle w:val="TableText0"/>
              <w:tabs>
                <w:tab w:val="left" w:pos="102"/>
              </w:tabs>
              <w:jc w:val="right"/>
            </w:pPr>
            <w:r w:rsidRPr="00C31CA4">
              <w:t>At 6 months</w:t>
            </w:r>
          </w:p>
          <w:p w14:paraId="01E0075B" w14:textId="77777777" w:rsidR="00CC3B14" w:rsidRPr="00C31CA4" w:rsidRDefault="00CC3B14" w:rsidP="00CC3B14">
            <w:pPr>
              <w:pStyle w:val="TableText0"/>
              <w:tabs>
                <w:tab w:val="left" w:pos="102"/>
              </w:tabs>
              <w:jc w:val="right"/>
            </w:pPr>
            <w:r w:rsidRPr="00C31CA4">
              <w:t>At 12 months</w:t>
            </w:r>
          </w:p>
          <w:p w14:paraId="2439C7B6" w14:textId="0A86E55C" w:rsidR="00CC3B14" w:rsidRPr="00C31CA4" w:rsidRDefault="00CC3B14" w:rsidP="00CC3B14">
            <w:pPr>
              <w:pStyle w:val="TableText0"/>
              <w:tabs>
                <w:tab w:val="left" w:pos="102"/>
              </w:tabs>
              <w:jc w:val="right"/>
            </w:pPr>
            <w:r w:rsidRPr="00C31CA4">
              <w:t>At 24 months</w:t>
            </w:r>
          </w:p>
        </w:tc>
        <w:tc>
          <w:tcPr>
            <w:tcW w:w="1683" w:type="dxa"/>
            <w:vAlign w:val="center"/>
          </w:tcPr>
          <w:p w14:paraId="7419AFD8" w14:textId="77777777" w:rsidR="00CC3B14" w:rsidRPr="00C31CA4" w:rsidRDefault="00CC3B14" w:rsidP="00CC3B14">
            <w:pPr>
              <w:pStyle w:val="TableText0"/>
              <w:jc w:val="center"/>
            </w:pPr>
          </w:p>
          <w:p w14:paraId="187BF5DC" w14:textId="77777777" w:rsidR="00CC3B14" w:rsidRPr="00C31CA4" w:rsidRDefault="00CC3B14" w:rsidP="00CC3B14">
            <w:pPr>
              <w:pStyle w:val="TableText0"/>
              <w:jc w:val="center"/>
            </w:pPr>
            <w:r w:rsidRPr="00C31CA4">
              <w:t>93.1% (88.1, 98.0)</w:t>
            </w:r>
          </w:p>
          <w:p w14:paraId="6693C1FA" w14:textId="77777777" w:rsidR="00CC3B14" w:rsidRPr="00C31CA4" w:rsidRDefault="00CC3B14" w:rsidP="00CC3B14">
            <w:pPr>
              <w:pStyle w:val="TableText0"/>
              <w:jc w:val="center"/>
            </w:pPr>
            <w:r w:rsidRPr="00C31CA4">
              <w:t>88.9% (82.8, 95.1)</w:t>
            </w:r>
          </w:p>
          <w:p w14:paraId="57AF6795" w14:textId="4D85717B" w:rsidR="00CC3B14" w:rsidRPr="00C31CA4" w:rsidRDefault="00CC3B14" w:rsidP="00CC3B14">
            <w:pPr>
              <w:pStyle w:val="TableText0"/>
              <w:jc w:val="center"/>
            </w:pPr>
            <w:r w:rsidRPr="00C31CA4">
              <w:t>85.0% (77.7, 92.4)</w:t>
            </w:r>
          </w:p>
        </w:tc>
        <w:tc>
          <w:tcPr>
            <w:tcW w:w="2327" w:type="dxa"/>
            <w:vAlign w:val="center"/>
          </w:tcPr>
          <w:p w14:paraId="135F5779" w14:textId="77777777" w:rsidR="00CC3B14" w:rsidRPr="00C31CA4" w:rsidRDefault="00CC3B14" w:rsidP="00CC3B14">
            <w:pPr>
              <w:pStyle w:val="TableText0"/>
              <w:jc w:val="center"/>
            </w:pPr>
          </w:p>
          <w:p w14:paraId="4BAB83FD" w14:textId="77777777" w:rsidR="00CC3B14" w:rsidRPr="00C31CA4" w:rsidRDefault="00CC3B14" w:rsidP="00CC3B14">
            <w:pPr>
              <w:pStyle w:val="TableText0"/>
              <w:jc w:val="center"/>
            </w:pPr>
            <w:r w:rsidRPr="00C31CA4">
              <w:t>96.9% (93.4, 100)</w:t>
            </w:r>
          </w:p>
          <w:p w14:paraId="0DF3623F" w14:textId="77777777" w:rsidR="00CC3B14" w:rsidRPr="00C31CA4" w:rsidRDefault="00CC3B14" w:rsidP="00CC3B14">
            <w:pPr>
              <w:pStyle w:val="TableText0"/>
              <w:jc w:val="center"/>
            </w:pPr>
            <w:r w:rsidRPr="00C31CA4">
              <w:t>95.7% (91.6, 99.8)</w:t>
            </w:r>
          </w:p>
          <w:p w14:paraId="7F25B07E" w14:textId="4D0CBC7D" w:rsidR="00CC3B14" w:rsidRPr="00C31CA4" w:rsidRDefault="00CC3B14" w:rsidP="00CC3B14">
            <w:pPr>
              <w:pStyle w:val="TableText0"/>
              <w:jc w:val="center"/>
            </w:pPr>
            <w:r w:rsidRPr="00C31CA4">
              <w:t>89.5% (82.4, 96.6)</w:t>
            </w:r>
          </w:p>
        </w:tc>
        <w:tc>
          <w:tcPr>
            <w:tcW w:w="1878" w:type="dxa"/>
            <w:vAlign w:val="center"/>
          </w:tcPr>
          <w:p w14:paraId="63F0CB28" w14:textId="7CA7EAB0" w:rsidR="00CC3B14" w:rsidRPr="00C31CA4" w:rsidRDefault="00CC3B14" w:rsidP="00CC3B14">
            <w:pPr>
              <w:pStyle w:val="TableText0"/>
              <w:jc w:val="center"/>
            </w:pPr>
            <w:r w:rsidRPr="00C31CA4">
              <w:t>NR</w:t>
            </w:r>
          </w:p>
        </w:tc>
      </w:tr>
      <w:tr w:rsidR="00CC3B14" w:rsidRPr="00C31CA4" w14:paraId="22106116" w14:textId="77777777" w:rsidTr="00CC3B14">
        <w:tc>
          <w:tcPr>
            <w:tcW w:w="3129" w:type="dxa"/>
          </w:tcPr>
          <w:p w14:paraId="7A04834D" w14:textId="28F661A0" w:rsidR="00CC3B14" w:rsidRPr="00C31CA4" w:rsidRDefault="00CC3B14" w:rsidP="00CC3B14">
            <w:pPr>
              <w:pStyle w:val="TableText0"/>
              <w:tabs>
                <w:tab w:val="left" w:pos="102"/>
              </w:tabs>
            </w:pPr>
            <w:r w:rsidRPr="00C31CA4">
              <w:tab/>
              <w:t xml:space="preserve">Deaths </w:t>
            </w:r>
          </w:p>
          <w:p w14:paraId="1A2E1F3B" w14:textId="77777777" w:rsidR="00CC3B14" w:rsidRPr="00C31CA4" w:rsidRDefault="00CC3B14" w:rsidP="00CC3B14">
            <w:pPr>
              <w:pStyle w:val="TableText0"/>
              <w:tabs>
                <w:tab w:val="left" w:pos="102"/>
              </w:tabs>
              <w:jc w:val="right"/>
            </w:pPr>
            <w:r w:rsidRPr="00C31CA4">
              <w:t>Due to infection</w:t>
            </w:r>
          </w:p>
          <w:p w14:paraId="7670D074" w14:textId="77777777" w:rsidR="00CC3B14" w:rsidRPr="00C31CA4" w:rsidRDefault="00CC3B14" w:rsidP="00CC3B14">
            <w:pPr>
              <w:pStyle w:val="TableText0"/>
              <w:tabs>
                <w:tab w:val="left" w:pos="102"/>
              </w:tabs>
              <w:jc w:val="right"/>
            </w:pPr>
            <w:r w:rsidRPr="00C31CA4">
              <w:t>Due to bleeding</w:t>
            </w:r>
          </w:p>
        </w:tc>
        <w:tc>
          <w:tcPr>
            <w:tcW w:w="1683" w:type="dxa"/>
            <w:vAlign w:val="center"/>
          </w:tcPr>
          <w:p w14:paraId="60F9F0EB" w14:textId="77777777" w:rsidR="00CC3B14" w:rsidRPr="00C31CA4" w:rsidRDefault="00CC3B14" w:rsidP="00CC3B14">
            <w:pPr>
              <w:pStyle w:val="TableText0"/>
              <w:jc w:val="center"/>
            </w:pPr>
            <w:r w:rsidRPr="00C31CA4">
              <w:t>14 (13.9%)</w:t>
            </w:r>
          </w:p>
          <w:p w14:paraId="6F9C4E18" w14:textId="77777777" w:rsidR="00CC3B14" w:rsidRPr="00C31CA4" w:rsidRDefault="00CC3B14" w:rsidP="00CC3B14">
            <w:pPr>
              <w:pStyle w:val="TableText0"/>
              <w:jc w:val="center"/>
            </w:pPr>
            <w:r w:rsidRPr="00C31CA4">
              <w:t>9 (8.9%)</w:t>
            </w:r>
          </w:p>
          <w:p w14:paraId="5A6CF00B" w14:textId="77777777" w:rsidR="00CC3B14" w:rsidRPr="00C31CA4" w:rsidRDefault="00CC3B14" w:rsidP="00CC3B14">
            <w:pPr>
              <w:pStyle w:val="TableText0"/>
              <w:jc w:val="center"/>
            </w:pPr>
            <w:r w:rsidRPr="00C31CA4">
              <w:t>2 (2.0%)</w:t>
            </w:r>
          </w:p>
        </w:tc>
        <w:tc>
          <w:tcPr>
            <w:tcW w:w="2327" w:type="dxa"/>
            <w:vAlign w:val="center"/>
          </w:tcPr>
          <w:p w14:paraId="2041C378" w14:textId="77777777" w:rsidR="00CC3B14" w:rsidRPr="00C31CA4" w:rsidRDefault="00CC3B14" w:rsidP="00CC3B14">
            <w:pPr>
              <w:pStyle w:val="TableText0"/>
              <w:jc w:val="center"/>
            </w:pPr>
            <w:r w:rsidRPr="00C31CA4">
              <w:t>8 (8.3%)</w:t>
            </w:r>
          </w:p>
          <w:p w14:paraId="15F49489" w14:textId="77777777" w:rsidR="00CC3B14" w:rsidRPr="00C31CA4" w:rsidRDefault="00CC3B14" w:rsidP="00CC3B14">
            <w:pPr>
              <w:pStyle w:val="TableText0"/>
              <w:jc w:val="center"/>
            </w:pPr>
            <w:r w:rsidRPr="00C31CA4">
              <w:t>4 (4.2%)</w:t>
            </w:r>
          </w:p>
          <w:p w14:paraId="62F2F940" w14:textId="77777777" w:rsidR="00CC3B14" w:rsidRPr="00C31CA4" w:rsidRDefault="00CC3B14" w:rsidP="00CC3B14">
            <w:pPr>
              <w:pStyle w:val="TableText0"/>
              <w:jc w:val="center"/>
            </w:pPr>
            <w:r w:rsidRPr="00C31CA4">
              <w:t>0</w:t>
            </w:r>
          </w:p>
        </w:tc>
        <w:tc>
          <w:tcPr>
            <w:tcW w:w="1878" w:type="dxa"/>
          </w:tcPr>
          <w:p w14:paraId="019C0EE1" w14:textId="77777777" w:rsidR="00CC3B14" w:rsidRPr="00C31CA4" w:rsidRDefault="00CC3B14" w:rsidP="00CC3B14">
            <w:pPr>
              <w:pStyle w:val="TableText0"/>
              <w:jc w:val="center"/>
            </w:pPr>
            <w:r w:rsidRPr="00C31CA4">
              <w:t>HR 0.57 (0.24, 1.37)</w:t>
            </w:r>
          </w:p>
          <w:p w14:paraId="5AA2AF0A" w14:textId="77777777" w:rsidR="00CC3B14" w:rsidRPr="00C31CA4" w:rsidRDefault="00CC3B14" w:rsidP="00CC3B14">
            <w:pPr>
              <w:pStyle w:val="TableText0"/>
              <w:jc w:val="center"/>
            </w:pPr>
            <w:r w:rsidRPr="00C31CA4">
              <w:t>NR</w:t>
            </w:r>
          </w:p>
          <w:p w14:paraId="1E50EFE8" w14:textId="04ADF94A" w:rsidR="00CC3B14" w:rsidRPr="00C31CA4" w:rsidRDefault="00CC3B14" w:rsidP="00CC3B14">
            <w:pPr>
              <w:pStyle w:val="TableText0"/>
              <w:jc w:val="center"/>
            </w:pPr>
            <w:r w:rsidRPr="00C31CA4">
              <w:t>NR</w:t>
            </w:r>
          </w:p>
        </w:tc>
      </w:tr>
      <w:tr w:rsidR="00CC3B14" w:rsidRPr="00C31CA4" w14:paraId="5E18C09C" w14:textId="77777777" w:rsidTr="00CC3B14">
        <w:tc>
          <w:tcPr>
            <w:tcW w:w="3129" w:type="dxa"/>
          </w:tcPr>
          <w:p w14:paraId="2EDE253E" w14:textId="16058E85" w:rsidR="00CC3B14" w:rsidRPr="00C31CA4" w:rsidRDefault="00CC3B14" w:rsidP="00CC3B14">
            <w:pPr>
              <w:pStyle w:val="TableText0"/>
              <w:tabs>
                <w:tab w:val="left" w:pos="102"/>
              </w:tabs>
              <w:ind w:left="102" w:hanging="102"/>
            </w:pPr>
            <w:r w:rsidRPr="00C31CA4">
              <w:tab/>
              <w:t xml:space="preserve">Patients with </w:t>
            </w:r>
            <w:r w:rsidRPr="00C31CA4">
              <w:rPr>
                <w:b/>
                <w:bCs w:val="0"/>
              </w:rPr>
              <w:t>no</w:t>
            </w:r>
            <w:r w:rsidRPr="00C31CA4">
              <w:t xml:space="preserve"> infections Grade 3 or higher</w:t>
            </w:r>
          </w:p>
        </w:tc>
        <w:tc>
          <w:tcPr>
            <w:tcW w:w="1683" w:type="dxa"/>
            <w:vAlign w:val="center"/>
          </w:tcPr>
          <w:p w14:paraId="1B478A5A" w14:textId="77777777" w:rsidR="00CC3B14" w:rsidRPr="00C31CA4" w:rsidRDefault="00CC3B14" w:rsidP="00CC3B14">
            <w:pPr>
              <w:pStyle w:val="TableText0"/>
              <w:jc w:val="center"/>
            </w:pPr>
            <w:r w:rsidRPr="00C31CA4">
              <w:t>72 (72.0%)</w:t>
            </w:r>
          </w:p>
        </w:tc>
        <w:tc>
          <w:tcPr>
            <w:tcW w:w="2327" w:type="dxa"/>
            <w:vAlign w:val="center"/>
          </w:tcPr>
          <w:p w14:paraId="22935578" w14:textId="77777777" w:rsidR="00CC3B14" w:rsidRPr="00C31CA4" w:rsidRDefault="00CC3B14" w:rsidP="00CC3B14">
            <w:pPr>
              <w:pStyle w:val="TableText0"/>
              <w:jc w:val="center"/>
            </w:pPr>
            <w:r w:rsidRPr="00C31CA4">
              <w:t>73 (76.0%)</w:t>
            </w:r>
          </w:p>
        </w:tc>
        <w:tc>
          <w:tcPr>
            <w:tcW w:w="1878" w:type="dxa"/>
            <w:vAlign w:val="center"/>
          </w:tcPr>
          <w:p w14:paraId="0942ADF8" w14:textId="77777777" w:rsidR="00CC3B14" w:rsidRPr="00C31CA4" w:rsidRDefault="00CC3B14" w:rsidP="00CC3B14">
            <w:pPr>
              <w:pStyle w:val="TableText0"/>
              <w:jc w:val="center"/>
            </w:pPr>
            <w:r w:rsidRPr="00C31CA4">
              <w:t>NR</w:t>
            </w:r>
          </w:p>
        </w:tc>
      </w:tr>
      <w:tr w:rsidR="00CC3B14" w:rsidRPr="00C31CA4" w14:paraId="1D59A186" w14:textId="77777777" w:rsidTr="00CC3B14">
        <w:tc>
          <w:tcPr>
            <w:tcW w:w="3129" w:type="dxa"/>
          </w:tcPr>
          <w:p w14:paraId="76A1FF61" w14:textId="68428705" w:rsidR="00CC3B14" w:rsidRPr="00C31CA4" w:rsidRDefault="00CC3B14" w:rsidP="00CC3B14">
            <w:pPr>
              <w:pStyle w:val="TableText0"/>
              <w:tabs>
                <w:tab w:val="left" w:pos="102"/>
              </w:tabs>
              <w:ind w:left="102" w:hanging="102"/>
            </w:pPr>
            <w:r w:rsidRPr="00C31CA4">
              <w:tab/>
              <w:t>Incidence rate of infections Grade 3 or higher, n/person year</w:t>
            </w:r>
          </w:p>
        </w:tc>
        <w:tc>
          <w:tcPr>
            <w:tcW w:w="1683" w:type="dxa"/>
            <w:vAlign w:val="center"/>
          </w:tcPr>
          <w:p w14:paraId="3FCF1CDB" w14:textId="77777777" w:rsidR="00CC3B14" w:rsidRPr="00C31CA4" w:rsidRDefault="00CC3B14" w:rsidP="00CC3B14">
            <w:pPr>
              <w:pStyle w:val="TableText0"/>
              <w:jc w:val="center"/>
            </w:pPr>
            <w:r w:rsidRPr="00C31CA4">
              <w:t>1.000</w:t>
            </w:r>
          </w:p>
        </w:tc>
        <w:tc>
          <w:tcPr>
            <w:tcW w:w="2327" w:type="dxa"/>
            <w:vAlign w:val="center"/>
          </w:tcPr>
          <w:p w14:paraId="0792D7B3" w14:textId="77777777" w:rsidR="00CC3B14" w:rsidRPr="00C31CA4" w:rsidRDefault="00CC3B14" w:rsidP="00CC3B14">
            <w:pPr>
              <w:pStyle w:val="TableText0"/>
              <w:jc w:val="center"/>
            </w:pPr>
            <w:r w:rsidRPr="00C31CA4">
              <w:t>0.969</w:t>
            </w:r>
          </w:p>
        </w:tc>
        <w:tc>
          <w:tcPr>
            <w:tcW w:w="1878" w:type="dxa"/>
            <w:vAlign w:val="center"/>
          </w:tcPr>
          <w:p w14:paraId="2769B536" w14:textId="77777777" w:rsidR="00CC3B14" w:rsidRPr="00C31CA4" w:rsidRDefault="00CC3B14" w:rsidP="00CC3B14">
            <w:pPr>
              <w:pStyle w:val="TableText0"/>
              <w:jc w:val="center"/>
            </w:pPr>
            <w:r w:rsidRPr="00C31CA4">
              <w:t>RR 0.97 (0.63, 1.49)</w:t>
            </w:r>
          </w:p>
        </w:tc>
      </w:tr>
      <w:tr w:rsidR="00CC3B14" w:rsidRPr="00C31CA4" w14:paraId="7EB30676" w14:textId="77777777" w:rsidTr="00CC3B14">
        <w:tc>
          <w:tcPr>
            <w:tcW w:w="3129" w:type="dxa"/>
          </w:tcPr>
          <w:p w14:paraId="12966168" w14:textId="5C894A30" w:rsidR="00CC3B14" w:rsidRPr="00C31CA4" w:rsidRDefault="00CC3B14" w:rsidP="00CC3B14">
            <w:pPr>
              <w:pStyle w:val="TableText0"/>
              <w:tabs>
                <w:tab w:val="left" w:pos="102"/>
              </w:tabs>
            </w:pPr>
            <w:r w:rsidRPr="00C31CA4">
              <w:tab/>
              <w:t xml:space="preserve">HSCT </w:t>
            </w:r>
          </w:p>
        </w:tc>
        <w:tc>
          <w:tcPr>
            <w:tcW w:w="1683" w:type="dxa"/>
            <w:vAlign w:val="center"/>
          </w:tcPr>
          <w:p w14:paraId="2E239073" w14:textId="77777777" w:rsidR="00CC3B14" w:rsidRPr="00C31CA4" w:rsidRDefault="00CC3B14" w:rsidP="00CC3B14">
            <w:pPr>
              <w:pStyle w:val="TableText0"/>
              <w:jc w:val="center"/>
            </w:pPr>
            <w:r w:rsidRPr="00C31CA4">
              <w:t>12 (11.9%)</w:t>
            </w:r>
          </w:p>
        </w:tc>
        <w:tc>
          <w:tcPr>
            <w:tcW w:w="2327" w:type="dxa"/>
            <w:vAlign w:val="center"/>
          </w:tcPr>
          <w:p w14:paraId="25695210" w14:textId="77777777" w:rsidR="00CC3B14" w:rsidRPr="00C31CA4" w:rsidRDefault="00CC3B14" w:rsidP="00CC3B14">
            <w:pPr>
              <w:pStyle w:val="TableText0"/>
              <w:jc w:val="center"/>
            </w:pPr>
            <w:r w:rsidRPr="00C31CA4">
              <w:t>11 (11.5%)</w:t>
            </w:r>
          </w:p>
        </w:tc>
        <w:tc>
          <w:tcPr>
            <w:tcW w:w="1878" w:type="dxa"/>
            <w:vAlign w:val="center"/>
          </w:tcPr>
          <w:p w14:paraId="547DF1D3" w14:textId="77777777" w:rsidR="00CC3B14" w:rsidRPr="00C31CA4" w:rsidRDefault="00CC3B14" w:rsidP="00CC3B14">
            <w:pPr>
              <w:pStyle w:val="TableText0"/>
              <w:jc w:val="center"/>
            </w:pPr>
            <w:r w:rsidRPr="00C31CA4">
              <w:t>NR</w:t>
            </w:r>
          </w:p>
        </w:tc>
      </w:tr>
      <w:tr w:rsidR="00CC3B14" w:rsidRPr="00C31CA4" w14:paraId="0B4248A5" w14:textId="77777777" w:rsidTr="00920A53">
        <w:tc>
          <w:tcPr>
            <w:tcW w:w="3129" w:type="dxa"/>
            <w:tcBorders>
              <w:bottom w:val="double" w:sz="4" w:space="0" w:color="auto"/>
            </w:tcBorders>
          </w:tcPr>
          <w:p w14:paraId="350BE2C4" w14:textId="6E393937" w:rsidR="00CC3B14" w:rsidRPr="00C31CA4" w:rsidRDefault="00CC3B14" w:rsidP="00CC3B14">
            <w:pPr>
              <w:pStyle w:val="TableText0"/>
              <w:tabs>
                <w:tab w:val="left" w:pos="102"/>
              </w:tabs>
            </w:pPr>
            <w:r w:rsidRPr="00C31CA4">
              <w:tab/>
              <w:t>HSCT in patients with vsAA</w:t>
            </w:r>
          </w:p>
        </w:tc>
        <w:tc>
          <w:tcPr>
            <w:tcW w:w="1683" w:type="dxa"/>
            <w:tcBorders>
              <w:bottom w:val="double" w:sz="4" w:space="0" w:color="auto"/>
            </w:tcBorders>
            <w:vAlign w:val="center"/>
          </w:tcPr>
          <w:p w14:paraId="24074376" w14:textId="77777777" w:rsidR="00CC3B14" w:rsidRPr="00C31CA4" w:rsidRDefault="00CC3B14" w:rsidP="00CC3B14">
            <w:pPr>
              <w:pStyle w:val="TableText0"/>
              <w:jc w:val="center"/>
            </w:pPr>
            <w:r w:rsidRPr="00C31CA4">
              <w:t>8/34 (23.5%)</w:t>
            </w:r>
          </w:p>
        </w:tc>
        <w:tc>
          <w:tcPr>
            <w:tcW w:w="2327" w:type="dxa"/>
            <w:tcBorders>
              <w:bottom w:val="double" w:sz="4" w:space="0" w:color="auto"/>
            </w:tcBorders>
            <w:vAlign w:val="center"/>
          </w:tcPr>
          <w:p w14:paraId="45B3B991" w14:textId="77777777" w:rsidR="00CC3B14" w:rsidRPr="00C31CA4" w:rsidRDefault="00CC3B14" w:rsidP="00CC3B14">
            <w:pPr>
              <w:pStyle w:val="TableText0"/>
              <w:jc w:val="center"/>
            </w:pPr>
            <w:r w:rsidRPr="00C31CA4">
              <w:t>8/34 (23.5%)</w:t>
            </w:r>
          </w:p>
        </w:tc>
        <w:tc>
          <w:tcPr>
            <w:tcW w:w="1878" w:type="dxa"/>
            <w:tcBorders>
              <w:bottom w:val="double" w:sz="4" w:space="0" w:color="auto"/>
            </w:tcBorders>
            <w:vAlign w:val="center"/>
          </w:tcPr>
          <w:p w14:paraId="1AE2D641" w14:textId="77777777" w:rsidR="00CC3B14" w:rsidRPr="00C31CA4" w:rsidRDefault="00CC3B14" w:rsidP="00CC3B14">
            <w:pPr>
              <w:pStyle w:val="TableText0"/>
              <w:jc w:val="center"/>
            </w:pPr>
            <w:r w:rsidRPr="00C31CA4">
              <w:t>NR</w:t>
            </w:r>
          </w:p>
        </w:tc>
      </w:tr>
      <w:tr w:rsidR="00CC3B14" w:rsidRPr="00C31CA4" w14:paraId="72A22283" w14:textId="77777777" w:rsidTr="00920A53">
        <w:tc>
          <w:tcPr>
            <w:tcW w:w="3129" w:type="dxa"/>
            <w:tcBorders>
              <w:top w:val="double" w:sz="4" w:space="0" w:color="auto"/>
            </w:tcBorders>
            <w:vAlign w:val="center"/>
          </w:tcPr>
          <w:p w14:paraId="071BA254" w14:textId="77777777" w:rsidR="00EE6110" w:rsidRPr="00C31CA4" w:rsidRDefault="00CC3B14" w:rsidP="00CC3B14">
            <w:pPr>
              <w:pStyle w:val="TableText0"/>
              <w:tabs>
                <w:tab w:val="left" w:pos="102"/>
              </w:tabs>
              <w:rPr>
                <w:b/>
                <w:bCs w:val="0"/>
              </w:rPr>
            </w:pPr>
            <w:r w:rsidRPr="00C31CA4">
              <w:rPr>
                <w:b/>
                <w:bCs w:val="0"/>
              </w:rPr>
              <w:t>Goronkova 2023</w:t>
            </w:r>
            <w:r w:rsidR="00920A53" w:rsidRPr="00C31CA4">
              <w:rPr>
                <w:b/>
                <w:bCs w:val="0"/>
              </w:rPr>
              <w:t xml:space="preserve"> </w:t>
            </w:r>
          </w:p>
          <w:p w14:paraId="0BDDF432" w14:textId="6C154597" w:rsidR="00CC3B14" w:rsidRPr="00C31CA4" w:rsidRDefault="00920A53" w:rsidP="00CC3B14">
            <w:pPr>
              <w:pStyle w:val="TableText0"/>
              <w:tabs>
                <w:tab w:val="left" w:pos="102"/>
              </w:tabs>
            </w:pPr>
            <w:r w:rsidRPr="00C31CA4">
              <w:rPr>
                <w:b/>
                <w:bCs w:val="0"/>
              </w:rPr>
              <w:t>n (%)</w:t>
            </w:r>
          </w:p>
        </w:tc>
        <w:tc>
          <w:tcPr>
            <w:tcW w:w="1683" w:type="dxa"/>
            <w:tcBorders>
              <w:top w:val="double" w:sz="4" w:space="0" w:color="auto"/>
            </w:tcBorders>
          </w:tcPr>
          <w:p w14:paraId="5CEDE24E" w14:textId="77777777" w:rsidR="00CC3B14" w:rsidRPr="00C31CA4" w:rsidRDefault="00CC3B14" w:rsidP="00CC3B14">
            <w:pPr>
              <w:pStyle w:val="TableText0"/>
              <w:jc w:val="center"/>
              <w:rPr>
                <w:b/>
                <w:bCs w:val="0"/>
              </w:rPr>
            </w:pPr>
            <w:r w:rsidRPr="00C31CA4">
              <w:rPr>
                <w:b/>
                <w:bCs w:val="0"/>
              </w:rPr>
              <w:t>hATG + CsA</w:t>
            </w:r>
          </w:p>
          <w:p w14:paraId="2D0FA764" w14:textId="77777777" w:rsidR="00CC3B14" w:rsidRPr="00C31CA4" w:rsidRDefault="00CC3B14" w:rsidP="00CC3B14">
            <w:pPr>
              <w:pStyle w:val="TableText0"/>
              <w:jc w:val="center"/>
              <w:rPr>
                <w:b/>
                <w:bCs w:val="0"/>
              </w:rPr>
            </w:pPr>
            <w:r w:rsidRPr="00C31CA4">
              <w:rPr>
                <w:b/>
                <w:bCs w:val="0"/>
              </w:rPr>
              <w:t>N = 49</w:t>
            </w:r>
          </w:p>
        </w:tc>
        <w:tc>
          <w:tcPr>
            <w:tcW w:w="2327" w:type="dxa"/>
            <w:tcBorders>
              <w:top w:val="double" w:sz="4" w:space="0" w:color="auto"/>
            </w:tcBorders>
          </w:tcPr>
          <w:p w14:paraId="4C956272" w14:textId="77777777" w:rsidR="00CC3B14" w:rsidRPr="00C31CA4" w:rsidRDefault="00CC3B14" w:rsidP="00CC3B14">
            <w:pPr>
              <w:pStyle w:val="TableText0"/>
              <w:jc w:val="center"/>
              <w:rPr>
                <w:b/>
                <w:bCs w:val="0"/>
              </w:rPr>
            </w:pPr>
            <w:r w:rsidRPr="00C31CA4">
              <w:rPr>
                <w:b/>
                <w:bCs w:val="0"/>
              </w:rPr>
              <w:t>hATG + CsA + eltrombopag</w:t>
            </w:r>
          </w:p>
          <w:p w14:paraId="19EE9552" w14:textId="77777777" w:rsidR="00CC3B14" w:rsidRPr="00C31CA4" w:rsidRDefault="00CC3B14" w:rsidP="00CC3B14">
            <w:pPr>
              <w:pStyle w:val="TableText0"/>
              <w:jc w:val="center"/>
              <w:rPr>
                <w:b/>
                <w:bCs w:val="0"/>
              </w:rPr>
            </w:pPr>
            <w:r w:rsidRPr="00C31CA4">
              <w:rPr>
                <w:b/>
                <w:bCs w:val="0"/>
              </w:rPr>
              <w:t>N = 49</w:t>
            </w:r>
          </w:p>
        </w:tc>
        <w:tc>
          <w:tcPr>
            <w:tcW w:w="1878" w:type="dxa"/>
            <w:tcBorders>
              <w:top w:val="double" w:sz="4" w:space="0" w:color="auto"/>
            </w:tcBorders>
          </w:tcPr>
          <w:p w14:paraId="70E31F76" w14:textId="77777777" w:rsidR="00CC3B14" w:rsidRPr="00C31CA4" w:rsidRDefault="00CC3B14" w:rsidP="00CC3B14">
            <w:pPr>
              <w:pStyle w:val="TableText0"/>
              <w:jc w:val="center"/>
              <w:rPr>
                <w:b/>
                <w:bCs w:val="0"/>
              </w:rPr>
            </w:pPr>
            <w:r w:rsidRPr="00C31CA4">
              <w:rPr>
                <w:b/>
                <w:bCs w:val="0"/>
              </w:rPr>
              <w:t xml:space="preserve">Comparison </w:t>
            </w:r>
          </w:p>
          <w:p w14:paraId="543AE64E" w14:textId="77777777" w:rsidR="00CC3B14" w:rsidRPr="00C31CA4" w:rsidRDefault="00CC3B14" w:rsidP="00CC3B14">
            <w:pPr>
              <w:pStyle w:val="TableText0"/>
              <w:jc w:val="center"/>
            </w:pPr>
            <w:r w:rsidRPr="00C31CA4">
              <w:rPr>
                <w:b/>
                <w:bCs w:val="0"/>
              </w:rPr>
              <w:t>(95% CI)</w:t>
            </w:r>
          </w:p>
        </w:tc>
      </w:tr>
      <w:tr w:rsidR="00CC3B14" w:rsidRPr="00C31CA4" w14:paraId="69E373C0" w14:textId="77777777" w:rsidTr="00CC3B14">
        <w:tc>
          <w:tcPr>
            <w:tcW w:w="3129" w:type="dxa"/>
          </w:tcPr>
          <w:p w14:paraId="5112F62C" w14:textId="244CFBDF" w:rsidR="00CC3B14" w:rsidRPr="00C31CA4" w:rsidRDefault="00CC3B14" w:rsidP="00CC3B14">
            <w:pPr>
              <w:pStyle w:val="TableText0"/>
              <w:tabs>
                <w:tab w:val="left" w:pos="102"/>
              </w:tabs>
              <w:ind w:left="102" w:hanging="102"/>
            </w:pPr>
            <w:r w:rsidRPr="00C31CA4">
              <w:tab/>
              <w:t xml:space="preserve">Complete + partial response at 4 months </w:t>
            </w:r>
          </w:p>
        </w:tc>
        <w:tc>
          <w:tcPr>
            <w:tcW w:w="1683" w:type="dxa"/>
            <w:vAlign w:val="center"/>
          </w:tcPr>
          <w:p w14:paraId="5F7AD61E" w14:textId="77777777" w:rsidR="00CC3B14" w:rsidRPr="00C31CA4" w:rsidRDefault="00CC3B14" w:rsidP="00CC3B14">
            <w:pPr>
              <w:pStyle w:val="TableText0"/>
              <w:jc w:val="center"/>
            </w:pPr>
            <w:r w:rsidRPr="00C31CA4">
              <w:t>26 (53.1%)</w:t>
            </w:r>
          </w:p>
        </w:tc>
        <w:tc>
          <w:tcPr>
            <w:tcW w:w="2327" w:type="dxa"/>
            <w:vAlign w:val="center"/>
          </w:tcPr>
          <w:p w14:paraId="06751877" w14:textId="77777777" w:rsidR="00CC3B14" w:rsidRPr="00C31CA4" w:rsidRDefault="00CC3B14" w:rsidP="00CC3B14">
            <w:pPr>
              <w:pStyle w:val="TableText0"/>
              <w:jc w:val="center"/>
            </w:pPr>
            <w:r w:rsidRPr="00C31CA4">
              <w:t>32 (65.3%)</w:t>
            </w:r>
          </w:p>
        </w:tc>
        <w:tc>
          <w:tcPr>
            <w:tcW w:w="1878" w:type="dxa"/>
            <w:vAlign w:val="center"/>
          </w:tcPr>
          <w:p w14:paraId="55383F5B" w14:textId="458B2E1A" w:rsidR="00CC3B14" w:rsidRPr="00C31CA4" w:rsidRDefault="00CC3B14" w:rsidP="00CC3B14">
            <w:pPr>
              <w:pStyle w:val="TableText0"/>
              <w:jc w:val="center"/>
            </w:pPr>
            <w:r w:rsidRPr="00C31CA4">
              <w:t>p = 0.218</w:t>
            </w:r>
            <w:r w:rsidRPr="00C31CA4">
              <w:rPr>
                <w:vertAlign w:val="superscript"/>
              </w:rPr>
              <w:t>b</w:t>
            </w:r>
          </w:p>
        </w:tc>
      </w:tr>
      <w:tr w:rsidR="00CC3B14" w:rsidRPr="00C31CA4" w14:paraId="6577E724" w14:textId="77777777" w:rsidTr="00CC3B14">
        <w:tc>
          <w:tcPr>
            <w:tcW w:w="3129" w:type="dxa"/>
          </w:tcPr>
          <w:p w14:paraId="55DC89F4" w14:textId="6F5397B9" w:rsidR="00CC3B14" w:rsidRPr="00C31CA4" w:rsidRDefault="00CC3B14" w:rsidP="00CC3B14">
            <w:pPr>
              <w:pStyle w:val="TableText0"/>
              <w:tabs>
                <w:tab w:val="left" w:pos="102"/>
              </w:tabs>
            </w:pPr>
            <w:r w:rsidRPr="00C31CA4">
              <w:tab/>
              <w:t>Complete response at 4 months</w:t>
            </w:r>
          </w:p>
        </w:tc>
        <w:tc>
          <w:tcPr>
            <w:tcW w:w="1683" w:type="dxa"/>
            <w:vAlign w:val="center"/>
          </w:tcPr>
          <w:p w14:paraId="08A5437D" w14:textId="77777777" w:rsidR="00CC3B14" w:rsidRPr="00C31CA4" w:rsidRDefault="00CC3B14" w:rsidP="00CC3B14">
            <w:pPr>
              <w:pStyle w:val="TableText0"/>
              <w:jc w:val="center"/>
            </w:pPr>
            <w:r w:rsidRPr="00C31CA4">
              <w:t>6 (12.2%)</w:t>
            </w:r>
          </w:p>
        </w:tc>
        <w:tc>
          <w:tcPr>
            <w:tcW w:w="2327" w:type="dxa"/>
            <w:vAlign w:val="center"/>
          </w:tcPr>
          <w:p w14:paraId="471AD0D3" w14:textId="77777777" w:rsidR="00CC3B14" w:rsidRPr="00C31CA4" w:rsidRDefault="00CC3B14" w:rsidP="00CC3B14">
            <w:pPr>
              <w:pStyle w:val="TableText0"/>
              <w:jc w:val="center"/>
            </w:pPr>
            <w:r w:rsidRPr="00C31CA4">
              <w:t>15 (30.6%)</w:t>
            </w:r>
          </w:p>
        </w:tc>
        <w:tc>
          <w:tcPr>
            <w:tcW w:w="1878" w:type="dxa"/>
            <w:vAlign w:val="center"/>
          </w:tcPr>
          <w:p w14:paraId="6ACA1441" w14:textId="7CCBB9E1" w:rsidR="00CC3B14" w:rsidRPr="00C31CA4" w:rsidRDefault="00CC3B14" w:rsidP="00CC3B14">
            <w:pPr>
              <w:pStyle w:val="TableText0"/>
              <w:jc w:val="center"/>
              <w:rPr>
                <w:b/>
                <w:bCs w:val="0"/>
              </w:rPr>
            </w:pPr>
            <w:r w:rsidRPr="00C31CA4">
              <w:rPr>
                <w:b/>
                <w:bCs w:val="0"/>
              </w:rPr>
              <w:t>p = 0.027</w:t>
            </w:r>
            <w:r w:rsidRPr="00C31CA4">
              <w:rPr>
                <w:b/>
                <w:bCs w:val="0"/>
                <w:vertAlign w:val="superscript"/>
              </w:rPr>
              <w:t>b</w:t>
            </w:r>
          </w:p>
        </w:tc>
      </w:tr>
      <w:tr w:rsidR="00CC3B14" w:rsidRPr="00C31CA4" w14:paraId="1444EC2C" w14:textId="77777777" w:rsidTr="00CC3B14">
        <w:tc>
          <w:tcPr>
            <w:tcW w:w="3129" w:type="dxa"/>
          </w:tcPr>
          <w:p w14:paraId="43EB2EB6" w14:textId="4CD92D8C" w:rsidR="00CC3B14" w:rsidRPr="00C31CA4" w:rsidRDefault="00CC3B14" w:rsidP="00CC3B14">
            <w:pPr>
              <w:pStyle w:val="TableText0"/>
              <w:tabs>
                <w:tab w:val="left" w:pos="102"/>
              </w:tabs>
            </w:pPr>
            <w:r w:rsidRPr="00C31CA4">
              <w:tab/>
              <w:t>Overall survival at 3 years</w:t>
            </w:r>
          </w:p>
        </w:tc>
        <w:tc>
          <w:tcPr>
            <w:tcW w:w="1683" w:type="dxa"/>
            <w:vAlign w:val="center"/>
          </w:tcPr>
          <w:p w14:paraId="306BE5C4" w14:textId="77777777" w:rsidR="00CC3B14" w:rsidRPr="00C31CA4" w:rsidRDefault="00CC3B14" w:rsidP="00CC3B14">
            <w:pPr>
              <w:pStyle w:val="TableText0"/>
              <w:jc w:val="center"/>
            </w:pPr>
            <w:r w:rsidRPr="00C31CA4">
              <w:t>91%</w:t>
            </w:r>
          </w:p>
        </w:tc>
        <w:tc>
          <w:tcPr>
            <w:tcW w:w="2327" w:type="dxa"/>
            <w:vAlign w:val="center"/>
          </w:tcPr>
          <w:p w14:paraId="365A6E64" w14:textId="77777777" w:rsidR="00CC3B14" w:rsidRPr="00C31CA4" w:rsidRDefault="00CC3B14" w:rsidP="00CC3B14">
            <w:pPr>
              <w:pStyle w:val="TableText0"/>
              <w:jc w:val="center"/>
            </w:pPr>
            <w:r w:rsidRPr="00C31CA4">
              <w:t>89%</w:t>
            </w:r>
          </w:p>
        </w:tc>
        <w:tc>
          <w:tcPr>
            <w:tcW w:w="1878" w:type="dxa"/>
            <w:vAlign w:val="center"/>
          </w:tcPr>
          <w:p w14:paraId="4649B22B" w14:textId="52D462A1" w:rsidR="00CC3B14" w:rsidRPr="00C31CA4" w:rsidRDefault="00CC3B14" w:rsidP="00CC3B14">
            <w:pPr>
              <w:pStyle w:val="TableText0"/>
              <w:jc w:val="center"/>
            </w:pPr>
            <w:r w:rsidRPr="00C31CA4">
              <w:t>p = 0.673</w:t>
            </w:r>
            <w:r w:rsidRPr="00C31CA4">
              <w:rPr>
                <w:vertAlign w:val="superscript"/>
              </w:rPr>
              <w:t>b</w:t>
            </w:r>
          </w:p>
        </w:tc>
      </w:tr>
      <w:tr w:rsidR="00CC3B14" w:rsidRPr="00C31CA4" w14:paraId="002172DA" w14:textId="77777777" w:rsidTr="00CC3B14">
        <w:tc>
          <w:tcPr>
            <w:tcW w:w="3129" w:type="dxa"/>
          </w:tcPr>
          <w:p w14:paraId="33251194" w14:textId="3E366037" w:rsidR="00CC3B14" w:rsidRPr="00C31CA4" w:rsidRDefault="00CC3B14" w:rsidP="00CC3B14">
            <w:pPr>
              <w:pStyle w:val="TableText0"/>
              <w:tabs>
                <w:tab w:val="left" w:pos="102"/>
              </w:tabs>
            </w:pPr>
            <w:r w:rsidRPr="00C31CA4">
              <w:tab/>
              <w:t>Relapse after response</w:t>
            </w:r>
          </w:p>
        </w:tc>
        <w:tc>
          <w:tcPr>
            <w:tcW w:w="1683" w:type="dxa"/>
            <w:vAlign w:val="center"/>
          </w:tcPr>
          <w:p w14:paraId="30201A15" w14:textId="77777777" w:rsidR="00CC3B14" w:rsidRPr="00C31CA4" w:rsidRDefault="00CC3B14" w:rsidP="00CC3B14">
            <w:pPr>
              <w:pStyle w:val="TableText0"/>
              <w:jc w:val="center"/>
            </w:pPr>
            <w:r w:rsidRPr="00C31CA4">
              <w:t>5/26 (19.2%)</w:t>
            </w:r>
          </w:p>
        </w:tc>
        <w:tc>
          <w:tcPr>
            <w:tcW w:w="2327" w:type="dxa"/>
            <w:vAlign w:val="center"/>
          </w:tcPr>
          <w:p w14:paraId="5A955DC3" w14:textId="77777777" w:rsidR="00CC3B14" w:rsidRPr="00C31CA4" w:rsidRDefault="00CC3B14" w:rsidP="00CC3B14">
            <w:pPr>
              <w:pStyle w:val="TableText0"/>
              <w:jc w:val="center"/>
            </w:pPr>
            <w:r w:rsidRPr="00C31CA4">
              <w:t>8/32 (25.0%)</w:t>
            </w:r>
          </w:p>
        </w:tc>
        <w:tc>
          <w:tcPr>
            <w:tcW w:w="1878" w:type="dxa"/>
            <w:vAlign w:val="center"/>
          </w:tcPr>
          <w:p w14:paraId="2F3ADC48" w14:textId="6A3A6F9B" w:rsidR="00CC3B14" w:rsidRPr="00C31CA4" w:rsidRDefault="00CC3B14" w:rsidP="00CC3B14">
            <w:pPr>
              <w:pStyle w:val="TableText0"/>
              <w:jc w:val="center"/>
            </w:pPr>
            <w:r w:rsidRPr="00C31CA4">
              <w:t>p = 0.590</w:t>
            </w:r>
            <w:r w:rsidRPr="00C31CA4">
              <w:rPr>
                <w:vertAlign w:val="superscript"/>
              </w:rPr>
              <w:t>b</w:t>
            </w:r>
          </w:p>
        </w:tc>
      </w:tr>
    </w:tbl>
    <w:p w14:paraId="29AF4037" w14:textId="4F5723D0" w:rsidR="00B25538" w:rsidRPr="00C31CA4" w:rsidRDefault="00B25538" w:rsidP="00B25538">
      <w:pPr>
        <w:pStyle w:val="TableFooter"/>
      </w:pPr>
      <w:r w:rsidRPr="00C31CA4">
        <w:t xml:space="preserve">Source: </w:t>
      </w:r>
      <w:r w:rsidR="00525CE7" w:rsidRPr="00C31CA4">
        <w:t>C</w:t>
      </w:r>
      <w:r w:rsidRPr="00C31CA4">
        <w:t xml:space="preserve">onstructed during the evaluation from published reports. </w:t>
      </w:r>
    </w:p>
    <w:p w14:paraId="433F3DBF" w14:textId="68854C8C" w:rsidR="00B25538" w:rsidRPr="00C31CA4" w:rsidRDefault="00B25538" w:rsidP="00B25538">
      <w:pPr>
        <w:pStyle w:val="TableFooter"/>
      </w:pPr>
      <w:r w:rsidRPr="00C31CA4">
        <w:t>CsA</w:t>
      </w:r>
      <w:r w:rsidR="000A19E6" w:rsidRPr="00C31CA4">
        <w:t xml:space="preserve"> </w:t>
      </w:r>
      <w:r w:rsidRPr="00C31CA4">
        <w:t xml:space="preserve">= </w:t>
      </w:r>
      <w:r w:rsidR="009A6886">
        <w:t>ciclosporin</w:t>
      </w:r>
      <w:r w:rsidRPr="00C31CA4">
        <w:t xml:space="preserve"> A; hATG = horse </w:t>
      </w:r>
      <w:r w:rsidR="00D803E4" w:rsidRPr="00C31CA4">
        <w:t>a</w:t>
      </w:r>
      <w:r w:rsidRPr="00C31CA4">
        <w:t>nti-</w:t>
      </w:r>
      <w:r w:rsidR="00D803E4" w:rsidRPr="00C31CA4">
        <w:t>t</w:t>
      </w:r>
      <w:r w:rsidRPr="00C31CA4">
        <w:t xml:space="preserve">hymocyte </w:t>
      </w:r>
      <w:r w:rsidR="00D803E4" w:rsidRPr="00C31CA4">
        <w:t>g</w:t>
      </w:r>
      <w:r w:rsidRPr="00C31CA4">
        <w:t xml:space="preserve">lobulin; HR = </w:t>
      </w:r>
      <w:r w:rsidR="00D803E4" w:rsidRPr="00C31CA4">
        <w:t>h</w:t>
      </w:r>
      <w:r w:rsidRPr="00C31CA4">
        <w:t xml:space="preserve">azard </w:t>
      </w:r>
      <w:r w:rsidR="00D803E4" w:rsidRPr="00C31CA4">
        <w:t>r</w:t>
      </w:r>
      <w:r w:rsidRPr="00C31CA4">
        <w:t xml:space="preserve">atio; HSCT = </w:t>
      </w:r>
      <w:r w:rsidR="00D803E4" w:rsidRPr="00C31CA4">
        <w:t>ha</w:t>
      </w:r>
      <w:r w:rsidRPr="00C31CA4">
        <w:t>em</w:t>
      </w:r>
      <w:r w:rsidR="00FA6F94" w:rsidRPr="00C31CA4">
        <w:t>at</w:t>
      </w:r>
      <w:r w:rsidRPr="00C31CA4">
        <w:t xml:space="preserve">opoietic </w:t>
      </w:r>
      <w:r w:rsidR="00D803E4" w:rsidRPr="00C31CA4">
        <w:t>s</w:t>
      </w:r>
      <w:r w:rsidRPr="00C31CA4">
        <w:t xml:space="preserve">tem </w:t>
      </w:r>
      <w:r w:rsidR="00D803E4" w:rsidRPr="00C31CA4">
        <w:t>c</w:t>
      </w:r>
      <w:r w:rsidRPr="00C31CA4">
        <w:t xml:space="preserve">ell </w:t>
      </w:r>
      <w:r w:rsidR="00D803E4" w:rsidRPr="00C31CA4">
        <w:t>t</w:t>
      </w:r>
      <w:r w:rsidRPr="00C31CA4">
        <w:t xml:space="preserve">ransplant; NR = </w:t>
      </w:r>
      <w:r w:rsidR="00D803E4" w:rsidRPr="00C31CA4">
        <w:t>n</w:t>
      </w:r>
      <w:r w:rsidRPr="00C31CA4">
        <w:t xml:space="preserve">ot </w:t>
      </w:r>
      <w:r w:rsidR="00D803E4" w:rsidRPr="00C31CA4">
        <w:t>r</w:t>
      </w:r>
      <w:r w:rsidRPr="00C31CA4">
        <w:t xml:space="preserve">eported; </w:t>
      </w:r>
      <w:r w:rsidR="00054DC2" w:rsidRPr="00C31CA4">
        <w:t>R</w:t>
      </w:r>
      <w:r w:rsidRPr="00C31CA4">
        <w:t xml:space="preserve">R = </w:t>
      </w:r>
      <w:r w:rsidR="00D803E4" w:rsidRPr="00C31CA4">
        <w:t>r</w:t>
      </w:r>
      <w:r w:rsidR="00054DC2" w:rsidRPr="00C31CA4">
        <w:t xml:space="preserve">elative </w:t>
      </w:r>
      <w:r w:rsidR="00D803E4" w:rsidRPr="00C31CA4">
        <w:t>r</w:t>
      </w:r>
      <w:r w:rsidR="00054DC2" w:rsidRPr="00C31CA4">
        <w:t>isk</w:t>
      </w:r>
      <w:r w:rsidRPr="00C31CA4">
        <w:t xml:space="preserve">; sAA = severe </w:t>
      </w:r>
      <w:r w:rsidR="00D803E4" w:rsidRPr="00C31CA4">
        <w:t>a</w:t>
      </w:r>
      <w:r w:rsidRPr="00C31CA4">
        <w:t xml:space="preserve">plastic </w:t>
      </w:r>
      <w:r w:rsidR="00D803E4" w:rsidRPr="00C31CA4">
        <w:t>a</w:t>
      </w:r>
      <w:r w:rsidRPr="00C31CA4">
        <w:t>n</w:t>
      </w:r>
      <w:r w:rsidR="00D803E4" w:rsidRPr="00C31CA4">
        <w:t>a</w:t>
      </w:r>
      <w:r w:rsidRPr="00C31CA4">
        <w:t xml:space="preserve">emia; vsAA = very severe </w:t>
      </w:r>
      <w:r w:rsidR="00D803E4" w:rsidRPr="00C31CA4">
        <w:t>a</w:t>
      </w:r>
      <w:r w:rsidRPr="00C31CA4">
        <w:t xml:space="preserve">plastic </w:t>
      </w:r>
      <w:r w:rsidR="00D803E4" w:rsidRPr="00C31CA4">
        <w:t>a</w:t>
      </w:r>
      <w:r w:rsidRPr="00C31CA4">
        <w:t>n</w:t>
      </w:r>
      <w:r w:rsidR="00D803E4" w:rsidRPr="00C31CA4">
        <w:t>a</w:t>
      </w:r>
      <w:r w:rsidRPr="00C31CA4">
        <w:t>emia</w:t>
      </w:r>
      <w:r w:rsidR="005F3EFA" w:rsidRPr="00C31CA4">
        <w:t>; s</w:t>
      </w:r>
      <w:r w:rsidRPr="00C31CA4">
        <w:t xml:space="preserve">tatistically significant results are in </w:t>
      </w:r>
      <w:r w:rsidRPr="00C31CA4">
        <w:rPr>
          <w:b/>
          <w:bCs/>
        </w:rPr>
        <w:t>bold</w:t>
      </w:r>
      <w:r w:rsidRPr="00C31CA4">
        <w:t xml:space="preserve">. </w:t>
      </w:r>
    </w:p>
    <w:p w14:paraId="6C3091F7" w14:textId="6521782E" w:rsidR="00B25538" w:rsidRPr="00C31CA4" w:rsidRDefault="00C41748" w:rsidP="00964857">
      <w:pPr>
        <w:pStyle w:val="TableFooter"/>
        <w:tabs>
          <w:tab w:val="left" w:pos="142"/>
        </w:tabs>
      </w:pPr>
      <w:r w:rsidRPr="00C31CA4">
        <w:rPr>
          <w:vertAlign w:val="superscript"/>
        </w:rPr>
        <w:t>a</w:t>
      </w:r>
      <w:r w:rsidR="00B25538" w:rsidRPr="00C31CA4">
        <w:t xml:space="preserve"> </w:t>
      </w:r>
      <w:r w:rsidR="00964857" w:rsidRPr="00C31CA4">
        <w:tab/>
      </w:r>
      <w:r w:rsidR="00054DC2" w:rsidRPr="00C31CA4">
        <w:t>A</w:t>
      </w:r>
      <w:r w:rsidR="00B25538" w:rsidRPr="00C31CA4">
        <w:t>djusted for age, severity of aplastic an</w:t>
      </w:r>
      <w:r w:rsidR="005F3EFA" w:rsidRPr="00C31CA4">
        <w:t>a</w:t>
      </w:r>
      <w:r w:rsidR="00B25538" w:rsidRPr="00C31CA4">
        <w:t xml:space="preserve">emia, and study centre. </w:t>
      </w:r>
    </w:p>
    <w:p w14:paraId="1E5C98CF" w14:textId="500C6ED3" w:rsidR="00B25538" w:rsidRPr="00C31CA4" w:rsidRDefault="00C41748" w:rsidP="00964857">
      <w:pPr>
        <w:pStyle w:val="TableFooter"/>
        <w:tabs>
          <w:tab w:val="left" w:pos="142"/>
        </w:tabs>
      </w:pPr>
      <w:r w:rsidRPr="00C31CA4">
        <w:rPr>
          <w:vertAlign w:val="superscript"/>
        </w:rPr>
        <w:t>b</w:t>
      </w:r>
      <w:r w:rsidR="00B25538" w:rsidRPr="00C31CA4">
        <w:t xml:space="preserve"> </w:t>
      </w:r>
      <w:r w:rsidR="00964857" w:rsidRPr="00C31CA4">
        <w:tab/>
      </w:r>
      <w:r w:rsidR="00B25538" w:rsidRPr="00C31CA4">
        <w:t xml:space="preserve">Chi-square test. </w:t>
      </w:r>
    </w:p>
    <w:p w14:paraId="13FE9A9B" w14:textId="080486FF" w:rsidR="00B25538" w:rsidRPr="00C31CA4" w:rsidRDefault="00C41748" w:rsidP="00D92642">
      <w:pPr>
        <w:pStyle w:val="TableFooter"/>
        <w:tabs>
          <w:tab w:val="left" w:pos="142"/>
        </w:tabs>
        <w:spacing w:after="120"/>
      </w:pPr>
      <w:r w:rsidRPr="00C31CA4">
        <w:rPr>
          <w:vertAlign w:val="superscript"/>
        </w:rPr>
        <w:t>c</w:t>
      </w:r>
      <w:r w:rsidR="00B25538" w:rsidRPr="00C31CA4">
        <w:t xml:space="preserve"> </w:t>
      </w:r>
      <w:r w:rsidR="00964857" w:rsidRPr="00C31CA4">
        <w:tab/>
      </w:r>
      <w:r w:rsidR="00B25538" w:rsidRPr="00C31CA4">
        <w:t xml:space="preserve">Kaplan-Meier. </w:t>
      </w:r>
    </w:p>
    <w:p w14:paraId="0879D22F" w14:textId="02C2D1AF" w:rsidR="00922A76" w:rsidRPr="00C31CA4" w:rsidRDefault="00922A76" w:rsidP="00E45E6E">
      <w:pPr>
        <w:keepNext/>
        <w:rPr>
          <w:rFonts w:ascii="Arial Narrow" w:hAnsi="Arial Narrow"/>
          <w:b/>
          <w:bCs/>
          <w:sz w:val="20"/>
          <w:szCs w:val="20"/>
        </w:rPr>
      </w:pPr>
      <w:bookmarkStart w:id="29" w:name="_Ref143461333"/>
      <w:r w:rsidRPr="00C31CA4">
        <w:rPr>
          <w:rFonts w:ascii="Arial Narrow" w:hAnsi="Arial Narrow"/>
          <w:b/>
          <w:bCs/>
          <w:sz w:val="20"/>
          <w:szCs w:val="20"/>
        </w:rPr>
        <w:lastRenderedPageBreak/>
        <w:t xml:space="preserve">Table </w:t>
      </w:r>
      <w:r w:rsidR="00D803E4" w:rsidRPr="00C31CA4">
        <w:rPr>
          <w:rFonts w:ascii="Arial Narrow" w:hAnsi="Arial Narrow"/>
          <w:b/>
          <w:bCs/>
          <w:sz w:val="20"/>
          <w:szCs w:val="20"/>
        </w:rPr>
        <w:fldChar w:fldCharType="begin" w:fldLock="1"/>
      </w:r>
      <w:r w:rsidR="00D803E4" w:rsidRPr="00C31CA4">
        <w:rPr>
          <w:rFonts w:ascii="Arial Narrow" w:hAnsi="Arial Narrow"/>
          <w:b/>
          <w:bCs/>
          <w:sz w:val="20"/>
          <w:szCs w:val="20"/>
        </w:rPr>
        <w:instrText xml:space="preserve"> SEQ Table \* ARABIC </w:instrText>
      </w:r>
      <w:r w:rsidR="00D803E4" w:rsidRPr="00C31CA4">
        <w:rPr>
          <w:rFonts w:ascii="Arial Narrow" w:hAnsi="Arial Narrow"/>
          <w:b/>
          <w:bCs/>
          <w:sz w:val="20"/>
          <w:szCs w:val="20"/>
        </w:rPr>
        <w:fldChar w:fldCharType="separate"/>
      </w:r>
      <w:r w:rsidR="00897FA1">
        <w:rPr>
          <w:rFonts w:ascii="Arial Narrow" w:hAnsi="Arial Narrow"/>
          <w:b/>
          <w:bCs/>
          <w:noProof/>
          <w:sz w:val="20"/>
          <w:szCs w:val="20"/>
        </w:rPr>
        <w:t>7</w:t>
      </w:r>
      <w:r w:rsidR="00D803E4" w:rsidRPr="00C31CA4">
        <w:rPr>
          <w:rFonts w:ascii="Arial Narrow" w:hAnsi="Arial Narrow"/>
          <w:b/>
          <w:bCs/>
          <w:sz w:val="20"/>
          <w:szCs w:val="20"/>
        </w:rPr>
        <w:fldChar w:fldCharType="end"/>
      </w:r>
      <w:bookmarkEnd w:id="29"/>
      <w:r w:rsidRPr="00C31CA4">
        <w:rPr>
          <w:rFonts w:ascii="Arial Narrow" w:hAnsi="Arial Narrow"/>
          <w:b/>
          <w:bCs/>
          <w:sz w:val="20"/>
          <w:szCs w:val="20"/>
        </w:rPr>
        <w:t xml:space="preserve">: Results of </w:t>
      </w:r>
      <w:r w:rsidR="00D803E4" w:rsidRPr="00C31CA4">
        <w:rPr>
          <w:rFonts w:ascii="Arial Narrow" w:hAnsi="Arial Narrow"/>
          <w:b/>
          <w:bCs/>
          <w:sz w:val="20"/>
          <w:szCs w:val="20"/>
        </w:rPr>
        <w:t>cohort s</w:t>
      </w:r>
      <w:r w:rsidRPr="00C31CA4">
        <w:rPr>
          <w:rFonts w:ascii="Arial Narrow" w:hAnsi="Arial Narrow"/>
          <w:b/>
          <w:bCs/>
          <w:sz w:val="20"/>
          <w:szCs w:val="20"/>
        </w:rPr>
        <w:t xml:space="preserve">tudies of </w:t>
      </w:r>
      <w:r w:rsidR="00D803E4" w:rsidRPr="00C31CA4">
        <w:rPr>
          <w:rFonts w:ascii="Arial Narrow" w:hAnsi="Arial Narrow"/>
          <w:b/>
          <w:bCs/>
          <w:sz w:val="20"/>
          <w:szCs w:val="20"/>
        </w:rPr>
        <w:t>e</w:t>
      </w:r>
      <w:r w:rsidRPr="00C31CA4">
        <w:rPr>
          <w:rFonts w:ascii="Arial Narrow" w:hAnsi="Arial Narrow"/>
          <w:b/>
          <w:bCs/>
          <w:sz w:val="20"/>
          <w:szCs w:val="20"/>
        </w:rPr>
        <w:t xml:space="preserve">ltrombopag in </w:t>
      </w:r>
      <w:r w:rsidR="00D803E4" w:rsidRPr="00C31CA4">
        <w:rPr>
          <w:rFonts w:ascii="Arial Narrow" w:hAnsi="Arial Narrow"/>
          <w:b/>
          <w:bCs/>
          <w:sz w:val="20"/>
          <w:szCs w:val="20"/>
        </w:rPr>
        <w:t>f</w:t>
      </w:r>
      <w:r w:rsidRPr="00C31CA4">
        <w:rPr>
          <w:rFonts w:ascii="Arial Narrow" w:hAnsi="Arial Narrow"/>
          <w:b/>
          <w:bCs/>
          <w:sz w:val="20"/>
          <w:szCs w:val="20"/>
        </w:rPr>
        <w:t>irst-</w:t>
      </w:r>
      <w:r w:rsidR="00D803E4" w:rsidRPr="00C31CA4">
        <w:rPr>
          <w:rFonts w:ascii="Arial Narrow" w:hAnsi="Arial Narrow"/>
          <w:b/>
          <w:bCs/>
          <w:sz w:val="20"/>
          <w:szCs w:val="20"/>
        </w:rPr>
        <w:t>l</w:t>
      </w:r>
      <w:r w:rsidRPr="00C31CA4">
        <w:rPr>
          <w:rFonts w:ascii="Arial Narrow" w:hAnsi="Arial Narrow"/>
          <w:b/>
          <w:bCs/>
          <w:sz w:val="20"/>
          <w:szCs w:val="20"/>
        </w:rPr>
        <w:t xml:space="preserve">ine </w:t>
      </w:r>
      <w:r w:rsidR="00D803E4" w:rsidRPr="00C31CA4">
        <w:rPr>
          <w:rFonts w:ascii="Arial Narrow" w:hAnsi="Arial Narrow"/>
          <w:b/>
          <w:bCs/>
          <w:sz w:val="20"/>
          <w:szCs w:val="20"/>
        </w:rPr>
        <w:t>t</w:t>
      </w:r>
      <w:r w:rsidRPr="00C31CA4">
        <w:rPr>
          <w:rFonts w:ascii="Arial Narrow" w:hAnsi="Arial Narrow"/>
          <w:b/>
          <w:bCs/>
          <w:sz w:val="20"/>
          <w:szCs w:val="20"/>
        </w:rPr>
        <w:t>reatment</w:t>
      </w:r>
    </w:p>
    <w:tbl>
      <w:tblPr>
        <w:tblStyle w:val="TableGrid"/>
        <w:tblW w:w="5000" w:type="pct"/>
        <w:tblCellMar>
          <w:left w:w="28" w:type="dxa"/>
          <w:right w:w="28" w:type="dxa"/>
        </w:tblCellMar>
        <w:tblLook w:val="04A0" w:firstRow="1" w:lastRow="0" w:firstColumn="1" w:lastColumn="0" w:noHBand="0" w:noVBand="1"/>
      </w:tblPr>
      <w:tblGrid>
        <w:gridCol w:w="3530"/>
        <w:gridCol w:w="1715"/>
        <w:gridCol w:w="2287"/>
        <w:gridCol w:w="1485"/>
      </w:tblGrid>
      <w:tr w:rsidR="00922A76" w:rsidRPr="00C31CA4" w14:paraId="6E2A72BC" w14:textId="77777777" w:rsidTr="001A25B2">
        <w:tc>
          <w:tcPr>
            <w:tcW w:w="3530" w:type="dxa"/>
          </w:tcPr>
          <w:p w14:paraId="44810C99" w14:textId="77777777" w:rsidR="00922A76" w:rsidRPr="00C31CA4" w:rsidRDefault="00922A76" w:rsidP="00E45E6E">
            <w:pPr>
              <w:pStyle w:val="TableText0"/>
              <w:tabs>
                <w:tab w:val="left" w:pos="102"/>
              </w:tabs>
            </w:pPr>
          </w:p>
        </w:tc>
        <w:tc>
          <w:tcPr>
            <w:tcW w:w="1715" w:type="dxa"/>
          </w:tcPr>
          <w:p w14:paraId="25CD13EA" w14:textId="1D7CF1AF" w:rsidR="00922A76" w:rsidRPr="00C31CA4" w:rsidRDefault="00922A76" w:rsidP="00E45E6E">
            <w:pPr>
              <w:pStyle w:val="TableText0"/>
              <w:jc w:val="center"/>
              <w:rPr>
                <w:b/>
                <w:bCs w:val="0"/>
              </w:rPr>
            </w:pPr>
            <w:r w:rsidRPr="00C31CA4">
              <w:rPr>
                <w:b/>
                <w:bCs w:val="0"/>
              </w:rPr>
              <w:t>hATG + CsA</w:t>
            </w:r>
          </w:p>
        </w:tc>
        <w:tc>
          <w:tcPr>
            <w:tcW w:w="2287" w:type="dxa"/>
          </w:tcPr>
          <w:p w14:paraId="4781B2AD" w14:textId="377D85B6" w:rsidR="00922A76" w:rsidRPr="00C31CA4" w:rsidRDefault="00922A76" w:rsidP="00E45E6E">
            <w:pPr>
              <w:pStyle w:val="TableText0"/>
              <w:jc w:val="center"/>
              <w:rPr>
                <w:b/>
                <w:bCs w:val="0"/>
              </w:rPr>
            </w:pPr>
            <w:r w:rsidRPr="00C31CA4">
              <w:rPr>
                <w:b/>
                <w:bCs w:val="0"/>
              </w:rPr>
              <w:t>hATG + CsA + eltrombopag</w:t>
            </w:r>
            <w:r w:rsidR="00BE4BD2" w:rsidRPr="00C31CA4">
              <w:rPr>
                <w:b/>
                <w:bCs w:val="0"/>
                <w:vertAlign w:val="superscript"/>
              </w:rPr>
              <w:t>d</w:t>
            </w:r>
          </w:p>
        </w:tc>
        <w:tc>
          <w:tcPr>
            <w:tcW w:w="1485" w:type="dxa"/>
          </w:tcPr>
          <w:p w14:paraId="55B0794D" w14:textId="269F86E6" w:rsidR="00922A76" w:rsidRPr="00C31CA4" w:rsidRDefault="00922A76" w:rsidP="00E45E6E">
            <w:pPr>
              <w:pStyle w:val="TableText0"/>
              <w:jc w:val="center"/>
              <w:rPr>
                <w:b/>
                <w:bCs w:val="0"/>
              </w:rPr>
            </w:pPr>
            <w:r w:rsidRPr="00C31CA4">
              <w:rPr>
                <w:b/>
                <w:bCs w:val="0"/>
              </w:rPr>
              <w:t xml:space="preserve">Comparison </w:t>
            </w:r>
          </w:p>
        </w:tc>
      </w:tr>
      <w:tr w:rsidR="00922A76" w:rsidRPr="00C31CA4" w14:paraId="69A8A508" w14:textId="77777777" w:rsidTr="001A25B2">
        <w:tc>
          <w:tcPr>
            <w:tcW w:w="3530" w:type="dxa"/>
          </w:tcPr>
          <w:p w14:paraId="6D80887C" w14:textId="77777777" w:rsidR="00922A76" w:rsidRPr="00C31CA4" w:rsidRDefault="00922A76" w:rsidP="00224ACF">
            <w:pPr>
              <w:pStyle w:val="TableText0"/>
              <w:tabs>
                <w:tab w:val="left" w:pos="102"/>
              </w:tabs>
            </w:pPr>
            <w:r w:rsidRPr="00C31CA4">
              <w:rPr>
                <w:b/>
                <w:bCs w:val="0"/>
              </w:rPr>
              <w:t>Assi 2018</w:t>
            </w:r>
          </w:p>
        </w:tc>
        <w:tc>
          <w:tcPr>
            <w:tcW w:w="1715" w:type="dxa"/>
            <w:vAlign w:val="center"/>
          </w:tcPr>
          <w:p w14:paraId="7700F65A" w14:textId="77777777" w:rsidR="00922A76" w:rsidRPr="00C31CA4" w:rsidRDefault="00922A76" w:rsidP="00224ACF">
            <w:pPr>
              <w:pStyle w:val="TableText0"/>
              <w:jc w:val="center"/>
              <w:rPr>
                <w:b/>
                <w:bCs w:val="0"/>
              </w:rPr>
            </w:pPr>
            <w:r w:rsidRPr="00C31CA4">
              <w:rPr>
                <w:b/>
                <w:bCs w:val="0"/>
              </w:rPr>
              <w:t>N = 17</w:t>
            </w:r>
          </w:p>
        </w:tc>
        <w:tc>
          <w:tcPr>
            <w:tcW w:w="2287" w:type="dxa"/>
            <w:vAlign w:val="center"/>
          </w:tcPr>
          <w:p w14:paraId="7AF7DDE4" w14:textId="77777777" w:rsidR="00922A76" w:rsidRPr="00C31CA4" w:rsidRDefault="00922A76" w:rsidP="00224ACF">
            <w:pPr>
              <w:pStyle w:val="TableText0"/>
              <w:jc w:val="center"/>
              <w:rPr>
                <w:b/>
                <w:bCs w:val="0"/>
              </w:rPr>
            </w:pPr>
            <w:r w:rsidRPr="00C31CA4">
              <w:rPr>
                <w:b/>
                <w:bCs w:val="0"/>
              </w:rPr>
              <w:t>N = 21</w:t>
            </w:r>
          </w:p>
        </w:tc>
        <w:tc>
          <w:tcPr>
            <w:tcW w:w="1485" w:type="dxa"/>
            <w:vAlign w:val="center"/>
          </w:tcPr>
          <w:p w14:paraId="12087622" w14:textId="77777777" w:rsidR="00922A76" w:rsidRPr="00C31CA4" w:rsidRDefault="00922A76" w:rsidP="00224ACF">
            <w:pPr>
              <w:pStyle w:val="TableText0"/>
              <w:jc w:val="center"/>
              <w:rPr>
                <w:b/>
                <w:bCs w:val="0"/>
              </w:rPr>
            </w:pPr>
          </w:p>
        </w:tc>
      </w:tr>
      <w:tr w:rsidR="00922A76" w:rsidRPr="00C31CA4" w14:paraId="33C02442" w14:textId="77777777" w:rsidTr="001A25B2">
        <w:tc>
          <w:tcPr>
            <w:tcW w:w="3530" w:type="dxa"/>
          </w:tcPr>
          <w:p w14:paraId="05D003F8" w14:textId="77777777" w:rsidR="00922A76" w:rsidRPr="00C31CA4" w:rsidRDefault="00922A76" w:rsidP="00224ACF">
            <w:pPr>
              <w:pStyle w:val="TableText0"/>
              <w:tabs>
                <w:tab w:val="left" w:pos="102"/>
              </w:tabs>
            </w:pPr>
            <w:r w:rsidRPr="00C31CA4">
              <w:tab/>
              <w:t xml:space="preserve">Complete response, n (%) </w:t>
            </w:r>
          </w:p>
        </w:tc>
        <w:tc>
          <w:tcPr>
            <w:tcW w:w="1715" w:type="dxa"/>
            <w:vAlign w:val="center"/>
          </w:tcPr>
          <w:p w14:paraId="1834EF54" w14:textId="77777777" w:rsidR="00922A76" w:rsidRPr="00C31CA4" w:rsidRDefault="00922A76" w:rsidP="00224ACF">
            <w:pPr>
              <w:pStyle w:val="TableText0"/>
              <w:jc w:val="center"/>
            </w:pPr>
            <w:r w:rsidRPr="00C31CA4">
              <w:t>5 (29%)</w:t>
            </w:r>
          </w:p>
        </w:tc>
        <w:tc>
          <w:tcPr>
            <w:tcW w:w="2287" w:type="dxa"/>
            <w:vAlign w:val="center"/>
          </w:tcPr>
          <w:p w14:paraId="41CE1FC4" w14:textId="77777777" w:rsidR="00922A76" w:rsidRPr="00C31CA4" w:rsidRDefault="00922A76" w:rsidP="00224ACF">
            <w:pPr>
              <w:pStyle w:val="TableText0"/>
              <w:jc w:val="center"/>
            </w:pPr>
            <w:r w:rsidRPr="00C31CA4">
              <w:t>8 (38%)</w:t>
            </w:r>
          </w:p>
        </w:tc>
        <w:tc>
          <w:tcPr>
            <w:tcW w:w="1485" w:type="dxa"/>
            <w:vAlign w:val="center"/>
          </w:tcPr>
          <w:p w14:paraId="1BA5692A" w14:textId="735F263B" w:rsidR="00922A76" w:rsidRPr="00C31CA4" w:rsidRDefault="00D803E4" w:rsidP="00224ACF">
            <w:pPr>
              <w:pStyle w:val="TableText0"/>
              <w:jc w:val="center"/>
            </w:pPr>
            <w:r w:rsidRPr="00C31CA4">
              <w:t>p</w:t>
            </w:r>
            <w:r w:rsidR="00922A76" w:rsidRPr="00C31CA4">
              <w:t xml:space="preserve"> = 0.71</w:t>
            </w:r>
            <w:r w:rsidR="00DC3D64" w:rsidRPr="00C31CA4">
              <w:rPr>
                <w:vertAlign w:val="superscript"/>
              </w:rPr>
              <w:t>a</w:t>
            </w:r>
          </w:p>
        </w:tc>
      </w:tr>
      <w:tr w:rsidR="00922A76" w:rsidRPr="00C31CA4" w14:paraId="610EEE65" w14:textId="77777777" w:rsidTr="001A25B2">
        <w:tc>
          <w:tcPr>
            <w:tcW w:w="3530" w:type="dxa"/>
          </w:tcPr>
          <w:p w14:paraId="6D3BD410" w14:textId="77777777" w:rsidR="00922A76" w:rsidRPr="00C31CA4" w:rsidRDefault="00922A76" w:rsidP="00224ACF">
            <w:pPr>
              <w:pStyle w:val="TableText0"/>
              <w:tabs>
                <w:tab w:val="left" w:pos="102"/>
              </w:tabs>
            </w:pPr>
            <w:r w:rsidRPr="00C31CA4">
              <w:tab/>
              <w:t>HSCT, n (%)</w:t>
            </w:r>
          </w:p>
        </w:tc>
        <w:tc>
          <w:tcPr>
            <w:tcW w:w="1715" w:type="dxa"/>
            <w:vAlign w:val="center"/>
          </w:tcPr>
          <w:p w14:paraId="2B434CB8" w14:textId="77777777" w:rsidR="00922A76" w:rsidRPr="00C31CA4" w:rsidRDefault="00922A76" w:rsidP="00224ACF">
            <w:pPr>
              <w:pStyle w:val="TableText0"/>
              <w:jc w:val="center"/>
            </w:pPr>
            <w:r w:rsidRPr="00C31CA4">
              <w:t>1 (1.0%)</w:t>
            </w:r>
          </w:p>
        </w:tc>
        <w:tc>
          <w:tcPr>
            <w:tcW w:w="2287" w:type="dxa"/>
            <w:vAlign w:val="center"/>
          </w:tcPr>
          <w:p w14:paraId="4FE2FFB1" w14:textId="77777777" w:rsidR="00922A76" w:rsidRPr="00C31CA4" w:rsidRDefault="00922A76" w:rsidP="00224ACF">
            <w:pPr>
              <w:pStyle w:val="TableText0"/>
              <w:jc w:val="center"/>
            </w:pPr>
            <w:r w:rsidRPr="00C31CA4">
              <w:t>4 (4.2%)</w:t>
            </w:r>
          </w:p>
        </w:tc>
        <w:tc>
          <w:tcPr>
            <w:tcW w:w="1485" w:type="dxa"/>
            <w:vAlign w:val="center"/>
          </w:tcPr>
          <w:p w14:paraId="527802C4" w14:textId="522B102B" w:rsidR="00922A76" w:rsidRPr="00C31CA4" w:rsidRDefault="00DC3D64" w:rsidP="00224ACF">
            <w:pPr>
              <w:pStyle w:val="TableText0"/>
              <w:jc w:val="center"/>
            </w:pPr>
            <w:r w:rsidRPr="00C31CA4">
              <w:t>-</w:t>
            </w:r>
          </w:p>
        </w:tc>
      </w:tr>
      <w:tr w:rsidR="00922A76" w:rsidRPr="00C31CA4" w14:paraId="2664D611" w14:textId="77777777" w:rsidTr="001A25B2">
        <w:tc>
          <w:tcPr>
            <w:tcW w:w="3530" w:type="dxa"/>
          </w:tcPr>
          <w:p w14:paraId="14DC86B0" w14:textId="77777777" w:rsidR="00922A76" w:rsidRPr="00C31CA4" w:rsidRDefault="00922A76" w:rsidP="00224ACF">
            <w:pPr>
              <w:pStyle w:val="TableText0"/>
              <w:tabs>
                <w:tab w:val="left" w:pos="102"/>
              </w:tabs>
            </w:pPr>
            <w:r w:rsidRPr="00C31CA4">
              <w:rPr>
                <w:b/>
                <w:bCs w:val="0"/>
              </w:rPr>
              <w:t>Patel 2022</w:t>
            </w:r>
          </w:p>
        </w:tc>
        <w:tc>
          <w:tcPr>
            <w:tcW w:w="1715" w:type="dxa"/>
            <w:vAlign w:val="center"/>
          </w:tcPr>
          <w:p w14:paraId="6B27DA4A" w14:textId="77777777" w:rsidR="00922A76" w:rsidRPr="00C31CA4" w:rsidRDefault="00922A76" w:rsidP="00224ACF">
            <w:pPr>
              <w:pStyle w:val="TableText0"/>
              <w:jc w:val="center"/>
              <w:rPr>
                <w:b/>
                <w:bCs w:val="0"/>
              </w:rPr>
            </w:pPr>
            <w:r w:rsidRPr="00C31CA4">
              <w:rPr>
                <w:b/>
                <w:bCs w:val="0"/>
              </w:rPr>
              <w:t>N = 102</w:t>
            </w:r>
          </w:p>
        </w:tc>
        <w:tc>
          <w:tcPr>
            <w:tcW w:w="2287" w:type="dxa"/>
            <w:vAlign w:val="center"/>
          </w:tcPr>
          <w:p w14:paraId="72EE263E" w14:textId="77777777" w:rsidR="00922A76" w:rsidRPr="00C31CA4" w:rsidRDefault="00922A76" w:rsidP="00224ACF">
            <w:pPr>
              <w:pStyle w:val="TableText0"/>
              <w:jc w:val="center"/>
              <w:rPr>
                <w:b/>
                <w:bCs w:val="0"/>
              </w:rPr>
            </w:pPr>
            <w:r w:rsidRPr="00C31CA4">
              <w:rPr>
                <w:b/>
                <w:bCs w:val="0"/>
              </w:rPr>
              <w:t>N = 178</w:t>
            </w:r>
          </w:p>
        </w:tc>
        <w:tc>
          <w:tcPr>
            <w:tcW w:w="1485" w:type="dxa"/>
            <w:vAlign w:val="center"/>
          </w:tcPr>
          <w:p w14:paraId="353DFECD" w14:textId="2AE293F9" w:rsidR="00922A76" w:rsidRPr="00C31CA4" w:rsidRDefault="00DC3D64" w:rsidP="00224ACF">
            <w:pPr>
              <w:pStyle w:val="TableText0"/>
              <w:jc w:val="center"/>
              <w:rPr>
                <w:b/>
                <w:bCs w:val="0"/>
              </w:rPr>
            </w:pPr>
            <w:r w:rsidRPr="00C31CA4">
              <w:rPr>
                <w:b/>
                <w:bCs w:val="0"/>
              </w:rPr>
              <w:t>Comparison</w:t>
            </w:r>
          </w:p>
        </w:tc>
      </w:tr>
      <w:tr w:rsidR="00922A76" w:rsidRPr="00C31CA4" w14:paraId="51F71FE0" w14:textId="77777777" w:rsidTr="001A25B2">
        <w:tc>
          <w:tcPr>
            <w:tcW w:w="3530" w:type="dxa"/>
          </w:tcPr>
          <w:p w14:paraId="05750A9E" w14:textId="77777777" w:rsidR="00922A76" w:rsidRPr="00C31CA4" w:rsidRDefault="00922A76" w:rsidP="00224ACF">
            <w:pPr>
              <w:pStyle w:val="TableText0"/>
              <w:tabs>
                <w:tab w:val="left" w:pos="102"/>
              </w:tabs>
            </w:pPr>
            <w:r w:rsidRPr="00C31CA4">
              <w:tab/>
              <w:t>Complete response at 6 months, n (%)</w:t>
            </w:r>
          </w:p>
        </w:tc>
        <w:tc>
          <w:tcPr>
            <w:tcW w:w="1715" w:type="dxa"/>
            <w:vAlign w:val="center"/>
          </w:tcPr>
          <w:p w14:paraId="76250AF7" w14:textId="77777777" w:rsidR="00922A76" w:rsidRPr="00C31CA4" w:rsidRDefault="00922A76" w:rsidP="00224ACF">
            <w:pPr>
              <w:pStyle w:val="TableText0"/>
              <w:jc w:val="center"/>
              <w:rPr>
                <w:b/>
                <w:bCs w:val="0"/>
              </w:rPr>
            </w:pPr>
            <w:r w:rsidRPr="00C31CA4">
              <w:rPr>
                <w:b/>
                <w:bCs w:val="0"/>
              </w:rPr>
              <w:t>17 (16.8%)</w:t>
            </w:r>
          </w:p>
        </w:tc>
        <w:tc>
          <w:tcPr>
            <w:tcW w:w="2287" w:type="dxa"/>
            <w:vAlign w:val="center"/>
          </w:tcPr>
          <w:p w14:paraId="06228F15" w14:textId="77777777" w:rsidR="00922A76" w:rsidRPr="00C31CA4" w:rsidRDefault="00922A76" w:rsidP="00224ACF">
            <w:pPr>
              <w:pStyle w:val="TableText0"/>
              <w:jc w:val="center"/>
              <w:rPr>
                <w:b/>
                <w:bCs w:val="0"/>
              </w:rPr>
            </w:pPr>
            <w:r w:rsidRPr="00C31CA4">
              <w:rPr>
                <w:b/>
                <w:bCs w:val="0"/>
              </w:rPr>
              <w:t>69 (38.8%)</w:t>
            </w:r>
          </w:p>
        </w:tc>
        <w:tc>
          <w:tcPr>
            <w:tcW w:w="1485" w:type="dxa"/>
            <w:vAlign w:val="center"/>
          </w:tcPr>
          <w:p w14:paraId="76D7DAF0" w14:textId="6FA77A69" w:rsidR="00922A76" w:rsidRPr="00C31CA4" w:rsidRDefault="00D803E4" w:rsidP="00224ACF">
            <w:pPr>
              <w:pStyle w:val="TableText0"/>
              <w:jc w:val="center"/>
              <w:rPr>
                <w:b/>
                <w:bCs w:val="0"/>
              </w:rPr>
            </w:pPr>
            <w:r w:rsidRPr="00C31CA4">
              <w:rPr>
                <w:b/>
                <w:bCs w:val="0"/>
              </w:rPr>
              <w:t>p</w:t>
            </w:r>
            <w:r w:rsidR="00922A76" w:rsidRPr="00C31CA4">
              <w:rPr>
                <w:b/>
                <w:bCs w:val="0"/>
              </w:rPr>
              <w:t xml:space="preserve"> &lt; 0.001</w:t>
            </w:r>
            <w:r w:rsidR="00DC3D64" w:rsidRPr="00C31CA4">
              <w:rPr>
                <w:b/>
                <w:bCs w:val="0"/>
                <w:vertAlign w:val="superscript"/>
              </w:rPr>
              <w:t>b</w:t>
            </w:r>
          </w:p>
        </w:tc>
      </w:tr>
      <w:tr w:rsidR="00922A76" w:rsidRPr="00C31CA4" w14:paraId="5CCF8577" w14:textId="77777777" w:rsidTr="001A25B2">
        <w:tc>
          <w:tcPr>
            <w:tcW w:w="3530" w:type="dxa"/>
          </w:tcPr>
          <w:p w14:paraId="108EA36D" w14:textId="77777777" w:rsidR="00922A76" w:rsidRPr="00C31CA4" w:rsidRDefault="00922A76" w:rsidP="00224ACF">
            <w:pPr>
              <w:pStyle w:val="TableText0"/>
              <w:tabs>
                <w:tab w:val="left" w:pos="102"/>
              </w:tabs>
              <w:ind w:left="102" w:hanging="102"/>
            </w:pPr>
            <w:r w:rsidRPr="00C31CA4">
              <w:tab/>
              <w:t xml:space="preserve">Relapse in patients with complete or partial response after 5 years follow-up, n/N (%) </w:t>
            </w:r>
          </w:p>
        </w:tc>
        <w:tc>
          <w:tcPr>
            <w:tcW w:w="1715" w:type="dxa"/>
            <w:vAlign w:val="center"/>
          </w:tcPr>
          <w:p w14:paraId="4B205846" w14:textId="77777777" w:rsidR="00922A76" w:rsidRPr="00C31CA4" w:rsidRDefault="00922A76" w:rsidP="00224ACF">
            <w:pPr>
              <w:pStyle w:val="TableText0"/>
              <w:jc w:val="center"/>
            </w:pPr>
            <w:r w:rsidRPr="00C31CA4">
              <w:t>22/68 (32.4%)</w:t>
            </w:r>
          </w:p>
        </w:tc>
        <w:tc>
          <w:tcPr>
            <w:tcW w:w="2287" w:type="dxa"/>
            <w:vAlign w:val="center"/>
          </w:tcPr>
          <w:p w14:paraId="32E760CE" w14:textId="77777777" w:rsidR="00922A76" w:rsidRPr="00C31CA4" w:rsidRDefault="00922A76" w:rsidP="00224ACF">
            <w:pPr>
              <w:pStyle w:val="TableText0"/>
              <w:jc w:val="center"/>
            </w:pPr>
            <w:r w:rsidRPr="00C31CA4">
              <w:t>61/145 (42.1%)</w:t>
            </w:r>
          </w:p>
        </w:tc>
        <w:tc>
          <w:tcPr>
            <w:tcW w:w="1485" w:type="dxa"/>
            <w:vAlign w:val="center"/>
          </w:tcPr>
          <w:p w14:paraId="71797D79" w14:textId="09E44D78" w:rsidR="00922A76" w:rsidRPr="00C31CA4" w:rsidRDefault="00D803E4" w:rsidP="00224ACF">
            <w:pPr>
              <w:pStyle w:val="TableText0"/>
              <w:jc w:val="center"/>
            </w:pPr>
            <w:r w:rsidRPr="00C31CA4">
              <w:t>p</w:t>
            </w:r>
            <w:r w:rsidR="00922A76" w:rsidRPr="00C31CA4">
              <w:t xml:space="preserve"> = 0.09</w:t>
            </w:r>
            <w:r w:rsidR="00DC3D64" w:rsidRPr="00C31CA4">
              <w:rPr>
                <w:vertAlign w:val="superscript"/>
              </w:rPr>
              <w:t>b</w:t>
            </w:r>
          </w:p>
        </w:tc>
      </w:tr>
      <w:tr w:rsidR="00922A76" w:rsidRPr="00C31CA4" w14:paraId="3AD4E071" w14:textId="77777777" w:rsidTr="001A25B2">
        <w:tc>
          <w:tcPr>
            <w:tcW w:w="3530" w:type="dxa"/>
          </w:tcPr>
          <w:p w14:paraId="203FFF79" w14:textId="77777777" w:rsidR="00922A76" w:rsidRPr="00C31CA4" w:rsidRDefault="00922A76" w:rsidP="00224ACF">
            <w:pPr>
              <w:pStyle w:val="TableText0"/>
              <w:tabs>
                <w:tab w:val="left" w:pos="102"/>
              </w:tabs>
            </w:pPr>
            <w:r w:rsidRPr="00C31CA4">
              <w:tab/>
              <w:t>Overall survival at 4 years %</w:t>
            </w:r>
          </w:p>
        </w:tc>
        <w:tc>
          <w:tcPr>
            <w:tcW w:w="1715" w:type="dxa"/>
            <w:vAlign w:val="center"/>
          </w:tcPr>
          <w:p w14:paraId="5238853F" w14:textId="77777777" w:rsidR="00922A76" w:rsidRPr="00C31CA4" w:rsidRDefault="00922A76" w:rsidP="00224ACF">
            <w:pPr>
              <w:pStyle w:val="TableText0"/>
              <w:jc w:val="center"/>
            </w:pPr>
            <w:r w:rsidRPr="00C31CA4">
              <w:t>85%</w:t>
            </w:r>
          </w:p>
        </w:tc>
        <w:tc>
          <w:tcPr>
            <w:tcW w:w="2287" w:type="dxa"/>
            <w:vAlign w:val="center"/>
          </w:tcPr>
          <w:p w14:paraId="5D5C95E1" w14:textId="77777777" w:rsidR="00922A76" w:rsidRPr="00C31CA4" w:rsidRDefault="00922A76" w:rsidP="00224ACF">
            <w:pPr>
              <w:pStyle w:val="TableText0"/>
              <w:jc w:val="center"/>
            </w:pPr>
            <w:r w:rsidRPr="00C31CA4">
              <w:t>92.5%</w:t>
            </w:r>
          </w:p>
        </w:tc>
        <w:tc>
          <w:tcPr>
            <w:tcW w:w="1485" w:type="dxa"/>
            <w:vAlign w:val="center"/>
          </w:tcPr>
          <w:p w14:paraId="43EECA54" w14:textId="49A710EC" w:rsidR="00922A76" w:rsidRPr="00C31CA4" w:rsidRDefault="00D803E4" w:rsidP="00224ACF">
            <w:pPr>
              <w:pStyle w:val="TableText0"/>
              <w:jc w:val="center"/>
            </w:pPr>
            <w:r w:rsidRPr="00C31CA4">
              <w:t>p</w:t>
            </w:r>
            <w:r w:rsidR="00922A76" w:rsidRPr="00C31CA4">
              <w:t xml:space="preserve"> = 0.41</w:t>
            </w:r>
            <w:r w:rsidR="00DC3D64" w:rsidRPr="00C31CA4">
              <w:rPr>
                <w:vertAlign w:val="superscript"/>
              </w:rPr>
              <w:t>b</w:t>
            </w:r>
          </w:p>
        </w:tc>
      </w:tr>
      <w:tr w:rsidR="009C61E0" w:rsidRPr="00C31CA4" w14:paraId="3DA50657" w14:textId="77777777" w:rsidTr="001A25B2">
        <w:tc>
          <w:tcPr>
            <w:tcW w:w="3530" w:type="dxa"/>
          </w:tcPr>
          <w:p w14:paraId="470BC471" w14:textId="678C93E1" w:rsidR="0066580E" w:rsidRPr="00C31CA4" w:rsidRDefault="0066580E" w:rsidP="00224ACF">
            <w:pPr>
              <w:pStyle w:val="TableText0"/>
              <w:tabs>
                <w:tab w:val="left" w:pos="102"/>
              </w:tabs>
              <w:rPr>
                <w:b/>
                <w:bCs w:val="0"/>
              </w:rPr>
            </w:pPr>
            <w:r w:rsidRPr="00C31CA4">
              <w:rPr>
                <w:b/>
                <w:bCs w:val="0"/>
              </w:rPr>
              <w:t>Groarke 2021</w:t>
            </w:r>
          </w:p>
        </w:tc>
        <w:tc>
          <w:tcPr>
            <w:tcW w:w="1715" w:type="dxa"/>
            <w:vAlign w:val="center"/>
          </w:tcPr>
          <w:p w14:paraId="297BEEF4" w14:textId="3FC47902" w:rsidR="0066580E" w:rsidRPr="00C31CA4" w:rsidRDefault="00BB53D3" w:rsidP="00224ACF">
            <w:pPr>
              <w:pStyle w:val="TableText0"/>
              <w:jc w:val="center"/>
              <w:rPr>
                <w:b/>
                <w:bCs w:val="0"/>
              </w:rPr>
            </w:pPr>
            <w:r w:rsidRPr="00C31CA4">
              <w:rPr>
                <w:b/>
                <w:bCs w:val="0"/>
              </w:rPr>
              <w:t>N = 87</w:t>
            </w:r>
          </w:p>
        </w:tc>
        <w:tc>
          <w:tcPr>
            <w:tcW w:w="2287" w:type="dxa"/>
            <w:vAlign w:val="center"/>
          </w:tcPr>
          <w:p w14:paraId="128AE08F" w14:textId="378A27ED" w:rsidR="0066580E" w:rsidRPr="00C31CA4" w:rsidRDefault="00BB53D3" w:rsidP="00224ACF">
            <w:pPr>
              <w:pStyle w:val="TableText0"/>
              <w:jc w:val="center"/>
              <w:rPr>
                <w:b/>
                <w:bCs w:val="0"/>
              </w:rPr>
            </w:pPr>
            <w:r w:rsidRPr="00C31CA4">
              <w:rPr>
                <w:b/>
                <w:bCs w:val="0"/>
              </w:rPr>
              <w:t>N = 40</w:t>
            </w:r>
          </w:p>
        </w:tc>
        <w:tc>
          <w:tcPr>
            <w:tcW w:w="1485" w:type="dxa"/>
            <w:vAlign w:val="center"/>
          </w:tcPr>
          <w:p w14:paraId="74D58039" w14:textId="54669891" w:rsidR="0066580E" w:rsidRPr="00C31CA4" w:rsidRDefault="00BB53D3" w:rsidP="00224ACF">
            <w:pPr>
              <w:pStyle w:val="TableText0"/>
              <w:jc w:val="center"/>
              <w:rPr>
                <w:b/>
                <w:bCs w:val="0"/>
              </w:rPr>
            </w:pPr>
            <w:r w:rsidRPr="00C31CA4">
              <w:rPr>
                <w:b/>
                <w:bCs w:val="0"/>
              </w:rPr>
              <w:t>Comparison</w:t>
            </w:r>
          </w:p>
        </w:tc>
      </w:tr>
      <w:tr w:rsidR="009C61E0" w:rsidRPr="00C31CA4" w14:paraId="51105D76" w14:textId="77777777" w:rsidTr="001A25B2">
        <w:tc>
          <w:tcPr>
            <w:tcW w:w="3530" w:type="dxa"/>
          </w:tcPr>
          <w:p w14:paraId="5AA45ED3" w14:textId="4D4741A8" w:rsidR="00BB53D3" w:rsidRPr="00C31CA4" w:rsidRDefault="00920A53" w:rsidP="00224ACF">
            <w:pPr>
              <w:pStyle w:val="TableText0"/>
              <w:tabs>
                <w:tab w:val="left" w:pos="102"/>
              </w:tabs>
            </w:pPr>
            <w:r w:rsidRPr="00C31CA4">
              <w:tab/>
            </w:r>
            <w:r w:rsidR="00BB53D3" w:rsidRPr="00C31CA4">
              <w:t>Complete response at 3 months, n (%)</w:t>
            </w:r>
          </w:p>
        </w:tc>
        <w:tc>
          <w:tcPr>
            <w:tcW w:w="1715" w:type="dxa"/>
            <w:vAlign w:val="center"/>
          </w:tcPr>
          <w:p w14:paraId="6ED6A203" w14:textId="45B780D1" w:rsidR="00BB53D3" w:rsidRPr="00C31CA4" w:rsidRDefault="00BB53D3" w:rsidP="00224ACF">
            <w:pPr>
              <w:pStyle w:val="TableText0"/>
              <w:jc w:val="center"/>
            </w:pPr>
            <w:r w:rsidRPr="00C31CA4">
              <w:t>12 (13.8%)</w:t>
            </w:r>
          </w:p>
        </w:tc>
        <w:tc>
          <w:tcPr>
            <w:tcW w:w="2287" w:type="dxa"/>
            <w:vAlign w:val="center"/>
          </w:tcPr>
          <w:p w14:paraId="3B12335E" w14:textId="77D017F5" w:rsidR="00BB53D3" w:rsidRPr="00C31CA4" w:rsidRDefault="00BB53D3" w:rsidP="00224ACF">
            <w:pPr>
              <w:pStyle w:val="TableText0"/>
              <w:jc w:val="center"/>
            </w:pPr>
            <w:r w:rsidRPr="00C31CA4">
              <w:t>9 (22.5%)</w:t>
            </w:r>
          </w:p>
        </w:tc>
        <w:tc>
          <w:tcPr>
            <w:tcW w:w="1485" w:type="dxa"/>
            <w:vAlign w:val="center"/>
          </w:tcPr>
          <w:p w14:paraId="444974BD" w14:textId="52B9C4CA" w:rsidR="00BB53D3" w:rsidRPr="00C31CA4" w:rsidRDefault="00BB53D3" w:rsidP="00224ACF">
            <w:pPr>
              <w:pStyle w:val="TableText0"/>
              <w:jc w:val="center"/>
            </w:pPr>
            <w:r w:rsidRPr="00C31CA4">
              <w:t>P = 0.26</w:t>
            </w:r>
            <w:r w:rsidRPr="00C31CA4">
              <w:rPr>
                <w:vertAlign w:val="superscript"/>
              </w:rPr>
              <w:t>a</w:t>
            </w:r>
          </w:p>
        </w:tc>
      </w:tr>
      <w:tr w:rsidR="009C61E0" w:rsidRPr="00C31CA4" w14:paraId="0E6DA67C" w14:textId="77777777" w:rsidTr="001A25B2">
        <w:tc>
          <w:tcPr>
            <w:tcW w:w="3530" w:type="dxa"/>
          </w:tcPr>
          <w:p w14:paraId="6B4EC9A0" w14:textId="75B58227" w:rsidR="00BB53D3" w:rsidRPr="00C31CA4" w:rsidRDefault="00920A53" w:rsidP="00224ACF">
            <w:pPr>
              <w:pStyle w:val="TableText0"/>
              <w:tabs>
                <w:tab w:val="left" w:pos="102"/>
              </w:tabs>
            </w:pPr>
            <w:r w:rsidRPr="00C31CA4">
              <w:tab/>
            </w:r>
            <w:r w:rsidR="00BB53D3" w:rsidRPr="00C31CA4">
              <w:t>Partial response at 3 months, n (%)</w:t>
            </w:r>
          </w:p>
        </w:tc>
        <w:tc>
          <w:tcPr>
            <w:tcW w:w="1715" w:type="dxa"/>
            <w:vAlign w:val="center"/>
          </w:tcPr>
          <w:p w14:paraId="4899DD76" w14:textId="06F149EE" w:rsidR="00BB53D3" w:rsidRPr="00C31CA4" w:rsidRDefault="00BB53D3" w:rsidP="00224ACF">
            <w:pPr>
              <w:pStyle w:val="TableText0"/>
              <w:jc w:val="center"/>
            </w:pPr>
            <w:r w:rsidRPr="00C31CA4">
              <w:t>43 (49.4%)</w:t>
            </w:r>
          </w:p>
        </w:tc>
        <w:tc>
          <w:tcPr>
            <w:tcW w:w="2287" w:type="dxa"/>
            <w:vAlign w:val="center"/>
          </w:tcPr>
          <w:p w14:paraId="51D1C5B8" w14:textId="69AB5255" w:rsidR="00BB53D3" w:rsidRPr="00C31CA4" w:rsidRDefault="00BB53D3" w:rsidP="00224ACF">
            <w:pPr>
              <w:pStyle w:val="TableText0"/>
              <w:jc w:val="center"/>
            </w:pPr>
            <w:r w:rsidRPr="00C31CA4">
              <w:t>18 (54.0%)</w:t>
            </w:r>
          </w:p>
        </w:tc>
        <w:tc>
          <w:tcPr>
            <w:tcW w:w="1485" w:type="dxa"/>
            <w:vAlign w:val="center"/>
          </w:tcPr>
          <w:p w14:paraId="779AF31D" w14:textId="2010A6A6" w:rsidR="00BB53D3" w:rsidRPr="00C31CA4" w:rsidRDefault="00BB53D3" w:rsidP="00224ACF">
            <w:pPr>
              <w:pStyle w:val="TableText0"/>
              <w:jc w:val="center"/>
            </w:pPr>
            <w:r w:rsidRPr="00C31CA4">
              <w:t>NR</w:t>
            </w:r>
          </w:p>
        </w:tc>
      </w:tr>
      <w:tr w:rsidR="009C61E0" w:rsidRPr="00C31CA4" w14:paraId="0F36DD94" w14:textId="77777777" w:rsidTr="001A25B2">
        <w:tc>
          <w:tcPr>
            <w:tcW w:w="3530" w:type="dxa"/>
          </w:tcPr>
          <w:p w14:paraId="67B58B82" w14:textId="79812838" w:rsidR="00BB53D3" w:rsidRPr="00C31CA4" w:rsidRDefault="00920A53" w:rsidP="00224ACF">
            <w:pPr>
              <w:pStyle w:val="TableText0"/>
              <w:tabs>
                <w:tab w:val="left" w:pos="102"/>
              </w:tabs>
            </w:pPr>
            <w:r w:rsidRPr="00C31CA4">
              <w:tab/>
            </w:r>
            <w:r w:rsidR="00BB53D3" w:rsidRPr="00C31CA4">
              <w:t>Complete response at 6 months, n (%)</w:t>
            </w:r>
          </w:p>
        </w:tc>
        <w:tc>
          <w:tcPr>
            <w:tcW w:w="1715" w:type="dxa"/>
            <w:vAlign w:val="center"/>
          </w:tcPr>
          <w:p w14:paraId="3AB5F3B0" w14:textId="0B876EB9" w:rsidR="00BB53D3" w:rsidRPr="00C31CA4" w:rsidRDefault="00BB53D3" w:rsidP="00224ACF">
            <w:pPr>
              <w:pStyle w:val="TableText0"/>
              <w:jc w:val="center"/>
            </w:pPr>
            <w:r w:rsidRPr="00C31CA4">
              <w:t>20 (23.0%)</w:t>
            </w:r>
          </w:p>
        </w:tc>
        <w:tc>
          <w:tcPr>
            <w:tcW w:w="2287" w:type="dxa"/>
            <w:vAlign w:val="center"/>
          </w:tcPr>
          <w:p w14:paraId="71526B45" w14:textId="793E1C92" w:rsidR="00BB53D3" w:rsidRPr="00C31CA4" w:rsidRDefault="00BB53D3" w:rsidP="00224ACF">
            <w:pPr>
              <w:pStyle w:val="TableText0"/>
              <w:jc w:val="center"/>
            </w:pPr>
            <w:r w:rsidRPr="00C31CA4">
              <w:t>12 (30.0%)</w:t>
            </w:r>
          </w:p>
        </w:tc>
        <w:tc>
          <w:tcPr>
            <w:tcW w:w="1485" w:type="dxa"/>
            <w:vAlign w:val="center"/>
          </w:tcPr>
          <w:p w14:paraId="01EA2916" w14:textId="28BD0B13" w:rsidR="00BB53D3" w:rsidRPr="00C31CA4" w:rsidRDefault="00BB53D3" w:rsidP="00224ACF">
            <w:pPr>
              <w:pStyle w:val="TableText0"/>
              <w:jc w:val="center"/>
            </w:pPr>
            <w:r w:rsidRPr="00C31CA4">
              <w:t>P = 0.42</w:t>
            </w:r>
            <w:r w:rsidRPr="00C31CA4">
              <w:rPr>
                <w:vertAlign w:val="superscript"/>
              </w:rPr>
              <w:t>a</w:t>
            </w:r>
          </w:p>
        </w:tc>
      </w:tr>
      <w:tr w:rsidR="009C61E0" w:rsidRPr="00C31CA4" w14:paraId="2FC39262" w14:textId="77777777" w:rsidTr="001A25B2">
        <w:tc>
          <w:tcPr>
            <w:tcW w:w="3530" w:type="dxa"/>
          </w:tcPr>
          <w:p w14:paraId="077C8EEB" w14:textId="1BE8EF1A" w:rsidR="00BB53D3" w:rsidRPr="00C31CA4" w:rsidRDefault="00920A53" w:rsidP="00224ACF">
            <w:pPr>
              <w:pStyle w:val="TableText0"/>
              <w:tabs>
                <w:tab w:val="left" w:pos="102"/>
              </w:tabs>
            </w:pPr>
            <w:r w:rsidRPr="00C31CA4">
              <w:tab/>
            </w:r>
            <w:r w:rsidR="00BB53D3" w:rsidRPr="00C31CA4">
              <w:t>Partial response at 6 months, n (%)</w:t>
            </w:r>
          </w:p>
        </w:tc>
        <w:tc>
          <w:tcPr>
            <w:tcW w:w="1715" w:type="dxa"/>
            <w:vAlign w:val="center"/>
          </w:tcPr>
          <w:p w14:paraId="508384BE" w14:textId="69365B64" w:rsidR="00BB53D3" w:rsidRPr="00C31CA4" w:rsidRDefault="00BB53D3" w:rsidP="00224ACF">
            <w:pPr>
              <w:pStyle w:val="TableText0"/>
              <w:jc w:val="center"/>
            </w:pPr>
            <w:r w:rsidRPr="00C31CA4">
              <w:t>43 (49.4%)</w:t>
            </w:r>
          </w:p>
        </w:tc>
        <w:tc>
          <w:tcPr>
            <w:tcW w:w="2287" w:type="dxa"/>
            <w:vAlign w:val="center"/>
          </w:tcPr>
          <w:p w14:paraId="60884FC7" w14:textId="5034E1EB" w:rsidR="00BB53D3" w:rsidRPr="00C31CA4" w:rsidRDefault="00BB53D3" w:rsidP="00224ACF">
            <w:pPr>
              <w:pStyle w:val="TableText0"/>
              <w:jc w:val="center"/>
            </w:pPr>
            <w:r w:rsidRPr="00C31CA4">
              <w:t>16 (40.0%)</w:t>
            </w:r>
          </w:p>
        </w:tc>
        <w:tc>
          <w:tcPr>
            <w:tcW w:w="1485" w:type="dxa"/>
            <w:vAlign w:val="center"/>
          </w:tcPr>
          <w:p w14:paraId="68696E91" w14:textId="37E4AE84" w:rsidR="00BB53D3" w:rsidRPr="00C31CA4" w:rsidRDefault="00BB53D3" w:rsidP="00224ACF">
            <w:pPr>
              <w:pStyle w:val="TableText0"/>
              <w:jc w:val="center"/>
            </w:pPr>
            <w:r w:rsidRPr="00C31CA4">
              <w:t>NR</w:t>
            </w:r>
          </w:p>
        </w:tc>
      </w:tr>
      <w:tr w:rsidR="009C61E0" w:rsidRPr="00C31CA4" w14:paraId="6316A0D2" w14:textId="77777777" w:rsidTr="001A25B2">
        <w:tc>
          <w:tcPr>
            <w:tcW w:w="3530" w:type="dxa"/>
          </w:tcPr>
          <w:p w14:paraId="7336BAD9" w14:textId="5D65D47D" w:rsidR="00BB53D3" w:rsidRPr="00C31CA4" w:rsidRDefault="00920A53" w:rsidP="00224ACF">
            <w:pPr>
              <w:pStyle w:val="TableText0"/>
              <w:tabs>
                <w:tab w:val="left" w:pos="102"/>
              </w:tabs>
            </w:pPr>
            <w:r w:rsidRPr="00C31CA4">
              <w:tab/>
            </w:r>
            <w:r w:rsidR="001A25B2" w:rsidRPr="00C31CA4">
              <w:t>Relapse at 1 year, n (%)</w:t>
            </w:r>
          </w:p>
        </w:tc>
        <w:tc>
          <w:tcPr>
            <w:tcW w:w="1715" w:type="dxa"/>
            <w:vAlign w:val="center"/>
          </w:tcPr>
          <w:p w14:paraId="15AAFD30" w14:textId="7BABE5AF" w:rsidR="00BB53D3" w:rsidRPr="00C31CA4" w:rsidRDefault="001A25B2" w:rsidP="00224ACF">
            <w:pPr>
              <w:pStyle w:val="TableText0"/>
              <w:jc w:val="center"/>
            </w:pPr>
            <w:r w:rsidRPr="00C31CA4">
              <w:t>5 (5.7%)</w:t>
            </w:r>
          </w:p>
        </w:tc>
        <w:tc>
          <w:tcPr>
            <w:tcW w:w="2287" w:type="dxa"/>
            <w:vAlign w:val="center"/>
          </w:tcPr>
          <w:p w14:paraId="5BBFD28F" w14:textId="739FBF59" w:rsidR="00BB53D3" w:rsidRPr="00C31CA4" w:rsidRDefault="001A25B2" w:rsidP="00224ACF">
            <w:pPr>
              <w:pStyle w:val="TableText0"/>
              <w:jc w:val="center"/>
            </w:pPr>
            <w:r w:rsidRPr="00C31CA4">
              <w:t>7 (17.5%)</w:t>
            </w:r>
          </w:p>
        </w:tc>
        <w:tc>
          <w:tcPr>
            <w:tcW w:w="1485" w:type="dxa"/>
            <w:vAlign w:val="center"/>
          </w:tcPr>
          <w:p w14:paraId="68FD93A9" w14:textId="766BB59B" w:rsidR="00BB53D3" w:rsidRPr="00C31CA4" w:rsidRDefault="001A25B2" w:rsidP="00224ACF">
            <w:pPr>
              <w:pStyle w:val="TableText0"/>
              <w:jc w:val="center"/>
            </w:pPr>
            <w:r w:rsidRPr="00C31CA4">
              <w:t>NR</w:t>
            </w:r>
          </w:p>
        </w:tc>
      </w:tr>
      <w:tr w:rsidR="00922A76" w:rsidRPr="00C31CA4" w14:paraId="5ED0A9A9" w14:textId="77777777" w:rsidTr="001A25B2">
        <w:tc>
          <w:tcPr>
            <w:tcW w:w="3530" w:type="dxa"/>
          </w:tcPr>
          <w:p w14:paraId="13B3266C" w14:textId="77777777" w:rsidR="00922A76" w:rsidRPr="00C31CA4" w:rsidRDefault="00922A76" w:rsidP="00224ACF">
            <w:pPr>
              <w:pStyle w:val="TableText0"/>
              <w:tabs>
                <w:tab w:val="left" w:pos="102"/>
              </w:tabs>
              <w:rPr>
                <w:b/>
                <w:bCs w:val="0"/>
              </w:rPr>
            </w:pPr>
            <w:r w:rsidRPr="00C31CA4">
              <w:rPr>
                <w:b/>
                <w:bCs w:val="0"/>
              </w:rPr>
              <w:t>Fang 2021</w:t>
            </w:r>
          </w:p>
        </w:tc>
        <w:tc>
          <w:tcPr>
            <w:tcW w:w="1715" w:type="dxa"/>
            <w:vAlign w:val="center"/>
          </w:tcPr>
          <w:p w14:paraId="5AD5A8C4" w14:textId="77777777" w:rsidR="00922A76" w:rsidRPr="00C31CA4" w:rsidRDefault="00922A76" w:rsidP="00224ACF">
            <w:pPr>
              <w:pStyle w:val="TableText0"/>
              <w:jc w:val="center"/>
              <w:rPr>
                <w:b/>
                <w:bCs w:val="0"/>
              </w:rPr>
            </w:pPr>
            <w:r w:rsidRPr="00C31CA4">
              <w:rPr>
                <w:b/>
                <w:bCs w:val="0"/>
              </w:rPr>
              <w:t>N = 39</w:t>
            </w:r>
          </w:p>
        </w:tc>
        <w:tc>
          <w:tcPr>
            <w:tcW w:w="2287" w:type="dxa"/>
            <w:vAlign w:val="center"/>
          </w:tcPr>
          <w:p w14:paraId="51B8557F" w14:textId="77777777" w:rsidR="00922A76" w:rsidRPr="00C31CA4" w:rsidRDefault="00922A76" w:rsidP="00224ACF">
            <w:pPr>
              <w:pStyle w:val="TableText0"/>
              <w:jc w:val="center"/>
              <w:rPr>
                <w:b/>
                <w:bCs w:val="0"/>
              </w:rPr>
            </w:pPr>
            <w:r w:rsidRPr="00C31CA4">
              <w:rPr>
                <w:b/>
                <w:bCs w:val="0"/>
              </w:rPr>
              <w:t>N = 18</w:t>
            </w:r>
          </w:p>
        </w:tc>
        <w:tc>
          <w:tcPr>
            <w:tcW w:w="1485" w:type="dxa"/>
            <w:vAlign w:val="center"/>
          </w:tcPr>
          <w:p w14:paraId="27B4D15D" w14:textId="48D77EFD" w:rsidR="00922A76" w:rsidRPr="00C31CA4" w:rsidRDefault="00DC3D64" w:rsidP="00224ACF">
            <w:pPr>
              <w:pStyle w:val="TableText0"/>
              <w:jc w:val="center"/>
            </w:pPr>
            <w:r w:rsidRPr="00C31CA4">
              <w:rPr>
                <w:b/>
                <w:bCs w:val="0"/>
              </w:rPr>
              <w:t>Comparison</w:t>
            </w:r>
          </w:p>
        </w:tc>
      </w:tr>
      <w:tr w:rsidR="00922A76" w:rsidRPr="00C31CA4" w14:paraId="3E575051" w14:textId="77777777" w:rsidTr="001A25B2">
        <w:tc>
          <w:tcPr>
            <w:tcW w:w="3530" w:type="dxa"/>
          </w:tcPr>
          <w:p w14:paraId="0609A02D" w14:textId="77777777" w:rsidR="00922A76" w:rsidRPr="00C31CA4" w:rsidRDefault="00922A76" w:rsidP="00224ACF">
            <w:pPr>
              <w:pStyle w:val="TableText0"/>
              <w:tabs>
                <w:tab w:val="left" w:pos="102"/>
              </w:tabs>
            </w:pPr>
            <w:r w:rsidRPr="00C31CA4">
              <w:tab/>
              <w:t>Complete response at 6 months, n (%)</w:t>
            </w:r>
          </w:p>
        </w:tc>
        <w:tc>
          <w:tcPr>
            <w:tcW w:w="1715" w:type="dxa"/>
            <w:vAlign w:val="center"/>
          </w:tcPr>
          <w:p w14:paraId="3A52816A" w14:textId="77777777" w:rsidR="00922A76" w:rsidRPr="00C31CA4" w:rsidRDefault="00922A76" w:rsidP="00224ACF">
            <w:pPr>
              <w:pStyle w:val="TableText0"/>
              <w:jc w:val="center"/>
              <w:rPr>
                <w:b/>
                <w:bCs w:val="0"/>
              </w:rPr>
            </w:pPr>
            <w:r w:rsidRPr="00C31CA4">
              <w:rPr>
                <w:b/>
                <w:bCs w:val="0"/>
              </w:rPr>
              <w:t>7 (17.9%)</w:t>
            </w:r>
          </w:p>
        </w:tc>
        <w:tc>
          <w:tcPr>
            <w:tcW w:w="2287" w:type="dxa"/>
            <w:vAlign w:val="center"/>
          </w:tcPr>
          <w:p w14:paraId="0A3B99A6" w14:textId="77777777" w:rsidR="00922A76" w:rsidRPr="00C31CA4" w:rsidRDefault="00922A76" w:rsidP="00224ACF">
            <w:pPr>
              <w:pStyle w:val="TableText0"/>
              <w:jc w:val="center"/>
              <w:rPr>
                <w:b/>
                <w:bCs w:val="0"/>
              </w:rPr>
            </w:pPr>
            <w:r w:rsidRPr="00C31CA4">
              <w:rPr>
                <w:b/>
                <w:bCs w:val="0"/>
              </w:rPr>
              <w:t>9 (50.0%)</w:t>
            </w:r>
          </w:p>
        </w:tc>
        <w:tc>
          <w:tcPr>
            <w:tcW w:w="1485" w:type="dxa"/>
            <w:vAlign w:val="center"/>
          </w:tcPr>
          <w:p w14:paraId="2B823C7D" w14:textId="34B5EAEE" w:rsidR="00922A76" w:rsidRPr="00C31CA4" w:rsidRDefault="00D803E4" w:rsidP="00224ACF">
            <w:pPr>
              <w:pStyle w:val="TableText0"/>
              <w:jc w:val="center"/>
              <w:rPr>
                <w:b/>
                <w:bCs w:val="0"/>
              </w:rPr>
            </w:pPr>
            <w:r w:rsidRPr="00C31CA4">
              <w:rPr>
                <w:b/>
                <w:bCs w:val="0"/>
              </w:rPr>
              <w:t>p</w:t>
            </w:r>
            <w:r w:rsidR="00922A76" w:rsidRPr="00C31CA4">
              <w:rPr>
                <w:b/>
                <w:bCs w:val="0"/>
              </w:rPr>
              <w:t xml:space="preserve"> &lt; 0.05</w:t>
            </w:r>
            <w:r w:rsidR="00DC3D64" w:rsidRPr="00C31CA4">
              <w:rPr>
                <w:b/>
                <w:bCs w:val="0"/>
                <w:vertAlign w:val="superscript"/>
              </w:rPr>
              <w:t>c</w:t>
            </w:r>
          </w:p>
        </w:tc>
      </w:tr>
      <w:tr w:rsidR="00922A76" w:rsidRPr="00C31CA4" w14:paraId="2EE4EC67" w14:textId="77777777" w:rsidTr="001A25B2">
        <w:tc>
          <w:tcPr>
            <w:tcW w:w="3530" w:type="dxa"/>
          </w:tcPr>
          <w:p w14:paraId="36B10326" w14:textId="77777777" w:rsidR="00922A76" w:rsidRPr="00C31CA4" w:rsidRDefault="00922A76" w:rsidP="00224ACF">
            <w:pPr>
              <w:pStyle w:val="TableText0"/>
              <w:tabs>
                <w:tab w:val="left" w:pos="102"/>
              </w:tabs>
            </w:pPr>
            <w:r w:rsidRPr="00C31CA4">
              <w:tab/>
              <w:t>Partial response at 6 months, n (%)</w:t>
            </w:r>
          </w:p>
        </w:tc>
        <w:tc>
          <w:tcPr>
            <w:tcW w:w="1715" w:type="dxa"/>
            <w:vAlign w:val="center"/>
          </w:tcPr>
          <w:p w14:paraId="3FD2ACD6" w14:textId="77777777" w:rsidR="00922A76" w:rsidRPr="00C31CA4" w:rsidRDefault="00922A76" w:rsidP="00224ACF">
            <w:pPr>
              <w:pStyle w:val="TableText0"/>
              <w:jc w:val="center"/>
            </w:pPr>
            <w:r w:rsidRPr="00C31CA4">
              <w:t>20 (51.2%)</w:t>
            </w:r>
          </w:p>
        </w:tc>
        <w:tc>
          <w:tcPr>
            <w:tcW w:w="2287" w:type="dxa"/>
            <w:vAlign w:val="center"/>
          </w:tcPr>
          <w:p w14:paraId="103D5407" w14:textId="77777777" w:rsidR="00922A76" w:rsidRPr="00C31CA4" w:rsidRDefault="00922A76" w:rsidP="00224ACF">
            <w:pPr>
              <w:pStyle w:val="TableText0"/>
              <w:jc w:val="center"/>
            </w:pPr>
            <w:r w:rsidRPr="00C31CA4">
              <w:t>8 (44.4%)</w:t>
            </w:r>
          </w:p>
        </w:tc>
        <w:tc>
          <w:tcPr>
            <w:tcW w:w="1485" w:type="dxa"/>
            <w:vAlign w:val="center"/>
          </w:tcPr>
          <w:p w14:paraId="1BCD528F" w14:textId="4F6B6BF1" w:rsidR="00922A76" w:rsidRPr="00C31CA4" w:rsidRDefault="00DC3D64" w:rsidP="00224ACF">
            <w:pPr>
              <w:pStyle w:val="TableText0"/>
              <w:jc w:val="center"/>
            </w:pPr>
            <w:r w:rsidRPr="00C31CA4">
              <w:t>-</w:t>
            </w:r>
          </w:p>
        </w:tc>
      </w:tr>
      <w:tr w:rsidR="00922A76" w:rsidRPr="00C31CA4" w14:paraId="42755AB3" w14:textId="77777777" w:rsidTr="001A25B2">
        <w:tc>
          <w:tcPr>
            <w:tcW w:w="3530" w:type="dxa"/>
          </w:tcPr>
          <w:p w14:paraId="1F4DE497" w14:textId="77777777" w:rsidR="00922A76" w:rsidRPr="00C31CA4" w:rsidRDefault="00922A76" w:rsidP="00224ACF">
            <w:pPr>
              <w:pStyle w:val="TableText0"/>
              <w:tabs>
                <w:tab w:val="left" w:pos="102"/>
              </w:tabs>
            </w:pPr>
            <w:r w:rsidRPr="00C31CA4">
              <w:tab/>
              <w:t>Survival at 2 years, n (%)</w:t>
            </w:r>
          </w:p>
        </w:tc>
        <w:tc>
          <w:tcPr>
            <w:tcW w:w="1715" w:type="dxa"/>
            <w:vAlign w:val="center"/>
          </w:tcPr>
          <w:p w14:paraId="0A473F0A" w14:textId="77777777" w:rsidR="00922A76" w:rsidRPr="00C31CA4" w:rsidRDefault="00922A76" w:rsidP="00224ACF">
            <w:pPr>
              <w:pStyle w:val="TableText0"/>
              <w:jc w:val="center"/>
            </w:pPr>
            <w:r w:rsidRPr="00C31CA4">
              <w:t>36 (92.3%)</w:t>
            </w:r>
          </w:p>
        </w:tc>
        <w:tc>
          <w:tcPr>
            <w:tcW w:w="2287" w:type="dxa"/>
            <w:vAlign w:val="center"/>
          </w:tcPr>
          <w:p w14:paraId="6A4A0F5D" w14:textId="77777777" w:rsidR="00922A76" w:rsidRPr="00C31CA4" w:rsidRDefault="00922A76" w:rsidP="00224ACF">
            <w:pPr>
              <w:pStyle w:val="TableText0"/>
              <w:jc w:val="center"/>
            </w:pPr>
            <w:r w:rsidRPr="00C31CA4">
              <w:t>18 (100%)</w:t>
            </w:r>
          </w:p>
        </w:tc>
        <w:tc>
          <w:tcPr>
            <w:tcW w:w="1485" w:type="dxa"/>
            <w:vAlign w:val="center"/>
          </w:tcPr>
          <w:p w14:paraId="363C4D7C" w14:textId="6718D1BE" w:rsidR="00922A76" w:rsidRPr="00C31CA4" w:rsidRDefault="00DC3D64" w:rsidP="00224ACF">
            <w:pPr>
              <w:pStyle w:val="TableText0"/>
              <w:jc w:val="center"/>
            </w:pPr>
            <w:r w:rsidRPr="00C31CA4">
              <w:t>-</w:t>
            </w:r>
          </w:p>
        </w:tc>
      </w:tr>
      <w:tr w:rsidR="00922A76" w:rsidRPr="00C31CA4" w14:paraId="1553D6A0" w14:textId="77777777" w:rsidTr="001A25B2">
        <w:tc>
          <w:tcPr>
            <w:tcW w:w="3530" w:type="dxa"/>
          </w:tcPr>
          <w:p w14:paraId="2B2557E6" w14:textId="77777777" w:rsidR="00922A76" w:rsidRPr="00C31CA4" w:rsidRDefault="00922A76" w:rsidP="00224ACF">
            <w:pPr>
              <w:pStyle w:val="TableText0"/>
              <w:tabs>
                <w:tab w:val="left" w:pos="102"/>
              </w:tabs>
            </w:pPr>
            <w:r w:rsidRPr="00C31CA4">
              <w:rPr>
                <w:b/>
                <w:bCs w:val="0"/>
              </w:rPr>
              <w:t>Lesmana 2021</w:t>
            </w:r>
          </w:p>
        </w:tc>
        <w:tc>
          <w:tcPr>
            <w:tcW w:w="1715" w:type="dxa"/>
            <w:vAlign w:val="center"/>
          </w:tcPr>
          <w:p w14:paraId="52A9E859" w14:textId="77777777" w:rsidR="00922A76" w:rsidRPr="00C31CA4" w:rsidRDefault="00922A76" w:rsidP="00224ACF">
            <w:pPr>
              <w:pStyle w:val="TableText0"/>
              <w:jc w:val="center"/>
              <w:rPr>
                <w:b/>
                <w:bCs w:val="0"/>
              </w:rPr>
            </w:pPr>
            <w:r w:rsidRPr="00C31CA4">
              <w:rPr>
                <w:b/>
                <w:bCs w:val="0"/>
              </w:rPr>
              <w:t>N = 14</w:t>
            </w:r>
          </w:p>
        </w:tc>
        <w:tc>
          <w:tcPr>
            <w:tcW w:w="2287" w:type="dxa"/>
            <w:vAlign w:val="center"/>
          </w:tcPr>
          <w:p w14:paraId="5B437758" w14:textId="77777777" w:rsidR="00922A76" w:rsidRPr="00C31CA4" w:rsidRDefault="00922A76" w:rsidP="00224ACF">
            <w:pPr>
              <w:pStyle w:val="TableText0"/>
              <w:jc w:val="center"/>
              <w:rPr>
                <w:b/>
                <w:bCs w:val="0"/>
              </w:rPr>
            </w:pPr>
            <w:r w:rsidRPr="00C31CA4">
              <w:rPr>
                <w:b/>
                <w:bCs w:val="0"/>
              </w:rPr>
              <w:t>N = 7</w:t>
            </w:r>
          </w:p>
        </w:tc>
        <w:tc>
          <w:tcPr>
            <w:tcW w:w="1485" w:type="dxa"/>
            <w:vAlign w:val="center"/>
          </w:tcPr>
          <w:p w14:paraId="46466314" w14:textId="0E2F80C3" w:rsidR="00922A76" w:rsidRPr="00C31CA4" w:rsidRDefault="00DC3D64" w:rsidP="00224ACF">
            <w:pPr>
              <w:pStyle w:val="TableText0"/>
              <w:jc w:val="center"/>
            </w:pPr>
            <w:r w:rsidRPr="00C31CA4">
              <w:rPr>
                <w:b/>
                <w:bCs w:val="0"/>
              </w:rPr>
              <w:t>Comparison</w:t>
            </w:r>
          </w:p>
        </w:tc>
      </w:tr>
      <w:tr w:rsidR="00922A76" w:rsidRPr="00C31CA4" w14:paraId="10E22EDD" w14:textId="77777777" w:rsidTr="001A25B2">
        <w:tc>
          <w:tcPr>
            <w:tcW w:w="3530" w:type="dxa"/>
          </w:tcPr>
          <w:p w14:paraId="4C5D823B" w14:textId="77777777" w:rsidR="00922A76" w:rsidRPr="00C31CA4" w:rsidRDefault="00922A76" w:rsidP="00224ACF">
            <w:pPr>
              <w:pStyle w:val="TableText0"/>
              <w:tabs>
                <w:tab w:val="left" w:pos="102"/>
              </w:tabs>
            </w:pPr>
            <w:r w:rsidRPr="00C31CA4">
              <w:tab/>
              <w:t>Complete response at 6 months, n (%)</w:t>
            </w:r>
          </w:p>
        </w:tc>
        <w:tc>
          <w:tcPr>
            <w:tcW w:w="1715" w:type="dxa"/>
            <w:vAlign w:val="center"/>
          </w:tcPr>
          <w:p w14:paraId="3A59DD90" w14:textId="77777777" w:rsidR="00922A76" w:rsidRPr="00C31CA4" w:rsidRDefault="00922A76" w:rsidP="00224ACF">
            <w:pPr>
              <w:pStyle w:val="TableText0"/>
              <w:jc w:val="center"/>
            </w:pPr>
            <w:r w:rsidRPr="00C31CA4">
              <w:t>4 (29%)</w:t>
            </w:r>
          </w:p>
        </w:tc>
        <w:tc>
          <w:tcPr>
            <w:tcW w:w="2287" w:type="dxa"/>
            <w:vAlign w:val="center"/>
          </w:tcPr>
          <w:p w14:paraId="2495A5C5" w14:textId="77777777" w:rsidR="00922A76" w:rsidRPr="00C31CA4" w:rsidRDefault="00922A76" w:rsidP="00224ACF">
            <w:pPr>
              <w:pStyle w:val="TableText0"/>
              <w:jc w:val="center"/>
            </w:pPr>
            <w:r w:rsidRPr="00C31CA4">
              <w:t>2 (29%)</w:t>
            </w:r>
          </w:p>
        </w:tc>
        <w:tc>
          <w:tcPr>
            <w:tcW w:w="1485" w:type="dxa"/>
            <w:vAlign w:val="center"/>
          </w:tcPr>
          <w:p w14:paraId="1C0542D9" w14:textId="3E335405" w:rsidR="00922A76" w:rsidRPr="00C31CA4" w:rsidRDefault="00DC3D64" w:rsidP="00224ACF">
            <w:pPr>
              <w:pStyle w:val="TableText0"/>
              <w:jc w:val="center"/>
            </w:pPr>
            <w:r w:rsidRPr="00C31CA4">
              <w:t>-</w:t>
            </w:r>
          </w:p>
        </w:tc>
      </w:tr>
      <w:tr w:rsidR="00922A76" w:rsidRPr="00C31CA4" w14:paraId="5A088685" w14:textId="77777777" w:rsidTr="001A25B2">
        <w:tc>
          <w:tcPr>
            <w:tcW w:w="3530" w:type="dxa"/>
          </w:tcPr>
          <w:p w14:paraId="502C9852" w14:textId="77777777" w:rsidR="00922A76" w:rsidRPr="00C31CA4" w:rsidRDefault="00922A76" w:rsidP="00224ACF">
            <w:pPr>
              <w:pStyle w:val="TableText0"/>
              <w:tabs>
                <w:tab w:val="left" w:pos="102"/>
              </w:tabs>
            </w:pPr>
            <w:r w:rsidRPr="00C31CA4">
              <w:tab/>
              <w:t>Complete response at 12 months, n (%)</w:t>
            </w:r>
          </w:p>
        </w:tc>
        <w:tc>
          <w:tcPr>
            <w:tcW w:w="1715" w:type="dxa"/>
            <w:vAlign w:val="center"/>
          </w:tcPr>
          <w:p w14:paraId="59DC58EE" w14:textId="77777777" w:rsidR="00922A76" w:rsidRPr="00C31CA4" w:rsidRDefault="00922A76" w:rsidP="00224ACF">
            <w:pPr>
              <w:pStyle w:val="TableText0"/>
              <w:jc w:val="center"/>
            </w:pPr>
            <w:r w:rsidRPr="00C31CA4">
              <w:t>7 (50%)</w:t>
            </w:r>
          </w:p>
        </w:tc>
        <w:tc>
          <w:tcPr>
            <w:tcW w:w="2287" w:type="dxa"/>
            <w:vAlign w:val="center"/>
          </w:tcPr>
          <w:p w14:paraId="754C85D0" w14:textId="77777777" w:rsidR="00922A76" w:rsidRPr="00C31CA4" w:rsidRDefault="00922A76" w:rsidP="00224ACF">
            <w:pPr>
              <w:pStyle w:val="TableText0"/>
              <w:jc w:val="center"/>
            </w:pPr>
            <w:r w:rsidRPr="00C31CA4">
              <w:t>2 (29%)</w:t>
            </w:r>
          </w:p>
        </w:tc>
        <w:tc>
          <w:tcPr>
            <w:tcW w:w="1485" w:type="dxa"/>
            <w:vAlign w:val="center"/>
          </w:tcPr>
          <w:p w14:paraId="13B67739" w14:textId="72F30BA8" w:rsidR="00922A76" w:rsidRPr="00C31CA4" w:rsidRDefault="00D803E4" w:rsidP="00224ACF">
            <w:pPr>
              <w:pStyle w:val="TableText0"/>
              <w:jc w:val="center"/>
            </w:pPr>
            <w:r w:rsidRPr="00C31CA4">
              <w:t>p</w:t>
            </w:r>
            <w:r w:rsidR="00922A76" w:rsidRPr="00C31CA4">
              <w:t xml:space="preserve"> = 0.35</w:t>
            </w:r>
            <w:r w:rsidR="00DC3D64" w:rsidRPr="00C31CA4">
              <w:rPr>
                <w:vertAlign w:val="superscript"/>
              </w:rPr>
              <w:t>c</w:t>
            </w:r>
          </w:p>
        </w:tc>
      </w:tr>
      <w:tr w:rsidR="00BE4BD2" w:rsidRPr="00C31CA4" w14:paraId="2D64D97C" w14:textId="77777777" w:rsidTr="001A25B2">
        <w:tc>
          <w:tcPr>
            <w:tcW w:w="3530" w:type="dxa"/>
          </w:tcPr>
          <w:p w14:paraId="5C4AD5AC" w14:textId="67AFD191" w:rsidR="00BE4BD2" w:rsidRPr="00C31CA4" w:rsidRDefault="00BE4BD2" w:rsidP="00224ACF">
            <w:pPr>
              <w:pStyle w:val="TableText0"/>
              <w:tabs>
                <w:tab w:val="left" w:pos="102"/>
              </w:tabs>
              <w:rPr>
                <w:b/>
                <w:bCs w:val="0"/>
              </w:rPr>
            </w:pPr>
            <w:r w:rsidRPr="00C31CA4">
              <w:rPr>
                <w:b/>
                <w:bCs w:val="0"/>
              </w:rPr>
              <w:t>Filippidou 2020</w:t>
            </w:r>
          </w:p>
        </w:tc>
        <w:tc>
          <w:tcPr>
            <w:tcW w:w="1715" w:type="dxa"/>
            <w:vMerge w:val="restart"/>
            <w:vAlign w:val="center"/>
          </w:tcPr>
          <w:p w14:paraId="3DF418B4" w14:textId="561757F1" w:rsidR="00BE4BD2" w:rsidRPr="00C31CA4" w:rsidRDefault="00BE4BD2" w:rsidP="00224ACF">
            <w:pPr>
              <w:pStyle w:val="TableText0"/>
              <w:jc w:val="center"/>
            </w:pPr>
            <w:r w:rsidRPr="00C31CA4">
              <w:t>NA</w:t>
            </w:r>
          </w:p>
        </w:tc>
        <w:tc>
          <w:tcPr>
            <w:tcW w:w="2287" w:type="dxa"/>
            <w:vAlign w:val="center"/>
          </w:tcPr>
          <w:p w14:paraId="58647679" w14:textId="2C0BCCAE" w:rsidR="00BE4BD2" w:rsidRPr="00C31CA4" w:rsidRDefault="00BE4BD2" w:rsidP="00224ACF">
            <w:pPr>
              <w:pStyle w:val="TableText0"/>
              <w:jc w:val="center"/>
              <w:rPr>
                <w:b/>
                <w:bCs w:val="0"/>
              </w:rPr>
            </w:pPr>
            <w:r w:rsidRPr="00C31CA4">
              <w:rPr>
                <w:b/>
                <w:bCs w:val="0"/>
              </w:rPr>
              <w:t>N = 11</w:t>
            </w:r>
          </w:p>
        </w:tc>
        <w:tc>
          <w:tcPr>
            <w:tcW w:w="1485" w:type="dxa"/>
            <w:vMerge w:val="restart"/>
            <w:vAlign w:val="center"/>
          </w:tcPr>
          <w:p w14:paraId="2121EBEE" w14:textId="28F5244F" w:rsidR="00BE4BD2" w:rsidRPr="00C31CA4" w:rsidRDefault="00BE4BD2" w:rsidP="00224ACF">
            <w:pPr>
              <w:pStyle w:val="TableText0"/>
              <w:jc w:val="center"/>
            </w:pPr>
            <w:r w:rsidRPr="00C31CA4">
              <w:t>NA</w:t>
            </w:r>
          </w:p>
        </w:tc>
      </w:tr>
      <w:tr w:rsidR="00BE4BD2" w:rsidRPr="00C31CA4" w14:paraId="45B8CEA1" w14:textId="77777777" w:rsidTr="001A25B2">
        <w:tc>
          <w:tcPr>
            <w:tcW w:w="3530" w:type="dxa"/>
          </w:tcPr>
          <w:p w14:paraId="4B105A59" w14:textId="0304C6AF" w:rsidR="00BE4BD2" w:rsidRPr="00C31CA4" w:rsidRDefault="00BE4BD2" w:rsidP="00224ACF">
            <w:pPr>
              <w:pStyle w:val="TableText0"/>
              <w:tabs>
                <w:tab w:val="left" w:pos="102"/>
              </w:tabs>
            </w:pPr>
            <w:r w:rsidRPr="00C31CA4">
              <w:t xml:space="preserve">  Complete response at 3 months, n (%)</w:t>
            </w:r>
          </w:p>
        </w:tc>
        <w:tc>
          <w:tcPr>
            <w:tcW w:w="1715" w:type="dxa"/>
            <w:vMerge/>
            <w:vAlign w:val="center"/>
          </w:tcPr>
          <w:p w14:paraId="4D66F6ED" w14:textId="77777777" w:rsidR="00BE4BD2" w:rsidRPr="00C31CA4" w:rsidRDefault="00BE4BD2" w:rsidP="00224ACF">
            <w:pPr>
              <w:pStyle w:val="TableText0"/>
              <w:jc w:val="center"/>
            </w:pPr>
          </w:p>
        </w:tc>
        <w:tc>
          <w:tcPr>
            <w:tcW w:w="2287" w:type="dxa"/>
            <w:vAlign w:val="center"/>
          </w:tcPr>
          <w:p w14:paraId="021BBFD6" w14:textId="6DECE5F3" w:rsidR="00BE4BD2" w:rsidRPr="00C31CA4" w:rsidRDefault="00BE4BD2" w:rsidP="00224ACF">
            <w:pPr>
              <w:pStyle w:val="TableText0"/>
              <w:jc w:val="center"/>
            </w:pPr>
            <w:r w:rsidRPr="00C31CA4">
              <w:t>1 (9.1%)</w:t>
            </w:r>
          </w:p>
        </w:tc>
        <w:tc>
          <w:tcPr>
            <w:tcW w:w="1485" w:type="dxa"/>
            <w:vMerge/>
            <w:vAlign w:val="center"/>
          </w:tcPr>
          <w:p w14:paraId="7D9B3122" w14:textId="77777777" w:rsidR="00BE4BD2" w:rsidRPr="00C31CA4" w:rsidRDefault="00BE4BD2" w:rsidP="00224ACF">
            <w:pPr>
              <w:pStyle w:val="TableText0"/>
              <w:jc w:val="center"/>
            </w:pPr>
          </w:p>
        </w:tc>
      </w:tr>
      <w:tr w:rsidR="00BE4BD2" w:rsidRPr="00C31CA4" w14:paraId="792ACBBA" w14:textId="77777777" w:rsidTr="001A25B2">
        <w:tc>
          <w:tcPr>
            <w:tcW w:w="3530" w:type="dxa"/>
          </w:tcPr>
          <w:p w14:paraId="191CA543" w14:textId="17F27100" w:rsidR="00BE4BD2" w:rsidRPr="00C31CA4" w:rsidRDefault="00BE4BD2" w:rsidP="00224ACF">
            <w:pPr>
              <w:pStyle w:val="TableText0"/>
              <w:tabs>
                <w:tab w:val="left" w:pos="102"/>
              </w:tabs>
            </w:pPr>
            <w:r w:rsidRPr="00C31CA4">
              <w:t xml:space="preserve">  Partial response at 3 months, n (%)</w:t>
            </w:r>
          </w:p>
        </w:tc>
        <w:tc>
          <w:tcPr>
            <w:tcW w:w="1715" w:type="dxa"/>
            <w:vMerge/>
            <w:vAlign w:val="center"/>
          </w:tcPr>
          <w:p w14:paraId="7AFCC5BE" w14:textId="77777777" w:rsidR="00BE4BD2" w:rsidRPr="00C31CA4" w:rsidRDefault="00BE4BD2" w:rsidP="00224ACF">
            <w:pPr>
              <w:pStyle w:val="TableText0"/>
              <w:jc w:val="center"/>
            </w:pPr>
          </w:p>
        </w:tc>
        <w:tc>
          <w:tcPr>
            <w:tcW w:w="2287" w:type="dxa"/>
            <w:vAlign w:val="center"/>
          </w:tcPr>
          <w:p w14:paraId="4E3AF206" w14:textId="2243B1E4" w:rsidR="00BE4BD2" w:rsidRPr="00C31CA4" w:rsidRDefault="00BE4BD2" w:rsidP="00224ACF">
            <w:pPr>
              <w:pStyle w:val="TableText0"/>
              <w:jc w:val="center"/>
            </w:pPr>
            <w:r w:rsidRPr="00C31CA4">
              <w:t>8 (72.7%)</w:t>
            </w:r>
          </w:p>
        </w:tc>
        <w:tc>
          <w:tcPr>
            <w:tcW w:w="1485" w:type="dxa"/>
            <w:vMerge/>
            <w:vAlign w:val="center"/>
          </w:tcPr>
          <w:p w14:paraId="4663AE84" w14:textId="77777777" w:rsidR="00BE4BD2" w:rsidRPr="00C31CA4" w:rsidRDefault="00BE4BD2" w:rsidP="00224ACF">
            <w:pPr>
              <w:pStyle w:val="TableText0"/>
              <w:jc w:val="center"/>
            </w:pPr>
          </w:p>
        </w:tc>
      </w:tr>
      <w:tr w:rsidR="00BE4BD2" w:rsidRPr="00C31CA4" w14:paraId="642C3D33" w14:textId="77777777" w:rsidTr="001A25B2">
        <w:tc>
          <w:tcPr>
            <w:tcW w:w="3530" w:type="dxa"/>
          </w:tcPr>
          <w:p w14:paraId="377DEFFA" w14:textId="6FFDBDD9" w:rsidR="00BE4BD2" w:rsidRPr="00C31CA4" w:rsidRDefault="00BE4BD2" w:rsidP="00224ACF">
            <w:pPr>
              <w:pStyle w:val="TableText0"/>
              <w:tabs>
                <w:tab w:val="left" w:pos="102"/>
              </w:tabs>
              <w:rPr>
                <w:b/>
                <w:bCs w:val="0"/>
              </w:rPr>
            </w:pPr>
            <w:r w:rsidRPr="00C31CA4">
              <w:rPr>
                <w:b/>
                <w:bCs w:val="0"/>
              </w:rPr>
              <w:t>Su 2021</w:t>
            </w:r>
          </w:p>
        </w:tc>
        <w:tc>
          <w:tcPr>
            <w:tcW w:w="1715" w:type="dxa"/>
            <w:vMerge w:val="restart"/>
            <w:vAlign w:val="center"/>
          </w:tcPr>
          <w:p w14:paraId="756C265B" w14:textId="76BFFBC4" w:rsidR="00BE4BD2" w:rsidRPr="00C31CA4" w:rsidRDefault="00BE4BD2" w:rsidP="00224ACF">
            <w:pPr>
              <w:pStyle w:val="TableText0"/>
              <w:jc w:val="center"/>
            </w:pPr>
            <w:r w:rsidRPr="00C31CA4">
              <w:t>NA</w:t>
            </w:r>
          </w:p>
        </w:tc>
        <w:tc>
          <w:tcPr>
            <w:tcW w:w="2287" w:type="dxa"/>
            <w:vAlign w:val="center"/>
          </w:tcPr>
          <w:p w14:paraId="51085769" w14:textId="480F8A49" w:rsidR="00BE4BD2" w:rsidRPr="00C31CA4" w:rsidRDefault="00BE4BD2" w:rsidP="00224ACF">
            <w:pPr>
              <w:pStyle w:val="TableText0"/>
              <w:jc w:val="center"/>
              <w:rPr>
                <w:b/>
                <w:bCs w:val="0"/>
              </w:rPr>
            </w:pPr>
            <w:r w:rsidRPr="00C31CA4">
              <w:rPr>
                <w:b/>
                <w:bCs w:val="0"/>
              </w:rPr>
              <w:t>N = 5</w:t>
            </w:r>
          </w:p>
        </w:tc>
        <w:tc>
          <w:tcPr>
            <w:tcW w:w="1485" w:type="dxa"/>
            <w:vMerge w:val="restart"/>
            <w:vAlign w:val="center"/>
          </w:tcPr>
          <w:p w14:paraId="480E35A1" w14:textId="448D75E9" w:rsidR="00BE4BD2" w:rsidRPr="00C31CA4" w:rsidRDefault="00BE4BD2" w:rsidP="00224ACF">
            <w:pPr>
              <w:pStyle w:val="TableText0"/>
              <w:jc w:val="center"/>
            </w:pPr>
            <w:r w:rsidRPr="00C31CA4">
              <w:t>NA</w:t>
            </w:r>
          </w:p>
        </w:tc>
      </w:tr>
      <w:tr w:rsidR="00BE4BD2" w:rsidRPr="00C31CA4" w14:paraId="47846AA9" w14:textId="77777777" w:rsidTr="001A25B2">
        <w:tc>
          <w:tcPr>
            <w:tcW w:w="3530" w:type="dxa"/>
          </w:tcPr>
          <w:p w14:paraId="18B854E2" w14:textId="047B1B87" w:rsidR="00BE4BD2" w:rsidRPr="00C31CA4" w:rsidRDefault="00BE4BD2" w:rsidP="00224ACF">
            <w:pPr>
              <w:pStyle w:val="TableText0"/>
              <w:tabs>
                <w:tab w:val="left" w:pos="102"/>
              </w:tabs>
            </w:pPr>
            <w:r w:rsidRPr="00C31CA4">
              <w:t xml:space="preserve">  Complete response at 3 months, n (%)</w:t>
            </w:r>
          </w:p>
        </w:tc>
        <w:tc>
          <w:tcPr>
            <w:tcW w:w="1715" w:type="dxa"/>
            <w:vMerge/>
            <w:vAlign w:val="center"/>
          </w:tcPr>
          <w:p w14:paraId="729D2888" w14:textId="77777777" w:rsidR="00BE4BD2" w:rsidRPr="00C31CA4" w:rsidRDefault="00BE4BD2" w:rsidP="00224ACF">
            <w:pPr>
              <w:pStyle w:val="TableText0"/>
              <w:jc w:val="center"/>
            </w:pPr>
          </w:p>
        </w:tc>
        <w:tc>
          <w:tcPr>
            <w:tcW w:w="2287" w:type="dxa"/>
            <w:vAlign w:val="center"/>
          </w:tcPr>
          <w:p w14:paraId="1228DFB9" w14:textId="75F91B75" w:rsidR="00BE4BD2" w:rsidRPr="00C31CA4" w:rsidRDefault="00BE4BD2" w:rsidP="00224ACF">
            <w:pPr>
              <w:pStyle w:val="TableText0"/>
              <w:jc w:val="center"/>
            </w:pPr>
            <w:r w:rsidRPr="00C31CA4">
              <w:t>2 (40.0%)</w:t>
            </w:r>
          </w:p>
        </w:tc>
        <w:tc>
          <w:tcPr>
            <w:tcW w:w="1485" w:type="dxa"/>
            <w:vMerge/>
            <w:vAlign w:val="center"/>
          </w:tcPr>
          <w:p w14:paraId="451B687D" w14:textId="77777777" w:rsidR="00BE4BD2" w:rsidRPr="00C31CA4" w:rsidRDefault="00BE4BD2" w:rsidP="00224ACF">
            <w:pPr>
              <w:pStyle w:val="TableText0"/>
              <w:jc w:val="center"/>
            </w:pPr>
          </w:p>
        </w:tc>
      </w:tr>
      <w:tr w:rsidR="00BE4BD2" w:rsidRPr="00C31CA4" w14:paraId="4BFCCC3A" w14:textId="77777777" w:rsidTr="001A25B2">
        <w:tc>
          <w:tcPr>
            <w:tcW w:w="3530" w:type="dxa"/>
          </w:tcPr>
          <w:p w14:paraId="4AFB4B07" w14:textId="548F5F72" w:rsidR="00BE4BD2" w:rsidRPr="00C31CA4" w:rsidRDefault="00BE4BD2" w:rsidP="00224ACF">
            <w:pPr>
              <w:pStyle w:val="TableText0"/>
              <w:tabs>
                <w:tab w:val="left" w:pos="102"/>
              </w:tabs>
            </w:pPr>
            <w:r w:rsidRPr="00C31CA4">
              <w:t xml:space="preserve">  Partial response at 3 months, n (%)</w:t>
            </w:r>
          </w:p>
        </w:tc>
        <w:tc>
          <w:tcPr>
            <w:tcW w:w="1715" w:type="dxa"/>
            <w:vMerge/>
            <w:vAlign w:val="center"/>
          </w:tcPr>
          <w:p w14:paraId="257A3352" w14:textId="77777777" w:rsidR="00BE4BD2" w:rsidRPr="00C31CA4" w:rsidRDefault="00BE4BD2" w:rsidP="00224ACF">
            <w:pPr>
              <w:pStyle w:val="TableText0"/>
              <w:jc w:val="center"/>
            </w:pPr>
          </w:p>
        </w:tc>
        <w:tc>
          <w:tcPr>
            <w:tcW w:w="2287" w:type="dxa"/>
            <w:vAlign w:val="center"/>
          </w:tcPr>
          <w:p w14:paraId="5C0F9A38" w14:textId="2B776E53" w:rsidR="00BE4BD2" w:rsidRPr="00C31CA4" w:rsidRDefault="00BE4BD2" w:rsidP="00224ACF">
            <w:pPr>
              <w:pStyle w:val="TableText0"/>
              <w:jc w:val="center"/>
            </w:pPr>
            <w:r w:rsidRPr="00C31CA4">
              <w:t>2 (40.0%)</w:t>
            </w:r>
          </w:p>
        </w:tc>
        <w:tc>
          <w:tcPr>
            <w:tcW w:w="1485" w:type="dxa"/>
            <w:vMerge/>
            <w:vAlign w:val="center"/>
          </w:tcPr>
          <w:p w14:paraId="5D9C307B" w14:textId="77777777" w:rsidR="00BE4BD2" w:rsidRPr="00C31CA4" w:rsidRDefault="00BE4BD2" w:rsidP="00224ACF">
            <w:pPr>
              <w:pStyle w:val="TableText0"/>
              <w:jc w:val="center"/>
            </w:pPr>
          </w:p>
        </w:tc>
      </w:tr>
      <w:tr w:rsidR="00D05D51" w:rsidRPr="00C31CA4" w14:paraId="043A9E12" w14:textId="77777777" w:rsidTr="00CF0838">
        <w:tc>
          <w:tcPr>
            <w:tcW w:w="3530" w:type="dxa"/>
          </w:tcPr>
          <w:p w14:paraId="4E998269" w14:textId="504CD12F" w:rsidR="00D05D51" w:rsidRPr="00C31CA4" w:rsidRDefault="00D05D51" w:rsidP="00224ACF">
            <w:pPr>
              <w:pStyle w:val="TableText0"/>
              <w:tabs>
                <w:tab w:val="left" w:pos="102"/>
              </w:tabs>
              <w:rPr>
                <w:b/>
                <w:bCs w:val="0"/>
              </w:rPr>
            </w:pPr>
            <w:r w:rsidRPr="00C31CA4">
              <w:rPr>
                <w:b/>
                <w:bCs w:val="0"/>
              </w:rPr>
              <w:t>Jie 2021</w:t>
            </w:r>
          </w:p>
        </w:tc>
        <w:tc>
          <w:tcPr>
            <w:tcW w:w="1715" w:type="dxa"/>
            <w:vAlign w:val="center"/>
          </w:tcPr>
          <w:p w14:paraId="722CDCCB" w14:textId="31218BE3" w:rsidR="00D05D51" w:rsidRPr="00C31CA4" w:rsidRDefault="00D05D51" w:rsidP="00224ACF">
            <w:pPr>
              <w:pStyle w:val="TableText0"/>
              <w:jc w:val="center"/>
              <w:rPr>
                <w:b/>
                <w:bCs w:val="0"/>
              </w:rPr>
            </w:pPr>
            <w:r w:rsidRPr="00C31CA4">
              <w:rPr>
                <w:b/>
                <w:bCs w:val="0"/>
              </w:rPr>
              <w:t>N = 28</w:t>
            </w:r>
          </w:p>
        </w:tc>
        <w:tc>
          <w:tcPr>
            <w:tcW w:w="2287" w:type="dxa"/>
            <w:vAlign w:val="center"/>
          </w:tcPr>
          <w:p w14:paraId="3E1F521B" w14:textId="7E07135B" w:rsidR="00D05D51" w:rsidRPr="00C31CA4" w:rsidRDefault="00D05D51" w:rsidP="00224ACF">
            <w:pPr>
              <w:pStyle w:val="TableText0"/>
              <w:jc w:val="center"/>
              <w:rPr>
                <w:b/>
                <w:bCs w:val="0"/>
              </w:rPr>
            </w:pPr>
            <w:r w:rsidRPr="00C31CA4">
              <w:rPr>
                <w:b/>
                <w:bCs w:val="0"/>
              </w:rPr>
              <w:t>N = 14</w:t>
            </w:r>
          </w:p>
        </w:tc>
        <w:tc>
          <w:tcPr>
            <w:tcW w:w="1485" w:type="dxa"/>
            <w:vMerge w:val="restart"/>
            <w:vAlign w:val="center"/>
          </w:tcPr>
          <w:p w14:paraId="6CDDD0CE" w14:textId="77777777" w:rsidR="00D05D51" w:rsidRPr="00C31CA4" w:rsidRDefault="00D05D51" w:rsidP="00224ACF">
            <w:pPr>
              <w:pStyle w:val="TableText0"/>
              <w:jc w:val="center"/>
            </w:pPr>
            <w:r w:rsidRPr="00C31CA4">
              <w:t>NA</w:t>
            </w:r>
          </w:p>
          <w:p w14:paraId="529DA11C" w14:textId="344B0167" w:rsidR="00D05D51" w:rsidRPr="00C31CA4" w:rsidRDefault="00D05D51" w:rsidP="00224ACF">
            <w:pPr>
              <w:pStyle w:val="TableText0"/>
              <w:jc w:val="center"/>
              <w:rPr>
                <w:b/>
                <w:bCs w:val="0"/>
              </w:rPr>
            </w:pPr>
          </w:p>
        </w:tc>
      </w:tr>
      <w:tr w:rsidR="00D05D51" w:rsidRPr="00C31CA4" w14:paraId="2FD4C600" w14:textId="77777777" w:rsidTr="00CF0838">
        <w:tc>
          <w:tcPr>
            <w:tcW w:w="3530" w:type="dxa"/>
          </w:tcPr>
          <w:p w14:paraId="3EEBBD5D" w14:textId="217B8724" w:rsidR="00D05D51" w:rsidRPr="00C31CA4" w:rsidRDefault="00D05D51" w:rsidP="00224ACF">
            <w:pPr>
              <w:pStyle w:val="TableText0"/>
              <w:tabs>
                <w:tab w:val="left" w:pos="102"/>
              </w:tabs>
            </w:pPr>
            <w:r w:rsidRPr="00C31CA4">
              <w:t xml:space="preserve">  Complete response at 3 months, n (%)</w:t>
            </w:r>
          </w:p>
        </w:tc>
        <w:tc>
          <w:tcPr>
            <w:tcW w:w="1715" w:type="dxa"/>
            <w:vAlign w:val="center"/>
          </w:tcPr>
          <w:p w14:paraId="74CC7D7C" w14:textId="1403184C" w:rsidR="00D05D51" w:rsidRPr="00C31CA4" w:rsidRDefault="00D05D51" w:rsidP="00224ACF">
            <w:pPr>
              <w:pStyle w:val="TableText0"/>
              <w:jc w:val="center"/>
            </w:pPr>
            <w:r w:rsidRPr="00C31CA4">
              <w:t>3 (10.7%)</w:t>
            </w:r>
          </w:p>
        </w:tc>
        <w:tc>
          <w:tcPr>
            <w:tcW w:w="2287" w:type="dxa"/>
            <w:vAlign w:val="center"/>
          </w:tcPr>
          <w:p w14:paraId="63F7030B" w14:textId="3F22B230" w:rsidR="00D05D51" w:rsidRPr="00C31CA4" w:rsidRDefault="00D05D51" w:rsidP="00224ACF">
            <w:pPr>
              <w:pStyle w:val="TableText0"/>
              <w:jc w:val="center"/>
            </w:pPr>
            <w:r w:rsidRPr="00C31CA4">
              <w:t>1 (7.1%)</w:t>
            </w:r>
          </w:p>
        </w:tc>
        <w:tc>
          <w:tcPr>
            <w:tcW w:w="1485" w:type="dxa"/>
            <w:vMerge/>
            <w:vAlign w:val="center"/>
          </w:tcPr>
          <w:p w14:paraId="163CA6B9" w14:textId="3DDD4646" w:rsidR="00D05D51" w:rsidRPr="00C31CA4" w:rsidRDefault="00D05D51" w:rsidP="00224ACF">
            <w:pPr>
              <w:pStyle w:val="TableText0"/>
              <w:jc w:val="center"/>
            </w:pPr>
          </w:p>
        </w:tc>
      </w:tr>
      <w:tr w:rsidR="00D05D51" w:rsidRPr="00C31CA4" w14:paraId="7A2CEE0D" w14:textId="77777777" w:rsidTr="00CF0838">
        <w:tc>
          <w:tcPr>
            <w:tcW w:w="3530" w:type="dxa"/>
          </w:tcPr>
          <w:p w14:paraId="2E6CD97A" w14:textId="74C97A65" w:rsidR="00D05D51" w:rsidRPr="00C31CA4" w:rsidRDefault="00D05D51" w:rsidP="00224ACF">
            <w:pPr>
              <w:pStyle w:val="TableText0"/>
              <w:tabs>
                <w:tab w:val="left" w:pos="102"/>
              </w:tabs>
            </w:pPr>
            <w:r w:rsidRPr="00C31CA4">
              <w:t xml:space="preserve">  Partial response at 3 months, n (%)</w:t>
            </w:r>
          </w:p>
        </w:tc>
        <w:tc>
          <w:tcPr>
            <w:tcW w:w="1715" w:type="dxa"/>
            <w:vAlign w:val="center"/>
          </w:tcPr>
          <w:p w14:paraId="20DFEDCC" w14:textId="27A28829" w:rsidR="00D05D51" w:rsidRPr="00C31CA4" w:rsidRDefault="00D05D51" w:rsidP="00224ACF">
            <w:pPr>
              <w:pStyle w:val="TableText0"/>
              <w:jc w:val="center"/>
            </w:pPr>
            <w:r w:rsidRPr="00C31CA4">
              <w:t>15 (53.6%)</w:t>
            </w:r>
          </w:p>
        </w:tc>
        <w:tc>
          <w:tcPr>
            <w:tcW w:w="2287" w:type="dxa"/>
            <w:vAlign w:val="center"/>
          </w:tcPr>
          <w:p w14:paraId="49B261BB" w14:textId="5DA6B7E4" w:rsidR="00D05D51" w:rsidRPr="00C31CA4" w:rsidRDefault="00D05D51" w:rsidP="00224ACF">
            <w:pPr>
              <w:pStyle w:val="TableText0"/>
              <w:jc w:val="center"/>
            </w:pPr>
            <w:r w:rsidRPr="00C31CA4">
              <w:t>4 (28.6%)</w:t>
            </w:r>
          </w:p>
        </w:tc>
        <w:tc>
          <w:tcPr>
            <w:tcW w:w="1485" w:type="dxa"/>
            <w:vMerge/>
            <w:vAlign w:val="center"/>
          </w:tcPr>
          <w:p w14:paraId="5B5C2CBB" w14:textId="685635BE" w:rsidR="00D05D51" w:rsidRPr="00C31CA4" w:rsidRDefault="00D05D51" w:rsidP="00224ACF">
            <w:pPr>
              <w:pStyle w:val="TableText0"/>
              <w:jc w:val="center"/>
            </w:pPr>
          </w:p>
        </w:tc>
      </w:tr>
      <w:tr w:rsidR="00D05D51" w:rsidRPr="00C31CA4" w14:paraId="3DDF5869" w14:textId="77777777" w:rsidTr="00CF0838">
        <w:tc>
          <w:tcPr>
            <w:tcW w:w="3530" w:type="dxa"/>
          </w:tcPr>
          <w:p w14:paraId="7F48F941" w14:textId="252C603E" w:rsidR="00D05D51" w:rsidRPr="00C31CA4" w:rsidRDefault="00D05D51" w:rsidP="00224ACF">
            <w:pPr>
              <w:pStyle w:val="TableText0"/>
              <w:tabs>
                <w:tab w:val="left" w:pos="102"/>
              </w:tabs>
            </w:pPr>
            <w:r w:rsidRPr="00C31CA4">
              <w:t xml:space="preserve">  Complete response at 6 months, n (%) </w:t>
            </w:r>
          </w:p>
        </w:tc>
        <w:tc>
          <w:tcPr>
            <w:tcW w:w="1715" w:type="dxa"/>
            <w:vAlign w:val="center"/>
          </w:tcPr>
          <w:p w14:paraId="2D8F4121" w14:textId="053CCCE7" w:rsidR="00D05D51" w:rsidRPr="00C31CA4" w:rsidRDefault="00D05D51" w:rsidP="00224ACF">
            <w:pPr>
              <w:pStyle w:val="TableText0"/>
              <w:jc w:val="center"/>
            </w:pPr>
            <w:r w:rsidRPr="00C31CA4">
              <w:t>6 (21.4%)</w:t>
            </w:r>
          </w:p>
        </w:tc>
        <w:tc>
          <w:tcPr>
            <w:tcW w:w="2287" w:type="dxa"/>
            <w:vAlign w:val="center"/>
          </w:tcPr>
          <w:p w14:paraId="6BC254E5" w14:textId="53DEEB1B" w:rsidR="00D05D51" w:rsidRPr="00C31CA4" w:rsidRDefault="00D05D51" w:rsidP="00224ACF">
            <w:pPr>
              <w:pStyle w:val="TableText0"/>
              <w:jc w:val="center"/>
            </w:pPr>
            <w:r w:rsidRPr="00C31CA4">
              <w:t>8 (57.1%)</w:t>
            </w:r>
          </w:p>
        </w:tc>
        <w:tc>
          <w:tcPr>
            <w:tcW w:w="1485" w:type="dxa"/>
            <w:vMerge/>
            <w:vAlign w:val="center"/>
          </w:tcPr>
          <w:p w14:paraId="193FC117" w14:textId="34914899" w:rsidR="00D05D51" w:rsidRPr="00C31CA4" w:rsidRDefault="00D05D51" w:rsidP="00224ACF">
            <w:pPr>
              <w:pStyle w:val="TableText0"/>
              <w:jc w:val="center"/>
            </w:pPr>
          </w:p>
        </w:tc>
      </w:tr>
      <w:tr w:rsidR="00D05D51" w:rsidRPr="00C31CA4" w14:paraId="0FF9FD6D" w14:textId="77777777" w:rsidTr="00CF0838">
        <w:tc>
          <w:tcPr>
            <w:tcW w:w="3530" w:type="dxa"/>
          </w:tcPr>
          <w:p w14:paraId="0F2B0684" w14:textId="274C936D" w:rsidR="00D05D51" w:rsidRPr="00C31CA4" w:rsidRDefault="00D05D51" w:rsidP="00224ACF">
            <w:pPr>
              <w:pStyle w:val="TableText0"/>
              <w:tabs>
                <w:tab w:val="left" w:pos="102"/>
              </w:tabs>
            </w:pPr>
            <w:r w:rsidRPr="00C31CA4">
              <w:t xml:space="preserve">  Partial response at 6 months, n (%)</w:t>
            </w:r>
          </w:p>
        </w:tc>
        <w:tc>
          <w:tcPr>
            <w:tcW w:w="1715" w:type="dxa"/>
            <w:vAlign w:val="center"/>
          </w:tcPr>
          <w:p w14:paraId="00A5B7E5" w14:textId="1BAC1749" w:rsidR="00D05D51" w:rsidRPr="00C31CA4" w:rsidRDefault="00D05D51" w:rsidP="00224ACF">
            <w:pPr>
              <w:pStyle w:val="TableText0"/>
              <w:jc w:val="center"/>
            </w:pPr>
            <w:r w:rsidRPr="00C31CA4">
              <w:t>12 (42.9%)</w:t>
            </w:r>
          </w:p>
        </w:tc>
        <w:tc>
          <w:tcPr>
            <w:tcW w:w="2287" w:type="dxa"/>
            <w:vAlign w:val="center"/>
          </w:tcPr>
          <w:p w14:paraId="708C79AC" w14:textId="340D077C" w:rsidR="00D05D51" w:rsidRPr="00C31CA4" w:rsidRDefault="00D05D51" w:rsidP="00224ACF">
            <w:pPr>
              <w:pStyle w:val="TableText0"/>
              <w:jc w:val="center"/>
            </w:pPr>
            <w:r w:rsidRPr="00C31CA4">
              <w:t>3 (21.4%)</w:t>
            </w:r>
          </w:p>
        </w:tc>
        <w:tc>
          <w:tcPr>
            <w:tcW w:w="1485" w:type="dxa"/>
            <w:vMerge/>
            <w:vAlign w:val="center"/>
          </w:tcPr>
          <w:p w14:paraId="58249F24" w14:textId="2BA71E6D" w:rsidR="00D05D51" w:rsidRPr="00C31CA4" w:rsidRDefault="00D05D51" w:rsidP="00224ACF">
            <w:pPr>
              <w:pStyle w:val="TableText0"/>
              <w:jc w:val="center"/>
            </w:pPr>
          </w:p>
        </w:tc>
      </w:tr>
    </w:tbl>
    <w:p w14:paraId="1811E8B9" w14:textId="77777777" w:rsidR="00922A76" w:rsidRPr="00C31CA4" w:rsidRDefault="00922A76" w:rsidP="00922A76">
      <w:pPr>
        <w:pStyle w:val="TableFooter"/>
      </w:pPr>
      <w:r w:rsidRPr="00C31CA4">
        <w:t xml:space="preserve">Source: constructed during the evaluation from published reports. </w:t>
      </w:r>
    </w:p>
    <w:p w14:paraId="0219C0D3" w14:textId="7410DE11" w:rsidR="00922A76" w:rsidRPr="00C31CA4" w:rsidRDefault="00922A76" w:rsidP="00922A76">
      <w:pPr>
        <w:pStyle w:val="TableFooter"/>
      </w:pPr>
      <w:r w:rsidRPr="00C31CA4">
        <w:t>CsA</w:t>
      </w:r>
      <w:r w:rsidR="000A19E6" w:rsidRPr="00C31CA4">
        <w:t xml:space="preserve"> </w:t>
      </w:r>
      <w:r w:rsidRPr="00C31CA4">
        <w:t xml:space="preserve">= </w:t>
      </w:r>
      <w:r w:rsidR="009A6886">
        <w:t>ciclosporin</w:t>
      </w:r>
      <w:r w:rsidRPr="00C31CA4">
        <w:t xml:space="preserve"> A; hATG = horse </w:t>
      </w:r>
      <w:r w:rsidR="00525CE7" w:rsidRPr="00C31CA4">
        <w:t>a</w:t>
      </w:r>
      <w:r w:rsidRPr="00C31CA4">
        <w:t>nti-</w:t>
      </w:r>
      <w:r w:rsidR="00525CE7" w:rsidRPr="00C31CA4">
        <w:t>t</w:t>
      </w:r>
      <w:r w:rsidRPr="00C31CA4">
        <w:t xml:space="preserve">hymocyte </w:t>
      </w:r>
      <w:r w:rsidR="00525CE7" w:rsidRPr="00C31CA4">
        <w:t>g</w:t>
      </w:r>
      <w:r w:rsidRPr="00C31CA4">
        <w:t xml:space="preserve">lobulin; HSCT = </w:t>
      </w:r>
      <w:r w:rsidR="00525CE7" w:rsidRPr="00C31CA4">
        <w:t>ha</w:t>
      </w:r>
      <w:r w:rsidRPr="00C31CA4">
        <w:t>em</w:t>
      </w:r>
      <w:r w:rsidR="00FA6F94" w:rsidRPr="00C31CA4">
        <w:t>at</w:t>
      </w:r>
      <w:r w:rsidRPr="00C31CA4">
        <w:t xml:space="preserve">opoietic </w:t>
      </w:r>
      <w:r w:rsidR="00525CE7" w:rsidRPr="00C31CA4">
        <w:t>s</w:t>
      </w:r>
      <w:r w:rsidRPr="00C31CA4">
        <w:t xml:space="preserve">tem </w:t>
      </w:r>
      <w:r w:rsidR="00525CE7" w:rsidRPr="00C31CA4">
        <w:t>c</w:t>
      </w:r>
      <w:r w:rsidRPr="00C31CA4">
        <w:t xml:space="preserve">ell </w:t>
      </w:r>
      <w:r w:rsidR="005F3EFA" w:rsidRPr="00C31CA4">
        <w:t>t</w:t>
      </w:r>
      <w:r w:rsidRPr="00C31CA4">
        <w:t xml:space="preserve">ransplant; </w:t>
      </w:r>
      <w:r w:rsidR="00723FA1" w:rsidRPr="00C31CA4">
        <w:t xml:space="preserve">NA = </w:t>
      </w:r>
      <w:r w:rsidR="00AE49EF" w:rsidRPr="00C31CA4">
        <w:t>n</w:t>
      </w:r>
      <w:r w:rsidR="00723FA1" w:rsidRPr="00C31CA4">
        <w:t xml:space="preserve">ot </w:t>
      </w:r>
      <w:r w:rsidR="00AE49EF" w:rsidRPr="00C31CA4">
        <w:t>a</w:t>
      </w:r>
      <w:r w:rsidR="00723FA1" w:rsidRPr="00C31CA4">
        <w:t xml:space="preserve">pplicable; </w:t>
      </w:r>
      <w:r w:rsidR="00D05D51" w:rsidRPr="00C31CA4">
        <w:t xml:space="preserve">NR = </w:t>
      </w:r>
      <w:r w:rsidR="00AE49EF" w:rsidRPr="00C31CA4">
        <w:t>n</w:t>
      </w:r>
      <w:r w:rsidR="00D05D51" w:rsidRPr="00C31CA4">
        <w:t xml:space="preserve">ot </w:t>
      </w:r>
      <w:r w:rsidR="00AE49EF" w:rsidRPr="00C31CA4">
        <w:t>r</w:t>
      </w:r>
      <w:r w:rsidR="00D05D51" w:rsidRPr="00C31CA4">
        <w:t>eported;</w:t>
      </w:r>
      <w:r w:rsidR="00AE49EF" w:rsidRPr="00C31CA4">
        <w:t xml:space="preserve"> </w:t>
      </w:r>
      <w:r w:rsidR="005F3EFA" w:rsidRPr="00C31CA4">
        <w:t>s</w:t>
      </w:r>
      <w:r w:rsidRPr="00C31CA4">
        <w:t xml:space="preserve">tatistically significant results are in </w:t>
      </w:r>
      <w:r w:rsidRPr="00C31CA4">
        <w:rPr>
          <w:b/>
          <w:bCs/>
        </w:rPr>
        <w:t>bold</w:t>
      </w:r>
      <w:r w:rsidRPr="00C31CA4">
        <w:t xml:space="preserve">. </w:t>
      </w:r>
    </w:p>
    <w:p w14:paraId="78889F90" w14:textId="65CB9750" w:rsidR="00922A76" w:rsidRPr="00C31CA4" w:rsidRDefault="00DC3D64" w:rsidP="00964857">
      <w:pPr>
        <w:pStyle w:val="TableFooter"/>
        <w:tabs>
          <w:tab w:val="left" w:pos="142"/>
        </w:tabs>
      </w:pPr>
      <w:r w:rsidRPr="00C31CA4">
        <w:rPr>
          <w:vertAlign w:val="superscript"/>
        </w:rPr>
        <w:t>a</w:t>
      </w:r>
      <w:r w:rsidR="00922A76" w:rsidRPr="00C31CA4">
        <w:t xml:space="preserve"> </w:t>
      </w:r>
      <w:r w:rsidR="00964857" w:rsidRPr="00C31CA4">
        <w:tab/>
      </w:r>
      <w:r w:rsidR="00922A76" w:rsidRPr="00C31CA4">
        <w:t xml:space="preserve">Chi-square test. </w:t>
      </w:r>
    </w:p>
    <w:p w14:paraId="2C5E52DF" w14:textId="4E78D019" w:rsidR="00922A76" w:rsidRPr="00C31CA4" w:rsidRDefault="00DC3D64" w:rsidP="00964857">
      <w:pPr>
        <w:pStyle w:val="TableFooter"/>
        <w:tabs>
          <w:tab w:val="left" w:pos="142"/>
        </w:tabs>
      </w:pPr>
      <w:r w:rsidRPr="00C31CA4">
        <w:rPr>
          <w:vertAlign w:val="superscript"/>
        </w:rPr>
        <w:t>b</w:t>
      </w:r>
      <w:r w:rsidR="00922A76" w:rsidRPr="00C31CA4">
        <w:t xml:space="preserve"> </w:t>
      </w:r>
      <w:r w:rsidR="00964857" w:rsidRPr="00C31CA4">
        <w:tab/>
      </w:r>
      <w:r w:rsidR="00922A76" w:rsidRPr="00C31CA4">
        <w:t>Student’s t-test.</w:t>
      </w:r>
    </w:p>
    <w:p w14:paraId="496804DD" w14:textId="0BD4287A" w:rsidR="00922A76" w:rsidRPr="00C31CA4" w:rsidRDefault="00DC3D64" w:rsidP="00964857">
      <w:pPr>
        <w:pStyle w:val="TableFooter"/>
        <w:tabs>
          <w:tab w:val="left" w:pos="142"/>
        </w:tabs>
      </w:pPr>
      <w:r w:rsidRPr="00C31CA4">
        <w:rPr>
          <w:vertAlign w:val="superscript"/>
        </w:rPr>
        <w:t xml:space="preserve">c </w:t>
      </w:r>
      <w:r w:rsidR="00964857" w:rsidRPr="00C31CA4">
        <w:rPr>
          <w:vertAlign w:val="superscript"/>
        </w:rPr>
        <w:tab/>
      </w:r>
      <w:r w:rsidR="00922A76" w:rsidRPr="00C31CA4">
        <w:t>Fisher’s exact test.</w:t>
      </w:r>
    </w:p>
    <w:p w14:paraId="7E3AA07F" w14:textId="127A11CB" w:rsidR="00922A76" w:rsidRPr="00C31CA4" w:rsidRDefault="00BE4BD2" w:rsidP="00B15089">
      <w:pPr>
        <w:pStyle w:val="TableFooter"/>
        <w:tabs>
          <w:tab w:val="left" w:pos="142"/>
        </w:tabs>
        <w:spacing w:after="120"/>
      </w:pPr>
      <w:r w:rsidRPr="00C31CA4">
        <w:rPr>
          <w:vertAlign w:val="superscript"/>
        </w:rPr>
        <w:t>d</w:t>
      </w:r>
      <w:r w:rsidRPr="00C31CA4">
        <w:t xml:space="preserve"> Except for Su 2021 and Jie 2021, whose patients received rabbit ATG. </w:t>
      </w:r>
    </w:p>
    <w:p w14:paraId="4B1DBE96" w14:textId="3239884D" w:rsidR="00E50A4B" w:rsidRPr="00C31CA4" w:rsidRDefault="00B25538" w:rsidP="008B3F17">
      <w:pPr>
        <w:pStyle w:val="3-BodyText"/>
      </w:pPr>
      <w:r w:rsidRPr="00C31CA4">
        <w:t>Overall, results for complete h</w:t>
      </w:r>
      <w:r w:rsidR="00DA14BE" w:rsidRPr="00C31CA4">
        <w:t>a</w:t>
      </w:r>
      <w:r w:rsidRPr="00C31CA4">
        <w:t>ematological responses at 3-6 months with sAA favour hATG + CsA + eltrombopag over hATG + CsA alone.</w:t>
      </w:r>
      <w:r w:rsidRPr="00C31CA4">
        <w:rPr>
          <w:i/>
          <w:iCs/>
        </w:rPr>
        <w:t xml:space="preserve"> </w:t>
      </w:r>
      <w:r w:rsidR="00A405ED" w:rsidRPr="00C31CA4">
        <w:t>The ESC considered that a</w:t>
      </w:r>
      <w:r w:rsidR="00890B8A" w:rsidRPr="00C31CA4">
        <w:t xml:space="preserve">s a randomised controlled study with objective end points the evidence is likely to be reliable. </w:t>
      </w:r>
      <w:r w:rsidR="00F02288" w:rsidRPr="00C31CA4">
        <w:t>The ESC considered the outcome measure of haematological response is a clinically meaningful outcome equating to transfusion independence at the level of partial response.</w:t>
      </w:r>
    </w:p>
    <w:p w14:paraId="2EC0B350" w14:textId="3F358DCE" w:rsidR="00A405ED" w:rsidRPr="00C31CA4" w:rsidRDefault="00891941" w:rsidP="008B3F17">
      <w:pPr>
        <w:pStyle w:val="3-BodyText"/>
      </w:pPr>
      <w:r w:rsidRPr="00C31CA4">
        <w:t>The ESC noted the median time to a first response for patients treated with eltrombopag + IST was 3.0 months and in patients treated with IST was 8.8 months in</w:t>
      </w:r>
      <w:r w:rsidRPr="00C31CA4">
        <w:rPr>
          <w:i/>
          <w:iCs/>
        </w:rPr>
        <w:t xml:space="preserve"> </w:t>
      </w:r>
      <w:r w:rsidRPr="00C31CA4">
        <w:t>the de Latour study</w:t>
      </w:r>
      <w:r w:rsidR="00A405ED" w:rsidRPr="00C31CA4">
        <w:t xml:space="preserve"> (</w:t>
      </w:r>
      <w:r w:rsidR="00A405ED" w:rsidRPr="00C31CA4">
        <w:fldChar w:fldCharType="begin" w:fldLock="1"/>
      </w:r>
      <w:r w:rsidR="00A405ED" w:rsidRPr="00C31CA4">
        <w:instrText xml:space="preserve"> REF _Ref147824533 \h  \* MERGEFORMAT </w:instrText>
      </w:r>
      <w:r w:rsidR="00A405ED" w:rsidRPr="00C31CA4">
        <w:fldChar w:fldCharType="separate"/>
      </w:r>
      <w:r w:rsidR="00897FA1" w:rsidRPr="00C31CA4">
        <w:t xml:space="preserve">Figure </w:t>
      </w:r>
      <w:r w:rsidR="00897FA1">
        <w:t>1</w:t>
      </w:r>
      <w:r w:rsidR="00A405ED" w:rsidRPr="00C31CA4">
        <w:fldChar w:fldCharType="end"/>
      </w:r>
      <w:r w:rsidR="00A405ED" w:rsidRPr="00C31CA4">
        <w:t>)</w:t>
      </w:r>
      <w:r w:rsidRPr="00C31CA4">
        <w:t xml:space="preserve">. </w:t>
      </w:r>
      <w:r w:rsidR="00A405ED" w:rsidRPr="00C31CA4">
        <w:t xml:space="preserve">The ESC </w:t>
      </w:r>
      <w:r w:rsidR="00A405ED" w:rsidRPr="00C31CA4">
        <w:lastRenderedPageBreak/>
        <w:t xml:space="preserve">considered an earlier response would be of benefit to patients with a reduction in transfusion requirements, medical appointments and pathology tests. </w:t>
      </w:r>
    </w:p>
    <w:p w14:paraId="15DF5992" w14:textId="6C1B50A1" w:rsidR="00A405ED" w:rsidRPr="00C31CA4" w:rsidRDefault="00A405ED" w:rsidP="00A405ED">
      <w:pPr>
        <w:pStyle w:val="Caption"/>
      </w:pPr>
      <w:bookmarkStart w:id="30" w:name="_Ref147824533"/>
      <w:r w:rsidRPr="00C31CA4">
        <w:t xml:space="preserve">Figure </w:t>
      </w:r>
      <w:fldSimple w:instr=" SEQ Figure \* ARABIC " w:fldLock="1">
        <w:r w:rsidR="00897FA1">
          <w:rPr>
            <w:noProof/>
          </w:rPr>
          <w:t>1</w:t>
        </w:r>
      </w:fldSimple>
      <w:bookmarkEnd w:id="30"/>
      <w:r w:rsidRPr="00C31CA4">
        <w:t xml:space="preserve">: </w:t>
      </w:r>
      <w:r w:rsidR="003A15FE" w:rsidRPr="00C31CA4">
        <w:t xml:space="preserve">Haematologic complete response at 3 months, complete or partial response at 6 months, median time to first response: Group A (yellow) – hATG + CsA, Group </w:t>
      </w:r>
      <w:r w:rsidR="00651FA6" w:rsidRPr="00C31CA4">
        <w:t xml:space="preserve">B </w:t>
      </w:r>
      <w:r w:rsidR="003A15FE" w:rsidRPr="00C31CA4">
        <w:t>(green) – eltrombopag hATG + CsA</w:t>
      </w:r>
      <w:r w:rsidR="003A15FE" w:rsidRPr="00C31CA4" w:rsidDel="003A15FE">
        <w:t xml:space="preserve"> </w:t>
      </w:r>
    </w:p>
    <w:p w14:paraId="569325A2" w14:textId="77777777" w:rsidR="005406E3" w:rsidRPr="00C31CA4" w:rsidRDefault="00A405ED" w:rsidP="008B3F17">
      <w:pPr>
        <w:pStyle w:val="3-BodyText"/>
        <w:numPr>
          <w:ilvl w:val="0"/>
          <w:numId w:val="0"/>
        </w:numPr>
        <w:rPr>
          <w:rFonts w:ascii="Arial Narrow" w:hAnsi="Arial Narrow"/>
          <w:sz w:val="18"/>
          <w:szCs w:val="18"/>
        </w:rPr>
      </w:pPr>
      <w:r w:rsidRPr="00C31CA4">
        <w:rPr>
          <w:noProof/>
        </w:rPr>
        <w:drawing>
          <wp:inline distT="0" distB="0" distL="0" distR="0" wp14:anchorId="0F5EF470" wp14:editId="48D414C6">
            <wp:extent cx="3361292" cy="4233667"/>
            <wp:effectExtent l="0" t="0" r="0" b="0"/>
            <wp:docPr id="4" name="Picture 3">
              <a:extLst xmlns:a="http://schemas.openxmlformats.org/drawingml/2006/main">
                <a:ext uri="{FF2B5EF4-FFF2-40B4-BE49-F238E27FC236}">
                  <a16:creationId xmlns:a16="http://schemas.microsoft.com/office/drawing/2014/main" id="{A53E7643-9F08-56FB-8E23-AFF36B797C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53E7643-9F08-56FB-8E23-AFF36B797CCF}"/>
                        </a:ext>
                      </a:extLst>
                    </pic:cNvPr>
                    <pic:cNvPicPr>
                      <a:picLocks noChangeAspect="1"/>
                    </pic:cNvPicPr>
                  </pic:nvPicPr>
                  <pic:blipFill rotWithShape="1">
                    <a:blip r:embed="rId8"/>
                    <a:srcRect t="27885"/>
                    <a:stretch/>
                  </pic:blipFill>
                  <pic:spPr>
                    <a:xfrm>
                      <a:off x="0" y="0"/>
                      <a:ext cx="3361292" cy="4233667"/>
                    </a:xfrm>
                    <a:prstGeom prst="rect">
                      <a:avLst/>
                    </a:prstGeom>
                  </pic:spPr>
                </pic:pic>
              </a:graphicData>
            </a:graphic>
          </wp:inline>
        </w:drawing>
      </w:r>
    </w:p>
    <w:p w14:paraId="4219DCA6" w14:textId="0E54A845" w:rsidR="003A15FE" w:rsidRPr="00C31CA4" w:rsidRDefault="003A15FE" w:rsidP="00CF529B">
      <w:pPr>
        <w:pStyle w:val="FooterTableFigure"/>
      </w:pPr>
      <w:r w:rsidRPr="00C31CA4">
        <w:t xml:space="preserve">CsA = </w:t>
      </w:r>
      <w:r w:rsidR="009A6886">
        <w:t>ciclosporin</w:t>
      </w:r>
      <w:r w:rsidRPr="00C31CA4">
        <w:t>; hATG = horse antithymocyte globulin.</w:t>
      </w:r>
    </w:p>
    <w:p w14:paraId="37323893" w14:textId="4559A4FD" w:rsidR="00A405ED" w:rsidRPr="00C31CA4" w:rsidRDefault="003A15FE" w:rsidP="00D92642">
      <w:pPr>
        <w:pStyle w:val="FooterTableFigure"/>
      </w:pPr>
      <w:r w:rsidRPr="00C31CA4">
        <w:t>Source: de Latour et al. N Engl J Med 2022;386:11-23.</w:t>
      </w:r>
    </w:p>
    <w:p w14:paraId="0CD95618" w14:textId="08AC5DAD" w:rsidR="00B25538" w:rsidRPr="00C31CA4" w:rsidRDefault="00B25538" w:rsidP="008B3F17">
      <w:pPr>
        <w:pStyle w:val="3-BodyText"/>
      </w:pPr>
      <w:r w:rsidRPr="00C31CA4">
        <w:t>There was no evidence of a survival benefit from eltrombopag-containing regimens. The submission claim</w:t>
      </w:r>
      <w:r w:rsidR="00794981" w:rsidRPr="00C31CA4">
        <w:t>ed</w:t>
      </w:r>
      <w:r w:rsidRPr="00C31CA4">
        <w:t xml:space="preserve"> that “Complete haematologic response is strongly associated with improved survival and long-term outcomes”</w:t>
      </w:r>
      <w:r w:rsidR="002510FB" w:rsidRPr="00C31CA4">
        <w:t>.</w:t>
      </w:r>
      <w:r w:rsidR="00212569">
        <w:t xml:space="preserve"> T</w:t>
      </w:r>
      <w:r w:rsidR="00C31CA4">
        <w:t>his</w:t>
      </w:r>
      <w:r w:rsidRPr="00C31CA4">
        <w:t xml:space="preserve"> claim </w:t>
      </w:r>
      <w:r w:rsidR="00BC5705" w:rsidRPr="00C31CA4">
        <w:t>seem</w:t>
      </w:r>
      <w:r w:rsidR="002510FB" w:rsidRPr="00C31CA4">
        <w:t>ed</w:t>
      </w:r>
      <w:r w:rsidR="00BC5705" w:rsidRPr="00C31CA4">
        <w:t xml:space="preserve"> to be</w:t>
      </w:r>
      <w:r w:rsidRPr="00C31CA4">
        <w:t xml:space="preserve"> based on a case series of patients treated between 1989 and 1994, in which death rates from infectious complications were high: 16/122 patients (13.1%) died within 3 months and 2-year survival</w:t>
      </w:r>
      <w:r w:rsidR="001E3D92" w:rsidRPr="00C31CA4">
        <w:t xml:space="preserve"> of the whole cohort </w:t>
      </w:r>
      <w:r w:rsidRPr="00C31CA4">
        <w:t>was 72%</w:t>
      </w:r>
      <w:r w:rsidR="001E3D92" w:rsidRPr="00C31CA4">
        <w:t>, and of non-responders was 37%</w:t>
      </w:r>
      <w:r w:rsidRPr="00C31CA4">
        <w:t>.</w:t>
      </w:r>
      <w:r w:rsidR="00D06148">
        <w:rPr>
          <w:rStyle w:val="FootnoteReference"/>
        </w:rPr>
        <w:footnoteReference w:id="5"/>
      </w:r>
      <w:r w:rsidRPr="00C31CA4">
        <w:t xml:space="preserve"> The applicability of th</w:t>
      </w:r>
      <w:r w:rsidR="00BC5705" w:rsidRPr="00C31CA4">
        <w:t>ese</w:t>
      </w:r>
      <w:r w:rsidRPr="00C31CA4">
        <w:t xml:space="preserve"> data to patients receiving modern supportive care is unclear.</w:t>
      </w:r>
      <w:r w:rsidR="000A19E6" w:rsidRPr="00C31CA4">
        <w:t xml:space="preserve"> </w:t>
      </w:r>
      <w:r w:rsidR="00D25496" w:rsidRPr="00C31CA4">
        <w:t xml:space="preserve">For example, in the Fang 2021 cohort, 2 year survival for patients with complete response, partial response and no response was 100%, 96.4% and 83.3%, respectively. </w:t>
      </w:r>
      <w:r w:rsidR="00794981" w:rsidRPr="00C31CA4">
        <w:t>The ESC considered that a</w:t>
      </w:r>
      <w:r w:rsidR="00AF4354" w:rsidRPr="00C31CA4">
        <w:t xml:space="preserve"> lack of survival benefit reflects that 1) the follow up on the clinical trial was short when considering the natural history of treated AA and 2) patients on </w:t>
      </w:r>
      <w:r w:rsidR="00212569">
        <w:lastRenderedPageBreak/>
        <w:t xml:space="preserve">IST alone in </w:t>
      </w:r>
      <w:r w:rsidR="00AF4354" w:rsidRPr="00C31CA4">
        <w:t xml:space="preserve">both the de Latour (2022) and the Goronkova (2023) study </w:t>
      </w:r>
      <w:r w:rsidR="00794981" w:rsidRPr="00C31CA4">
        <w:t xml:space="preserve">were allowed to </w:t>
      </w:r>
      <w:r w:rsidR="00212569">
        <w:t>receive eltrombopag</w:t>
      </w:r>
      <w:r w:rsidR="00AF4354" w:rsidRPr="00C31CA4">
        <w:t xml:space="preserve"> at 6 months and 4 months</w:t>
      </w:r>
      <w:r w:rsidR="00794981" w:rsidRPr="00C31CA4">
        <w:t>,</w:t>
      </w:r>
      <w:r w:rsidR="00AF4354" w:rsidRPr="00C31CA4">
        <w:t xml:space="preserve"> respectively</w:t>
      </w:r>
      <w:r w:rsidR="00C31CA4">
        <w:t xml:space="preserve">. </w:t>
      </w:r>
      <w:r w:rsidR="00E1089C" w:rsidRPr="00C31CA4">
        <w:t xml:space="preserve">The ESC noted Fang 2021 reported a 2 year OS rate for patients with a complete response, partial response and no response as 100%, 96.4% and 83.3%, respectively. </w:t>
      </w:r>
      <w:r w:rsidR="00794981" w:rsidRPr="00C31CA4">
        <w:t>The ESC considered h</w:t>
      </w:r>
      <w:r w:rsidR="00AF4354" w:rsidRPr="00C31CA4">
        <w:t>istorical data is important to demonstrate that haematologic res</w:t>
      </w:r>
      <w:r w:rsidR="00794981" w:rsidRPr="00C31CA4">
        <w:t>p</w:t>
      </w:r>
      <w:r w:rsidR="00AF4354" w:rsidRPr="00C31CA4">
        <w:t>onse is related to a better outcome as with current treatment</w:t>
      </w:r>
      <w:r w:rsidR="00794981" w:rsidRPr="00C31CA4">
        <w:t>s,</w:t>
      </w:r>
      <w:r w:rsidR="00AF4354" w:rsidRPr="00C31CA4">
        <w:t xml:space="preserve"> </w:t>
      </w:r>
      <w:r w:rsidR="00794981" w:rsidRPr="00C31CA4">
        <w:t xml:space="preserve">it is less likely be </w:t>
      </w:r>
      <w:r w:rsidR="00AF4354" w:rsidRPr="00C31CA4">
        <w:t>demonstrate</w:t>
      </w:r>
      <w:r w:rsidR="00794981" w:rsidRPr="00C31CA4">
        <w:t>d</w:t>
      </w:r>
      <w:r w:rsidR="00AF4354" w:rsidRPr="00C31CA4">
        <w:t xml:space="preserve"> in the timeframe of a clinical trial</w:t>
      </w:r>
      <w:r w:rsidR="00C31CA4">
        <w:t xml:space="preserve">. </w:t>
      </w:r>
      <w:r w:rsidR="00794981" w:rsidRPr="00C31CA4">
        <w:t>The ESC considered that w</w:t>
      </w:r>
      <w:r w:rsidR="00AF4354" w:rsidRPr="00C31CA4">
        <w:t xml:space="preserve">hilst supportive care has improved in the last 30 years there are still limitations to the care of a patient with bone marrow aplasia, who will become refractory to platelet transfusions, develop increasing infectious complications and iron overload with ancillary complications from red cell transfusions. </w:t>
      </w:r>
      <w:r w:rsidR="00F02288" w:rsidRPr="00C31CA4">
        <w:t>The ESC noted there is evidence to support an OS benefit for eltrombopag at 2 years but considered there is a high level of uncertainty regarding the magnitude of benefit in terms of OS.</w:t>
      </w:r>
    </w:p>
    <w:p w14:paraId="11A3C3BE" w14:textId="46103D8D" w:rsidR="00B25538" w:rsidRPr="00C31CA4" w:rsidRDefault="00B25538" w:rsidP="008B3F17">
      <w:pPr>
        <w:pStyle w:val="3-BodyText"/>
      </w:pPr>
      <w:bookmarkStart w:id="31" w:name="_Ref145407763"/>
      <w:bookmarkStart w:id="32" w:name="_Ref148451275"/>
      <w:r w:rsidRPr="00C31CA4">
        <w:t xml:space="preserve">There </w:t>
      </w:r>
      <w:r w:rsidR="002D3A7E" w:rsidRPr="00C31CA4">
        <w:t xml:space="preserve">were few HSCTs in the studies reported, and there </w:t>
      </w:r>
      <w:r w:rsidRPr="00C31CA4">
        <w:t xml:space="preserve">was no </w:t>
      </w:r>
      <w:r w:rsidR="002D3A7E" w:rsidRPr="00C31CA4">
        <w:t>difference in the numbers of HSCT in patients rece</w:t>
      </w:r>
      <w:r w:rsidR="00FB744A" w:rsidRPr="00C31CA4">
        <w:t>i</w:t>
      </w:r>
      <w:r w:rsidR="002D3A7E" w:rsidRPr="00C31CA4">
        <w:t>ving regimens with and without</w:t>
      </w:r>
      <w:r w:rsidRPr="00C31CA4">
        <w:t xml:space="preserve"> eltrombopag</w:t>
      </w:r>
      <w:bookmarkEnd w:id="31"/>
      <w:r w:rsidR="00C31CA4">
        <w:t xml:space="preserve">. </w:t>
      </w:r>
      <w:r w:rsidR="00FE2AE1" w:rsidRPr="00C31CA4">
        <w:t xml:space="preserve">The </w:t>
      </w:r>
      <w:r w:rsidR="00794981" w:rsidRPr="00C31CA4">
        <w:t xml:space="preserve">ESC considered the </w:t>
      </w:r>
      <w:r w:rsidR="00FE2AE1" w:rsidRPr="00C31CA4">
        <w:t xml:space="preserve">follow up in the clinical trials presented was too short to collect meaningful data regarding allograft rates and outcomes. </w:t>
      </w:r>
      <w:r w:rsidR="00794981" w:rsidRPr="00C31CA4">
        <w:t>The ESC noted p</w:t>
      </w:r>
      <w:r w:rsidR="00FE2AE1" w:rsidRPr="00C31CA4">
        <w:t>atients who respond to IST +/- eltrombopag will not receive an allograft unless they relapse.</w:t>
      </w:r>
      <w:bookmarkEnd w:id="32"/>
      <w:r w:rsidR="00FE2AE1" w:rsidRPr="00C31CA4">
        <w:t xml:space="preserve"> </w:t>
      </w:r>
    </w:p>
    <w:p w14:paraId="225A0ADB" w14:textId="6E0F92FB" w:rsidR="00374C0C" w:rsidRPr="00C31CA4" w:rsidRDefault="00374C0C" w:rsidP="008B3F17">
      <w:pPr>
        <w:pStyle w:val="3-BodyText"/>
      </w:pPr>
      <w:r w:rsidRPr="00C31CA4">
        <w:t xml:space="preserve">In Goronkova </w:t>
      </w:r>
      <w:r w:rsidR="001A25B2" w:rsidRPr="00C31CA4">
        <w:t>(</w:t>
      </w:r>
      <w:r w:rsidR="00CC3B14" w:rsidRPr="00C31CA4">
        <w:t>2023</w:t>
      </w:r>
      <w:r w:rsidR="001A25B2" w:rsidRPr="00C31CA4">
        <w:t>)</w:t>
      </w:r>
      <w:r w:rsidRPr="00C31CA4">
        <w:t>, which enrolled only children, the primary outcome (complete + partial response at 4 months), was not more frequent among patients receiving an eltrombopag-containing regime</w:t>
      </w:r>
      <w:r w:rsidR="00957207" w:rsidRPr="00C31CA4">
        <w:t>n</w:t>
      </w:r>
      <w:r w:rsidRPr="00C31CA4">
        <w:t>. The secondary outcome of the proportion achieving complete response</w:t>
      </w:r>
      <w:r w:rsidR="00957207" w:rsidRPr="00C31CA4">
        <w:t xml:space="preserve"> at 4 months</w:t>
      </w:r>
      <w:r w:rsidRPr="00C31CA4">
        <w:t xml:space="preserve"> was higher among patients receiving an eltrombopag-containing regime</w:t>
      </w:r>
      <w:r w:rsidR="00957207" w:rsidRPr="00C31CA4">
        <w:t>n</w:t>
      </w:r>
      <w:r w:rsidRPr="00C31CA4">
        <w:t xml:space="preserve">. </w:t>
      </w:r>
    </w:p>
    <w:p w14:paraId="3E84D2F9" w14:textId="6D0756D9" w:rsidR="001C3374" w:rsidRPr="00C31CA4" w:rsidRDefault="001C3374" w:rsidP="008B3F17">
      <w:pPr>
        <w:pStyle w:val="3-BodyText"/>
      </w:pPr>
      <w:r w:rsidRPr="00C31CA4">
        <w:t>The results from Goronkova (</w:t>
      </w:r>
      <w:r w:rsidR="00330988" w:rsidRPr="00C31CA4">
        <w:t>2023</w:t>
      </w:r>
      <w:r w:rsidRPr="00C31CA4">
        <w:t xml:space="preserve">) </w:t>
      </w:r>
      <w:r w:rsidR="00AA3889" w:rsidRPr="00C31CA4">
        <w:t>wer</w:t>
      </w:r>
      <w:r w:rsidRPr="00C31CA4">
        <w:t>e similar to those of Groarke (2021) using historical controls</w:t>
      </w:r>
      <w:r w:rsidR="00AA3889" w:rsidRPr="00C31CA4">
        <w:t>: complete responses were more frequent with eltrombopag-containing regimens, but overall responses (complete + partial) were similar with IST and IST + eltrombopag. Both Goronkova (</w:t>
      </w:r>
      <w:r w:rsidR="009A3582" w:rsidRPr="00C31CA4">
        <w:t>2023</w:t>
      </w:r>
      <w:r w:rsidR="00AA3889" w:rsidRPr="00C31CA4">
        <w:t>) and Groarke (2021) reported higher relapse rates in patients receiving eltrombopag</w:t>
      </w:r>
      <w:r w:rsidR="00C31CA4">
        <w:t xml:space="preserve">. </w:t>
      </w:r>
    </w:p>
    <w:p w14:paraId="26085387" w14:textId="70F60712" w:rsidR="009E5748" w:rsidRPr="00C31CA4" w:rsidRDefault="009E5748" w:rsidP="008B3F17">
      <w:pPr>
        <w:pStyle w:val="3-BodyText"/>
      </w:pPr>
      <w:r w:rsidRPr="00C31CA4">
        <w:t xml:space="preserve">Results from the systematic review and meta-analysis </w:t>
      </w:r>
      <w:r w:rsidR="002F3671" w:rsidRPr="00C31CA4">
        <w:t xml:space="preserve">of 6 studies including 699 patients </w:t>
      </w:r>
      <w:r w:rsidRPr="00C31CA4">
        <w:t>comparing hATG + CsA and hATG + CsA + eltrombopag are shown in</w:t>
      </w:r>
      <w:r w:rsidR="00CB6373" w:rsidRPr="00C31CA4">
        <w:t xml:space="preserve"> </w:t>
      </w:r>
      <w:r w:rsidR="00CB6373" w:rsidRPr="00C31CA4">
        <w:fldChar w:fldCharType="begin" w:fldLock="1"/>
      </w:r>
      <w:r w:rsidR="00CB6373" w:rsidRPr="00C31CA4">
        <w:instrText xml:space="preserve"> REF _Ref143476185 \h </w:instrText>
      </w:r>
      <w:r w:rsidR="00CB6373" w:rsidRPr="00C31CA4">
        <w:fldChar w:fldCharType="separate"/>
      </w:r>
      <w:r w:rsidR="00897FA1" w:rsidRPr="00C31CA4">
        <w:t xml:space="preserve">Table </w:t>
      </w:r>
      <w:r w:rsidR="00897FA1">
        <w:rPr>
          <w:noProof/>
          <w:szCs w:val="20"/>
        </w:rPr>
        <w:t>8</w:t>
      </w:r>
      <w:r w:rsidR="00CB6373" w:rsidRPr="00C31CA4">
        <w:fldChar w:fldCharType="end"/>
      </w:r>
      <w:r w:rsidRPr="00C31CA4">
        <w:t>.</w:t>
      </w:r>
    </w:p>
    <w:p w14:paraId="126E7021" w14:textId="388D0569" w:rsidR="009E5748" w:rsidRPr="00C31CA4" w:rsidRDefault="009E5748" w:rsidP="00A87E05">
      <w:pPr>
        <w:pStyle w:val="TableFigureHeading"/>
      </w:pPr>
      <w:bookmarkStart w:id="33" w:name="_Ref143476185"/>
      <w:r w:rsidRPr="00C31CA4">
        <w:lastRenderedPageBreak/>
        <w:t xml:space="preserve">Table </w:t>
      </w:r>
      <w:r w:rsidR="005F3EFA" w:rsidRPr="00C31CA4">
        <w:rPr>
          <w:szCs w:val="20"/>
        </w:rPr>
        <w:fldChar w:fldCharType="begin" w:fldLock="1"/>
      </w:r>
      <w:r w:rsidR="005F3EFA" w:rsidRPr="00C31CA4">
        <w:rPr>
          <w:szCs w:val="20"/>
        </w:rPr>
        <w:instrText xml:space="preserve"> SEQ Table \* ARABIC </w:instrText>
      </w:r>
      <w:r w:rsidR="005F3EFA" w:rsidRPr="00C31CA4">
        <w:rPr>
          <w:szCs w:val="20"/>
        </w:rPr>
        <w:fldChar w:fldCharType="separate"/>
      </w:r>
      <w:r w:rsidR="00897FA1">
        <w:rPr>
          <w:noProof/>
          <w:szCs w:val="20"/>
        </w:rPr>
        <w:t>8</w:t>
      </w:r>
      <w:r w:rsidR="005F3EFA" w:rsidRPr="00C31CA4">
        <w:rPr>
          <w:szCs w:val="20"/>
        </w:rPr>
        <w:fldChar w:fldCharType="end"/>
      </w:r>
      <w:bookmarkEnd w:id="33"/>
      <w:r w:rsidRPr="00C31CA4">
        <w:t xml:space="preserve">: Results from </w:t>
      </w:r>
      <w:r w:rsidR="003B59BC" w:rsidRPr="00C31CA4">
        <w:t>the</w:t>
      </w:r>
      <w:r w:rsidRPr="00C31CA4">
        <w:t xml:space="preserve"> systematic review and meta-analys</w:t>
      </w:r>
      <w:r w:rsidR="00BB4EAA" w:rsidRPr="00C31CA4">
        <w:t>i</w:t>
      </w:r>
      <w:r w:rsidRPr="00C31CA4">
        <w:t>s</w:t>
      </w:r>
    </w:p>
    <w:tbl>
      <w:tblPr>
        <w:tblStyle w:val="TableGrid"/>
        <w:tblW w:w="9072" w:type="dxa"/>
        <w:tblInd w:w="-5" w:type="dxa"/>
        <w:tblLook w:val="04A0" w:firstRow="1" w:lastRow="0" w:firstColumn="1" w:lastColumn="0" w:noHBand="0" w:noVBand="1"/>
      </w:tblPr>
      <w:tblGrid>
        <w:gridCol w:w="4253"/>
        <w:gridCol w:w="4819"/>
      </w:tblGrid>
      <w:tr w:rsidR="00BB4EAA" w:rsidRPr="00C31CA4" w14:paraId="189B8D3B" w14:textId="77777777" w:rsidTr="00DB6CDA">
        <w:tc>
          <w:tcPr>
            <w:tcW w:w="9072" w:type="dxa"/>
            <w:gridSpan w:val="2"/>
          </w:tcPr>
          <w:p w14:paraId="29EA3261" w14:textId="57449FE7" w:rsidR="00BB4EAA" w:rsidRPr="00C31CA4" w:rsidRDefault="00BB4EAA" w:rsidP="00A87E05">
            <w:pPr>
              <w:pStyle w:val="TableText0"/>
              <w:rPr>
                <w:b/>
                <w:szCs w:val="20"/>
              </w:rPr>
            </w:pPr>
            <w:r w:rsidRPr="00C31CA4">
              <w:rPr>
                <w:b/>
                <w:szCs w:val="20"/>
              </w:rPr>
              <w:t>Zhang 2023</w:t>
            </w:r>
          </w:p>
        </w:tc>
      </w:tr>
      <w:tr w:rsidR="005F3EFA" w:rsidRPr="00C31CA4" w14:paraId="05ABD454" w14:textId="77777777" w:rsidTr="005F3EFA">
        <w:tc>
          <w:tcPr>
            <w:tcW w:w="4253" w:type="dxa"/>
          </w:tcPr>
          <w:p w14:paraId="4DAA8CE6" w14:textId="77777777" w:rsidR="005F3EFA" w:rsidRPr="00C31CA4" w:rsidRDefault="005F3EFA" w:rsidP="00A87E05">
            <w:pPr>
              <w:pStyle w:val="TableText0"/>
              <w:rPr>
                <w:b/>
                <w:szCs w:val="20"/>
              </w:rPr>
            </w:pPr>
          </w:p>
        </w:tc>
        <w:tc>
          <w:tcPr>
            <w:tcW w:w="4819" w:type="dxa"/>
          </w:tcPr>
          <w:p w14:paraId="22EC26A7" w14:textId="749DB581" w:rsidR="005F3EFA" w:rsidRPr="00C31CA4" w:rsidRDefault="005F3EFA" w:rsidP="00A87E05">
            <w:pPr>
              <w:pStyle w:val="TableText0"/>
              <w:jc w:val="center"/>
              <w:rPr>
                <w:b/>
                <w:szCs w:val="20"/>
              </w:rPr>
            </w:pPr>
            <w:r w:rsidRPr="00C31CA4">
              <w:rPr>
                <w:b/>
                <w:szCs w:val="20"/>
              </w:rPr>
              <w:t>OR (95%CI) with ELT-containing regimen</w:t>
            </w:r>
          </w:p>
        </w:tc>
      </w:tr>
      <w:tr w:rsidR="005F3EFA" w:rsidRPr="00C31CA4" w14:paraId="1D54BF24" w14:textId="77777777" w:rsidTr="005F3EFA">
        <w:tc>
          <w:tcPr>
            <w:tcW w:w="4253" w:type="dxa"/>
          </w:tcPr>
          <w:p w14:paraId="7FA6FAE1" w14:textId="46A81F2C" w:rsidR="005F3EFA" w:rsidRPr="00C31CA4" w:rsidRDefault="005F3EFA" w:rsidP="00A87E05">
            <w:pPr>
              <w:pStyle w:val="TableText0"/>
            </w:pPr>
            <w:r w:rsidRPr="00C31CA4">
              <w:t xml:space="preserve">Complete response at 6 months </w:t>
            </w:r>
          </w:p>
          <w:p w14:paraId="0C1CC8E4" w14:textId="71A704BA" w:rsidR="005F3EFA" w:rsidRPr="00C31CA4" w:rsidRDefault="005F3EFA" w:rsidP="00A87E05">
            <w:pPr>
              <w:pStyle w:val="TableText0"/>
              <w:jc w:val="right"/>
            </w:pPr>
            <w:r w:rsidRPr="00C31CA4">
              <w:t>All patients</w:t>
            </w:r>
          </w:p>
          <w:p w14:paraId="2BFD49F2" w14:textId="62C2A668" w:rsidR="005F3EFA" w:rsidRPr="00C31CA4" w:rsidRDefault="005F3EFA" w:rsidP="00A87E05">
            <w:pPr>
              <w:pStyle w:val="TableText0"/>
              <w:jc w:val="right"/>
            </w:pPr>
            <w:r w:rsidRPr="00C31CA4">
              <w:t>Children</w:t>
            </w:r>
          </w:p>
        </w:tc>
        <w:tc>
          <w:tcPr>
            <w:tcW w:w="4819" w:type="dxa"/>
          </w:tcPr>
          <w:p w14:paraId="0D50E5D7" w14:textId="77777777" w:rsidR="005F3EFA" w:rsidRPr="00C31CA4" w:rsidRDefault="005F3EFA" w:rsidP="00A87E05">
            <w:pPr>
              <w:pStyle w:val="TableText0"/>
              <w:jc w:val="center"/>
              <w:rPr>
                <w:b/>
                <w:bCs w:val="0"/>
              </w:rPr>
            </w:pPr>
          </w:p>
          <w:p w14:paraId="4B181799" w14:textId="15502398" w:rsidR="005F3EFA" w:rsidRPr="00C31CA4" w:rsidRDefault="005F3EFA" w:rsidP="00A87E05">
            <w:pPr>
              <w:pStyle w:val="TableText0"/>
              <w:jc w:val="center"/>
              <w:rPr>
                <w:b/>
                <w:bCs w:val="0"/>
              </w:rPr>
            </w:pPr>
            <w:r w:rsidRPr="00C31CA4">
              <w:rPr>
                <w:b/>
                <w:bCs w:val="0"/>
              </w:rPr>
              <w:t>2.61 (1.82, 3.74)</w:t>
            </w:r>
          </w:p>
          <w:p w14:paraId="2F0AA1EE" w14:textId="75C651C9" w:rsidR="005F3EFA" w:rsidRPr="00C31CA4" w:rsidRDefault="005F3EFA" w:rsidP="00A87E05">
            <w:pPr>
              <w:pStyle w:val="TableText0"/>
              <w:jc w:val="center"/>
            </w:pPr>
            <w:r w:rsidRPr="00C31CA4">
              <w:rPr>
                <w:b/>
                <w:bCs w:val="0"/>
              </w:rPr>
              <w:t>2.91 (1.56, 5.41)</w:t>
            </w:r>
          </w:p>
        </w:tc>
      </w:tr>
      <w:tr w:rsidR="005F3EFA" w:rsidRPr="00C31CA4" w14:paraId="6529181A" w14:textId="77777777" w:rsidTr="005F3EFA">
        <w:tc>
          <w:tcPr>
            <w:tcW w:w="4253" w:type="dxa"/>
          </w:tcPr>
          <w:p w14:paraId="58D2A56F" w14:textId="77777777" w:rsidR="005F3EFA" w:rsidRPr="00C31CA4" w:rsidRDefault="005F3EFA" w:rsidP="00A87E05">
            <w:pPr>
              <w:pStyle w:val="TableText0"/>
            </w:pPr>
            <w:r w:rsidRPr="00C31CA4">
              <w:t>Complete response at 3 months</w:t>
            </w:r>
          </w:p>
          <w:p w14:paraId="3C51DD9D" w14:textId="0CFDC916" w:rsidR="005F3EFA" w:rsidRPr="00C31CA4" w:rsidRDefault="005F3EFA" w:rsidP="00A87E05">
            <w:pPr>
              <w:pStyle w:val="TableText0"/>
              <w:jc w:val="right"/>
            </w:pPr>
            <w:r w:rsidRPr="00C31CA4">
              <w:t>All patients</w:t>
            </w:r>
          </w:p>
          <w:p w14:paraId="57359434" w14:textId="259135A5" w:rsidR="005F3EFA" w:rsidRPr="00C31CA4" w:rsidRDefault="005F3EFA" w:rsidP="00A87E05">
            <w:pPr>
              <w:pStyle w:val="TableText0"/>
              <w:jc w:val="right"/>
            </w:pPr>
            <w:r w:rsidRPr="00C31CA4">
              <w:t xml:space="preserve">Children </w:t>
            </w:r>
          </w:p>
        </w:tc>
        <w:tc>
          <w:tcPr>
            <w:tcW w:w="4819" w:type="dxa"/>
          </w:tcPr>
          <w:p w14:paraId="56900B5A" w14:textId="77777777" w:rsidR="005F3EFA" w:rsidRPr="00C31CA4" w:rsidRDefault="005F3EFA" w:rsidP="00A87E05">
            <w:pPr>
              <w:pStyle w:val="TableText0"/>
              <w:jc w:val="center"/>
              <w:rPr>
                <w:b/>
                <w:bCs w:val="0"/>
              </w:rPr>
            </w:pPr>
          </w:p>
          <w:p w14:paraId="4898FBE8" w14:textId="3B36D2DA" w:rsidR="005F3EFA" w:rsidRPr="00C31CA4" w:rsidRDefault="005F3EFA" w:rsidP="00A87E05">
            <w:pPr>
              <w:pStyle w:val="TableText0"/>
              <w:jc w:val="center"/>
              <w:rPr>
                <w:b/>
                <w:bCs w:val="0"/>
              </w:rPr>
            </w:pPr>
            <w:r w:rsidRPr="00C31CA4">
              <w:rPr>
                <w:b/>
                <w:bCs w:val="0"/>
              </w:rPr>
              <w:t>2.14 (1.09, 4.23)</w:t>
            </w:r>
          </w:p>
          <w:p w14:paraId="3D837DB6" w14:textId="10EF9614" w:rsidR="005F3EFA" w:rsidRPr="00C31CA4" w:rsidRDefault="005F3EFA" w:rsidP="00A87E05">
            <w:pPr>
              <w:pStyle w:val="TableText0"/>
              <w:jc w:val="center"/>
            </w:pPr>
            <w:r w:rsidRPr="00C31CA4">
              <w:t>1.43 (0.42, 4.94)</w:t>
            </w:r>
          </w:p>
        </w:tc>
      </w:tr>
      <w:tr w:rsidR="005F3EFA" w:rsidRPr="00C31CA4" w14:paraId="68586E38" w14:textId="77777777" w:rsidTr="005F3EFA">
        <w:tc>
          <w:tcPr>
            <w:tcW w:w="4253" w:type="dxa"/>
          </w:tcPr>
          <w:p w14:paraId="5EA1E0E4" w14:textId="77777777" w:rsidR="005F3EFA" w:rsidRPr="00C31CA4" w:rsidRDefault="005F3EFA" w:rsidP="00A87E05">
            <w:pPr>
              <w:pStyle w:val="TableText0"/>
            </w:pPr>
            <w:r w:rsidRPr="00C31CA4">
              <w:t>Partial response at 6 months</w:t>
            </w:r>
          </w:p>
          <w:p w14:paraId="7D36B023" w14:textId="22F960BF" w:rsidR="005F3EFA" w:rsidRPr="00C31CA4" w:rsidRDefault="005F3EFA" w:rsidP="00A87E05">
            <w:pPr>
              <w:pStyle w:val="TableText0"/>
              <w:jc w:val="right"/>
            </w:pPr>
            <w:r w:rsidRPr="00C31CA4">
              <w:t>All patients</w:t>
            </w:r>
          </w:p>
          <w:p w14:paraId="748E7B8D" w14:textId="7FD082CB" w:rsidR="005F3EFA" w:rsidRPr="00C31CA4" w:rsidRDefault="005F3EFA" w:rsidP="00A87E05">
            <w:pPr>
              <w:pStyle w:val="TableText0"/>
              <w:jc w:val="right"/>
            </w:pPr>
            <w:r w:rsidRPr="00C31CA4">
              <w:t>Children</w:t>
            </w:r>
          </w:p>
        </w:tc>
        <w:tc>
          <w:tcPr>
            <w:tcW w:w="4819" w:type="dxa"/>
          </w:tcPr>
          <w:p w14:paraId="4755E993" w14:textId="77777777" w:rsidR="005F3EFA" w:rsidRPr="00C31CA4" w:rsidRDefault="005F3EFA" w:rsidP="00A87E05">
            <w:pPr>
              <w:pStyle w:val="TableText0"/>
              <w:jc w:val="center"/>
            </w:pPr>
          </w:p>
          <w:p w14:paraId="04317C8A" w14:textId="4D4DC5A3" w:rsidR="005F3EFA" w:rsidRPr="00C31CA4" w:rsidRDefault="005F3EFA" w:rsidP="00A87E05">
            <w:pPr>
              <w:pStyle w:val="TableText0"/>
              <w:jc w:val="center"/>
            </w:pPr>
            <w:r w:rsidRPr="00C31CA4">
              <w:t>0.94 (0.49, 1.81)</w:t>
            </w:r>
          </w:p>
          <w:p w14:paraId="1926D5D3" w14:textId="05920AAD" w:rsidR="005F3EFA" w:rsidRPr="00C31CA4" w:rsidRDefault="005F3EFA" w:rsidP="00A87E05">
            <w:pPr>
              <w:pStyle w:val="TableText0"/>
              <w:jc w:val="center"/>
            </w:pPr>
            <w:r w:rsidRPr="00C31CA4">
              <w:t>0.61 (0.30, 1.24)</w:t>
            </w:r>
          </w:p>
        </w:tc>
      </w:tr>
      <w:tr w:rsidR="005F3EFA" w:rsidRPr="00C31CA4" w14:paraId="404765A0" w14:textId="77777777" w:rsidTr="005F3EFA">
        <w:tc>
          <w:tcPr>
            <w:tcW w:w="4253" w:type="dxa"/>
          </w:tcPr>
          <w:p w14:paraId="400E9B58" w14:textId="77777777" w:rsidR="005F3EFA" w:rsidRPr="00C31CA4" w:rsidRDefault="005F3EFA" w:rsidP="00A87E05">
            <w:pPr>
              <w:pStyle w:val="TableText0"/>
            </w:pPr>
            <w:r w:rsidRPr="00C31CA4">
              <w:t>Partial response at 3 months</w:t>
            </w:r>
          </w:p>
          <w:p w14:paraId="1F67ABD5" w14:textId="645AFF9C" w:rsidR="005F3EFA" w:rsidRPr="00C31CA4" w:rsidRDefault="005F3EFA" w:rsidP="00A87E05">
            <w:pPr>
              <w:pStyle w:val="TableText0"/>
              <w:jc w:val="right"/>
            </w:pPr>
            <w:r w:rsidRPr="00C31CA4">
              <w:t>All patients</w:t>
            </w:r>
          </w:p>
          <w:p w14:paraId="23894C76" w14:textId="04F0A7F2" w:rsidR="005F3EFA" w:rsidRPr="00C31CA4" w:rsidRDefault="005F3EFA" w:rsidP="00A87E05">
            <w:pPr>
              <w:pStyle w:val="TableText0"/>
              <w:jc w:val="right"/>
            </w:pPr>
            <w:r w:rsidRPr="00C31CA4">
              <w:t>Children</w:t>
            </w:r>
          </w:p>
        </w:tc>
        <w:tc>
          <w:tcPr>
            <w:tcW w:w="4819" w:type="dxa"/>
          </w:tcPr>
          <w:p w14:paraId="4D9BB35C" w14:textId="77777777" w:rsidR="005F3EFA" w:rsidRPr="00C31CA4" w:rsidRDefault="005F3EFA" w:rsidP="00A87E05">
            <w:pPr>
              <w:pStyle w:val="TableText0"/>
              <w:jc w:val="center"/>
              <w:rPr>
                <w:b/>
                <w:bCs w:val="0"/>
              </w:rPr>
            </w:pPr>
          </w:p>
          <w:p w14:paraId="17B3152D" w14:textId="3DDBCA08" w:rsidR="005F3EFA" w:rsidRPr="00C31CA4" w:rsidRDefault="005F3EFA" w:rsidP="00A87E05">
            <w:pPr>
              <w:pStyle w:val="TableText0"/>
              <w:jc w:val="center"/>
              <w:rPr>
                <w:b/>
                <w:bCs w:val="0"/>
              </w:rPr>
            </w:pPr>
            <w:r w:rsidRPr="00C31CA4">
              <w:rPr>
                <w:b/>
                <w:bCs w:val="0"/>
              </w:rPr>
              <w:t>2.10 (1.21, 3.65)</w:t>
            </w:r>
          </w:p>
          <w:p w14:paraId="654716D8" w14:textId="65B63FB6" w:rsidR="005F3EFA" w:rsidRPr="00C31CA4" w:rsidRDefault="005F3EFA" w:rsidP="00A87E05">
            <w:pPr>
              <w:pStyle w:val="TableText0"/>
              <w:jc w:val="center"/>
            </w:pPr>
            <w:r w:rsidRPr="00C31CA4">
              <w:t>1.62 (0.53, 4.98)</w:t>
            </w:r>
          </w:p>
        </w:tc>
      </w:tr>
    </w:tbl>
    <w:p w14:paraId="30B812AC" w14:textId="5E750869" w:rsidR="003B59BC" w:rsidRPr="00C31CA4" w:rsidRDefault="003B59BC" w:rsidP="00A87E05">
      <w:pPr>
        <w:pStyle w:val="TableFooter"/>
        <w:keepNext/>
      </w:pPr>
      <w:r w:rsidRPr="00C31CA4">
        <w:t xml:space="preserve">Source: </w:t>
      </w:r>
      <w:r w:rsidR="005F3EFA" w:rsidRPr="00C31CA4">
        <w:t>C</w:t>
      </w:r>
      <w:r w:rsidRPr="00C31CA4">
        <w:t xml:space="preserve">onstructed during the evaluation from the published report. </w:t>
      </w:r>
    </w:p>
    <w:p w14:paraId="7F68BF77" w14:textId="6B887422" w:rsidR="009E5748" w:rsidRPr="00C31CA4" w:rsidRDefault="003B59BC" w:rsidP="00A87E05">
      <w:pPr>
        <w:pStyle w:val="TableFooter"/>
        <w:spacing w:after="120"/>
      </w:pPr>
      <w:r w:rsidRPr="00C31CA4">
        <w:t xml:space="preserve">CI = </w:t>
      </w:r>
      <w:r w:rsidR="005F3EFA" w:rsidRPr="00C31CA4">
        <w:t>c</w:t>
      </w:r>
      <w:r w:rsidRPr="00C31CA4">
        <w:t xml:space="preserve">onfidence </w:t>
      </w:r>
      <w:r w:rsidR="005F3EFA" w:rsidRPr="00C31CA4">
        <w:t>i</w:t>
      </w:r>
      <w:r w:rsidRPr="00C31CA4">
        <w:t xml:space="preserve">nterval; ELT = </w:t>
      </w:r>
      <w:r w:rsidR="005F3EFA" w:rsidRPr="00C31CA4">
        <w:t>e</w:t>
      </w:r>
      <w:r w:rsidRPr="00C31CA4">
        <w:t xml:space="preserve">ltrombopag; OR = </w:t>
      </w:r>
      <w:r w:rsidR="005F3EFA" w:rsidRPr="00C31CA4">
        <w:t>o</w:t>
      </w:r>
      <w:r w:rsidRPr="00C31CA4">
        <w:t xml:space="preserve">dds </w:t>
      </w:r>
      <w:r w:rsidR="005F3EFA" w:rsidRPr="00C31CA4">
        <w:t>r</w:t>
      </w:r>
      <w:r w:rsidRPr="00C31CA4">
        <w:t xml:space="preserve">atio; statistically significant results are in </w:t>
      </w:r>
      <w:r w:rsidRPr="00C31CA4">
        <w:rPr>
          <w:b/>
          <w:bCs/>
        </w:rPr>
        <w:t>bold</w:t>
      </w:r>
      <w:r w:rsidRPr="00C31CA4">
        <w:t xml:space="preserve">. </w:t>
      </w:r>
    </w:p>
    <w:p w14:paraId="2982EC4C" w14:textId="2C42EC4E" w:rsidR="009E5748" w:rsidRPr="00C31CA4" w:rsidRDefault="001A25B2" w:rsidP="008B3F17">
      <w:pPr>
        <w:pStyle w:val="3-BodyText"/>
        <w:rPr>
          <w:i/>
          <w:iCs/>
        </w:rPr>
      </w:pPr>
      <w:r w:rsidRPr="00C31CA4">
        <w:t>These results, taken together with those of the systematic review of data in p</w:t>
      </w:r>
      <w:r w:rsidR="00D42DA8" w:rsidRPr="00C31CA4">
        <w:t>a</w:t>
      </w:r>
      <w:r w:rsidRPr="00C31CA4">
        <w:t xml:space="preserve">ediatric patients of Marrapodi (2023), </w:t>
      </w:r>
      <w:r w:rsidR="00442DBB" w:rsidRPr="00C31CA4">
        <w:t xml:space="preserve">support the conclusion that the eltrombopag-containing regimen is more likely to result in complete response, but that the benefit is </w:t>
      </w:r>
      <w:r w:rsidR="00EB026A" w:rsidRPr="00C31CA4">
        <w:t xml:space="preserve">smaller and </w:t>
      </w:r>
      <w:r w:rsidR="00442DBB" w:rsidRPr="00C31CA4">
        <w:t>less clear in relation to partial responses</w:t>
      </w:r>
      <w:r w:rsidR="00041D20" w:rsidRPr="00C31CA4">
        <w:t>,</w:t>
      </w:r>
      <w:r w:rsidR="00442DBB" w:rsidRPr="00C31CA4">
        <w:t xml:space="preserve"> and </w:t>
      </w:r>
      <w:r w:rsidR="00041D20" w:rsidRPr="00C31CA4">
        <w:t xml:space="preserve">that the benefit is smaller and less clear </w:t>
      </w:r>
      <w:r w:rsidR="00442DBB" w:rsidRPr="00C31CA4">
        <w:t>in children</w:t>
      </w:r>
      <w:r w:rsidR="00442DBB" w:rsidRPr="00C31CA4">
        <w:rPr>
          <w:i/>
          <w:iCs/>
        </w:rPr>
        <w:t>.</w:t>
      </w:r>
      <w:r w:rsidR="00794981" w:rsidRPr="00C31CA4">
        <w:t xml:space="preserve"> The ESC considered response in the paediatric population remained uncertain but is likely to be similar to that of adults.</w:t>
      </w:r>
    </w:p>
    <w:p w14:paraId="280D3486" w14:textId="28C4030A" w:rsidR="00B72D10" w:rsidRPr="00C31CA4" w:rsidRDefault="00B72D10" w:rsidP="008B3F17">
      <w:pPr>
        <w:pStyle w:val="3-BodyText"/>
        <w:numPr>
          <w:ilvl w:val="0"/>
          <w:numId w:val="0"/>
        </w:numPr>
        <w:rPr>
          <w:u w:val="single"/>
        </w:rPr>
      </w:pPr>
      <w:r w:rsidRPr="00C31CA4">
        <w:rPr>
          <w:u w:val="single"/>
        </w:rPr>
        <w:t>Second line treatment</w:t>
      </w:r>
    </w:p>
    <w:p w14:paraId="5D62F2BD" w14:textId="66967023" w:rsidR="00B25538" w:rsidRPr="00C31CA4" w:rsidRDefault="00EB026A" w:rsidP="008B3F17">
      <w:pPr>
        <w:pStyle w:val="3-BodyText"/>
      </w:pPr>
      <w:r w:rsidRPr="00C31CA4">
        <w:t>Results of the case series of patients refractory to IST treated with eltrombopag alone are shown in</w:t>
      </w:r>
      <w:r w:rsidR="00EA53FA" w:rsidRPr="00C31CA4">
        <w:t xml:space="preserve"> </w:t>
      </w:r>
      <w:r w:rsidR="00EA53FA" w:rsidRPr="00C31CA4">
        <w:fldChar w:fldCharType="begin" w:fldLock="1"/>
      </w:r>
      <w:r w:rsidR="00EA53FA" w:rsidRPr="00C31CA4">
        <w:instrText xml:space="preserve"> REF _Ref143466696 \h </w:instrText>
      </w:r>
      <w:r w:rsidR="00EA53FA" w:rsidRPr="00C31CA4">
        <w:fldChar w:fldCharType="separate"/>
      </w:r>
      <w:r w:rsidR="00897FA1" w:rsidRPr="00C31CA4">
        <w:t xml:space="preserve">Table </w:t>
      </w:r>
      <w:r w:rsidR="00897FA1">
        <w:rPr>
          <w:noProof/>
          <w:szCs w:val="20"/>
        </w:rPr>
        <w:t>9</w:t>
      </w:r>
      <w:r w:rsidR="00EA53FA" w:rsidRPr="00C31CA4">
        <w:fldChar w:fldCharType="end"/>
      </w:r>
      <w:r w:rsidRPr="00C31CA4">
        <w:t xml:space="preserve">. </w:t>
      </w:r>
    </w:p>
    <w:p w14:paraId="38071A19" w14:textId="1215D41C" w:rsidR="00B25538" w:rsidRPr="00C31CA4" w:rsidRDefault="00B25538" w:rsidP="006174DE">
      <w:pPr>
        <w:pStyle w:val="TableFigureHeading"/>
      </w:pPr>
      <w:bookmarkStart w:id="34" w:name="_Ref143466696"/>
      <w:r w:rsidRPr="00C31CA4">
        <w:t xml:space="preserve">Table </w:t>
      </w:r>
      <w:r w:rsidR="002C76E9" w:rsidRPr="00C31CA4">
        <w:rPr>
          <w:szCs w:val="20"/>
        </w:rPr>
        <w:fldChar w:fldCharType="begin" w:fldLock="1"/>
      </w:r>
      <w:r w:rsidR="002C76E9" w:rsidRPr="00C31CA4">
        <w:rPr>
          <w:szCs w:val="20"/>
        </w:rPr>
        <w:instrText xml:space="preserve"> SEQ Table \* ARABIC </w:instrText>
      </w:r>
      <w:r w:rsidR="002C76E9" w:rsidRPr="00C31CA4">
        <w:rPr>
          <w:szCs w:val="20"/>
        </w:rPr>
        <w:fldChar w:fldCharType="separate"/>
      </w:r>
      <w:r w:rsidR="00897FA1">
        <w:rPr>
          <w:noProof/>
          <w:szCs w:val="20"/>
        </w:rPr>
        <w:t>9</w:t>
      </w:r>
      <w:r w:rsidR="002C76E9" w:rsidRPr="00C31CA4">
        <w:rPr>
          <w:szCs w:val="20"/>
        </w:rPr>
        <w:fldChar w:fldCharType="end"/>
      </w:r>
      <w:bookmarkEnd w:id="34"/>
      <w:r w:rsidR="002C76E9" w:rsidRPr="00C31CA4">
        <w:rPr>
          <w:szCs w:val="20"/>
        </w:rPr>
        <w:t>:</w:t>
      </w:r>
      <w:r w:rsidRPr="00C31CA4">
        <w:t xml:space="preserve"> Results of the </w:t>
      </w:r>
      <w:r w:rsidR="002C76E9" w:rsidRPr="00C31CA4">
        <w:t>s</w:t>
      </w:r>
      <w:r w:rsidRPr="00C31CA4">
        <w:t xml:space="preserve">tudy of </w:t>
      </w:r>
      <w:r w:rsidR="002C76E9" w:rsidRPr="00C31CA4">
        <w:t>e</w:t>
      </w:r>
      <w:r w:rsidRPr="00C31CA4">
        <w:t xml:space="preserve">ltrombopag as </w:t>
      </w:r>
      <w:r w:rsidR="002C76E9" w:rsidRPr="00C31CA4">
        <w:t>s</w:t>
      </w:r>
      <w:r w:rsidRPr="00C31CA4">
        <w:t xml:space="preserve">econd-line </w:t>
      </w:r>
      <w:r w:rsidR="002C76E9" w:rsidRPr="00C31CA4">
        <w:t>t</w:t>
      </w:r>
      <w:r w:rsidRPr="00C31CA4">
        <w:t>reatment</w:t>
      </w:r>
    </w:p>
    <w:tbl>
      <w:tblPr>
        <w:tblStyle w:val="TableGrid"/>
        <w:tblW w:w="9067" w:type="dxa"/>
        <w:tblLook w:val="04A0" w:firstRow="1" w:lastRow="0" w:firstColumn="1" w:lastColumn="0" w:noHBand="0" w:noVBand="1"/>
      </w:tblPr>
      <w:tblGrid>
        <w:gridCol w:w="7083"/>
        <w:gridCol w:w="1984"/>
      </w:tblGrid>
      <w:tr w:rsidR="005F3EFA" w:rsidRPr="00C31CA4" w14:paraId="06538EEA" w14:textId="77777777" w:rsidTr="005F3EFA">
        <w:tc>
          <w:tcPr>
            <w:tcW w:w="7083" w:type="dxa"/>
          </w:tcPr>
          <w:p w14:paraId="0380F7F8" w14:textId="77777777" w:rsidR="00B25538" w:rsidRPr="00C31CA4" w:rsidRDefault="00B25538" w:rsidP="006174DE">
            <w:pPr>
              <w:pStyle w:val="TableText0"/>
              <w:rPr>
                <w:b/>
                <w:bCs w:val="0"/>
              </w:rPr>
            </w:pPr>
          </w:p>
        </w:tc>
        <w:tc>
          <w:tcPr>
            <w:tcW w:w="1984" w:type="dxa"/>
          </w:tcPr>
          <w:p w14:paraId="05B59221" w14:textId="39BB6E70" w:rsidR="00B25538" w:rsidRPr="00C31CA4" w:rsidRDefault="00B25538" w:rsidP="005F3EFA">
            <w:pPr>
              <w:pStyle w:val="TableText0"/>
              <w:jc w:val="center"/>
              <w:rPr>
                <w:b/>
                <w:bCs w:val="0"/>
              </w:rPr>
            </w:pPr>
            <w:r w:rsidRPr="00C31CA4">
              <w:rPr>
                <w:b/>
                <w:bCs w:val="0"/>
              </w:rPr>
              <w:t>Eltrombopag</w:t>
            </w:r>
          </w:p>
          <w:p w14:paraId="21B3B5D6" w14:textId="77777777" w:rsidR="00B25538" w:rsidRPr="00C31CA4" w:rsidRDefault="00B25538" w:rsidP="005F3EFA">
            <w:pPr>
              <w:pStyle w:val="TableText0"/>
              <w:jc w:val="center"/>
              <w:rPr>
                <w:b/>
                <w:bCs w:val="0"/>
              </w:rPr>
            </w:pPr>
            <w:r w:rsidRPr="00C31CA4">
              <w:rPr>
                <w:b/>
                <w:bCs w:val="0"/>
              </w:rPr>
              <w:t>N = 43</w:t>
            </w:r>
          </w:p>
        </w:tc>
      </w:tr>
      <w:tr w:rsidR="005F3EFA" w:rsidRPr="00C31CA4" w14:paraId="2B304229" w14:textId="77777777" w:rsidTr="005F3EFA">
        <w:tc>
          <w:tcPr>
            <w:tcW w:w="9067" w:type="dxa"/>
            <w:gridSpan w:val="2"/>
          </w:tcPr>
          <w:p w14:paraId="4E9E5503" w14:textId="6CDC3103" w:rsidR="00B25538" w:rsidRPr="00C31CA4" w:rsidRDefault="00B25538" w:rsidP="005F3EFA">
            <w:pPr>
              <w:pStyle w:val="TableText0"/>
              <w:rPr>
                <w:b/>
              </w:rPr>
            </w:pPr>
            <w:r w:rsidRPr="00C31CA4">
              <w:rPr>
                <w:b/>
              </w:rPr>
              <w:t>Desmond 2014</w:t>
            </w:r>
          </w:p>
        </w:tc>
      </w:tr>
      <w:tr w:rsidR="005F3EFA" w:rsidRPr="00C31CA4" w14:paraId="4FA6A812" w14:textId="77777777" w:rsidTr="005F3EFA">
        <w:tc>
          <w:tcPr>
            <w:tcW w:w="7083" w:type="dxa"/>
          </w:tcPr>
          <w:p w14:paraId="7566F236" w14:textId="707495EC" w:rsidR="00B25538" w:rsidRPr="00C31CA4" w:rsidRDefault="00B25538" w:rsidP="006174DE">
            <w:pPr>
              <w:pStyle w:val="TableText0"/>
            </w:pPr>
            <w:r w:rsidRPr="00C31CA4">
              <w:t>Response at 3-4 months</w:t>
            </w:r>
            <w:r w:rsidR="00C0146A" w:rsidRPr="00C31CA4">
              <w:rPr>
                <w:vertAlign w:val="superscript"/>
              </w:rPr>
              <w:t>a</w:t>
            </w:r>
            <w:r w:rsidR="00C0146A" w:rsidRPr="00C31CA4">
              <w:t>,</w:t>
            </w:r>
            <w:r w:rsidRPr="00C31CA4">
              <w:t xml:space="preserve"> n (%)</w:t>
            </w:r>
          </w:p>
        </w:tc>
        <w:tc>
          <w:tcPr>
            <w:tcW w:w="1984" w:type="dxa"/>
          </w:tcPr>
          <w:p w14:paraId="09670139" w14:textId="1AFA0FFF" w:rsidR="00B25538" w:rsidRPr="00C31CA4" w:rsidRDefault="00B25538" w:rsidP="005F3EFA">
            <w:pPr>
              <w:pStyle w:val="TableText0"/>
              <w:jc w:val="center"/>
            </w:pPr>
            <w:r w:rsidRPr="00C31CA4">
              <w:t>17 (39.5%)</w:t>
            </w:r>
            <w:r w:rsidR="00C0146A" w:rsidRPr="00C31CA4">
              <w:rPr>
                <w:vertAlign w:val="superscript"/>
              </w:rPr>
              <w:t>b</w:t>
            </w:r>
          </w:p>
        </w:tc>
      </w:tr>
      <w:tr w:rsidR="005F3EFA" w:rsidRPr="00C31CA4" w14:paraId="60ADDE64" w14:textId="77777777" w:rsidTr="005F3EFA">
        <w:tc>
          <w:tcPr>
            <w:tcW w:w="7083" w:type="dxa"/>
          </w:tcPr>
          <w:p w14:paraId="478A9580" w14:textId="606802BE" w:rsidR="00B25538" w:rsidRPr="00C31CA4" w:rsidRDefault="00B25538" w:rsidP="006174DE">
            <w:pPr>
              <w:pStyle w:val="TableText0"/>
            </w:pPr>
            <w:r w:rsidRPr="00C31CA4">
              <w:t xml:space="preserve">Patients </w:t>
            </w:r>
            <w:r w:rsidRPr="00C31CA4">
              <w:rPr>
                <w:b/>
              </w:rPr>
              <w:t>not</w:t>
            </w:r>
            <w:r w:rsidRPr="00C31CA4">
              <w:t xml:space="preserve"> meeting criteria for sAA at 6 months</w:t>
            </w:r>
            <w:r w:rsidR="00C0146A" w:rsidRPr="00C31CA4">
              <w:rPr>
                <w:vertAlign w:val="superscript"/>
              </w:rPr>
              <w:t>c</w:t>
            </w:r>
            <w:r w:rsidR="00C0146A" w:rsidRPr="00C31CA4">
              <w:t>,</w:t>
            </w:r>
            <w:r w:rsidRPr="00C31CA4">
              <w:t xml:space="preserve"> n (%)</w:t>
            </w:r>
          </w:p>
        </w:tc>
        <w:tc>
          <w:tcPr>
            <w:tcW w:w="1984" w:type="dxa"/>
          </w:tcPr>
          <w:p w14:paraId="2A963CF9" w14:textId="77777777" w:rsidR="00B25538" w:rsidRPr="00C31CA4" w:rsidRDefault="00B25538" w:rsidP="005F3EFA">
            <w:pPr>
              <w:pStyle w:val="TableText0"/>
              <w:jc w:val="center"/>
            </w:pPr>
            <w:r w:rsidRPr="00C31CA4">
              <w:t>9 (20.9%)</w:t>
            </w:r>
          </w:p>
        </w:tc>
      </w:tr>
      <w:tr w:rsidR="005F3EFA" w:rsidRPr="00C31CA4" w14:paraId="168A7A68" w14:textId="77777777" w:rsidTr="005F3EFA">
        <w:tc>
          <w:tcPr>
            <w:tcW w:w="7083" w:type="dxa"/>
          </w:tcPr>
          <w:p w14:paraId="09399C8A" w14:textId="742B323E" w:rsidR="00B25538" w:rsidRPr="00C31CA4" w:rsidRDefault="00B25538" w:rsidP="006174DE">
            <w:pPr>
              <w:pStyle w:val="TableText0"/>
            </w:pPr>
            <w:r w:rsidRPr="00C31CA4">
              <w:t>Patients receiving platelet transfusions who became platelet transfusion independent, n /N (%)</w:t>
            </w:r>
            <w:r w:rsidR="000A19E6" w:rsidRPr="00C31CA4">
              <w:t xml:space="preserve"> </w:t>
            </w:r>
          </w:p>
        </w:tc>
        <w:tc>
          <w:tcPr>
            <w:tcW w:w="1984" w:type="dxa"/>
          </w:tcPr>
          <w:p w14:paraId="0237176E" w14:textId="77777777" w:rsidR="00B25538" w:rsidRPr="00C31CA4" w:rsidRDefault="00B25538" w:rsidP="005F3EFA">
            <w:pPr>
              <w:pStyle w:val="TableText0"/>
              <w:jc w:val="center"/>
            </w:pPr>
            <w:r w:rsidRPr="00C31CA4">
              <w:t>9/15 (60.0%)</w:t>
            </w:r>
          </w:p>
        </w:tc>
      </w:tr>
    </w:tbl>
    <w:p w14:paraId="59869809" w14:textId="050E1B27" w:rsidR="00B25538" w:rsidRPr="00C31CA4" w:rsidRDefault="00B25538" w:rsidP="006174DE">
      <w:pPr>
        <w:pStyle w:val="TableFooter"/>
      </w:pPr>
      <w:r w:rsidRPr="00C31CA4">
        <w:t xml:space="preserve">Source: </w:t>
      </w:r>
      <w:r w:rsidR="005F3EFA" w:rsidRPr="00C31CA4">
        <w:t>C</w:t>
      </w:r>
      <w:r w:rsidRPr="00C31CA4">
        <w:t xml:space="preserve">onstructed during the evaluation from the published report. </w:t>
      </w:r>
    </w:p>
    <w:p w14:paraId="1B838137" w14:textId="2914B51D" w:rsidR="00B25538" w:rsidRPr="00C31CA4" w:rsidRDefault="00B25538" w:rsidP="006174DE">
      <w:pPr>
        <w:pStyle w:val="TableFooter"/>
      </w:pPr>
      <w:r w:rsidRPr="00C31CA4">
        <w:t xml:space="preserve">sAA = severe </w:t>
      </w:r>
      <w:r w:rsidR="00B94334" w:rsidRPr="00C31CA4">
        <w:t>a</w:t>
      </w:r>
      <w:r w:rsidRPr="00C31CA4">
        <w:t xml:space="preserve">plastic </w:t>
      </w:r>
      <w:r w:rsidR="00B94334" w:rsidRPr="00C31CA4">
        <w:t>a</w:t>
      </w:r>
      <w:r w:rsidRPr="00C31CA4">
        <w:t>n</w:t>
      </w:r>
      <w:r w:rsidR="00B94334" w:rsidRPr="00C31CA4">
        <w:t>a</w:t>
      </w:r>
      <w:r w:rsidRPr="00C31CA4">
        <w:t>emia.</w:t>
      </w:r>
      <w:r w:rsidR="000A19E6" w:rsidRPr="00C31CA4">
        <w:t xml:space="preserve"> </w:t>
      </w:r>
    </w:p>
    <w:p w14:paraId="0DD9DE14" w14:textId="12FA2370" w:rsidR="00EB026A" w:rsidRPr="00C31CA4" w:rsidRDefault="00C0146A" w:rsidP="00C0146A">
      <w:pPr>
        <w:pStyle w:val="TableFooter"/>
        <w:tabs>
          <w:tab w:val="left" w:pos="142"/>
        </w:tabs>
      </w:pPr>
      <w:r w:rsidRPr="00C31CA4">
        <w:rPr>
          <w:vertAlign w:val="superscript"/>
        </w:rPr>
        <w:t>a</w:t>
      </w:r>
      <w:r w:rsidR="00B25538" w:rsidRPr="00C31CA4">
        <w:t xml:space="preserve"> </w:t>
      </w:r>
      <w:r w:rsidRPr="00C31CA4">
        <w:tab/>
      </w:r>
      <w:r w:rsidR="00B25538" w:rsidRPr="00C31CA4">
        <w:t xml:space="preserve">Response </w:t>
      </w:r>
      <w:r w:rsidR="00FB6BD7" w:rsidRPr="00C31CA4">
        <w:t>=</w:t>
      </w:r>
      <w:r w:rsidR="00B25538" w:rsidRPr="00C31CA4">
        <w:t xml:space="preserve"> improvement in red cell</w:t>
      </w:r>
      <w:r w:rsidR="00FB6BD7" w:rsidRPr="00C31CA4">
        <w:t>s</w:t>
      </w:r>
      <w:r w:rsidR="00B25538" w:rsidRPr="00C31CA4">
        <w:t xml:space="preserve"> </w:t>
      </w:r>
      <w:r w:rsidR="00B25538" w:rsidRPr="00C31CA4">
        <w:rPr>
          <w:i/>
          <w:iCs/>
        </w:rPr>
        <w:t>or</w:t>
      </w:r>
      <w:r w:rsidR="00B25538" w:rsidRPr="00C31CA4">
        <w:t xml:space="preserve"> neutrophil</w:t>
      </w:r>
      <w:r w:rsidR="00FB6BD7" w:rsidRPr="00C31CA4">
        <w:t>s</w:t>
      </w:r>
      <w:r w:rsidR="00B25538" w:rsidRPr="00C31CA4">
        <w:t xml:space="preserve"> </w:t>
      </w:r>
      <w:r w:rsidR="00B25538" w:rsidRPr="00C31CA4">
        <w:rPr>
          <w:i/>
          <w:iCs/>
        </w:rPr>
        <w:t>or</w:t>
      </w:r>
      <w:r w:rsidR="00B25538" w:rsidRPr="00C31CA4">
        <w:t xml:space="preserve"> platelet</w:t>
      </w:r>
      <w:r w:rsidR="00FB6BD7" w:rsidRPr="00C31CA4">
        <w:t>s</w:t>
      </w:r>
      <w:r w:rsidR="00B25538" w:rsidRPr="00C31CA4">
        <w:t>, not all three as in the studies of first-line treatment.</w:t>
      </w:r>
      <w:r w:rsidR="000A19E6" w:rsidRPr="00C31CA4">
        <w:t xml:space="preserve"> </w:t>
      </w:r>
    </w:p>
    <w:p w14:paraId="7F1F579A" w14:textId="5B42C938" w:rsidR="00B25538" w:rsidRPr="00C31CA4" w:rsidRDefault="00C0146A" w:rsidP="00C0146A">
      <w:pPr>
        <w:pStyle w:val="TableFooter"/>
        <w:tabs>
          <w:tab w:val="left" w:pos="142"/>
        </w:tabs>
        <w:ind w:left="142" w:hanging="142"/>
      </w:pPr>
      <w:r w:rsidRPr="00C31CA4">
        <w:rPr>
          <w:vertAlign w:val="superscript"/>
        </w:rPr>
        <w:t>b</w:t>
      </w:r>
      <w:r w:rsidR="00B25538" w:rsidRPr="00C31CA4">
        <w:t xml:space="preserve"> </w:t>
      </w:r>
      <w:r w:rsidRPr="00C31CA4">
        <w:tab/>
      </w:r>
      <w:r w:rsidR="00B25538" w:rsidRPr="00C31CA4">
        <w:t xml:space="preserve">Two additional patients are counted as responders by the authors, making a total of 19 (44%), but they had discontinued eltrombopag </w:t>
      </w:r>
      <w:r w:rsidR="00FB6BD7" w:rsidRPr="00C31CA4">
        <w:t xml:space="preserve">weeks </w:t>
      </w:r>
      <w:r w:rsidR="00B25538" w:rsidRPr="00C31CA4">
        <w:t>before h</w:t>
      </w:r>
      <w:r w:rsidR="0012512D" w:rsidRPr="00C31CA4">
        <w:t>a</w:t>
      </w:r>
      <w:r w:rsidR="00B25538" w:rsidRPr="00C31CA4">
        <w:t xml:space="preserve">ematological parameters improved. </w:t>
      </w:r>
    </w:p>
    <w:p w14:paraId="70709EF6" w14:textId="6080E117" w:rsidR="00B25538" w:rsidRPr="00C31CA4" w:rsidRDefault="00C0146A" w:rsidP="00A87E05">
      <w:pPr>
        <w:pStyle w:val="TableFooter"/>
        <w:tabs>
          <w:tab w:val="left" w:pos="142"/>
        </w:tabs>
        <w:spacing w:after="120"/>
      </w:pPr>
      <w:r w:rsidRPr="00C31CA4">
        <w:rPr>
          <w:vertAlign w:val="superscript"/>
        </w:rPr>
        <w:t>c</w:t>
      </w:r>
      <w:r w:rsidR="00B25538" w:rsidRPr="00C31CA4">
        <w:t xml:space="preserve"> </w:t>
      </w:r>
      <w:r w:rsidRPr="00C31CA4">
        <w:tab/>
      </w:r>
      <w:r w:rsidR="00EB026A" w:rsidRPr="00C31CA4">
        <w:t>A</w:t>
      </w:r>
      <w:r w:rsidR="00B25538" w:rsidRPr="00C31CA4">
        <w:t xml:space="preserve">t least two of: </w:t>
      </w:r>
      <w:r w:rsidR="00EB026A" w:rsidRPr="00C31CA4">
        <w:t>ANC</w:t>
      </w:r>
      <w:r w:rsidR="00B25538" w:rsidRPr="00C31CA4">
        <w:t xml:space="preserve"> </w:t>
      </w:r>
      <w:r w:rsidR="00EB026A" w:rsidRPr="00C31CA4">
        <w:t>&gt;</w:t>
      </w:r>
      <w:r w:rsidR="00B25538" w:rsidRPr="00C31CA4">
        <w:t xml:space="preserve"> 0.5 x 10</w:t>
      </w:r>
      <w:r w:rsidR="00B25538" w:rsidRPr="00C31CA4">
        <w:rPr>
          <w:vertAlign w:val="superscript"/>
        </w:rPr>
        <w:t>9</w:t>
      </w:r>
      <w:r w:rsidR="00B25538" w:rsidRPr="00C31CA4">
        <w:t xml:space="preserve">/L; platelet count </w:t>
      </w:r>
      <w:r w:rsidR="00EB026A" w:rsidRPr="00C31CA4">
        <w:t>&gt;</w:t>
      </w:r>
      <w:r w:rsidR="00B25538" w:rsidRPr="00C31CA4">
        <w:t xml:space="preserve"> 20 x 10</w:t>
      </w:r>
      <w:r w:rsidR="00B25538" w:rsidRPr="00C31CA4">
        <w:rPr>
          <w:vertAlign w:val="superscript"/>
        </w:rPr>
        <w:t>9</w:t>
      </w:r>
      <w:r w:rsidR="00B25538" w:rsidRPr="00C31CA4">
        <w:t xml:space="preserve">/L; reticulocyte count </w:t>
      </w:r>
      <w:r w:rsidR="00EB026A" w:rsidRPr="00C31CA4">
        <w:t>&gt;</w:t>
      </w:r>
      <w:r w:rsidR="00B25538" w:rsidRPr="00C31CA4">
        <w:t xml:space="preserve"> 60 x 10</w:t>
      </w:r>
      <w:r w:rsidR="00B25538" w:rsidRPr="00C31CA4">
        <w:rPr>
          <w:vertAlign w:val="superscript"/>
        </w:rPr>
        <w:t>9</w:t>
      </w:r>
      <w:r w:rsidR="00B25538" w:rsidRPr="00C31CA4">
        <w:t xml:space="preserve">/L. </w:t>
      </w:r>
    </w:p>
    <w:p w14:paraId="5316A505" w14:textId="4408201A" w:rsidR="008F0C19" w:rsidRPr="00C31CA4" w:rsidRDefault="00FF3767" w:rsidP="008B3F17">
      <w:pPr>
        <w:pStyle w:val="3-BodyText"/>
        <w:rPr>
          <w:i/>
          <w:iCs/>
        </w:rPr>
      </w:pPr>
      <w:r w:rsidRPr="00C31CA4">
        <w:t xml:space="preserve">The </w:t>
      </w:r>
      <w:r w:rsidR="006B5B82" w:rsidRPr="00C31CA4">
        <w:t xml:space="preserve">evaluation considered the </w:t>
      </w:r>
      <w:r w:rsidR="00FB744A" w:rsidRPr="00C31CA4">
        <w:t>less stringent</w:t>
      </w:r>
      <w:r w:rsidRPr="00C31CA4">
        <w:t xml:space="preserve"> definition of response in this case series makes it difficult to compare the reported response rate with </w:t>
      </w:r>
      <w:r w:rsidR="00FB744A" w:rsidRPr="00C31CA4">
        <w:t>response rates</w:t>
      </w:r>
      <w:r w:rsidRPr="00C31CA4">
        <w:t xml:space="preserve"> reported for first-line treatment.</w:t>
      </w:r>
      <w:r w:rsidR="00794981" w:rsidRPr="00C31CA4">
        <w:t xml:space="preserve"> The ESC noted transfusion independence can be assumed for </w:t>
      </w:r>
      <w:r w:rsidR="00340EC7" w:rsidRPr="00C31CA4">
        <w:t xml:space="preserve">PR </w:t>
      </w:r>
      <w:r w:rsidR="00794981" w:rsidRPr="00C31CA4">
        <w:t>and whilst the absence of transfusions for 2 weeks in the de Latour study makes that outcome more stringent the outcome criteria in the second line studies remains a reliable outcome.</w:t>
      </w:r>
      <w:r w:rsidR="00794981" w:rsidRPr="00C31CA4">
        <w:rPr>
          <w:i/>
          <w:iCs/>
        </w:rPr>
        <w:t xml:space="preserve"> </w:t>
      </w:r>
    </w:p>
    <w:p w14:paraId="772A9BE5" w14:textId="2D6545D7" w:rsidR="00F02288" w:rsidRPr="00C31CA4" w:rsidRDefault="00F02288" w:rsidP="008B3F17">
      <w:pPr>
        <w:pStyle w:val="3-BodyText"/>
      </w:pPr>
      <w:r w:rsidRPr="00C31CA4">
        <w:lastRenderedPageBreak/>
        <w:t>The ESC considered evidence to support the use of eltrombopag in patients refractory to immunosuppressive therapy (second line) was of poor quality; however, the evidence supported a benefit in haematologic response.</w:t>
      </w:r>
    </w:p>
    <w:p w14:paraId="1452C351" w14:textId="0D19F1B0" w:rsidR="00B60939" w:rsidRPr="00C31CA4" w:rsidRDefault="00B60939" w:rsidP="00D86231">
      <w:pPr>
        <w:pStyle w:val="4-SubsectionHeading"/>
      </w:pPr>
      <w:bookmarkStart w:id="35" w:name="_Toc22897642"/>
      <w:bookmarkStart w:id="36" w:name="_Toc144676129"/>
      <w:r w:rsidRPr="00C31CA4">
        <w:t>Comparative harms</w:t>
      </w:r>
      <w:bookmarkEnd w:id="35"/>
      <w:bookmarkEnd w:id="36"/>
    </w:p>
    <w:p w14:paraId="6AB939D2" w14:textId="417C4706" w:rsidR="00D66C25" w:rsidRPr="00C31CA4" w:rsidRDefault="00D66C25" w:rsidP="008B3F17">
      <w:pPr>
        <w:pStyle w:val="3-BodyText"/>
      </w:pPr>
      <w:r w:rsidRPr="00C31CA4">
        <w:t xml:space="preserve">None of the published studies reported adverse events in the detail normally found in clinical study reports. Several, notably Desmond </w:t>
      </w:r>
      <w:r w:rsidR="009122EA" w:rsidRPr="00C31CA4">
        <w:t>(</w:t>
      </w:r>
      <w:r w:rsidRPr="00C31CA4">
        <w:t>2014</w:t>
      </w:r>
      <w:r w:rsidR="009122EA" w:rsidRPr="00C31CA4">
        <w:t>),</w:t>
      </w:r>
      <w:r w:rsidRPr="00C31CA4">
        <w:t xml:space="preserve"> reported adverse event data only in the most</w:t>
      </w:r>
      <w:r w:rsidR="00957207" w:rsidRPr="00C31CA4">
        <w:t xml:space="preserve"> </w:t>
      </w:r>
      <w:r w:rsidRPr="00C31CA4">
        <w:t>general terms (“we observed a favorable toxicity profile”).</w:t>
      </w:r>
      <w:r w:rsidR="000A19E6" w:rsidRPr="00C31CA4">
        <w:t xml:space="preserve"> </w:t>
      </w:r>
    </w:p>
    <w:p w14:paraId="2DAF16D1" w14:textId="5EE9253D" w:rsidR="00B60939" w:rsidRPr="00C31CA4" w:rsidRDefault="009122EA" w:rsidP="008B3F17">
      <w:pPr>
        <w:pStyle w:val="3-BodyText"/>
      </w:pPr>
      <w:r w:rsidRPr="00C31CA4">
        <w:t>D</w:t>
      </w:r>
      <w:r w:rsidR="00D66C25" w:rsidRPr="00C31CA4">
        <w:t xml:space="preserve">e Latour </w:t>
      </w:r>
      <w:r w:rsidRPr="00C31CA4">
        <w:t>(</w:t>
      </w:r>
      <w:r w:rsidR="00D66C25" w:rsidRPr="00C31CA4">
        <w:t>2022</w:t>
      </w:r>
      <w:r w:rsidRPr="00C31CA4">
        <w:t>)</w:t>
      </w:r>
      <w:r w:rsidR="00D66C25" w:rsidRPr="00C31CA4">
        <w:t xml:space="preserve"> </w:t>
      </w:r>
      <w:r w:rsidR="00C27C9E" w:rsidRPr="00C31CA4">
        <w:t>provide</w:t>
      </w:r>
      <w:r w:rsidR="00FF3767" w:rsidRPr="00C31CA4">
        <w:t>d</w:t>
      </w:r>
      <w:r w:rsidR="00C27C9E" w:rsidRPr="00C31CA4">
        <w:t xml:space="preserve"> the most detailed account of adverse events, but still </w:t>
      </w:r>
      <w:r w:rsidR="00D66C25" w:rsidRPr="00C31CA4">
        <w:t xml:space="preserve">reported only adverse events </w:t>
      </w:r>
      <w:r w:rsidR="00957207" w:rsidRPr="00C31CA4">
        <w:t xml:space="preserve">aggregated </w:t>
      </w:r>
      <w:r w:rsidR="00D66C25" w:rsidRPr="00C31CA4">
        <w:t xml:space="preserve">by organ system, adverse events Grade 3 or higher </w:t>
      </w:r>
      <w:r w:rsidR="00957207" w:rsidRPr="00C31CA4">
        <w:t xml:space="preserve">aggregated </w:t>
      </w:r>
      <w:r w:rsidR="00D66C25" w:rsidRPr="00C31CA4">
        <w:t xml:space="preserve">by organ system, </w:t>
      </w:r>
      <w:r w:rsidR="00C27C9E" w:rsidRPr="00C31CA4">
        <w:t>infectious events Grade 3 or higher, and “liver issues” Grade 3 or higher</w:t>
      </w:r>
      <w:r w:rsidR="00E46B37" w:rsidRPr="00C31CA4">
        <w:t xml:space="preserve"> (see </w:t>
      </w:r>
      <w:r w:rsidR="00E46B37" w:rsidRPr="00C31CA4">
        <w:fldChar w:fldCharType="begin" w:fldLock="1"/>
      </w:r>
      <w:r w:rsidR="00E46B37" w:rsidRPr="00C31CA4">
        <w:instrText xml:space="preserve"> REF _Ref143461296 \h </w:instrText>
      </w:r>
      <w:r w:rsidR="00E46B37" w:rsidRPr="00C31CA4">
        <w:fldChar w:fldCharType="separate"/>
      </w:r>
      <w:r w:rsidR="00897FA1" w:rsidRPr="00C31CA4">
        <w:t xml:space="preserve">Table </w:t>
      </w:r>
      <w:r w:rsidR="00897FA1">
        <w:rPr>
          <w:noProof/>
        </w:rPr>
        <w:t>6</w:t>
      </w:r>
      <w:r w:rsidR="00E46B37" w:rsidRPr="00C31CA4">
        <w:fldChar w:fldCharType="end"/>
      </w:r>
      <w:r w:rsidR="00E46B37" w:rsidRPr="00C31CA4">
        <w:t>)</w:t>
      </w:r>
      <w:r w:rsidR="00C27C9E" w:rsidRPr="00C31CA4">
        <w:t xml:space="preserve">. </w:t>
      </w:r>
    </w:p>
    <w:p w14:paraId="3859AD94" w14:textId="3C4EDF0C" w:rsidR="00C27C9E" w:rsidRPr="00C31CA4" w:rsidRDefault="00C27C9E" w:rsidP="008B3F17">
      <w:pPr>
        <w:pStyle w:val="3-BodyText"/>
      </w:pPr>
      <w:r w:rsidRPr="00C31CA4">
        <w:t xml:space="preserve">For this reason, </w:t>
      </w:r>
      <w:r w:rsidR="00F97255" w:rsidRPr="00C31CA4">
        <w:t>t</w:t>
      </w:r>
      <w:r w:rsidRPr="00C31CA4">
        <w:t xml:space="preserve">ables of </w:t>
      </w:r>
      <w:r w:rsidR="00F97255" w:rsidRPr="00C31CA4">
        <w:t>a</w:t>
      </w:r>
      <w:r w:rsidRPr="00C31CA4">
        <w:t xml:space="preserve">dverse </w:t>
      </w:r>
      <w:r w:rsidR="00F97255" w:rsidRPr="00C31CA4">
        <w:t>e</w:t>
      </w:r>
      <w:r w:rsidRPr="00C31CA4">
        <w:t>vents have not be</w:t>
      </w:r>
      <w:r w:rsidR="00957207" w:rsidRPr="00C31CA4">
        <w:t>en</w:t>
      </w:r>
      <w:r w:rsidRPr="00C31CA4">
        <w:t xml:space="preserve"> prepared and no </w:t>
      </w:r>
      <w:r w:rsidR="00F97255" w:rsidRPr="00C31CA4">
        <w:t>b</w:t>
      </w:r>
      <w:r w:rsidRPr="00C31CA4">
        <w:t>enefits/</w:t>
      </w:r>
      <w:r w:rsidR="00F97255" w:rsidRPr="00C31CA4">
        <w:t>h</w:t>
      </w:r>
      <w:r w:rsidRPr="00C31CA4">
        <w:t xml:space="preserve">arms comparison is presented. </w:t>
      </w:r>
    </w:p>
    <w:p w14:paraId="68790C6B" w14:textId="3BE2E9FF" w:rsidR="004601C9" w:rsidRPr="00C31CA4" w:rsidRDefault="004601C9" w:rsidP="008B3F17">
      <w:pPr>
        <w:pStyle w:val="3-BodyText"/>
      </w:pPr>
      <w:r w:rsidRPr="00C31CA4">
        <w:t xml:space="preserve">There was no </w:t>
      </w:r>
      <w:r w:rsidR="00404DD3" w:rsidRPr="00C31CA4">
        <w:t>obvious</w:t>
      </w:r>
      <w:r w:rsidRPr="00C31CA4">
        <w:t xml:space="preserve"> increased risk </w:t>
      </w:r>
      <w:r w:rsidR="00DB0636" w:rsidRPr="00C31CA4">
        <w:t xml:space="preserve">of </w:t>
      </w:r>
      <w:r w:rsidRPr="00C31CA4">
        <w:t>clonal evolution</w:t>
      </w:r>
      <w:r w:rsidR="00DB0636" w:rsidRPr="00C31CA4">
        <w:t xml:space="preserve">, or of </w:t>
      </w:r>
      <w:r w:rsidR="0012512D" w:rsidRPr="00C31CA4">
        <w:t>karyotypic</w:t>
      </w:r>
      <w:r w:rsidR="00DB0636" w:rsidRPr="00C31CA4">
        <w:t xml:space="preserve"> abnormalities associated with myeloid malignancies</w:t>
      </w:r>
      <w:r w:rsidRPr="00C31CA4">
        <w:t xml:space="preserve"> in patients given eltrombopag. </w:t>
      </w:r>
    </w:p>
    <w:p w14:paraId="133926DB" w14:textId="02E73D1D" w:rsidR="00A25A3C" w:rsidRPr="00C31CA4" w:rsidRDefault="00DB0636" w:rsidP="008B3F17">
      <w:pPr>
        <w:pStyle w:val="3-BodyText"/>
      </w:pPr>
      <w:r w:rsidRPr="00C31CA4">
        <w:t>Overall, t</w:t>
      </w:r>
      <w:r w:rsidR="00A25A3C" w:rsidRPr="00C31CA4">
        <w:t xml:space="preserve">he </w:t>
      </w:r>
      <w:r w:rsidR="00277800" w:rsidRPr="00C31CA4">
        <w:t xml:space="preserve">data reported do not suggest that eltrombopag treatment was associated with more frequent or more severe </w:t>
      </w:r>
      <w:r w:rsidR="00A25A3C" w:rsidRPr="00C31CA4">
        <w:t>eleva</w:t>
      </w:r>
      <w:r w:rsidR="00277800" w:rsidRPr="00C31CA4">
        <w:t>tion of</w:t>
      </w:r>
      <w:r w:rsidR="00A25A3C" w:rsidRPr="00C31CA4">
        <w:t xml:space="preserve"> transaminases or bilirubin</w:t>
      </w:r>
      <w:r w:rsidR="00277800" w:rsidRPr="00C31CA4">
        <w:t xml:space="preserve"> </w:t>
      </w:r>
      <w:r w:rsidR="00A25A3C" w:rsidRPr="00C31CA4">
        <w:t xml:space="preserve">in patients </w:t>
      </w:r>
      <w:r w:rsidR="00277800" w:rsidRPr="00C31CA4">
        <w:t>with</w:t>
      </w:r>
      <w:r w:rsidR="00A25A3C" w:rsidRPr="00C31CA4">
        <w:t xml:space="preserve"> sAA than </w:t>
      </w:r>
      <w:r w:rsidRPr="00C31CA4">
        <w:t xml:space="preserve">previously reported </w:t>
      </w:r>
      <w:r w:rsidR="00A25A3C" w:rsidRPr="00C31CA4">
        <w:t xml:space="preserve">in patients </w:t>
      </w:r>
      <w:r w:rsidR="00277800" w:rsidRPr="00C31CA4">
        <w:t>with</w:t>
      </w:r>
      <w:r w:rsidR="00A25A3C" w:rsidRPr="00C31CA4">
        <w:t xml:space="preserve"> idiopathic thrombocytopenic purpura</w:t>
      </w:r>
      <w:r w:rsidR="00277800" w:rsidRPr="00C31CA4">
        <w:t>, but the limitations of the data make any conclusion uncertain</w:t>
      </w:r>
      <w:r w:rsidR="00A25A3C" w:rsidRPr="00C31CA4">
        <w:t xml:space="preserve">. </w:t>
      </w:r>
    </w:p>
    <w:p w14:paraId="7A1772B6" w14:textId="23BB3145" w:rsidR="00B60939" w:rsidRPr="00C31CA4" w:rsidRDefault="00B60939" w:rsidP="00E9094A">
      <w:pPr>
        <w:pStyle w:val="4-SubsectionHeading"/>
      </w:pPr>
      <w:bookmarkStart w:id="37" w:name="_Toc22897644"/>
      <w:bookmarkStart w:id="38" w:name="_Toc144676130"/>
      <w:r w:rsidRPr="00C31CA4">
        <w:t>Clinical claim</w:t>
      </w:r>
      <w:bookmarkEnd w:id="37"/>
      <w:bookmarkEnd w:id="38"/>
    </w:p>
    <w:p w14:paraId="3E1A50E9" w14:textId="3904445D" w:rsidR="00C27C9E" w:rsidRPr="00C31CA4" w:rsidRDefault="005F7588" w:rsidP="008B3F17">
      <w:pPr>
        <w:pStyle w:val="3-BodyText"/>
        <w:rPr>
          <w:rFonts w:eastAsia="Calibri"/>
        </w:rPr>
      </w:pPr>
      <w:r w:rsidRPr="00C31CA4">
        <w:rPr>
          <w:rFonts w:eastAsia="Calibri"/>
        </w:rPr>
        <w:t xml:space="preserve">The </w:t>
      </w:r>
      <w:r w:rsidR="00E1089C" w:rsidRPr="00C31CA4">
        <w:rPr>
          <w:rFonts w:eastAsia="Calibri"/>
        </w:rPr>
        <w:t>clinical conclusion in the submission was that</w:t>
      </w:r>
      <w:r w:rsidR="00C27C9E" w:rsidRPr="00C31CA4">
        <w:rPr>
          <w:rFonts w:eastAsia="Calibri"/>
        </w:rPr>
        <w:t xml:space="preserve"> </w:t>
      </w:r>
      <w:r w:rsidR="00E1089C" w:rsidRPr="00C31CA4">
        <w:rPr>
          <w:rFonts w:eastAsia="Calibri"/>
        </w:rPr>
        <w:t>eltrombopag</w:t>
      </w:r>
      <w:r w:rsidR="00C27C9E" w:rsidRPr="00C31CA4">
        <w:rPr>
          <w:rFonts w:eastAsia="Calibri"/>
        </w:rPr>
        <w:t xml:space="preserve"> in combination with IST is superior to IST alone for the first-line treatment for patients with sAA in terms of the number of patients who achieve a complete response and time to response, with similar safety. In patients who are refractory to IST, eltrombopag provides a significant clinical benefit in terms of haematologic response and transfusion independence, with an acceptable safety profile. </w:t>
      </w:r>
    </w:p>
    <w:p w14:paraId="73659A8D" w14:textId="10CBBF9A" w:rsidR="00C27C9E" w:rsidRPr="00C31CA4" w:rsidRDefault="00E1089C" w:rsidP="008B3F17">
      <w:pPr>
        <w:pStyle w:val="3-BodyText"/>
        <w:rPr>
          <w:rFonts w:eastAsia="Calibri"/>
        </w:rPr>
      </w:pPr>
      <w:r w:rsidRPr="00C31CA4">
        <w:rPr>
          <w:rFonts w:eastAsia="Calibri"/>
        </w:rPr>
        <w:t>The ESC considered the clinical conclusion for the first line use of eltrombopag was supported by the evidence presented above</w:t>
      </w:r>
      <w:r w:rsidR="00C31CA4">
        <w:rPr>
          <w:rFonts w:eastAsia="Calibri"/>
        </w:rPr>
        <w:t>.</w:t>
      </w:r>
    </w:p>
    <w:p w14:paraId="54D3A82D" w14:textId="3F756D64" w:rsidR="005F7588" w:rsidRPr="00C31CA4" w:rsidRDefault="001B37A6" w:rsidP="008B3F17">
      <w:pPr>
        <w:pStyle w:val="3-BodyText"/>
        <w:rPr>
          <w:rFonts w:eastAsia="Calibri"/>
        </w:rPr>
      </w:pPr>
      <w:r w:rsidRPr="00C31CA4">
        <w:rPr>
          <w:rFonts w:eastAsia="Calibri"/>
        </w:rPr>
        <w:t xml:space="preserve">The </w:t>
      </w:r>
      <w:r w:rsidR="00B210F4" w:rsidRPr="00C31CA4">
        <w:rPr>
          <w:rFonts w:eastAsia="Calibri"/>
        </w:rPr>
        <w:t xml:space="preserve">ESC considered </w:t>
      </w:r>
      <w:r w:rsidR="005406E3" w:rsidRPr="00C31CA4">
        <w:rPr>
          <w:rFonts w:eastAsia="Calibri"/>
        </w:rPr>
        <w:t xml:space="preserve">the clinical conclusion for </w:t>
      </w:r>
      <w:r w:rsidRPr="00C31CA4">
        <w:rPr>
          <w:rFonts w:eastAsia="Calibri"/>
        </w:rPr>
        <w:t xml:space="preserve">second line treatment is supported by the evidence presented although with a greater degree of uncertainty than first line treatment. </w:t>
      </w:r>
    </w:p>
    <w:p w14:paraId="49669E4C" w14:textId="77777777" w:rsidR="006C2B5B" w:rsidRPr="00C31CA4" w:rsidRDefault="00B210F4" w:rsidP="008B3F17">
      <w:pPr>
        <w:pStyle w:val="3-BodyText"/>
      </w:pPr>
      <w:bookmarkStart w:id="39" w:name="_Toc22897645"/>
      <w:r w:rsidRPr="00C31CA4">
        <w:rPr>
          <w:rFonts w:eastAsia="Calibri"/>
        </w:rPr>
        <w:t xml:space="preserve">The </w:t>
      </w:r>
      <w:r w:rsidR="001B37A6" w:rsidRPr="00C31CA4">
        <w:rPr>
          <w:rFonts w:eastAsia="Calibri"/>
        </w:rPr>
        <w:t>ESC note</w:t>
      </w:r>
      <w:r w:rsidRPr="00C31CA4">
        <w:rPr>
          <w:rFonts w:eastAsia="Calibri"/>
        </w:rPr>
        <w:t>d</w:t>
      </w:r>
      <w:r w:rsidR="006B5B82" w:rsidRPr="00C31CA4">
        <w:rPr>
          <w:rFonts w:eastAsia="Calibri"/>
        </w:rPr>
        <w:t xml:space="preserve"> </w:t>
      </w:r>
      <w:r w:rsidR="001B37A6" w:rsidRPr="00C31CA4">
        <w:rPr>
          <w:rFonts w:eastAsia="Calibri"/>
        </w:rPr>
        <w:t>that the safety profile of eltrombopag is well established in ITP and that the TGA and international agencies have supported the tolerable safety of eltrombopag in SAA.</w:t>
      </w:r>
    </w:p>
    <w:p w14:paraId="78E3DAB4" w14:textId="4006EE4C" w:rsidR="00A228E4" w:rsidRPr="00C31CA4" w:rsidRDefault="006C2B5B" w:rsidP="008B3F17">
      <w:pPr>
        <w:pStyle w:val="3-BodyText"/>
      </w:pPr>
      <w:r w:rsidRPr="00C31CA4">
        <w:rPr>
          <w:rFonts w:eastAsia="Calibri"/>
        </w:rPr>
        <w:t xml:space="preserve">The PBAC considered the claim that eltrombopag in combination with </w:t>
      </w:r>
      <w:r w:rsidR="00CF529B" w:rsidRPr="00C31CA4">
        <w:rPr>
          <w:rFonts w:eastAsia="Calibri"/>
        </w:rPr>
        <w:t xml:space="preserve">hATG + CsA </w:t>
      </w:r>
      <w:r w:rsidRPr="00C31CA4">
        <w:rPr>
          <w:rFonts w:eastAsia="Calibri"/>
        </w:rPr>
        <w:t xml:space="preserve">was of superior comparative effectiveness to </w:t>
      </w:r>
      <w:r w:rsidR="00CF529B" w:rsidRPr="00C31CA4">
        <w:rPr>
          <w:rFonts w:eastAsia="Calibri"/>
        </w:rPr>
        <w:t xml:space="preserve">hATG + CsA </w:t>
      </w:r>
      <w:r w:rsidRPr="00C31CA4">
        <w:rPr>
          <w:rFonts w:eastAsia="Calibri"/>
        </w:rPr>
        <w:t>alone for the first line treatment of sAA was reasonable</w:t>
      </w:r>
      <w:r w:rsidR="00C31CA4">
        <w:rPr>
          <w:rFonts w:eastAsia="Calibri"/>
        </w:rPr>
        <w:t xml:space="preserve">. </w:t>
      </w:r>
    </w:p>
    <w:p w14:paraId="43AA3569" w14:textId="6AAB1293" w:rsidR="006C2B5B" w:rsidRPr="00C31CA4" w:rsidRDefault="006C2B5B" w:rsidP="008B3F17">
      <w:pPr>
        <w:pStyle w:val="3-BodyText"/>
      </w:pPr>
      <w:r w:rsidRPr="00C31CA4">
        <w:rPr>
          <w:rFonts w:eastAsia="Calibri"/>
        </w:rPr>
        <w:lastRenderedPageBreak/>
        <w:t xml:space="preserve">The PBAC considered the claim that eltrombopag was of superior comparative effectiveness to </w:t>
      </w:r>
      <w:r w:rsidR="00212569">
        <w:rPr>
          <w:rFonts w:eastAsia="Calibri"/>
        </w:rPr>
        <w:t xml:space="preserve">standard of </w:t>
      </w:r>
      <w:r w:rsidRPr="00C31CA4">
        <w:rPr>
          <w:rFonts w:eastAsia="Calibri"/>
        </w:rPr>
        <w:t>care for the second line treatment of sAA was uncertain but, on balance, reasonable.</w:t>
      </w:r>
    </w:p>
    <w:p w14:paraId="19173D7B" w14:textId="719CB565" w:rsidR="006C2B5B" w:rsidRPr="00C31CA4" w:rsidRDefault="006C2B5B" w:rsidP="008B3F17">
      <w:pPr>
        <w:pStyle w:val="3-BodyText"/>
      </w:pPr>
      <w:r w:rsidRPr="00C31CA4">
        <w:rPr>
          <w:rFonts w:eastAsia="Calibri"/>
        </w:rPr>
        <w:t xml:space="preserve">The PBAC considered the safety of eltrombopag was likely to be consistent with that observed in ITP and was manageable. </w:t>
      </w:r>
    </w:p>
    <w:p w14:paraId="74A1172E" w14:textId="494A8A4B" w:rsidR="00B60939" w:rsidRPr="00C31CA4" w:rsidRDefault="00B60939" w:rsidP="0029127D">
      <w:pPr>
        <w:pStyle w:val="4-SubsectionHeading"/>
      </w:pPr>
      <w:bookmarkStart w:id="40" w:name="_Toc144676131"/>
      <w:r w:rsidRPr="00C31CA4">
        <w:t>Economic analysis</w:t>
      </w:r>
      <w:bookmarkEnd w:id="39"/>
      <w:bookmarkEnd w:id="40"/>
      <w:r w:rsidR="00491B3A" w:rsidRPr="00C31CA4">
        <w:t xml:space="preserve"> </w:t>
      </w:r>
    </w:p>
    <w:p w14:paraId="7CC7EDE3" w14:textId="2122FC5A" w:rsidR="00B27CBB" w:rsidRPr="00C31CA4" w:rsidRDefault="00B27CBB" w:rsidP="008B3F17">
      <w:pPr>
        <w:pStyle w:val="3-BodyText"/>
        <w:rPr>
          <w:color w:val="0066FF"/>
        </w:rPr>
      </w:pPr>
      <w:r w:rsidRPr="00C31CA4">
        <w:t>The submission did not present an economic evaluation.</w:t>
      </w:r>
      <w:r w:rsidR="00227397" w:rsidRPr="00C31CA4">
        <w:t xml:space="preserve"> The potential cost savings associated with achieving transfusion independence were outlined in the</w:t>
      </w:r>
      <w:r w:rsidR="00343559">
        <w:t xml:space="preserve"> Pre-Sub-Committee Response</w:t>
      </w:r>
      <w:r w:rsidR="00227397" w:rsidRPr="00C31CA4">
        <w:t xml:space="preserve"> </w:t>
      </w:r>
      <w:r w:rsidR="00343559">
        <w:t>(</w:t>
      </w:r>
      <w:r w:rsidR="00227397" w:rsidRPr="00C31CA4">
        <w:t>PSCR</w:t>
      </w:r>
      <w:r w:rsidR="00343559">
        <w:t>)</w:t>
      </w:r>
      <w:r w:rsidR="00227397" w:rsidRPr="00C31CA4">
        <w:rPr>
          <w:i/>
          <w:iCs/>
        </w:rPr>
        <w:t xml:space="preserve"> </w:t>
      </w:r>
      <w:r w:rsidR="00227397" w:rsidRPr="00C31CA4">
        <w:t>(see below).</w:t>
      </w:r>
      <w:r w:rsidR="00D74DAC" w:rsidRPr="00C31CA4">
        <w:t xml:space="preserve"> The ESC estimated the cost per responder using the drug costs, transfusion costs and response rates</w:t>
      </w:r>
      <w:r w:rsidR="00D74DAC" w:rsidRPr="00C31CA4">
        <w:rPr>
          <w:i/>
          <w:iCs/>
        </w:rPr>
        <w:t>.</w:t>
      </w:r>
    </w:p>
    <w:p w14:paraId="3128EB1F" w14:textId="4AB0A742" w:rsidR="006D12F9" w:rsidRPr="00C31CA4" w:rsidRDefault="006D12F9" w:rsidP="008B3F17">
      <w:pPr>
        <w:pStyle w:val="3-BodyText"/>
        <w:rPr>
          <w:color w:val="0066FF"/>
        </w:rPr>
      </w:pPr>
      <w:r w:rsidRPr="00C31CA4">
        <w:t>The</w:t>
      </w:r>
      <w:r w:rsidR="00592A15" w:rsidRPr="00C31CA4">
        <w:t xml:space="preserve"> ESC noted the majority of use of eltrombopag will be in the first line treatment setting and </w:t>
      </w:r>
      <w:r w:rsidR="00D649E0" w:rsidRPr="00C31CA4">
        <w:t>the</w:t>
      </w:r>
      <w:r w:rsidRPr="00C31CA4">
        <w:t xml:space="preserve"> cost per patient is estimated to be $</w:t>
      </w:r>
      <w:r w:rsidR="007D1F58" w:rsidRPr="00C31CA4">
        <w:t>42,886</w:t>
      </w:r>
      <w:r w:rsidRPr="00C31CA4">
        <w:t xml:space="preserve"> (</w:t>
      </w:r>
      <w:r w:rsidR="007D1F58" w:rsidRPr="00C31CA4">
        <w:fldChar w:fldCharType="begin" w:fldLock="1"/>
      </w:r>
      <w:r w:rsidR="007D1F58" w:rsidRPr="00C31CA4">
        <w:instrText xml:space="preserve"> REF _Ref145057745 \h  \* MERGEFORMAT </w:instrText>
      </w:r>
      <w:r w:rsidR="007D1F58" w:rsidRPr="00C31CA4">
        <w:fldChar w:fldCharType="separate"/>
      </w:r>
      <w:r w:rsidR="00897FA1" w:rsidRPr="00C31CA4">
        <w:t xml:space="preserve">Table </w:t>
      </w:r>
      <w:r w:rsidR="00897FA1">
        <w:t>11</w:t>
      </w:r>
      <w:r w:rsidR="007D1F58" w:rsidRPr="00C31CA4">
        <w:fldChar w:fldCharType="end"/>
      </w:r>
      <w:r w:rsidRPr="00C31CA4">
        <w:t xml:space="preserve">). </w:t>
      </w:r>
    </w:p>
    <w:p w14:paraId="504701F0" w14:textId="6992F80D" w:rsidR="009A5662" w:rsidRPr="00C31CA4" w:rsidRDefault="009A5662" w:rsidP="008B3F17">
      <w:pPr>
        <w:pStyle w:val="3-BodyText"/>
      </w:pPr>
      <w:r w:rsidRPr="00C31CA4">
        <w:t>The PSCR noted a publication by Lengline</w:t>
      </w:r>
      <w:r w:rsidRPr="00C31CA4">
        <w:rPr>
          <w:rStyle w:val="FootnoteReference"/>
        </w:rPr>
        <w:footnoteReference w:id="6"/>
      </w:r>
      <w:r w:rsidRPr="00C31CA4">
        <w:t xml:space="preserve"> et al reported the median requirement for transfusion-dependant refractory SAA patients was 4U of packed red blood cells (PRBC) and 3U of platelets per month. Based on the National Blood Authority list price for PRBC of $375 per unit and for platelets of $257 per unit, the monthly cost for blood products is $2,271 per patient. The PSCR noted the additional costs of transfusions not accounted for in the cost of blood products, include the cost of hospitalisation, costs associated with the morbidity of the transfusions and clinicals staff costs. The PSCR further noted that published data suggests the actual cost of blood transfusion is approximately twice the cost of the blood products (excluding the cost of potential adverse outcomes)</w:t>
      </w:r>
      <w:r w:rsidRPr="00C31CA4">
        <w:rPr>
          <w:rStyle w:val="FootnoteReference"/>
        </w:rPr>
        <w:footnoteReference w:id="7"/>
      </w:r>
      <w:r w:rsidRPr="00C31CA4">
        <w:t xml:space="preserve">. Based on this the PSCR estimated the monthly cost of blood products for patients with </w:t>
      </w:r>
      <w:r w:rsidR="005406E3" w:rsidRPr="00C31CA4">
        <w:t xml:space="preserve">transfusion-dependent </w:t>
      </w:r>
      <w:r w:rsidRPr="00C31CA4">
        <w:t xml:space="preserve">sAA is likely to be approximately $4,500 per month. </w:t>
      </w:r>
    </w:p>
    <w:p w14:paraId="66A72CE1" w14:textId="202A4680" w:rsidR="0029127D" w:rsidRPr="00C31CA4" w:rsidRDefault="0029127D" w:rsidP="008B3F17">
      <w:pPr>
        <w:pStyle w:val="3-BodyText"/>
        <w:rPr>
          <w:color w:val="0066FF"/>
        </w:rPr>
      </w:pPr>
      <w:r w:rsidRPr="00C31CA4">
        <w:t xml:space="preserve">The ESC noted the </w:t>
      </w:r>
      <w:r w:rsidR="009A5662" w:rsidRPr="00C31CA4">
        <w:t>incremental cost per additional responder is $</w:t>
      </w:r>
      <w:r w:rsidR="004566E2">
        <w:t>95,000 to &lt;$115,000</w:t>
      </w:r>
      <w:r w:rsidR="009A5662" w:rsidRPr="00C31CA4">
        <w:t xml:space="preserve"> (</w:t>
      </w:r>
      <w:r w:rsidR="009A5662" w:rsidRPr="00C31CA4">
        <w:fldChar w:fldCharType="begin" w:fldLock="1"/>
      </w:r>
      <w:r w:rsidR="009A5662" w:rsidRPr="00C31CA4">
        <w:instrText xml:space="preserve"> REF _Ref148094285 \h  \* MERGEFORMAT </w:instrText>
      </w:r>
      <w:r w:rsidR="009A5662" w:rsidRPr="00C31CA4">
        <w:fldChar w:fldCharType="separate"/>
      </w:r>
      <w:r w:rsidR="00897FA1" w:rsidRPr="00C31CA4">
        <w:t xml:space="preserve">Table </w:t>
      </w:r>
      <w:r w:rsidR="00897FA1">
        <w:t>10</w:t>
      </w:r>
      <w:r w:rsidR="009A5662" w:rsidRPr="00C31CA4">
        <w:fldChar w:fldCharType="end"/>
      </w:r>
      <w:r w:rsidR="009A5662" w:rsidRPr="00C31CA4">
        <w:t>)</w:t>
      </w:r>
      <w:r w:rsidR="00744967" w:rsidRPr="00C31CA4">
        <w:t xml:space="preserve">. </w:t>
      </w:r>
    </w:p>
    <w:p w14:paraId="2465C90F" w14:textId="6F96CC47" w:rsidR="009A5662" w:rsidRPr="00C31CA4" w:rsidRDefault="009A5662" w:rsidP="00E33A76">
      <w:pPr>
        <w:pStyle w:val="Caption"/>
      </w:pPr>
      <w:bookmarkStart w:id="41" w:name="_Ref148094285"/>
      <w:r w:rsidRPr="00C31CA4">
        <w:lastRenderedPageBreak/>
        <w:t xml:space="preserve">Table </w:t>
      </w:r>
      <w:fldSimple w:instr=" SEQ Table \* ARABIC " w:fldLock="1">
        <w:r w:rsidR="00897FA1">
          <w:rPr>
            <w:noProof/>
          </w:rPr>
          <w:t>10</w:t>
        </w:r>
      </w:fldSimple>
      <w:bookmarkEnd w:id="41"/>
      <w:r w:rsidRPr="00C31CA4">
        <w:t>: Incremental cost per additional responder at 12 months (using the published price of eltrombopag)</w:t>
      </w:r>
    </w:p>
    <w:tbl>
      <w:tblPr>
        <w:tblStyle w:val="TableGrid"/>
        <w:tblW w:w="0" w:type="auto"/>
        <w:tblLook w:val="04A0" w:firstRow="1" w:lastRow="0" w:firstColumn="1" w:lastColumn="0" w:noHBand="0" w:noVBand="1"/>
      </w:tblPr>
      <w:tblGrid>
        <w:gridCol w:w="2405"/>
        <w:gridCol w:w="2103"/>
        <w:gridCol w:w="2254"/>
        <w:gridCol w:w="2255"/>
      </w:tblGrid>
      <w:tr w:rsidR="009A5662" w:rsidRPr="00C31CA4" w14:paraId="02C16C99" w14:textId="77777777" w:rsidTr="00A87E05">
        <w:tc>
          <w:tcPr>
            <w:tcW w:w="2405" w:type="dxa"/>
          </w:tcPr>
          <w:p w14:paraId="4525B4F7" w14:textId="77777777" w:rsidR="009A5662" w:rsidRPr="00C31CA4" w:rsidRDefault="009A5662" w:rsidP="00E33A76">
            <w:pPr>
              <w:pStyle w:val="In-tableHeading"/>
              <w:keepLines/>
              <w:rPr>
                <w:lang w:val="en-AU"/>
              </w:rPr>
            </w:pPr>
          </w:p>
        </w:tc>
        <w:tc>
          <w:tcPr>
            <w:tcW w:w="2103" w:type="dxa"/>
          </w:tcPr>
          <w:p w14:paraId="529C4ADC" w14:textId="45DB030E" w:rsidR="009A5662" w:rsidRPr="00C31CA4" w:rsidRDefault="009A5662" w:rsidP="00E33A76">
            <w:pPr>
              <w:pStyle w:val="In-tableHeading"/>
              <w:keepLines/>
              <w:jc w:val="center"/>
              <w:rPr>
                <w:lang w:val="en-AU"/>
              </w:rPr>
            </w:pPr>
            <w:r w:rsidRPr="00C31CA4">
              <w:rPr>
                <w:lang w:val="en-AU"/>
              </w:rPr>
              <w:t>Eltrombopag</w:t>
            </w:r>
          </w:p>
        </w:tc>
        <w:tc>
          <w:tcPr>
            <w:tcW w:w="2254" w:type="dxa"/>
          </w:tcPr>
          <w:p w14:paraId="50F0BFAC" w14:textId="3383CAE3" w:rsidR="009A5662" w:rsidRPr="00C31CA4" w:rsidRDefault="009A5662" w:rsidP="00E33A76">
            <w:pPr>
              <w:pStyle w:val="In-tableHeading"/>
              <w:keepLines/>
              <w:jc w:val="center"/>
              <w:rPr>
                <w:lang w:val="en-AU"/>
              </w:rPr>
            </w:pPr>
            <w:r w:rsidRPr="00C31CA4">
              <w:rPr>
                <w:lang w:val="en-AU"/>
              </w:rPr>
              <w:t>SOC</w:t>
            </w:r>
          </w:p>
        </w:tc>
        <w:tc>
          <w:tcPr>
            <w:tcW w:w="2255" w:type="dxa"/>
          </w:tcPr>
          <w:p w14:paraId="3EF61CF3" w14:textId="274790AD" w:rsidR="009A5662" w:rsidRPr="00C31CA4" w:rsidRDefault="009A5662" w:rsidP="00E33A76">
            <w:pPr>
              <w:pStyle w:val="In-tableHeading"/>
              <w:keepLines/>
              <w:jc w:val="center"/>
              <w:rPr>
                <w:lang w:val="en-AU"/>
              </w:rPr>
            </w:pPr>
            <w:r w:rsidRPr="00C31CA4">
              <w:rPr>
                <w:lang w:val="en-AU"/>
              </w:rPr>
              <w:t>Incremental</w:t>
            </w:r>
          </w:p>
        </w:tc>
      </w:tr>
      <w:tr w:rsidR="009A5662" w:rsidRPr="00C31CA4" w14:paraId="427FEB13" w14:textId="77777777" w:rsidTr="00A87E05">
        <w:tc>
          <w:tcPr>
            <w:tcW w:w="2405" w:type="dxa"/>
          </w:tcPr>
          <w:p w14:paraId="3F7E63C3" w14:textId="29994D6C" w:rsidR="009A5662" w:rsidRPr="00C31CA4" w:rsidRDefault="009A5662" w:rsidP="00E33A76">
            <w:pPr>
              <w:pStyle w:val="In-tableHeading"/>
              <w:keepLines/>
              <w:rPr>
                <w:b w:val="0"/>
                <w:bCs/>
                <w:lang w:val="en-AU"/>
              </w:rPr>
            </w:pPr>
            <w:r w:rsidRPr="00C31CA4">
              <w:rPr>
                <w:b w:val="0"/>
                <w:bCs/>
                <w:lang w:val="en-AU"/>
              </w:rPr>
              <w:t>Cost of tran</w:t>
            </w:r>
            <w:r w:rsidR="00C31CA4">
              <w:rPr>
                <w:b w:val="0"/>
                <w:bCs/>
                <w:lang w:val="en-AU"/>
              </w:rPr>
              <w:t>s</w:t>
            </w:r>
            <w:r w:rsidRPr="00C31CA4">
              <w:rPr>
                <w:b w:val="0"/>
                <w:bCs/>
                <w:lang w:val="en-AU"/>
              </w:rPr>
              <w:t>fusion</w:t>
            </w:r>
            <w:r w:rsidR="00A87E05">
              <w:rPr>
                <w:b w:val="0"/>
                <w:bCs/>
                <w:vertAlign w:val="superscript"/>
                <w:lang w:val="en-AU"/>
              </w:rPr>
              <w:t>a</w:t>
            </w:r>
          </w:p>
        </w:tc>
        <w:tc>
          <w:tcPr>
            <w:tcW w:w="2103" w:type="dxa"/>
          </w:tcPr>
          <w:p w14:paraId="6EC5F7B2" w14:textId="5086CE1E" w:rsidR="009A5662" w:rsidRPr="00C31CA4" w:rsidRDefault="009A5662" w:rsidP="00E33A76">
            <w:pPr>
              <w:pStyle w:val="In-tableHeading"/>
              <w:keepLines/>
              <w:jc w:val="right"/>
              <w:rPr>
                <w:b w:val="0"/>
                <w:bCs/>
                <w:lang w:val="en-AU"/>
              </w:rPr>
            </w:pPr>
            <w:r w:rsidRPr="00C31CA4">
              <w:rPr>
                <w:b w:val="0"/>
                <w:bCs/>
                <w:lang w:val="en-AU"/>
              </w:rPr>
              <w:t>$29,943</w:t>
            </w:r>
          </w:p>
        </w:tc>
        <w:tc>
          <w:tcPr>
            <w:tcW w:w="2254" w:type="dxa"/>
          </w:tcPr>
          <w:p w14:paraId="3BBC48EC" w14:textId="7EBE6615" w:rsidR="009A5662" w:rsidRPr="00C31CA4" w:rsidRDefault="009A5662" w:rsidP="00E33A76">
            <w:pPr>
              <w:pStyle w:val="In-tableHeading"/>
              <w:keepLines/>
              <w:jc w:val="right"/>
              <w:rPr>
                <w:b w:val="0"/>
                <w:bCs/>
                <w:lang w:val="en-AU"/>
              </w:rPr>
            </w:pPr>
            <w:r w:rsidRPr="00C31CA4">
              <w:rPr>
                <w:b w:val="0"/>
                <w:bCs/>
                <w:lang w:val="en-AU"/>
              </w:rPr>
              <w:t>$41,566</w:t>
            </w:r>
          </w:p>
        </w:tc>
        <w:tc>
          <w:tcPr>
            <w:tcW w:w="2255" w:type="dxa"/>
          </w:tcPr>
          <w:p w14:paraId="414656E2" w14:textId="06FB316F" w:rsidR="009A5662" w:rsidRPr="00C31CA4" w:rsidRDefault="009A5662" w:rsidP="00E33A76">
            <w:pPr>
              <w:pStyle w:val="In-tableHeading"/>
              <w:keepLines/>
              <w:jc w:val="right"/>
              <w:rPr>
                <w:b w:val="0"/>
                <w:bCs/>
                <w:lang w:val="en-AU"/>
              </w:rPr>
            </w:pPr>
            <w:r w:rsidRPr="00C31CA4">
              <w:rPr>
                <w:b w:val="0"/>
                <w:bCs/>
                <w:lang w:val="en-AU"/>
              </w:rPr>
              <w:t>-$11,623</w:t>
            </w:r>
          </w:p>
        </w:tc>
      </w:tr>
      <w:tr w:rsidR="009A5662" w:rsidRPr="00C31CA4" w14:paraId="09E4D867" w14:textId="77777777" w:rsidTr="00A87E05">
        <w:tc>
          <w:tcPr>
            <w:tcW w:w="2405" w:type="dxa"/>
          </w:tcPr>
          <w:p w14:paraId="02903B54" w14:textId="7D538D7B" w:rsidR="009A5662" w:rsidRPr="00C31CA4" w:rsidRDefault="009A5662" w:rsidP="00E33A76">
            <w:pPr>
              <w:pStyle w:val="In-tableHeading"/>
              <w:keepLines/>
              <w:rPr>
                <w:b w:val="0"/>
                <w:bCs/>
                <w:lang w:val="en-AU"/>
              </w:rPr>
            </w:pPr>
            <w:r w:rsidRPr="00C31CA4">
              <w:rPr>
                <w:b w:val="0"/>
                <w:bCs/>
                <w:lang w:val="en-AU"/>
              </w:rPr>
              <w:t>Cost of eltrombopag</w:t>
            </w:r>
          </w:p>
        </w:tc>
        <w:tc>
          <w:tcPr>
            <w:tcW w:w="2103" w:type="dxa"/>
          </w:tcPr>
          <w:p w14:paraId="7240C79A" w14:textId="1F8B6AC8" w:rsidR="009A5662" w:rsidRPr="00C31CA4" w:rsidRDefault="009A5662" w:rsidP="00E33A76">
            <w:pPr>
              <w:pStyle w:val="In-tableHeading"/>
              <w:keepLines/>
              <w:jc w:val="right"/>
              <w:rPr>
                <w:b w:val="0"/>
                <w:bCs/>
                <w:lang w:val="en-AU"/>
              </w:rPr>
            </w:pPr>
            <w:r w:rsidRPr="00C31CA4">
              <w:rPr>
                <w:b w:val="0"/>
                <w:bCs/>
                <w:lang w:val="en-AU"/>
              </w:rPr>
              <w:t>$42,886</w:t>
            </w:r>
          </w:p>
        </w:tc>
        <w:tc>
          <w:tcPr>
            <w:tcW w:w="2254" w:type="dxa"/>
          </w:tcPr>
          <w:p w14:paraId="3A3640BB" w14:textId="584D3371" w:rsidR="009A5662" w:rsidRPr="00C31CA4" w:rsidRDefault="009A5662" w:rsidP="00E33A76">
            <w:pPr>
              <w:pStyle w:val="In-tableHeading"/>
              <w:keepLines/>
              <w:jc w:val="right"/>
              <w:rPr>
                <w:b w:val="0"/>
                <w:bCs/>
                <w:lang w:val="en-AU"/>
              </w:rPr>
            </w:pPr>
            <w:r w:rsidRPr="00C31CA4">
              <w:rPr>
                <w:b w:val="0"/>
                <w:bCs/>
                <w:lang w:val="en-AU"/>
              </w:rPr>
              <w:t>-</w:t>
            </w:r>
          </w:p>
        </w:tc>
        <w:tc>
          <w:tcPr>
            <w:tcW w:w="2255" w:type="dxa"/>
          </w:tcPr>
          <w:p w14:paraId="4E5E11FC" w14:textId="2F5B19FB" w:rsidR="009A5662" w:rsidRPr="00C31CA4" w:rsidRDefault="009A5662" w:rsidP="00E33A76">
            <w:pPr>
              <w:pStyle w:val="In-tableHeading"/>
              <w:keepLines/>
              <w:jc w:val="right"/>
              <w:rPr>
                <w:b w:val="0"/>
                <w:bCs/>
                <w:lang w:val="en-AU"/>
              </w:rPr>
            </w:pPr>
            <w:r w:rsidRPr="00C31CA4">
              <w:rPr>
                <w:b w:val="0"/>
                <w:bCs/>
                <w:lang w:val="en-AU"/>
              </w:rPr>
              <w:t>$42,886</w:t>
            </w:r>
          </w:p>
        </w:tc>
      </w:tr>
      <w:tr w:rsidR="009A5662" w:rsidRPr="00C31CA4" w14:paraId="7356E81E" w14:textId="77777777" w:rsidTr="00A87E05">
        <w:tc>
          <w:tcPr>
            <w:tcW w:w="2405" w:type="dxa"/>
          </w:tcPr>
          <w:p w14:paraId="7223956B" w14:textId="7D2DF14D" w:rsidR="009A5662" w:rsidRPr="00C31CA4" w:rsidRDefault="009A5662" w:rsidP="00E33A76">
            <w:pPr>
              <w:pStyle w:val="In-tableHeading"/>
              <w:keepLines/>
              <w:rPr>
                <w:b w:val="0"/>
                <w:bCs/>
                <w:lang w:val="en-AU"/>
              </w:rPr>
            </w:pPr>
            <w:r w:rsidRPr="00C31CA4">
              <w:rPr>
                <w:b w:val="0"/>
                <w:bCs/>
                <w:lang w:val="en-AU"/>
              </w:rPr>
              <w:t>Total cost</w:t>
            </w:r>
          </w:p>
        </w:tc>
        <w:tc>
          <w:tcPr>
            <w:tcW w:w="2103" w:type="dxa"/>
          </w:tcPr>
          <w:p w14:paraId="5A281B63" w14:textId="6F69E9E5" w:rsidR="009A5662" w:rsidRPr="00C31CA4" w:rsidRDefault="009A5662" w:rsidP="00E33A76">
            <w:pPr>
              <w:pStyle w:val="In-tableHeading"/>
              <w:keepLines/>
              <w:jc w:val="right"/>
              <w:rPr>
                <w:b w:val="0"/>
                <w:bCs/>
                <w:lang w:val="en-AU"/>
              </w:rPr>
            </w:pPr>
            <w:r w:rsidRPr="00C31CA4">
              <w:rPr>
                <w:b w:val="0"/>
                <w:bCs/>
                <w:lang w:val="en-AU"/>
              </w:rPr>
              <w:t>$72,829</w:t>
            </w:r>
          </w:p>
        </w:tc>
        <w:tc>
          <w:tcPr>
            <w:tcW w:w="2254" w:type="dxa"/>
          </w:tcPr>
          <w:p w14:paraId="4FAF85FF" w14:textId="3D99FB86" w:rsidR="009A5662" w:rsidRPr="00C31CA4" w:rsidRDefault="009A5662" w:rsidP="00E33A76">
            <w:pPr>
              <w:pStyle w:val="In-tableHeading"/>
              <w:keepLines/>
              <w:jc w:val="right"/>
              <w:rPr>
                <w:b w:val="0"/>
                <w:bCs/>
                <w:lang w:val="en-AU"/>
              </w:rPr>
            </w:pPr>
            <w:r w:rsidRPr="00C31CA4">
              <w:rPr>
                <w:b w:val="0"/>
                <w:bCs/>
                <w:lang w:val="en-AU"/>
              </w:rPr>
              <w:t>$41,566</w:t>
            </w:r>
          </w:p>
        </w:tc>
        <w:tc>
          <w:tcPr>
            <w:tcW w:w="2255" w:type="dxa"/>
          </w:tcPr>
          <w:p w14:paraId="1BB46A18" w14:textId="2108477E" w:rsidR="009A5662" w:rsidRPr="00C31CA4" w:rsidRDefault="009A5662" w:rsidP="00E33A76">
            <w:pPr>
              <w:pStyle w:val="In-tableHeading"/>
              <w:keepLines/>
              <w:jc w:val="right"/>
              <w:rPr>
                <w:b w:val="0"/>
                <w:bCs/>
                <w:lang w:val="en-AU"/>
              </w:rPr>
            </w:pPr>
            <w:r w:rsidRPr="00C31CA4">
              <w:rPr>
                <w:b w:val="0"/>
                <w:bCs/>
                <w:lang w:val="en-AU"/>
              </w:rPr>
              <w:t>$31,263</w:t>
            </w:r>
          </w:p>
        </w:tc>
      </w:tr>
      <w:tr w:rsidR="009A5662" w:rsidRPr="00C31CA4" w14:paraId="3405C8CA" w14:textId="77777777" w:rsidTr="00A87E05">
        <w:tc>
          <w:tcPr>
            <w:tcW w:w="2405" w:type="dxa"/>
          </w:tcPr>
          <w:p w14:paraId="422FAEC6" w14:textId="03D06467" w:rsidR="009A5662" w:rsidRPr="00C31CA4" w:rsidRDefault="009A5662" w:rsidP="00E33A76">
            <w:pPr>
              <w:pStyle w:val="In-tableHeading"/>
              <w:keepLines/>
              <w:rPr>
                <w:b w:val="0"/>
                <w:bCs/>
                <w:lang w:val="en-AU"/>
              </w:rPr>
            </w:pPr>
            <w:r w:rsidRPr="00C31CA4">
              <w:rPr>
                <w:b w:val="0"/>
                <w:bCs/>
                <w:lang w:val="en-AU"/>
              </w:rPr>
              <w:t>Response rate</w:t>
            </w:r>
            <w:r w:rsidR="00B4585E" w:rsidRPr="00C31CA4">
              <w:rPr>
                <w:b w:val="0"/>
                <w:bCs/>
                <w:lang w:val="en-AU"/>
              </w:rPr>
              <w:t xml:space="preserve"> (at 3 months)</w:t>
            </w:r>
          </w:p>
        </w:tc>
        <w:tc>
          <w:tcPr>
            <w:tcW w:w="2103" w:type="dxa"/>
          </w:tcPr>
          <w:p w14:paraId="3A50BF97" w14:textId="7A44C9B7" w:rsidR="009A5662" w:rsidRPr="00C31CA4" w:rsidRDefault="009A5662" w:rsidP="00E33A76">
            <w:pPr>
              <w:pStyle w:val="In-tableHeading"/>
              <w:keepLines/>
              <w:jc w:val="right"/>
              <w:rPr>
                <w:b w:val="0"/>
                <w:bCs/>
                <w:lang w:val="en-AU"/>
              </w:rPr>
            </w:pPr>
            <w:r w:rsidRPr="00C31CA4">
              <w:rPr>
                <w:b w:val="0"/>
                <w:bCs/>
                <w:lang w:val="en-AU"/>
              </w:rPr>
              <w:t>59.4%</w:t>
            </w:r>
          </w:p>
        </w:tc>
        <w:tc>
          <w:tcPr>
            <w:tcW w:w="2254" w:type="dxa"/>
          </w:tcPr>
          <w:p w14:paraId="46D2DFA4" w14:textId="0C385772" w:rsidR="009A5662" w:rsidRPr="00C31CA4" w:rsidRDefault="009A5662" w:rsidP="00E33A76">
            <w:pPr>
              <w:pStyle w:val="In-tableHeading"/>
              <w:keepLines/>
              <w:jc w:val="right"/>
              <w:rPr>
                <w:b w:val="0"/>
                <w:bCs/>
                <w:lang w:val="en-AU"/>
              </w:rPr>
            </w:pPr>
            <w:r w:rsidRPr="00C31CA4">
              <w:rPr>
                <w:b w:val="0"/>
                <w:bCs/>
                <w:lang w:val="en-AU"/>
              </w:rPr>
              <w:t>30.7%</w:t>
            </w:r>
          </w:p>
        </w:tc>
        <w:tc>
          <w:tcPr>
            <w:tcW w:w="2255" w:type="dxa"/>
          </w:tcPr>
          <w:p w14:paraId="22DA83FA" w14:textId="01EBB105" w:rsidR="009A5662" w:rsidRPr="00C31CA4" w:rsidRDefault="009A5662" w:rsidP="00E33A76">
            <w:pPr>
              <w:pStyle w:val="In-tableHeading"/>
              <w:keepLines/>
              <w:jc w:val="right"/>
              <w:rPr>
                <w:b w:val="0"/>
                <w:bCs/>
                <w:lang w:val="en-AU"/>
              </w:rPr>
            </w:pPr>
            <w:r w:rsidRPr="00C31CA4">
              <w:rPr>
                <w:b w:val="0"/>
                <w:bCs/>
                <w:lang w:val="en-AU"/>
              </w:rPr>
              <w:t>28.7%</w:t>
            </w:r>
          </w:p>
        </w:tc>
      </w:tr>
      <w:tr w:rsidR="009A5662" w:rsidRPr="00C31CA4" w14:paraId="4216810E" w14:textId="77777777" w:rsidTr="00490A4B">
        <w:tc>
          <w:tcPr>
            <w:tcW w:w="6762" w:type="dxa"/>
            <w:gridSpan w:val="3"/>
          </w:tcPr>
          <w:p w14:paraId="7F2C8F2B" w14:textId="20860740" w:rsidR="009A5662" w:rsidRPr="00C31CA4" w:rsidRDefault="009A5662" w:rsidP="00E33A76">
            <w:pPr>
              <w:pStyle w:val="In-tableHeading"/>
              <w:keepLines/>
              <w:rPr>
                <w:b w:val="0"/>
                <w:bCs/>
                <w:lang w:val="en-AU"/>
              </w:rPr>
            </w:pPr>
            <w:r w:rsidRPr="00C31CA4">
              <w:rPr>
                <w:b w:val="0"/>
                <w:bCs/>
                <w:lang w:val="en-AU"/>
              </w:rPr>
              <w:t>Incremental cost per additional responder over 12 months</w:t>
            </w:r>
          </w:p>
        </w:tc>
        <w:tc>
          <w:tcPr>
            <w:tcW w:w="2255" w:type="dxa"/>
          </w:tcPr>
          <w:p w14:paraId="6B7D5443" w14:textId="6CFAA92C" w:rsidR="009A5662" w:rsidRPr="00445A8A" w:rsidRDefault="004A6237" w:rsidP="00E33A76">
            <w:pPr>
              <w:pStyle w:val="In-tableHeading"/>
              <w:keepLines/>
              <w:jc w:val="right"/>
              <w:rPr>
                <w:b w:val="0"/>
                <w:bCs/>
                <w:vertAlign w:val="superscript"/>
                <w:lang w:val="en-AU"/>
              </w:rPr>
            </w:pPr>
            <w:r>
              <w:rPr>
                <w:b w:val="0"/>
                <w:bCs/>
                <w:lang w:val="en-AU"/>
              </w:rPr>
              <w:t>$</w:t>
            </w:r>
            <w:r w:rsidR="008D1DF1" w:rsidRPr="008D1DF1">
              <w:rPr>
                <w:b w:val="0"/>
                <w:bCs/>
                <w:color w:val="000000"/>
                <w:shd w:val="solid" w:color="000000" w:fill="000000"/>
                <w:lang w:val="en-AU"/>
                <w14:textFill>
                  <w14:solidFill>
                    <w14:srgbClr w14:val="000000">
                      <w14:alpha w14:val="100000"/>
                    </w14:srgbClr>
                  </w14:solidFill>
                </w14:textFill>
              </w:rPr>
              <w:t>|</w:t>
            </w:r>
            <w:r w:rsidR="00445A8A">
              <w:rPr>
                <w:b w:val="0"/>
                <w:bCs/>
                <w:vertAlign w:val="superscript"/>
                <w:lang w:val="en-AU"/>
              </w:rPr>
              <w:t>1</w:t>
            </w:r>
          </w:p>
        </w:tc>
      </w:tr>
    </w:tbl>
    <w:p w14:paraId="097CCD11" w14:textId="609501B0" w:rsidR="00B4585E" w:rsidRPr="00C31CA4" w:rsidRDefault="00B4585E" w:rsidP="00E33A76">
      <w:pPr>
        <w:pStyle w:val="TableFooter"/>
        <w:keepNext/>
        <w:keepLines/>
      </w:pPr>
      <w:r w:rsidRPr="00C31CA4">
        <w:t>SOC = standard of care</w:t>
      </w:r>
    </w:p>
    <w:p w14:paraId="17C1E52C" w14:textId="75C2CD1F" w:rsidR="009A5662" w:rsidRDefault="009A5662" w:rsidP="00E33A76">
      <w:pPr>
        <w:pStyle w:val="TableFooter"/>
        <w:keepNext/>
        <w:keepLines/>
        <w:numPr>
          <w:ilvl w:val="0"/>
          <w:numId w:val="17"/>
        </w:numPr>
        <w:ind w:left="284" w:hanging="284"/>
        <w:rPr>
          <w:i/>
          <w:iCs/>
        </w:rPr>
      </w:pPr>
      <w:r w:rsidRPr="00C31CA4">
        <w:t xml:space="preserve">Assuming responders receive an average of 3 </w:t>
      </w:r>
      <w:r w:rsidR="00C31CA4" w:rsidRPr="00C31CA4">
        <w:t>transfusions</w:t>
      </w:r>
      <w:r w:rsidRPr="00C31CA4">
        <w:t xml:space="preserve"> and non-responders receive an average of 12 </w:t>
      </w:r>
      <w:r w:rsidR="00C31CA4" w:rsidRPr="00C31CA4">
        <w:t>transfusions</w:t>
      </w:r>
      <w:r w:rsidRPr="00C31CA4">
        <w:t xml:space="preserve">. Cost per </w:t>
      </w:r>
      <w:r w:rsidR="00C31CA4" w:rsidRPr="00C31CA4">
        <w:t>transfusion</w:t>
      </w:r>
      <w:r w:rsidRPr="00C31CA4">
        <w:t xml:space="preserve"> $4,500</w:t>
      </w:r>
      <w:r w:rsidRPr="00C31CA4">
        <w:rPr>
          <w:i/>
          <w:iCs/>
        </w:rPr>
        <w:t xml:space="preserve">. </w:t>
      </w:r>
    </w:p>
    <w:p w14:paraId="38F8542E" w14:textId="7716AC7B" w:rsidR="00DA74F4" w:rsidRPr="00E33A76" w:rsidRDefault="00F3008C" w:rsidP="00E33A76">
      <w:pPr>
        <w:keepNext/>
        <w:keepLines/>
        <w:jc w:val="left"/>
        <w:rPr>
          <w:rFonts w:ascii="Arial Narrow" w:hAnsi="Arial Narrow"/>
          <w:i/>
          <w:iCs/>
          <w:snapToGrid w:val="0"/>
          <w:sz w:val="18"/>
          <w:szCs w:val="18"/>
        </w:rPr>
      </w:pPr>
      <w:r w:rsidRPr="00E33A76">
        <w:rPr>
          <w:rFonts w:ascii="Arial Narrow" w:hAnsi="Arial Narrow"/>
          <w:i/>
          <w:iCs/>
          <w:snapToGrid w:val="0"/>
          <w:sz w:val="18"/>
          <w:szCs w:val="18"/>
        </w:rPr>
        <w:t xml:space="preserve">The redacted values correspond to the following ranges: </w:t>
      </w:r>
    </w:p>
    <w:p w14:paraId="1791EB92" w14:textId="10DF5F30" w:rsidR="004566E2" w:rsidRPr="004566E2" w:rsidRDefault="00445A8A" w:rsidP="00E33A76">
      <w:pPr>
        <w:spacing w:after="100" w:afterAutospacing="1"/>
        <w:jc w:val="left"/>
        <w:rPr>
          <w:rFonts w:ascii="Arial Narrow" w:hAnsi="Arial Narrow"/>
          <w:snapToGrid w:val="0"/>
          <w:color w:val="0066FF"/>
          <w:sz w:val="18"/>
          <w:szCs w:val="18"/>
        </w:rPr>
      </w:pPr>
      <w:r w:rsidRPr="00E33A76">
        <w:rPr>
          <w:rFonts w:ascii="Arial Narrow" w:hAnsi="Arial Narrow"/>
          <w:i/>
          <w:iCs/>
          <w:snapToGrid w:val="0"/>
          <w:sz w:val="18"/>
          <w:szCs w:val="18"/>
          <w:vertAlign w:val="superscript"/>
        </w:rPr>
        <w:t>1</w:t>
      </w:r>
      <w:r w:rsidR="004566E2" w:rsidRPr="00E33A76">
        <w:rPr>
          <w:rFonts w:ascii="Arial Narrow" w:hAnsi="Arial Narrow"/>
          <w:i/>
          <w:iCs/>
          <w:snapToGrid w:val="0"/>
          <w:sz w:val="18"/>
          <w:szCs w:val="18"/>
        </w:rPr>
        <w:t xml:space="preserve"> $95,000 to &lt; $115,000</w:t>
      </w:r>
    </w:p>
    <w:p w14:paraId="669FA603" w14:textId="4002A5CA" w:rsidR="009A5662" w:rsidRPr="00C31CA4" w:rsidRDefault="009A5662" w:rsidP="008B3F17">
      <w:pPr>
        <w:pStyle w:val="3-BodyText"/>
      </w:pPr>
      <w:r w:rsidRPr="00C31CA4">
        <w:t xml:space="preserve">The ESC noted the benefit of achieving a complete or partial response is becoming transfusion independent. </w:t>
      </w:r>
      <w:r w:rsidR="005406E3" w:rsidRPr="00C31CA4">
        <w:t>The ESC noted becoming transfusion independent is likely to have a significant beneficial impact on a patient’s quality of life</w:t>
      </w:r>
      <w:r w:rsidR="005406E3" w:rsidRPr="00C31CA4">
        <w:rPr>
          <w:rStyle w:val="FootnoteReference"/>
        </w:rPr>
        <w:footnoteReference w:id="8"/>
      </w:r>
      <w:r w:rsidR="005406E3" w:rsidRPr="00C31CA4">
        <w:t xml:space="preserve"> given </w:t>
      </w:r>
      <w:r w:rsidRPr="00C31CA4">
        <w:t>the benefits</w:t>
      </w:r>
      <w:r w:rsidR="00651FA6" w:rsidRPr="00C31CA4">
        <w:t xml:space="preserve"> for patients</w:t>
      </w:r>
      <w:r w:rsidRPr="00C31CA4">
        <w:t xml:space="preserve"> included reduced:</w:t>
      </w:r>
    </w:p>
    <w:p w14:paraId="37DFCFC2" w14:textId="0F9CD299" w:rsidR="005406E3" w:rsidRPr="00C31CA4" w:rsidRDefault="005406E3" w:rsidP="00A87E05">
      <w:pPr>
        <w:pStyle w:val="ListParagraph"/>
      </w:pPr>
      <w:r w:rsidRPr="00C31CA4">
        <w:t>risk of infections and complications associated with iron overload;</w:t>
      </w:r>
    </w:p>
    <w:p w14:paraId="45B6779F" w14:textId="17050D66" w:rsidR="009A5662" w:rsidRPr="00C31CA4" w:rsidRDefault="009A5662" w:rsidP="00A87E05">
      <w:pPr>
        <w:pStyle w:val="ListParagraph"/>
      </w:pPr>
      <w:r w:rsidRPr="00C31CA4">
        <w:t xml:space="preserve">time spent at a health care facility which can interfere with a </w:t>
      </w:r>
      <w:r w:rsidR="00651FA6" w:rsidRPr="00C31CA4">
        <w:t>patient’s</w:t>
      </w:r>
      <w:r w:rsidRPr="00C31CA4">
        <w:t xml:space="preserve"> ability to work, </w:t>
      </w:r>
      <w:r w:rsidR="00651FA6" w:rsidRPr="00C31CA4">
        <w:t xml:space="preserve">and with their </w:t>
      </w:r>
      <w:r w:rsidRPr="00C31CA4">
        <w:t>social functioning and family life;</w:t>
      </w:r>
    </w:p>
    <w:p w14:paraId="0417F305" w14:textId="5E0357A1" w:rsidR="009A5662" w:rsidRPr="00C31CA4" w:rsidRDefault="009A5662" w:rsidP="00A87E05">
      <w:pPr>
        <w:pStyle w:val="ListParagraph"/>
      </w:pPr>
      <w:r w:rsidRPr="00C31CA4">
        <w:t>fatigue and tiredness that limits routine physical activities;</w:t>
      </w:r>
      <w:r w:rsidR="005406E3" w:rsidRPr="00C31CA4">
        <w:t xml:space="preserve"> and</w:t>
      </w:r>
    </w:p>
    <w:p w14:paraId="25D2BBA5" w14:textId="235B7600" w:rsidR="009A5662" w:rsidRPr="00C31CA4" w:rsidRDefault="009A5662" w:rsidP="00A87E05">
      <w:pPr>
        <w:pStyle w:val="ListParagraph"/>
      </w:pPr>
      <w:r w:rsidRPr="00C31CA4">
        <w:t>discomfort (which may be moderate to severe)</w:t>
      </w:r>
      <w:r w:rsidR="005406E3" w:rsidRPr="00C31CA4">
        <w:t>.</w:t>
      </w:r>
    </w:p>
    <w:p w14:paraId="2E3F0862" w14:textId="230D90D3" w:rsidR="00E96BF8" w:rsidRPr="00C31CA4" w:rsidRDefault="00E96BF8" w:rsidP="008B3F17">
      <w:pPr>
        <w:pStyle w:val="3-BodyText"/>
      </w:pPr>
      <w:r w:rsidRPr="00C31CA4">
        <w:t xml:space="preserve">The ESC noted transfusion independence </w:t>
      </w:r>
      <w:r w:rsidR="005406E3" w:rsidRPr="00C31CA4">
        <w:t xml:space="preserve">is also associated with a </w:t>
      </w:r>
      <w:r w:rsidRPr="00C31CA4">
        <w:t xml:space="preserve">reduction in </w:t>
      </w:r>
      <w:r w:rsidR="009A5662" w:rsidRPr="00C31CA4">
        <w:t xml:space="preserve">costs for </w:t>
      </w:r>
      <w:r w:rsidRPr="00C31CA4">
        <w:t>pathology testing, inpatient hospital stays and outpatient hospital visits, staff time to administer transfusion</w:t>
      </w:r>
      <w:r w:rsidR="000B647B" w:rsidRPr="00C31CA4">
        <w:t>s</w:t>
      </w:r>
      <w:r w:rsidRPr="00C31CA4">
        <w:t xml:space="preserve"> and </w:t>
      </w:r>
      <w:r w:rsidR="009A5662" w:rsidRPr="00C31CA4">
        <w:t xml:space="preserve">managing </w:t>
      </w:r>
      <w:r w:rsidRPr="00C31CA4">
        <w:t xml:space="preserve">iron overload (including iron chelating medications, audiology investigations, cardiac MRI etc). </w:t>
      </w:r>
    </w:p>
    <w:p w14:paraId="7A64AC35" w14:textId="5D6896D6" w:rsidR="009A5662" w:rsidRPr="00C31CA4" w:rsidRDefault="009A5662" w:rsidP="008B3F17">
      <w:pPr>
        <w:pStyle w:val="3-BodyText"/>
      </w:pPr>
      <w:r w:rsidRPr="00C31CA4">
        <w:t xml:space="preserve">The ESC considered that, although not strongly supported by the clinical evidence presented, it was likely treatment with eltrombopag would provide a survival benefit </w:t>
      </w:r>
      <w:r w:rsidR="00B4585E" w:rsidRPr="00C31CA4">
        <w:t xml:space="preserve">in </w:t>
      </w:r>
      <w:r w:rsidRPr="00C31CA4">
        <w:t>patients with sAA</w:t>
      </w:r>
      <w:r w:rsidR="00C31CA4">
        <w:t xml:space="preserve">. </w:t>
      </w:r>
    </w:p>
    <w:p w14:paraId="53851212" w14:textId="0577310A" w:rsidR="009A5662" w:rsidRPr="00C31CA4" w:rsidRDefault="005406E3" w:rsidP="008B3F17">
      <w:pPr>
        <w:pStyle w:val="3-BodyText"/>
      </w:pPr>
      <w:r w:rsidRPr="00C31CA4">
        <w:t xml:space="preserve">The ESC considered the incremental cost per responder presented in </w:t>
      </w:r>
      <w:r w:rsidRPr="00C31CA4">
        <w:fldChar w:fldCharType="begin" w:fldLock="1"/>
      </w:r>
      <w:r w:rsidRPr="00C31CA4">
        <w:instrText xml:space="preserve"> REF _Ref148094285 \h  \* MERGEFORMAT </w:instrText>
      </w:r>
      <w:r w:rsidRPr="00C31CA4">
        <w:fldChar w:fldCharType="separate"/>
      </w:r>
      <w:r w:rsidR="00897FA1" w:rsidRPr="00C31CA4">
        <w:t xml:space="preserve">Table </w:t>
      </w:r>
      <w:r w:rsidR="00897FA1">
        <w:t>10</w:t>
      </w:r>
      <w:r w:rsidRPr="00C31CA4">
        <w:fldChar w:fldCharType="end"/>
      </w:r>
      <w:r w:rsidRPr="00C31CA4">
        <w:t xml:space="preserve"> was likely to be a conservative estimate of the cost-effectiveness of eltrombopag as it did not take into account a range of additional benefits, including potential impact on survival and quality of life, or any additional costs associated with a patient becoming transfusion independent.</w:t>
      </w:r>
    </w:p>
    <w:p w14:paraId="12527E9C" w14:textId="4C7B778D" w:rsidR="00A70F14" w:rsidRPr="00C31CA4" w:rsidRDefault="00A70F14" w:rsidP="008B3F17">
      <w:pPr>
        <w:pStyle w:val="3-BodyText"/>
      </w:pPr>
      <w:r w:rsidRPr="00C31CA4">
        <w:t>The PBAC noted that the definition of complete response required a neutrophil count of &gt; 1.0 x 10</w:t>
      </w:r>
      <w:r w:rsidRPr="00C31CA4">
        <w:rPr>
          <w:vertAlign w:val="superscript"/>
        </w:rPr>
        <w:t>9</w:t>
      </w:r>
      <w:r w:rsidRPr="00C31CA4">
        <w:t xml:space="preserve">/L and that reduced duration of severe neutropenia has a significant impact on complications including reducing inpatient admissions, antimicrobial therapy, intensive care requirements and mortality risk. </w:t>
      </w:r>
    </w:p>
    <w:p w14:paraId="165F5665" w14:textId="2B276303" w:rsidR="006A43D9" w:rsidRPr="00C31CA4" w:rsidRDefault="00C25D9C" w:rsidP="0051209E">
      <w:pPr>
        <w:pStyle w:val="4-SubsectionHeading"/>
      </w:pPr>
      <w:bookmarkStart w:id="42" w:name="_Toc22897646"/>
      <w:bookmarkStart w:id="43" w:name="_Toc144676132"/>
      <w:r w:rsidRPr="00C31CA4">
        <w:lastRenderedPageBreak/>
        <w:t>Drug cost/patient/course</w:t>
      </w:r>
      <w:bookmarkStart w:id="44" w:name="_Ref104805102"/>
      <w:bookmarkEnd w:id="42"/>
      <w:bookmarkEnd w:id="43"/>
    </w:p>
    <w:p w14:paraId="34EA6E38" w14:textId="48A10787" w:rsidR="00071EAE" w:rsidRPr="00C31CA4" w:rsidRDefault="00B72D10" w:rsidP="008B3F17">
      <w:pPr>
        <w:pStyle w:val="3-BodyText"/>
      </w:pPr>
      <w:r w:rsidRPr="00C31CA4">
        <w:t>The cost per patient per course in the first line</w:t>
      </w:r>
      <w:r w:rsidR="00312ACF" w:rsidRPr="00C31CA4">
        <w:t xml:space="preserve"> and second line</w:t>
      </w:r>
      <w:r w:rsidRPr="00C31CA4">
        <w:t xml:space="preserve"> treatment setting using the published price of eltrombopag is provided in </w:t>
      </w:r>
      <w:r w:rsidRPr="00C31CA4">
        <w:fldChar w:fldCharType="begin" w:fldLock="1"/>
      </w:r>
      <w:r w:rsidRPr="00C31CA4">
        <w:instrText xml:space="preserve"> REF _Ref145057745 \h  \* MERGEFORMAT </w:instrText>
      </w:r>
      <w:r w:rsidRPr="00C31CA4">
        <w:fldChar w:fldCharType="separate"/>
      </w:r>
      <w:r w:rsidR="00897FA1" w:rsidRPr="00C31CA4">
        <w:t xml:space="preserve">Table </w:t>
      </w:r>
      <w:r w:rsidR="00897FA1">
        <w:t>11</w:t>
      </w:r>
      <w:r w:rsidRPr="00C31CA4">
        <w:fldChar w:fldCharType="end"/>
      </w:r>
      <w:r w:rsidRPr="00C31CA4">
        <w:t xml:space="preserve">. </w:t>
      </w:r>
    </w:p>
    <w:p w14:paraId="51691BD3" w14:textId="36A8EE1D" w:rsidR="00494207" w:rsidRPr="00C31CA4" w:rsidRDefault="00E16AD8" w:rsidP="00A87E05">
      <w:pPr>
        <w:pStyle w:val="Caption"/>
        <w:rPr>
          <w:rStyle w:val="CommentReference"/>
          <w:b/>
          <w:szCs w:val="24"/>
        </w:rPr>
      </w:pPr>
      <w:bookmarkStart w:id="45" w:name="_Ref145057745"/>
      <w:r w:rsidRPr="00C31CA4">
        <w:t xml:space="preserve">Table </w:t>
      </w:r>
      <w:fldSimple w:instr=" SEQ Table \* ARABIC " w:fldLock="1">
        <w:r w:rsidR="00897FA1">
          <w:rPr>
            <w:noProof/>
          </w:rPr>
          <w:t>11</w:t>
        </w:r>
      </w:fldSimple>
      <w:bookmarkEnd w:id="44"/>
      <w:bookmarkEnd w:id="45"/>
      <w:r w:rsidRPr="00C31CA4">
        <w:t>:</w:t>
      </w:r>
      <w:r w:rsidR="00494207" w:rsidRPr="00C31CA4">
        <w:rPr>
          <w:rStyle w:val="CommentReference"/>
          <w:b/>
          <w:szCs w:val="24"/>
        </w:rPr>
        <w:t xml:space="preserve"> Drug cost per patient for </w:t>
      </w:r>
      <w:r w:rsidR="00EA53FA" w:rsidRPr="00C31CA4">
        <w:rPr>
          <w:rStyle w:val="CommentReference"/>
          <w:b/>
          <w:szCs w:val="24"/>
        </w:rPr>
        <w:t>eltrombopag</w:t>
      </w:r>
      <w:r w:rsidR="00312ACF" w:rsidRPr="00C31CA4">
        <w:rPr>
          <w:rStyle w:val="CommentReference"/>
          <w:b/>
          <w:szCs w:val="24"/>
        </w:rPr>
        <w:t xml:space="preserve"> applied in financial estimates, 50 mg presentation</w:t>
      </w:r>
    </w:p>
    <w:tbl>
      <w:tblPr>
        <w:tblStyle w:val="TableGrid"/>
        <w:tblW w:w="5000" w:type="pct"/>
        <w:tblLook w:val="04A0" w:firstRow="1" w:lastRow="0" w:firstColumn="1" w:lastColumn="0" w:noHBand="0" w:noVBand="1"/>
      </w:tblPr>
      <w:tblGrid>
        <w:gridCol w:w="2981"/>
        <w:gridCol w:w="2950"/>
        <w:gridCol w:w="3086"/>
      </w:tblGrid>
      <w:tr w:rsidR="00312ACF" w:rsidRPr="00C31CA4" w14:paraId="44322234" w14:textId="77777777" w:rsidTr="00312ACF">
        <w:tc>
          <w:tcPr>
            <w:tcW w:w="1653" w:type="pct"/>
            <w:vAlign w:val="center"/>
          </w:tcPr>
          <w:p w14:paraId="112D3B87" w14:textId="77777777" w:rsidR="00312ACF" w:rsidRPr="00C31CA4" w:rsidRDefault="00312ACF" w:rsidP="00A87E05">
            <w:pPr>
              <w:keepNext/>
              <w:keepLines/>
              <w:jc w:val="left"/>
              <w:rPr>
                <w:rFonts w:ascii="Arial Narrow" w:hAnsi="Arial Narrow"/>
                <w:sz w:val="20"/>
                <w:szCs w:val="20"/>
              </w:rPr>
            </w:pPr>
          </w:p>
        </w:tc>
        <w:tc>
          <w:tcPr>
            <w:tcW w:w="1636" w:type="pct"/>
            <w:vAlign w:val="center"/>
          </w:tcPr>
          <w:p w14:paraId="42C2035B" w14:textId="1D151783" w:rsidR="00312ACF" w:rsidRPr="00C31CA4" w:rsidRDefault="00312ACF" w:rsidP="00A87E05">
            <w:pPr>
              <w:keepNext/>
              <w:keepLines/>
              <w:jc w:val="center"/>
              <w:rPr>
                <w:rFonts w:ascii="Arial Narrow" w:hAnsi="Arial Narrow"/>
                <w:b/>
                <w:bCs/>
                <w:sz w:val="20"/>
                <w:szCs w:val="20"/>
              </w:rPr>
            </w:pPr>
            <w:r w:rsidRPr="00C31CA4">
              <w:rPr>
                <w:rFonts w:ascii="Arial Narrow" w:hAnsi="Arial Narrow"/>
                <w:b/>
                <w:bCs/>
                <w:sz w:val="20"/>
                <w:szCs w:val="20"/>
              </w:rPr>
              <w:t>First line treatment</w:t>
            </w:r>
          </w:p>
        </w:tc>
        <w:tc>
          <w:tcPr>
            <w:tcW w:w="1711" w:type="pct"/>
          </w:tcPr>
          <w:p w14:paraId="2807897C" w14:textId="5EE9FCB6" w:rsidR="00312ACF" w:rsidRPr="00C31CA4" w:rsidRDefault="00312ACF" w:rsidP="00A87E05">
            <w:pPr>
              <w:keepNext/>
              <w:keepLines/>
              <w:jc w:val="center"/>
              <w:rPr>
                <w:rFonts w:ascii="Arial Narrow" w:hAnsi="Arial Narrow"/>
                <w:b/>
                <w:bCs/>
                <w:sz w:val="20"/>
                <w:szCs w:val="20"/>
              </w:rPr>
            </w:pPr>
            <w:r w:rsidRPr="00C31CA4">
              <w:rPr>
                <w:rFonts w:ascii="Arial Narrow" w:hAnsi="Arial Narrow"/>
                <w:b/>
                <w:bCs/>
                <w:sz w:val="20"/>
                <w:szCs w:val="20"/>
              </w:rPr>
              <w:t>Second line treatment</w:t>
            </w:r>
          </w:p>
        </w:tc>
      </w:tr>
      <w:tr w:rsidR="00312ACF" w:rsidRPr="00C31CA4" w14:paraId="29FAEBF6" w14:textId="77777777" w:rsidTr="00312ACF">
        <w:tc>
          <w:tcPr>
            <w:tcW w:w="1653" w:type="pct"/>
            <w:vAlign w:val="center"/>
          </w:tcPr>
          <w:p w14:paraId="055903DA" w14:textId="6468253A" w:rsidR="00312ACF" w:rsidRPr="00C31CA4" w:rsidRDefault="00312ACF" w:rsidP="00A87E05">
            <w:pPr>
              <w:keepNext/>
              <w:keepLines/>
              <w:jc w:val="left"/>
              <w:rPr>
                <w:rFonts w:ascii="Arial Narrow" w:hAnsi="Arial Narrow"/>
                <w:sz w:val="20"/>
                <w:szCs w:val="20"/>
              </w:rPr>
            </w:pPr>
            <w:r w:rsidRPr="00C31CA4">
              <w:rPr>
                <w:rFonts w:ascii="Arial Narrow" w:hAnsi="Arial Narrow"/>
                <w:sz w:val="20"/>
                <w:szCs w:val="20"/>
              </w:rPr>
              <w:t>Dose</w:t>
            </w:r>
          </w:p>
        </w:tc>
        <w:tc>
          <w:tcPr>
            <w:tcW w:w="1636" w:type="pct"/>
          </w:tcPr>
          <w:p w14:paraId="5B405538" w14:textId="1E9A8F32" w:rsidR="00312ACF" w:rsidRPr="00C31CA4" w:rsidRDefault="00312ACF" w:rsidP="00A87E05">
            <w:pPr>
              <w:keepNext/>
              <w:keepLines/>
              <w:jc w:val="center"/>
              <w:rPr>
                <w:rFonts w:ascii="Arial Narrow" w:hAnsi="Arial Narrow"/>
                <w:sz w:val="20"/>
                <w:szCs w:val="20"/>
              </w:rPr>
            </w:pPr>
            <w:r w:rsidRPr="00C31CA4">
              <w:rPr>
                <w:rFonts w:ascii="Arial Narrow" w:hAnsi="Arial Narrow"/>
                <w:sz w:val="20"/>
                <w:szCs w:val="20"/>
              </w:rPr>
              <w:t>150 mg/day</w:t>
            </w:r>
          </w:p>
        </w:tc>
        <w:tc>
          <w:tcPr>
            <w:tcW w:w="1711" w:type="pct"/>
          </w:tcPr>
          <w:p w14:paraId="4E122AA5" w14:textId="7541470E" w:rsidR="00312ACF" w:rsidRPr="00C31CA4" w:rsidRDefault="00312ACF" w:rsidP="00A87E05">
            <w:pPr>
              <w:keepNext/>
              <w:keepLines/>
              <w:jc w:val="center"/>
              <w:rPr>
                <w:rFonts w:ascii="Arial Narrow" w:hAnsi="Arial Narrow"/>
                <w:sz w:val="20"/>
                <w:szCs w:val="20"/>
              </w:rPr>
            </w:pPr>
            <w:r w:rsidRPr="00C31CA4">
              <w:rPr>
                <w:rFonts w:ascii="Arial Narrow" w:hAnsi="Arial Narrow"/>
                <w:sz w:val="20"/>
                <w:szCs w:val="20"/>
              </w:rPr>
              <w:t>150 mg/day</w:t>
            </w:r>
          </w:p>
        </w:tc>
      </w:tr>
      <w:tr w:rsidR="00312ACF" w:rsidRPr="00C31CA4" w14:paraId="3BC01B78" w14:textId="77777777" w:rsidTr="00312ACF">
        <w:tc>
          <w:tcPr>
            <w:tcW w:w="1653" w:type="pct"/>
            <w:vAlign w:val="center"/>
          </w:tcPr>
          <w:p w14:paraId="1A3B050D" w14:textId="606FBBCA" w:rsidR="00312ACF" w:rsidRPr="00C31CA4" w:rsidRDefault="00312ACF" w:rsidP="00A87E05">
            <w:pPr>
              <w:keepNext/>
              <w:keepLines/>
              <w:jc w:val="left"/>
              <w:rPr>
                <w:rFonts w:ascii="Arial Narrow" w:hAnsi="Arial Narrow"/>
                <w:sz w:val="20"/>
                <w:szCs w:val="20"/>
              </w:rPr>
            </w:pPr>
            <w:r w:rsidRPr="00C31CA4">
              <w:rPr>
                <w:rFonts w:ascii="Arial Narrow" w:hAnsi="Arial Narrow"/>
                <w:sz w:val="20"/>
                <w:szCs w:val="20"/>
              </w:rPr>
              <w:t>Mean duration</w:t>
            </w:r>
          </w:p>
        </w:tc>
        <w:tc>
          <w:tcPr>
            <w:tcW w:w="1636" w:type="pct"/>
          </w:tcPr>
          <w:p w14:paraId="032C6487" w14:textId="2AEA2B3C" w:rsidR="00312ACF" w:rsidRPr="00C31CA4" w:rsidRDefault="00312ACF" w:rsidP="00A87E05">
            <w:pPr>
              <w:keepNext/>
              <w:keepLines/>
              <w:jc w:val="center"/>
              <w:rPr>
                <w:rFonts w:ascii="Arial Narrow" w:hAnsi="Arial Narrow"/>
                <w:sz w:val="20"/>
                <w:szCs w:val="20"/>
              </w:rPr>
            </w:pPr>
            <w:r w:rsidRPr="00C31CA4">
              <w:rPr>
                <w:rFonts w:ascii="Arial Narrow" w:hAnsi="Arial Narrow"/>
                <w:sz w:val="20"/>
                <w:szCs w:val="20"/>
              </w:rPr>
              <w:t>5.34 months</w:t>
            </w:r>
            <w:r w:rsidR="00A87E05">
              <w:rPr>
                <w:rFonts w:ascii="Arial Narrow" w:hAnsi="Arial Narrow"/>
                <w:sz w:val="20"/>
                <w:szCs w:val="20"/>
                <w:vertAlign w:val="superscript"/>
              </w:rPr>
              <w:t>a</w:t>
            </w:r>
          </w:p>
        </w:tc>
        <w:tc>
          <w:tcPr>
            <w:tcW w:w="1711" w:type="pct"/>
          </w:tcPr>
          <w:p w14:paraId="59195433" w14:textId="748975E2" w:rsidR="00312ACF" w:rsidRPr="00C31CA4" w:rsidRDefault="00312ACF" w:rsidP="00A87E05">
            <w:pPr>
              <w:keepNext/>
              <w:keepLines/>
              <w:jc w:val="center"/>
              <w:rPr>
                <w:rFonts w:ascii="Arial Narrow" w:hAnsi="Arial Narrow"/>
                <w:sz w:val="20"/>
                <w:szCs w:val="20"/>
              </w:rPr>
            </w:pPr>
            <w:r w:rsidRPr="00C31CA4">
              <w:rPr>
                <w:rFonts w:ascii="Arial Narrow" w:hAnsi="Arial Narrow"/>
                <w:sz w:val="20"/>
                <w:szCs w:val="20"/>
              </w:rPr>
              <w:t>8.8 months</w:t>
            </w:r>
            <w:r w:rsidR="00A87E05">
              <w:rPr>
                <w:rFonts w:ascii="Arial Narrow" w:hAnsi="Arial Narrow"/>
                <w:sz w:val="20"/>
                <w:szCs w:val="20"/>
                <w:vertAlign w:val="superscript"/>
              </w:rPr>
              <w:t>b</w:t>
            </w:r>
          </w:p>
        </w:tc>
      </w:tr>
      <w:tr w:rsidR="00312ACF" w:rsidRPr="00C31CA4" w14:paraId="27ABCBD4" w14:textId="77777777" w:rsidTr="00312ACF">
        <w:tc>
          <w:tcPr>
            <w:tcW w:w="1653" w:type="pct"/>
            <w:vAlign w:val="center"/>
          </w:tcPr>
          <w:p w14:paraId="10AEC378" w14:textId="58597B95" w:rsidR="00312ACF" w:rsidRPr="00C31CA4" w:rsidRDefault="00312ACF" w:rsidP="00A87E05">
            <w:pPr>
              <w:keepNext/>
              <w:keepLines/>
              <w:jc w:val="left"/>
              <w:rPr>
                <w:rFonts w:ascii="Arial Narrow" w:hAnsi="Arial Narrow"/>
                <w:sz w:val="20"/>
                <w:szCs w:val="20"/>
              </w:rPr>
            </w:pPr>
            <w:r w:rsidRPr="00C31CA4">
              <w:rPr>
                <w:rFonts w:ascii="Arial Narrow" w:hAnsi="Arial Narrow"/>
                <w:sz w:val="20"/>
                <w:szCs w:val="20"/>
              </w:rPr>
              <w:t>Mean number of scripts</w:t>
            </w:r>
          </w:p>
        </w:tc>
        <w:tc>
          <w:tcPr>
            <w:tcW w:w="1636" w:type="pct"/>
          </w:tcPr>
          <w:p w14:paraId="1B8D95F5" w14:textId="587C5E2E" w:rsidR="00312ACF" w:rsidRPr="00C31CA4" w:rsidRDefault="00312ACF" w:rsidP="00A87E05">
            <w:pPr>
              <w:keepNext/>
              <w:keepLines/>
              <w:jc w:val="center"/>
              <w:rPr>
                <w:rFonts w:ascii="Arial Narrow" w:hAnsi="Arial Narrow"/>
                <w:sz w:val="20"/>
                <w:szCs w:val="20"/>
              </w:rPr>
            </w:pPr>
            <w:r w:rsidRPr="00C31CA4">
              <w:rPr>
                <w:rFonts w:ascii="Arial Narrow" w:hAnsi="Arial Narrow"/>
                <w:sz w:val="20"/>
                <w:szCs w:val="20"/>
              </w:rPr>
              <w:t>5.8</w:t>
            </w:r>
            <w:r w:rsidR="00A87E05">
              <w:rPr>
                <w:rFonts w:ascii="Arial Narrow" w:hAnsi="Arial Narrow"/>
                <w:sz w:val="20"/>
                <w:szCs w:val="20"/>
                <w:vertAlign w:val="superscript"/>
              </w:rPr>
              <w:t>c</w:t>
            </w:r>
          </w:p>
        </w:tc>
        <w:tc>
          <w:tcPr>
            <w:tcW w:w="1711" w:type="pct"/>
          </w:tcPr>
          <w:p w14:paraId="21BE96CC" w14:textId="3EE15515" w:rsidR="00312ACF" w:rsidRPr="00C31CA4" w:rsidRDefault="00312ACF" w:rsidP="00A87E05">
            <w:pPr>
              <w:keepNext/>
              <w:keepLines/>
              <w:jc w:val="center"/>
              <w:rPr>
                <w:rFonts w:ascii="Arial Narrow" w:hAnsi="Arial Narrow"/>
                <w:sz w:val="20"/>
                <w:szCs w:val="20"/>
              </w:rPr>
            </w:pPr>
            <w:r w:rsidRPr="00C31CA4">
              <w:rPr>
                <w:rFonts w:ascii="Arial Narrow" w:hAnsi="Arial Narrow"/>
                <w:sz w:val="20"/>
                <w:szCs w:val="20"/>
              </w:rPr>
              <w:t>9.6</w:t>
            </w:r>
            <w:r w:rsidR="00A87E05" w:rsidRPr="00A87E05">
              <w:rPr>
                <w:rFonts w:ascii="Arial Narrow" w:hAnsi="Arial Narrow"/>
                <w:sz w:val="20"/>
                <w:szCs w:val="20"/>
                <w:vertAlign w:val="superscript"/>
              </w:rPr>
              <w:t>c</w:t>
            </w:r>
          </w:p>
        </w:tc>
      </w:tr>
      <w:tr w:rsidR="00312ACF" w:rsidRPr="00C31CA4" w14:paraId="5A73020B" w14:textId="77777777" w:rsidTr="00312ACF">
        <w:tc>
          <w:tcPr>
            <w:tcW w:w="1653" w:type="pct"/>
            <w:vAlign w:val="center"/>
          </w:tcPr>
          <w:p w14:paraId="53EAAD80" w14:textId="20104314" w:rsidR="00312ACF" w:rsidRPr="00C31CA4" w:rsidRDefault="00312ACF" w:rsidP="00A87E05">
            <w:pPr>
              <w:keepNext/>
              <w:keepLines/>
              <w:jc w:val="left"/>
              <w:rPr>
                <w:rFonts w:ascii="Arial Narrow" w:hAnsi="Arial Narrow"/>
                <w:sz w:val="20"/>
                <w:szCs w:val="20"/>
              </w:rPr>
            </w:pPr>
            <w:r w:rsidRPr="00C31CA4">
              <w:rPr>
                <w:rFonts w:ascii="Arial Narrow" w:hAnsi="Arial Narrow"/>
                <w:sz w:val="20"/>
                <w:szCs w:val="20"/>
              </w:rPr>
              <w:t>Cost/script</w:t>
            </w:r>
            <w:r w:rsidR="00A87E05">
              <w:rPr>
                <w:rFonts w:ascii="Arial Narrow" w:hAnsi="Arial Narrow"/>
                <w:sz w:val="20"/>
                <w:szCs w:val="20"/>
                <w:vertAlign w:val="superscript"/>
              </w:rPr>
              <w:t>d</w:t>
            </w:r>
          </w:p>
        </w:tc>
        <w:tc>
          <w:tcPr>
            <w:tcW w:w="1636" w:type="pct"/>
          </w:tcPr>
          <w:p w14:paraId="6D8EA7CB" w14:textId="4BFE3DEA" w:rsidR="00312ACF" w:rsidRPr="00C31CA4" w:rsidRDefault="00312ACF" w:rsidP="00A87E05">
            <w:pPr>
              <w:keepNext/>
              <w:keepLines/>
              <w:jc w:val="center"/>
              <w:rPr>
                <w:rFonts w:ascii="Arial Narrow" w:hAnsi="Arial Narrow"/>
                <w:sz w:val="20"/>
                <w:szCs w:val="20"/>
              </w:rPr>
            </w:pPr>
            <w:r w:rsidRPr="00C31CA4">
              <w:rPr>
                <w:rFonts w:ascii="Arial Narrow" w:hAnsi="Arial Narrow"/>
                <w:sz w:val="20"/>
                <w:szCs w:val="20"/>
              </w:rPr>
              <w:t>$7,392.91</w:t>
            </w:r>
          </w:p>
        </w:tc>
        <w:tc>
          <w:tcPr>
            <w:tcW w:w="1711" w:type="pct"/>
          </w:tcPr>
          <w:p w14:paraId="14C8124E" w14:textId="4CCED5D6" w:rsidR="00312ACF" w:rsidRPr="00C31CA4" w:rsidRDefault="00312ACF" w:rsidP="00A87E05">
            <w:pPr>
              <w:keepNext/>
              <w:keepLines/>
              <w:jc w:val="center"/>
              <w:rPr>
                <w:rFonts w:ascii="Arial Narrow" w:hAnsi="Arial Narrow"/>
                <w:sz w:val="20"/>
                <w:szCs w:val="20"/>
              </w:rPr>
            </w:pPr>
            <w:r w:rsidRPr="00C31CA4">
              <w:rPr>
                <w:rFonts w:ascii="Arial Narrow" w:hAnsi="Arial Narrow"/>
                <w:sz w:val="20"/>
                <w:szCs w:val="20"/>
              </w:rPr>
              <w:t>$7,392.91</w:t>
            </w:r>
          </w:p>
        </w:tc>
      </w:tr>
      <w:tr w:rsidR="00312ACF" w:rsidRPr="00C31CA4" w14:paraId="4FA17CF1" w14:textId="77777777" w:rsidTr="00312ACF">
        <w:tc>
          <w:tcPr>
            <w:tcW w:w="1653" w:type="pct"/>
            <w:vAlign w:val="center"/>
          </w:tcPr>
          <w:p w14:paraId="09223352" w14:textId="74493502" w:rsidR="00312ACF" w:rsidRPr="00C31CA4" w:rsidRDefault="00312ACF" w:rsidP="00A87E05">
            <w:pPr>
              <w:keepNext/>
              <w:keepLines/>
              <w:jc w:val="left"/>
              <w:rPr>
                <w:rFonts w:ascii="Arial Narrow" w:hAnsi="Arial Narrow"/>
                <w:sz w:val="20"/>
                <w:szCs w:val="20"/>
              </w:rPr>
            </w:pPr>
            <w:r w:rsidRPr="00C31CA4">
              <w:rPr>
                <w:rFonts w:ascii="Arial Narrow" w:hAnsi="Arial Narrow"/>
                <w:sz w:val="20"/>
                <w:szCs w:val="20"/>
              </w:rPr>
              <w:t>Cost/course</w:t>
            </w:r>
          </w:p>
        </w:tc>
        <w:tc>
          <w:tcPr>
            <w:tcW w:w="1636" w:type="pct"/>
          </w:tcPr>
          <w:p w14:paraId="2122F769" w14:textId="3E212F59" w:rsidR="00312ACF" w:rsidRPr="00C31CA4" w:rsidRDefault="00312ACF" w:rsidP="00A87E05">
            <w:pPr>
              <w:keepNext/>
              <w:keepLines/>
              <w:jc w:val="center"/>
              <w:rPr>
                <w:rFonts w:ascii="Arial Narrow" w:hAnsi="Arial Narrow"/>
                <w:sz w:val="20"/>
                <w:szCs w:val="20"/>
              </w:rPr>
            </w:pPr>
            <w:r w:rsidRPr="00C31CA4">
              <w:rPr>
                <w:rFonts w:ascii="Arial Narrow" w:hAnsi="Arial Narrow"/>
                <w:sz w:val="20"/>
                <w:szCs w:val="20"/>
              </w:rPr>
              <w:t>$42,886.45</w:t>
            </w:r>
          </w:p>
        </w:tc>
        <w:tc>
          <w:tcPr>
            <w:tcW w:w="1711" w:type="pct"/>
          </w:tcPr>
          <w:p w14:paraId="557A4B24" w14:textId="23CABBA3" w:rsidR="00312ACF" w:rsidRPr="00C31CA4" w:rsidRDefault="00312ACF" w:rsidP="00A87E05">
            <w:pPr>
              <w:keepNext/>
              <w:keepLines/>
              <w:jc w:val="center"/>
              <w:rPr>
                <w:rFonts w:ascii="Arial Narrow" w:hAnsi="Arial Narrow"/>
                <w:sz w:val="20"/>
                <w:szCs w:val="20"/>
              </w:rPr>
            </w:pPr>
            <w:r w:rsidRPr="00C31CA4">
              <w:rPr>
                <w:rFonts w:ascii="Arial Narrow" w:hAnsi="Arial Narrow"/>
                <w:sz w:val="20"/>
                <w:szCs w:val="20"/>
              </w:rPr>
              <w:t>$70,972.89</w:t>
            </w:r>
          </w:p>
        </w:tc>
      </w:tr>
    </w:tbl>
    <w:p w14:paraId="3DE0CDB3" w14:textId="5D1CF5B1" w:rsidR="006D12F9" w:rsidRPr="00C31CA4" w:rsidRDefault="00A90251" w:rsidP="00A87E05">
      <w:pPr>
        <w:pStyle w:val="FooterTableFigure"/>
        <w:keepNext/>
        <w:keepLines/>
      </w:pPr>
      <w:r w:rsidRPr="00C31CA4">
        <w:t xml:space="preserve">Source: Excel workbook ‘UCM-Release-3-workbook-Eltrombopag-sAA’; de Latour </w:t>
      </w:r>
      <w:r w:rsidR="002846D2" w:rsidRPr="00C31CA4">
        <w:t>(</w:t>
      </w:r>
      <w:r w:rsidRPr="00C31CA4">
        <w:t>2022</w:t>
      </w:r>
      <w:r w:rsidR="002846D2" w:rsidRPr="00C31CA4">
        <w:t>)</w:t>
      </w:r>
      <w:r w:rsidRPr="00C31CA4">
        <w:t>.</w:t>
      </w:r>
      <w:bookmarkStart w:id="46" w:name="_Toc22897647"/>
      <w:bookmarkStart w:id="47" w:name="_Toc144676133"/>
    </w:p>
    <w:p w14:paraId="33BB303B" w14:textId="17B6155A" w:rsidR="00312ACF" w:rsidRPr="00C31CA4" w:rsidRDefault="00312ACF" w:rsidP="006E015C">
      <w:pPr>
        <w:pStyle w:val="FooterTableFigure"/>
        <w:keepNext/>
        <w:keepLines/>
      </w:pPr>
      <w:r w:rsidRPr="00C31CA4">
        <w:t>Assumed 22% of patients receive 3 months of treatment and 78% receive 6 months of treatment</w:t>
      </w:r>
    </w:p>
    <w:p w14:paraId="795F02B9" w14:textId="3E77DBC4" w:rsidR="00312ACF" w:rsidRPr="00C31CA4" w:rsidRDefault="00312ACF" w:rsidP="00A87E05">
      <w:pPr>
        <w:pStyle w:val="FooterTableFigure"/>
        <w:keepNext/>
        <w:keepLines/>
        <w:numPr>
          <w:ilvl w:val="0"/>
          <w:numId w:val="18"/>
        </w:numPr>
      </w:pPr>
      <w:r w:rsidRPr="00C31CA4">
        <w:t>Assumes 100% of patients receive 4 months of treatment and 40% of patients receive 12 months of treatment</w:t>
      </w:r>
    </w:p>
    <w:p w14:paraId="7E639CD5" w14:textId="64F6CA40" w:rsidR="00312ACF" w:rsidRPr="00C31CA4" w:rsidRDefault="00312ACF" w:rsidP="00A87E05">
      <w:pPr>
        <w:pStyle w:val="FooterTableFigure"/>
        <w:keepNext/>
        <w:keepLines/>
        <w:numPr>
          <w:ilvl w:val="0"/>
          <w:numId w:val="18"/>
        </w:numPr>
      </w:pPr>
      <w:r w:rsidRPr="00C31CA4">
        <w:t>Calculated as ((months/12)*365.25)/28</w:t>
      </w:r>
    </w:p>
    <w:p w14:paraId="1CF390AE" w14:textId="5582B5C8" w:rsidR="00312ACF" w:rsidRPr="00C31CA4" w:rsidRDefault="00312ACF" w:rsidP="00A87E05">
      <w:pPr>
        <w:pStyle w:val="FooterTableFigure"/>
        <w:numPr>
          <w:ilvl w:val="0"/>
          <w:numId w:val="18"/>
        </w:numPr>
      </w:pPr>
      <w:r w:rsidRPr="00C31CA4">
        <w:t xml:space="preserve">Using DPMQ presented in Section 3 and assuming 50% private hospital and 50% public hospital use. </w:t>
      </w:r>
    </w:p>
    <w:p w14:paraId="44FE22CC" w14:textId="65474115" w:rsidR="007D1F58" w:rsidRPr="00C31CA4" w:rsidRDefault="007D1F58" w:rsidP="008B3F17">
      <w:pPr>
        <w:pStyle w:val="3-BodyText"/>
      </w:pPr>
      <w:bookmarkStart w:id="48" w:name="_Ref145084335"/>
      <w:r w:rsidRPr="00C31CA4">
        <w:t>In the second line setting, the initial dose is 50 mg per day titrated up to 150 mg per day based on haematological response. The financial estimates assumed all patients will be treated with 150 mg per day.</w:t>
      </w:r>
      <w:r w:rsidR="00DF2895" w:rsidRPr="00C31CA4">
        <w:t xml:space="preserve"> The ESC considered assuming all patients in the second line setting would be treated with 150 mg per day is likely to overestimate the cost. </w:t>
      </w:r>
    </w:p>
    <w:bookmarkEnd w:id="48"/>
    <w:p w14:paraId="268768EF" w14:textId="1766E914" w:rsidR="00B60939" w:rsidRPr="00C31CA4" w:rsidRDefault="00B60939" w:rsidP="002B05A1">
      <w:pPr>
        <w:pStyle w:val="4-SubsectionHeading"/>
      </w:pPr>
      <w:r w:rsidRPr="00C31CA4">
        <w:t>Estimated PBS usage &amp; financial implications</w:t>
      </w:r>
      <w:bookmarkEnd w:id="46"/>
      <w:bookmarkEnd w:id="47"/>
    </w:p>
    <w:p w14:paraId="04B31D2D" w14:textId="68C3B364" w:rsidR="0072416F" w:rsidRPr="00C31CA4" w:rsidRDefault="00C25D9C" w:rsidP="008B3F17">
      <w:pPr>
        <w:pStyle w:val="3-BodyText"/>
        <w:rPr>
          <w:color w:val="0066FF"/>
        </w:rPr>
      </w:pPr>
      <w:r w:rsidRPr="00C31CA4">
        <w:t xml:space="preserve">This submission </w:t>
      </w:r>
      <w:r w:rsidR="008A11CA" w:rsidRPr="00C31CA4">
        <w:t>was not</w:t>
      </w:r>
      <w:r w:rsidR="00D23D11" w:rsidRPr="00C31CA4">
        <w:t xml:space="preserve"> </w:t>
      </w:r>
      <w:r w:rsidRPr="00C31CA4">
        <w:t xml:space="preserve">considered by </w:t>
      </w:r>
      <w:r w:rsidR="004566E2">
        <w:t>the Drug Utilisation Sub-Committee (</w:t>
      </w:r>
      <w:r w:rsidRPr="00C31CA4">
        <w:t>DUSC</w:t>
      </w:r>
      <w:r w:rsidR="004566E2">
        <w:t>)</w:t>
      </w:r>
      <w:r w:rsidRPr="00C31CA4">
        <w:rPr>
          <w:color w:val="0070C0"/>
        </w:rPr>
        <w:t>.</w:t>
      </w:r>
      <w:r w:rsidR="000A19E6" w:rsidRPr="00C31CA4">
        <w:rPr>
          <w:color w:val="0070C0"/>
        </w:rPr>
        <w:t xml:space="preserve"> </w:t>
      </w:r>
      <w:r w:rsidR="00B26AF7" w:rsidRPr="00C31CA4">
        <w:t>The submission used an epidemiological approach to calculate the financial estimates. The inputs are summarised in</w:t>
      </w:r>
      <w:r w:rsidR="00BA5300" w:rsidRPr="00C31CA4">
        <w:t xml:space="preserve"> </w:t>
      </w:r>
      <w:r w:rsidR="00BA5300" w:rsidRPr="00C31CA4">
        <w:fldChar w:fldCharType="begin" w:fldLock="1"/>
      </w:r>
      <w:r w:rsidR="00BA5300" w:rsidRPr="00C31CA4">
        <w:instrText xml:space="preserve"> REF _Ref104805262 \h </w:instrText>
      </w:r>
      <w:r w:rsidR="00BA5300" w:rsidRPr="00C31CA4">
        <w:fldChar w:fldCharType="separate"/>
      </w:r>
      <w:r w:rsidR="00897FA1" w:rsidRPr="00C31CA4">
        <w:t xml:space="preserve">Table </w:t>
      </w:r>
      <w:r w:rsidR="00897FA1">
        <w:rPr>
          <w:noProof/>
        </w:rPr>
        <w:t>12</w:t>
      </w:r>
      <w:r w:rsidR="00BA5300" w:rsidRPr="00C31CA4">
        <w:fldChar w:fldCharType="end"/>
      </w:r>
      <w:r w:rsidR="00B26AF7" w:rsidRPr="00C31CA4">
        <w:t>.</w:t>
      </w:r>
      <w:r w:rsidR="000A19E6" w:rsidRPr="00C31CA4">
        <w:t xml:space="preserve"> </w:t>
      </w:r>
    </w:p>
    <w:p w14:paraId="3393BCE7" w14:textId="323FE329" w:rsidR="00E42F73" w:rsidRPr="00C31CA4" w:rsidRDefault="00E16AD8" w:rsidP="00E16AD8">
      <w:pPr>
        <w:pStyle w:val="Caption"/>
        <w:rPr>
          <w:rStyle w:val="CommentReference"/>
          <w:b/>
          <w:szCs w:val="24"/>
        </w:rPr>
      </w:pPr>
      <w:bookmarkStart w:id="49" w:name="_Ref104805262"/>
      <w:r w:rsidRPr="00C31CA4">
        <w:t xml:space="preserve">Table </w:t>
      </w:r>
      <w:fldSimple w:instr=" SEQ Table \* ARABIC " w:fldLock="1">
        <w:r w:rsidR="00897FA1">
          <w:rPr>
            <w:noProof/>
          </w:rPr>
          <w:t>12</w:t>
        </w:r>
      </w:fldSimple>
      <w:bookmarkEnd w:id="49"/>
      <w:r w:rsidRPr="00C31CA4">
        <w:t>:</w:t>
      </w:r>
      <w:r w:rsidR="00E42F73" w:rsidRPr="00C31CA4">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2"/>
        <w:gridCol w:w="7755"/>
      </w:tblGrid>
      <w:tr w:rsidR="00CD0882" w:rsidRPr="00C31CA4" w14:paraId="2F79D986" w14:textId="77777777" w:rsidTr="00CD0882">
        <w:trPr>
          <w:tblHeader/>
        </w:trPr>
        <w:tc>
          <w:tcPr>
            <w:tcW w:w="700" w:type="pct"/>
            <w:shd w:val="clear" w:color="auto" w:fill="auto"/>
            <w:vAlign w:val="center"/>
          </w:tcPr>
          <w:p w14:paraId="104210C3" w14:textId="77777777" w:rsidR="00CD0882" w:rsidRPr="00C31CA4" w:rsidRDefault="00CD0882" w:rsidP="003517DB">
            <w:pPr>
              <w:pStyle w:val="In-tableHeading"/>
              <w:keepNext w:val="0"/>
              <w:widowControl w:val="0"/>
              <w:rPr>
                <w:lang w:val="en-AU"/>
              </w:rPr>
            </w:pPr>
            <w:r w:rsidRPr="00C31CA4">
              <w:rPr>
                <w:lang w:val="en-AU"/>
              </w:rPr>
              <w:t>Parameter</w:t>
            </w:r>
          </w:p>
        </w:tc>
        <w:tc>
          <w:tcPr>
            <w:tcW w:w="4300" w:type="pct"/>
            <w:shd w:val="clear" w:color="auto" w:fill="auto"/>
            <w:vAlign w:val="center"/>
          </w:tcPr>
          <w:p w14:paraId="5189D33E" w14:textId="77777777" w:rsidR="00CD0882" w:rsidRPr="00C31CA4" w:rsidRDefault="00CD0882" w:rsidP="003517DB">
            <w:pPr>
              <w:pStyle w:val="In-tableHeading"/>
              <w:keepNext w:val="0"/>
              <w:widowControl w:val="0"/>
              <w:jc w:val="center"/>
              <w:rPr>
                <w:lang w:val="en-AU"/>
              </w:rPr>
            </w:pPr>
            <w:r w:rsidRPr="00C31CA4">
              <w:rPr>
                <w:lang w:val="en-AU"/>
              </w:rPr>
              <w:t>Value applied and source</w:t>
            </w:r>
          </w:p>
        </w:tc>
      </w:tr>
      <w:tr w:rsidR="00CD0882" w:rsidRPr="00C31CA4" w14:paraId="7CF80F3A" w14:textId="77777777" w:rsidTr="00CD0882">
        <w:tc>
          <w:tcPr>
            <w:tcW w:w="5000" w:type="pct"/>
            <w:gridSpan w:val="2"/>
            <w:shd w:val="clear" w:color="auto" w:fill="auto"/>
            <w:vAlign w:val="center"/>
          </w:tcPr>
          <w:p w14:paraId="709AC803" w14:textId="77777777" w:rsidR="00CD0882" w:rsidRPr="00C31CA4" w:rsidRDefault="00CD0882" w:rsidP="003517DB">
            <w:pPr>
              <w:pStyle w:val="TableText0"/>
              <w:keepNext w:val="0"/>
              <w:widowControl w:val="0"/>
              <w:rPr>
                <w:b/>
                <w:bCs w:val="0"/>
                <w:szCs w:val="20"/>
              </w:rPr>
            </w:pPr>
            <w:r w:rsidRPr="00C31CA4">
              <w:rPr>
                <w:b/>
                <w:bCs w:val="0"/>
                <w:szCs w:val="20"/>
              </w:rPr>
              <w:t>Epidemiology</w:t>
            </w:r>
          </w:p>
        </w:tc>
      </w:tr>
      <w:tr w:rsidR="00CD0882" w:rsidRPr="00C31CA4" w14:paraId="2CF95CDB" w14:textId="77777777" w:rsidTr="00CD0882">
        <w:tc>
          <w:tcPr>
            <w:tcW w:w="700" w:type="pct"/>
            <w:shd w:val="clear" w:color="auto" w:fill="auto"/>
            <w:vAlign w:val="center"/>
          </w:tcPr>
          <w:p w14:paraId="536D12BD" w14:textId="77777777" w:rsidR="00CD0882" w:rsidRPr="00C31CA4" w:rsidRDefault="00CD0882" w:rsidP="003517DB">
            <w:pPr>
              <w:pStyle w:val="TableText0"/>
              <w:keepNext w:val="0"/>
              <w:widowControl w:val="0"/>
            </w:pPr>
            <w:r w:rsidRPr="00C31CA4">
              <w:t>Eligible patients</w:t>
            </w:r>
          </w:p>
        </w:tc>
        <w:tc>
          <w:tcPr>
            <w:tcW w:w="4300" w:type="pct"/>
            <w:shd w:val="clear" w:color="auto" w:fill="auto"/>
            <w:vAlign w:val="center"/>
          </w:tcPr>
          <w:p w14:paraId="757E88A1" w14:textId="2262BD31" w:rsidR="00E3600B" w:rsidRPr="00C31CA4" w:rsidRDefault="00CD0882" w:rsidP="003517DB">
            <w:pPr>
              <w:pStyle w:val="TableText0"/>
              <w:keepNext w:val="0"/>
              <w:widowControl w:val="0"/>
            </w:pPr>
            <w:r w:rsidRPr="00C31CA4">
              <w:rPr>
                <w:b/>
                <w:bCs w:val="0"/>
                <w:szCs w:val="20"/>
              </w:rPr>
              <w:t>Incidence data:</w:t>
            </w:r>
            <w:r w:rsidRPr="00C31CA4">
              <w:rPr>
                <w:szCs w:val="20"/>
              </w:rPr>
              <w:t xml:space="preserve"> </w:t>
            </w:r>
            <w:r w:rsidR="007135EA" w:rsidRPr="00C31CA4">
              <w:t xml:space="preserve">The submission indicated there was no Australian-specific epidemiological data identified. </w:t>
            </w:r>
            <w:r w:rsidRPr="00C31CA4">
              <w:rPr>
                <w:szCs w:val="20"/>
              </w:rPr>
              <w:t xml:space="preserve">Incidence of 2.34 cases per million was assumed, </w:t>
            </w:r>
            <w:r w:rsidR="007A37CC" w:rsidRPr="00C31CA4">
              <w:rPr>
                <w:szCs w:val="20"/>
              </w:rPr>
              <w:t>was based</w:t>
            </w:r>
            <w:r w:rsidR="00013B68" w:rsidRPr="00C31CA4">
              <w:rPr>
                <w:szCs w:val="20"/>
              </w:rPr>
              <w:t xml:space="preserve"> on Montane </w:t>
            </w:r>
            <w:r w:rsidR="009122EA" w:rsidRPr="00C31CA4">
              <w:rPr>
                <w:szCs w:val="20"/>
              </w:rPr>
              <w:t>(</w:t>
            </w:r>
            <w:r w:rsidR="00013B68" w:rsidRPr="00C31CA4">
              <w:rPr>
                <w:szCs w:val="20"/>
              </w:rPr>
              <w:t>2008</w:t>
            </w:r>
            <w:r w:rsidR="009122EA" w:rsidRPr="00C31CA4">
              <w:rPr>
                <w:szCs w:val="20"/>
              </w:rPr>
              <w:t>)</w:t>
            </w:r>
            <w:r w:rsidR="00013B68" w:rsidRPr="00C31CA4">
              <w:rPr>
                <w:szCs w:val="20"/>
              </w:rPr>
              <w:t>, which described a Spanish case</w:t>
            </w:r>
            <w:r w:rsidR="009122EA" w:rsidRPr="00C31CA4">
              <w:rPr>
                <w:szCs w:val="20"/>
              </w:rPr>
              <w:t>-</w:t>
            </w:r>
            <w:r w:rsidR="00013B68" w:rsidRPr="00C31CA4">
              <w:rPr>
                <w:szCs w:val="20"/>
              </w:rPr>
              <w:t>control study conducted in Barcelona between 1980 and 2003.</w:t>
            </w:r>
            <w:r w:rsidR="000A19E6" w:rsidRPr="00C31CA4">
              <w:rPr>
                <w:szCs w:val="20"/>
              </w:rPr>
              <w:t xml:space="preserve"> </w:t>
            </w:r>
            <w:r w:rsidR="00013B68" w:rsidRPr="00C31CA4">
              <w:rPr>
                <w:szCs w:val="20"/>
              </w:rPr>
              <w:t xml:space="preserve">This study reported 235 patients with aplastic </w:t>
            </w:r>
            <w:r w:rsidR="00C31CA4" w:rsidRPr="00C31CA4">
              <w:rPr>
                <w:szCs w:val="20"/>
              </w:rPr>
              <w:t>anaemia and</w:t>
            </w:r>
            <w:r w:rsidR="00013B68" w:rsidRPr="00C31CA4">
              <w:rPr>
                <w:szCs w:val="20"/>
              </w:rPr>
              <w:t xml:space="preserve"> based on study experience of 100,197,224 person-years, gave an incidence of 2.34 per million inhabitants per year.</w:t>
            </w:r>
            <w:r w:rsidR="000A19E6" w:rsidRPr="00C31CA4">
              <w:rPr>
                <w:szCs w:val="20"/>
              </w:rPr>
              <w:t xml:space="preserve"> </w:t>
            </w:r>
            <w:r w:rsidR="00013B68" w:rsidRPr="00C31CA4">
              <w:rPr>
                <w:szCs w:val="20"/>
              </w:rPr>
              <w:t xml:space="preserve">While not current, there </w:t>
            </w:r>
            <w:r w:rsidR="00013B68" w:rsidRPr="00C31CA4">
              <w:t>does not appear to be an updated incidence source.</w:t>
            </w:r>
            <w:r w:rsidR="00F83FC7" w:rsidRPr="00C31CA4">
              <w:t xml:space="preserve"> </w:t>
            </w:r>
          </w:p>
          <w:p w14:paraId="77C75970" w14:textId="77777777" w:rsidR="009122EA" w:rsidRPr="00C31CA4" w:rsidRDefault="009122EA" w:rsidP="003517DB">
            <w:pPr>
              <w:pStyle w:val="TableText0"/>
              <w:keepNext w:val="0"/>
              <w:widowControl w:val="0"/>
            </w:pPr>
          </w:p>
          <w:p w14:paraId="610A9D23" w14:textId="3F718CBE" w:rsidR="00013B68" w:rsidRPr="00C31CA4" w:rsidRDefault="00013B68" w:rsidP="003517DB">
            <w:pPr>
              <w:pStyle w:val="TableText0"/>
              <w:keepNext w:val="0"/>
              <w:widowControl w:val="0"/>
            </w:pPr>
            <w:r w:rsidRPr="00C31CA4">
              <w:t xml:space="preserve">The proportion with sAA (83.8%) was also sourced from Montane </w:t>
            </w:r>
            <w:r w:rsidR="009122EA" w:rsidRPr="00C31CA4">
              <w:t>(</w:t>
            </w:r>
            <w:r w:rsidRPr="00C31CA4">
              <w:t>2008</w:t>
            </w:r>
            <w:r w:rsidR="009122EA" w:rsidRPr="00C31CA4">
              <w:t>)</w:t>
            </w:r>
            <w:r w:rsidRPr="00C31CA4">
              <w:t>, using the same 1980 to 2003 data.</w:t>
            </w:r>
          </w:p>
          <w:p w14:paraId="0CB14E4A" w14:textId="77777777" w:rsidR="009122EA" w:rsidRPr="00C31CA4" w:rsidRDefault="009122EA" w:rsidP="003517DB">
            <w:pPr>
              <w:pStyle w:val="TableText0"/>
              <w:keepNext w:val="0"/>
              <w:widowControl w:val="0"/>
              <w:rPr>
                <w:szCs w:val="20"/>
              </w:rPr>
            </w:pPr>
          </w:p>
          <w:p w14:paraId="17D6714D" w14:textId="6442ABE6" w:rsidR="00CD0882" w:rsidRPr="00C31CA4" w:rsidRDefault="00CD0882" w:rsidP="003517DB">
            <w:pPr>
              <w:pStyle w:val="TableText0"/>
              <w:keepNext w:val="0"/>
              <w:widowControl w:val="0"/>
            </w:pPr>
            <w:r w:rsidRPr="00C31CA4">
              <w:rPr>
                <w:szCs w:val="20"/>
              </w:rPr>
              <w:t xml:space="preserve">The submission indicated that a prevalent population </w:t>
            </w:r>
            <w:r w:rsidRPr="00C31CA4">
              <w:t>was not considered because it was assumed existing patients would currently be treated with IST and therefore ineligible for first-line treatment, and prevalence was not considered for second</w:t>
            </w:r>
            <w:r w:rsidR="006F6A57" w:rsidRPr="00C31CA4">
              <w:t>-</w:t>
            </w:r>
            <w:r w:rsidRPr="00C31CA4">
              <w:t>line due to poor prognosis for refractory patients.</w:t>
            </w:r>
            <w:r w:rsidR="000A19E6" w:rsidRPr="00C31CA4">
              <w:t xml:space="preserve"> </w:t>
            </w:r>
            <w:r w:rsidRPr="00C31CA4">
              <w:t>This was reasonable.</w:t>
            </w:r>
            <w:r w:rsidR="009122EA" w:rsidRPr="00C31CA4">
              <w:t xml:space="preserve"> However, patients requiring re-treatment after relapse were not included, and </w:t>
            </w:r>
            <w:r w:rsidR="00550FA1" w:rsidRPr="00C31CA4">
              <w:t xml:space="preserve">the evaluation considered this </w:t>
            </w:r>
            <w:r w:rsidR="009122EA" w:rsidRPr="00C31CA4">
              <w:t xml:space="preserve">would increase the eligible population substantially. </w:t>
            </w:r>
            <w:r w:rsidR="00550FA1" w:rsidRPr="00C31CA4">
              <w:t xml:space="preserve">The ESC considered this would be applicable to a small number of patients. </w:t>
            </w:r>
          </w:p>
          <w:p w14:paraId="183ACD55" w14:textId="77777777" w:rsidR="009122EA" w:rsidRPr="00C31CA4" w:rsidRDefault="009122EA" w:rsidP="003517DB">
            <w:pPr>
              <w:pStyle w:val="TableText0"/>
              <w:keepNext w:val="0"/>
              <w:widowControl w:val="0"/>
            </w:pPr>
          </w:p>
          <w:p w14:paraId="23388A8F" w14:textId="452EEE36" w:rsidR="00013B68" w:rsidRPr="00C31CA4" w:rsidRDefault="00013B68" w:rsidP="003517DB">
            <w:pPr>
              <w:pStyle w:val="TableText0"/>
              <w:keepNext w:val="0"/>
              <w:widowControl w:val="0"/>
            </w:pPr>
            <w:r w:rsidRPr="00C31CA4">
              <w:rPr>
                <w:b/>
                <w:bCs w:val="0"/>
              </w:rPr>
              <w:t>Eligib</w:t>
            </w:r>
            <w:r w:rsidR="002831D0" w:rsidRPr="00C31CA4">
              <w:rPr>
                <w:b/>
                <w:bCs w:val="0"/>
              </w:rPr>
              <w:t>ility</w:t>
            </w:r>
            <w:r w:rsidRPr="00C31CA4">
              <w:rPr>
                <w:b/>
                <w:bCs w:val="0"/>
              </w:rPr>
              <w:t>:</w:t>
            </w:r>
            <w:r w:rsidRPr="00C31CA4">
              <w:t xml:space="preserve"> </w:t>
            </w:r>
            <w:r w:rsidR="000E60AD" w:rsidRPr="00C31CA4">
              <w:t xml:space="preserve">The submission then </w:t>
            </w:r>
            <w:r w:rsidRPr="00C31CA4">
              <w:t>calculated</w:t>
            </w:r>
            <w:r w:rsidR="000E60AD" w:rsidRPr="00C31CA4">
              <w:t xml:space="preserve"> all </w:t>
            </w:r>
            <w:r w:rsidR="009122EA" w:rsidRPr="00C31CA4">
              <w:t>subsequent</w:t>
            </w:r>
            <w:r w:rsidR="000E60AD" w:rsidRPr="00C31CA4">
              <w:t xml:space="preserve"> </w:t>
            </w:r>
            <w:r w:rsidR="002831D0" w:rsidRPr="00C31CA4">
              <w:t xml:space="preserve">eligibility </w:t>
            </w:r>
            <w:r w:rsidR="000E60AD" w:rsidRPr="00C31CA4">
              <w:t xml:space="preserve">estimates </w:t>
            </w:r>
            <w:r w:rsidR="00F5297A" w:rsidRPr="00C31CA4">
              <w:t xml:space="preserve">based </w:t>
            </w:r>
            <w:r w:rsidR="000E60AD" w:rsidRPr="00C31CA4">
              <w:t>on first and second-line patients.</w:t>
            </w:r>
            <w:r w:rsidR="000A19E6" w:rsidRPr="00C31CA4">
              <w:t xml:space="preserve"> </w:t>
            </w:r>
            <w:r w:rsidR="00550FA1" w:rsidRPr="00C31CA4">
              <w:t>The ESC considered i</w:t>
            </w:r>
            <w:r w:rsidR="00B86A33" w:rsidRPr="00C31CA4">
              <w:t xml:space="preserve">t </w:t>
            </w:r>
            <w:r w:rsidR="00550FA1" w:rsidRPr="00C31CA4">
              <w:t xml:space="preserve">was </w:t>
            </w:r>
            <w:r w:rsidR="00B86A33" w:rsidRPr="00C31CA4">
              <w:t xml:space="preserve">likely that with almost all patients using eltrombopag in first-line </w:t>
            </w:r>
            <w:r w:rsidR="00B86A33" w:rsidRPr="00C31CA4">
              <w:lastRenderedPageBreak/>
              <w:t>(80% in Year 1 assumed by the submission; 90% in the following years; see below), there would be very little second-line use</w:t>
            </w:r>
            <w:r w:rsidR="007A5B15" w:rsidRPr="00C31CA4">
              <w:t xml:space="preserve"> in incident patients</w:t>
            </w:r>
            <w:r w:rsidR="00B86A33" w:rsidRPr="00C31CA4">
              <w:t>.</w:t>
            </w:r>
          </w:p>
          <w:p w14:paraId="10520E97" w14:textId="52ECC4C2" w:rsidR="00CD0882" w:rsidRPr="00C31CA4" w:rsidRDefault="00CD0882" w:rsidP="003517DB">
            <w:pPr>
              <w:pStyle w:val="TableText0"/>
              <w:keepNext w:val="0"/>
              <w:widowControl w:val="0"/>
            </w:pPr>
            <w:r w:rsidRPr="00C31CA4">
              <w:rPr>
                <w:b/>
                <w:bCs w:val="0"/>
              </w:rPr>
              <w:t>First-line patients:</w:t>
            </w:r>
            <w:r w:rsidRPr="00C31CA4">
              <w:t xml:space="preserve"> Based on the proportion of patients considered ineligible for HSCT.</w:t>
            </w:r>
            <w:r w:rsidR="000A19E6" w:rsidRPr="00C31CA4">
              <w:t xml:space="preserve"> </w:t>
            </w:r>
            <w:r w:rsidRPr="00C31CA4">
              <w:t>It was assumed 100% of patients aged over 40 years do not proceed to HSCT due to age-associated risks, and 70% under 40 do not have a matched sibling donor.</w:t>
            </w:r>
            <w:r w:rsidR="000A19E6" w:rsidRPr="00C31CA4">
              <w:t xml:space="preserve"> </w:t>
            </w:r>
            <w:r w:rsidR="00C31CA4" w:rsidRPr="00C31CA4">
              <w:t>Therefore,</w:t>
            </w:r>
            <w:r w:rsidRPr="00C31CA4">
              <w:t xml:space="preserve"> it was estimated 84% of patients would be eligible to receive first-line treatment.</w:t>
            </w:r>
            <w:r w:rsidR="000A19E6" w:rsidRPr="00C31CA4">
              <w:t xml:space="preserve"> </w:t>
            </w:r>
            <w:r w:rsidR="00A70F14" w:rsidRPr="00C31CA4">
              <w:t>The PBAC considered this may be an overestimate</w:t>
            </w:r>
            <w:r w:rsidR="00225B8E" w:rsidRPr="00C31CA4">
              <w:t xml:space="preserve"> </w:t>
            </w:r>
            <w:r w:rsidR="00A70F14" w:rsidRPr="00C31CA4">
              <w:t>as more patients may receive HSCT with increased use of partially matched (haploidentical) transplants</w:t>
            </w:r>
            <w:r w:rsidR="00C31CA4">
              <w:t xml:space="preserve">. </w:t>
            </w:r>
          </w:p>
          <w:p w14:paraId="61D11401" w14:textId="64EFEE91" w:rsidR="00CD0882" w:rsidRPr="00C31CA4" w:rsidRDefault="00CD0882" w:rsidP="005B0D3A">
            <w:pPr>
              <w:pStyle w:val="TableText0"/>
              <w:keepNext w:val="0"/>
              <w:widowControl w:val="0"/>
              <w:rPr>
                <w:szCs w:val="20"/>
              </w:rPr>
            </w:pPr>
            <w:r w:rsidRPr="00C31CA4">
              <w:rPr>
                <w:b/>
                <w:bCs w:val="0"/>
              </w:rPr>
              <w:t>Second-line patients:</w:t>
            </w:r>
            <w:r w:rsidRPr="00C31CA4">
              <w:t xml:space="preserve"> </w:t>
            </w:r>
            <w:r w:rsidR="002B6850" w:rsidRPr="00C31CA4">
              <w:t>The submission used as</w:t>
            </w:r>
            <w:r w:rsidRPr="00C31CA4">
              <w:t xml:space="preserve"> the proportion of patients refractory to ISTs the overall response rate for patients treated with hATG+CsA in de Latour </w:t>
            </w:r>
            <w:r w:rsidR="009122EA" w:rsidRPr="00C31CA4">
              <w:t>(</w:t>
            </w:r>
            <w:r w:rsidRPr="00C31CA4">
              <w:t>2022</w:t>
            </w:r>
            <w:r w:rsidR="009122EA" w:rsidRPr="00C31CA4">
              <w:t>)</w:t>
            </w:r>
            <w:r w:rsidRPr="00C31CA4">
              <w:t>, which was 41%.</w:t>
            </w:r>
            <w:r w:rsidR="000A19E6" w:rsidRPr="00C31CA4">
              <w:t xml:space="preserve"> </w:t>
            </w:r>
            <w:r w:rsidR="006255F7" w:rsidRPr="00C31CA4">
              <w:t xml:space="preserve">This should have been the non-response rate, 100% - 41% = 59%, </w:t>
            </w:r>
            <w:r w:rsidR="00550FA1" w:rsidRPr="00C31CA4">
              <w:t xml:space="preserve">and was corrected </w:t>
            </w:r>
            <w:r w:rsidRPr="00C31CA4">
              <w:t>during the evaluatio</w:t>
            </w:r>
            <w:r w:rsidR="006255F7" w:rsidRPr="00C31CA4">
              <w:t>n</w:t>
            </w:r>
            <w:r w:rsidRPr="00C31CA4">
              <w:t>.</w:t>
            </w:r>
            <w:r w:rsidR="006255F7" w:rsidRPr="00C31CA4">
              <w:t xml:space="preserve"> </w:t>
            </w:r>
            <w:r w:rsidR="00744967" w:rsidRPr="00C31CA4">
              <w:t xml:space="preserve">Additionally, the estimated number of first-line patients should have been removed from the second-line estimates. Corrected numbers are presented below. </w:t>
            </w:r>
          </w:p>
        </w:tc>
      </w:tr>
      <w:tr w:rsidR="00CD0882" w:rsidRPr="00C31CA4" w14:paraId="4C2F93BB" w14:textId="77777777" w:rsidTr="00CD0882">
        <w:tc>
          <w:tcPr>
            <w:tcW w:w="5000" w:type="pct"/>
            <w:gridSpan w:val="2"/>
            <w:shd w:val="clear" w:color="auto" w:fill="auto"/>
            <w:vAlign w:val="center"/>
          </w:tcPr>
          <w:p w14:paraId="756C0603" w14:textId="77777777" w:rsidR="00CD0882" w:rsidRPr="00C31CA4" w:rsidRDefault="00CD0882" w:rsidP="003517DB">
            <w:pPr>
              <w:widowControl w:val="0"/>
              <w:jc w:val="left"/>
              <w:rPr>
                <w:rFonts w:ascii="Arial Narrow" w:hAnsi="Arial Narrow"/>
                <w:b/>
                <w:bCs/>
                <w:sz w:val="20"/>
                <w:szCs w:val="20"/>
              </w:rPr>
            </w:pPr>
            <w:r w:rsidRPr="00C31CA4">
              <w:rPr>
                <w:rFonts w:ascii="Arial Narrow" w:hAnsi="Arial Narrow"/>
                <w:b/>
                <w:bCs/>
                <w:sz w:val="20"/>
                <w:szCs w:val="20"/>
              </w:rPr>
              <w:lastRenderedPageBreak/>
              <w:t>Utilisation</w:t>
            </w:r>
          </w:p>
        </w:tc>
      </w:tr>
      <w:tr w:rsidR="00CD0882" w:rsidRPr="00C31CA4" w14:paraId="3CC2417C" w14:textId="77777777" w:rsidTr="00CD0882">
        <w:tc>
          <w:tcPr>
            <w:tcW w:w="700" w:type="pct"/>
            <w:shd w:val="clear" w:color="auto" w:fill="auto"/>
            <w:vAlign w:val="center"/>
          </w:tcPr>
          <w:p w14:paraId="58434353" w14:textId="77777777" w:rsidR="00CD0882" w:rsidRPr="00C31CA4" w:rsidRDefault="00CD0882" w:rsidP="003517DB">
            <w:pPr>
              <w:pStyle w:val="TableText0"/>
              <w:keepNext w:val="0"/>
              <w:widowControl w:val="0"/>
            </w:pPr>
            <w:r w:rsidRPr="00C31CA4">
              <w:rPr>
                <w:szCs w:val="20"/>
              </w:rPr>
              <w:t>Uptake and treatment</w:t>
            </w:r>
          </w:p>
        </w:tc>
        <w:tc>
          <w:tcPr>
            <w:tcW w:w="4300" w:type="pct"/>
            <w:shd w:val="clear" w:color="auto" w:fill="auto"/>
            <w:vAlign w:val="center"/>
          </w:tcPr>
          <w:p w14:paraId="6BB2931A" w14:textId="6C877A2D" w:rsidR="00CD0882" w:rsidRPr="00C31CA4" w:rsidRDefault="00CD0882" w:rsidP="003945F4">
            <w:pPr>
              <w:widowControl w:val="0"/>
              <w:spacing w:after="60"/>
              <w:jc w:val="left"/>
            </w:pPr>
            <w:r w:rsidRPr="00C31CA4">
              <w:rPr>
                <w:rFonts w:ascii="Arial Narrow" w:hAnsi="Arial Narrow"/>
                <w:b/>
                <w:bCs/>
                <w:sz w:val="20"/>
                <w:szCs w:val="20"/>
              </w:rPr>
              <w:t>Uptake:</w:t>
            </w:r>
            <w:r w:rsidRPr="00C31CA4">
              <w:rPr>
                <w:rFonts w:ascii="Arial Narrow" w:hAnsi="Arial Narrow"/>
                <w:sz w:val="20"/>
                <w:szCs w:val="20"/>
              </w:rPr>
              <w:t xml:space="preserve"> 80% in Year 1, 90% in Year 2 to Year 6; sponsor assumption.</w:t>
            </w:r>
            <w:r w:rsidR="000A19E6" w:rsidRPr="00C31CA4">
              <w:rPr>
                <w:rFonts w:ascii="Arial Narrow" w:hAnsi="Arial Narrow"/>
                <w:sz w:val="20"/>
                <w:szCs w:val="20"/>
              </w:rPr>
              <w:t xml:space="preserve"> </w:t>
            </w:r>
            <w:r w:rsidRPr="00C31CA4">
              <w:rPr>
                <w:rFonts w:ascii="Arial Narrow" w:hAnsi="Arial Narrow"/>
                <w:sz w:val="20"/>
                <w:szCs w:val="20"/>
              </w:rPr>
              <w:t xml:space="preserve">For second-line patients it was also assumed that 40% would continue treatment, based on Desmond </w:t>
            </w:r>
            <w:r w:rsidR="00454171" w:rsidRPr="00C31CA4">
              <w:rPr>
                <w:rFonts w:ascii="Arial Narrow" w:hAnsi="Arial Narrow"/>
                <w:sz w:val="20"/>
                <w:szCs w:val="20"/>
              </w:rPr>
              <w:t>(</w:t>
            </w:r>
            <w:r w:rsidRPr="00C31CA4">
              <w:rPr>
                <w:rFonts w:ascii="Arial Narrow" w:hAnsi="Arial Narrow"/>
                <w:sz w:val="20"/>
                <w:szCs w:val="20"/>
              </w:rPr>
              <w:t>2014</w:t>
            </w:r>
            <w:r w:rsidR="00454171" w:rsidRPr="00C31CA4">
              <w:rPr>
                <w:rFonts w:ascii="Arial Narrow" w:hAnsi="Arial Narrow"/>
                <w:sz w:val="20"/>
                <w:szCs w:val="20"/>
              </w:rPr>
              <w:t>)</w:t>
            </w:r>
            <w:r w:rsidRPr="00C31CA4">
              <w:rPr>
                <w:rFonts w:ascii="Arial Narrow" w:hAnsi="Arial Narrow"/>
                <w:sz w:val="20"/>
                <w:szCs w:val="20"/>
              </w:rPr>
              <w:t>.</w:t>
            </w:r>
          </w:p>
        </w:tc>
      </w:tr>
      <w:tr w:rsidR="00CD0882" w:rsidRPr="00C31CA4" w14:paraId="62CEB4B3" w14:textId="77777777" w:rsidTr="00CD0882">
        <w:tc>
          <w:tcPr>
            <w:tcW w:w="700" w:type="pct"/>
            <w:shd w:val="clear" w:color="auto" w:fill="auto"/>
            <w:vAlign w:val="center"/>
          </w:tcPr>
          <w:p w14:paraId="03570140" w14:textId="77777777" w:rsidR="00CD0882" w:rsidRPr="00C31CA4" w:rsidRDefault="00CD0882" w:rsidP="003517DB">
            <w:pPr>
              <w:pStyle w:val="TableText0"/>
              <w:keepNext w:val="0"/>
              <w:widowControl w:val="0"/>
            </w:pPr>
            <w:r w:rsidRPr="00C31CA4">
              <w:t>Number of scripts</w:t>
            </w:r>
          </w:p>
        </w:tc>
        <w:tc>
          <w:tcPr>
            <w:tcW w:w="4300" w:type="pct"/>
            <w:shd w:val="clear" w:color="auto" w:fill="auto"/>
            <w:vAlign w:val="center"/>
          </w:tcPr>
          <w:p w14:paraId="3BD7A780" w14:textId="54D3B68D" w:rsidR="00CD0882" w:rsidRPr="00C31CA4" w:rsidRDefault="00CD0882" w:rsidP="003517DB">
            <w:pPr>
              <w:widowControl w:val="0"/>
              <w:jc w:val="left"/>
              <w:rPr>
                <w:rFonts w:ascii="Arial Narrow" w:hAnsi="Arial Narrow"/>
                <w:sz w:val="20"/>
                <w:szCs w:val="20"/>
              </w:rPr>
            </w:pPr>
            <w:r w:rsidRPr="00C31CA4">
              <w:rPr>
                <w:rFonts w:ascii="Arial Narrow" w:hAnsi="Arial Narrow"/>
                <w:b/>
                <w:bCs/>
                <w:sz w:val="20"/>
                <w:szCs w:val="20"/>
              </w:rPr>
              <w:t>PBS/RPBS:</w:t>
            </w:r>
            <w:r w:rsidR="000A19E6" w:rsidRPr="00C31CA4">
              <w:rPr>
                <w:rFonts w:ascii="Arial Narrow" w:hAnsi="Arial Narrow"/>
                <w:sz w:val="20"/>
                <w:szCs w:val="20"/>
              </w:rPr>
              <w:t xml:space="preserve"> </w:t>
            </w:r>
            <w:r w:rsidRPr="00C31CA4">
              <w:rPr>
                <w:rFonts w:ascii="Arial Narrow" w:hAnsi="Arial Narrow"/>
                <w:sz w:val="20"/>
                <w:szCs w:val="20"/>
              </w:rPr>
              <w:t xml:space="preserve">Script numbers were assumed to be </w:t>
            </w:r>
            <w:r w:rsidR="002C76E9" w:rsidRPr="00C31CA4">
              <w:rPr>
                <w:rFonts w:ascii="Arial Narrow" w:hAnsi="Arial Narrow"/>
                <w:sz w:val="20"/>
                <w:szCs w:val="20"/>
              </w:rPr>
              <w:t>5.8</w:t>
            </w:r>
            <w:r w:rsidRPr="00C31CA4">
              <w:rPr>
                <w:rFonts w:ascii="Arial Narrow" w:hAnsi="Arial Narrow"/>
                <w:sz w:val="20"/>
                <w:szCs w:val="20"/>
              </w:rPr>
              <w:t xml:space="preserve"> for first-line treatment and </w:t>
            </w:r>
            <w:r w:rsidR="002C76E9" w:rsidRPr="00C31CA4">
              <w:rPr>
                <w:rFonts w:ascii="Arial Narrow" w:hAnsi="Arial Narrow"/>
                <w:sz w:val="20"/>
                <w:szCs w:val="20"/>
              </w:rPr>
              <w:t xml:space="preserve">4.35 for initial </w:t>
            </w:r>
            <w:r w:rsidRPr="00C31CA4">
              <w:rPr>
                <w:rFonts w:ascii="Arial Narrow" w:hAnsi="Arial Narrow"/>
                <w:sz w:val="20"/>
                <w:szCs w:val="20"/>
              </w:rPr>
              <w:t>second-line treatment</w:t>
            </w:r>
            <w:r w:rsidR="002C76E9" w:rsidRPr="00C31CA4">
              <w:rPr>
                <w:rFonts w:ascii="Arial Narrow" w:hAnsi="Arial Narrow"/>
                <w:sz w:val="20"/>
                <w:szCs w:val="20"/>
              </w:rPr>
              <w:t xml:space="preserve"> and 13.04 for continuing second-line treatment</w:t>
            </w:r>
            <w:r w:rsidRPr="00C31CA4">
              <w:rPr>
                <w:rFonts w:ascii="Arial Narrow" w:hAnsi="Arial Narrow"/>
                <w:sz w:val="20"/>
                <w:szCs w:val="20"/>
              </w:rPr>
              <w:t>.</w:t>
            </w:r>
          </w:p>
          <w:p w14:paraId="2FDA3FCF" w14:textId="72A10191" w:rsidR="00CD0882" w:rsidRPr="00C31CA4" w:rsidRDefault="00CD0882" w:rsidP="00111FF3">
            <w:pPr>
              <w:widowControl w:val="0"/>
              <w:jc w:val="left"/>
            </w:pPr>
            <w:r w:rsidRPr="00C31CA4">
              <w:rPr>
                <w:rFonts w:ascii="Arial Narrow" w:hAnsi="Arial Narrow"/>
                <w:b/>
                <w:bCs/>
                <w:sz w:val="20"/>
                <w:szCs w:val="20"/>
              </w:rPr>
              <w:t>Treatment duration:</w:t>
            </w:r>
            <w:r w:rsidRPr="00C31CA4">
              <w:rPr>
                <w:rFonts w:ascii="Arial Narrow" w:hAnsi="Arial Narrow"/>
                <w:sz w:val="20"/>
                <w:szCs w:val="20"/>
              </w:rPr>
              <w:t xml:space="preserve"> First-line treatment duration was 5.34 months based on </w:t>
            </w:r>
            <w:r w:rsidR="003A28DF" w:rsidRPr="00C31CA4">
              <w:rPr>
                <w:rFonts w:ascii="Arial Narrow" w:hAnsi="Arial Narrow"/>
                <w:sz w:val="20"/>
                <w:szCs w:val="20"/>
              </w:rPr>
              <w:t xml:space="preserve">de </w:t>
            </w:r>
            <w:r w:rsidRPr="00C31CA4">
              <w:rPr>
                <w:rFonts w:ascii="Arial Narrow" w:hAnsi="Arial Narrow"/>
                <w:sz w:val="20"/>
                <w:szCs w:val="20"/>
              </w:rPr>
              <w:t xml:space="preserve">Latour </w:t>
            </w:r>
            <w:r w:rsidR="002846D2" w:rsidRPr="00C31CA4">
              <w:rPr>
                <w:rFonts w:ascii="Arial Narrow" w:hAnsi="Arial Narrow"/>
                <w:sz w:val="20"/>
                <w:szCs w:val="20"/>
              </w:rPr>
              <w:t>(</w:t>
            </w:r>
            <w:r w:rsidRPr="00C31CA4">
              <w:rPr>
                <w:rFonts w:ascii="Arial Narrow" w:hAnsi="Arial Narrow"/>
                <w:sz w:val="20"/>
                <w:szCs w:val="20"/>
              </w:rPr>
              <w:t>2022</w:t>
            </w:r>
            <w:r w:rsidR="002846D2" w:rsidRPr="00C31CA4">
              <w:rPr>
                <w:rFonts w:ascii="Arial Narrow" w:hAnsi="Arial Narrow"/>
                <w:sz w:val="20"/>
                <w:szCs w:val="20"/>
              </w:rPr>
              <w:t>)</w:t>
            </w:r>
            <w:r w:rsidRPr="00C31CA4">
              <w:rPr>
                <w:rFonts w:ascii="Arial Narrow" w:hAnsi="Arial Narrow"/>
                <w:sz w:val="20"/>
                <w:szCs w:val="20"/>
              </w:rPr>
              <w:t>, where 22% of patients were treated for 3 months and 78% were treated for 6 months.</w:t>
            </w:r>
            <w:r w:rsidR="000A19E6" w:rsidRPr="00C31CA4">
              <w:rPr>
                <w:rFonts w:ascii="Arial Narrow" w:hAnsi="Arial Narrow"/>
                <w:sz w:val="20"/>
                <w:szCs w:val="20"/>
              </w:rPr>
              <w:t xml:space="preserve"> </w:t>
            </w:r>
            <w:r w:rsidRPr="00C31CA4">
              <w:rPr>
                <w:rFonts w:ascii="Arial Narrow" w:hAnsi="Arial Narrow"/>
                <w:sz w:val="20"/>
                <w:szCs w:val="20"/>
              </w:rPr>
              <w:t xml:space="preserve">Second-line treatment duration was 4 months for initial therapy and 12 months for continuing therapy. </w:t>
            </w:r>
          </w:p>
        </w:tc>
      </w:tr>
      <w:tr w:rsidR="00CD0882" w:rsidRPr="00C31CA4" w14:paraId="59ECA830" w14:textId="77777777" w:rsidTr="00CD0882">
        <w:tc>
          <w:tcPr>
            <w:tcW w:w="5000" w:type="pct"/>
            <w:gridSpan w:val="2"/>
            <w:shd w:val="clear" w:color="auto" w:fill="auto"/>
            <w:vAlign w:val="center"/>
          </w:tcPr>
          <w:p w14:paraId="2EF72253" w14:textId="77777777" w:rsidR="00CD0882" w:rsidRPr="00C31CA4" w:rsidRDefault="00CD0882" w:rsidP="003517DB">
            <w:pPr>
              <w:pStyle w:val="TableText0"/>
              <w:keepNext w:val="0"/>
              <w:widowControl w:val="0"/>
              <w:rPr>
                <w:b/>
                <w:bCs w:val="0"/>
              </w:rPr>
            </w:pPr>
            <w:r w:rsidRPr="00C31CA4">
              <w:rPr>
                <w:b/>
                <w:bCs w:val="0"/>
              </w:rPr>
              <w:t>Cost of medicines</w:t>
            </w:r>
          </w:p>
        </w:tc>
      </w:tr>
      <w:tr w:rsidR="00CD0882" w:rsidRPr="00C31CA4" w14:paraId="02707FBC" w14:textId="77777777" w:rsidTr="00CD0882">
        <w:tc>
          <w:tcPr>
            <w:tcW w:w="700" w:type="pct"/>
            <w:shd w:val="clear" w:color="auto" w:fill="auto"/>
            <w:vAlign w:val="center"/>
          </w:tcPr>
          <w:p w14:paraId="66FD11B3" w14:textId="77777777" w:rsidR="00CD0882" w:rsidRPr="00C31CA4" w:rsidRDefault="00CD0882" w:rsidP="003517DB">
            <w:pPr>
              <w:pStyle w:val="TableText0"/>
              <w:keepNext w:val="0"/>
              <w:widowControl w:val="0"/>
            </w:pPr>
            <w:r w:rsidRPr="00C31CA4">
              <w:rPr>
                <w:szCs w:val="20"/>
              </w:rPr>
              <w:t>Eltrombopag</w:t>
            </w:r>
          </w:p>
        </w:tc>
        <w:tc>
          <w:tcPr>
            <w:tcW w:w="4300" w:type="pct"/>
            <w:shd w:val="clear" w:color="auto" w:fill="auto"/>
            <w:vAlign w:val="center"/>
          </w:tcPr>
          <w:p w14:paraId="159CFF2F" w14:textId="399140FA" w:rsidR="00CD0882" w:rsidRPr="00C31CA4" w:rsidRDefault="00CD0882" w:rsidP="003517DB">
            <w:pPr>
              <w:pStyle w:val="TableText0"/>
              <w:keepNext w:val="0"/>
              <w:widowControl w:val="0"/>
            </w:pPr>
            <w:r w:rsidRPr="00C31CA4">
              <w:t>25 mg tablet, 28</w:t>
            </w:r>
            <w:r w:rsidR="00A74718" w:rsidRPr="00C31CA4">
              <w:t xml:space="preserve"> x 3</w:t>
            </w:r>
            <w:r w:rsidRPr="00C31CA4">
              <w:t xml:space="preserve">: </w:t>
            </w:r>
            <w:r w:rsidR="002E1D40" w:rsidRPr="00C31CA4">
              <w:t xml:space="preserve">published price </w:t>
            </w:r>
            <w:r w:rsidRPr="00C31CA4">
              <w:t>$</w:t>
            </w:r>
            <w:r w:rsidR="002E1D40" w:rsidRPr="00C31CA4">
              <w:t>3,684.36 public hospital; $3,732.</w:t>
            </w:r>
            <w:r w:rsidR="000D26C2" w:rsidRPr="00C31CA4">
              <w:t>73</w:t>
            </w:r>
            <w:r w:rsidR="002E1D40" w:rsidRPr="00C31CA4">
              <w:t xml:space="preserve"> private hospital</w:t>
            </w:r>
            <w:r w:rsidRPr="00C31CA4">
              <w:t xml:space="preserve"> </w:t>
            </w:r>
          </w:p>
          <w:p w14:paraId="42F66AEB" w14:textId="0D6F8D57" w:rsidR="00CD0882" w:rsidRPr="00C31CA4" w:rsidRDefault="00CD0882" w:rsidP="003517DB">
            <w:pPr>
              <w:pStyle w:val="TableText0"/>
              <w:keepNext w:val="0"/>
              <w:widowControl w:val="0"/>
            </w:pPr>
            <w:r w:rsidRPr="00C31CA4">
              <w:t>50 mg tablet, 28</w:t>
            </w:r>
            <w:r w:rsidR="00A74718" w:rsidRPr="00C31CA4">
              <w:t xml:space="preserve"> x 3</w:t>
            </w:r>
            <w:r w:rsidRPr="00C31CA4">
              <w:t xml:space="preserve">: </w:t>
            </w:r>
            <w:r w:rsidR="002E1D40" w:rsidRPr="00C31CA4">
              <w:t xml:space="preserve">published price </w:t>
            </w:r>
            <w:r w:rsidRPr="00C31CA4">
              <w:t>$</w:t>
            </w:r>
            <w:r w:rsidR="002E1D40" w:rsidRPr="00C31CA4">
              <w:t>7,368.72 public hospital; $7,41</w:t>
            </w:r>
            <w:r w:rsidR="000D26C2" w:rsidRPr="00C31CA4">
              <w:t>7</w:t>
            </w:r>
            <w:r w:rsidR="002E1D40" w:rsidRPr="00C31CA4">
              <w:t>.</w:t>
            </w:r>
            <w:r w:rsidR="000D26C2" w:rsidRPr="00C31CA4">
              <w:t>09</w:t>
            </w:r>
            <w:r w:rsidR="002E1D40" w:rsidRPr="00C31CA4">
              <w:t xml:space="preserve"> private hospital</w:t>
            </w:r>
            <w:r w:rsidR="00A90251" w:rsidRPr="00C31CA4">
              <w:t xml:space="preserve"> </w:t>
            </w:r>
          </w:p>
        </w:tc>
      </w:tr>
      <w:tr w:rsidR="00CD0882" w:rsidRPr="00C31CA4" w14:paraId="5962EDF0" w14:textId="77777777" w:rsidTr="00CD0882">
        <w:tc>
          <w:tcPr>
            <w:tcW w:w="700" w:type="pct"/>
            <w:shd w:val="clear" w:color="auto" w:fill="auto"/>
            <w:vAlign w:val="center"/>
          </w:tcPr>
          <w:p w14:paraId="30E0F1EA" w14:textId="77777777" w:rsidR="00CD0882" w:rsidRPr="00C31CA4" w:rsidRDefault="00CD0882" w:rsidP="003517DB">
            <w:pPr>
              <w:pStyle w:val="TableText0"/>
              <w:keepNext w:val="0"/>
              <w:widowControl w:val="0"/>
            </w:pPr>
            <w:r w:rsidRPr="00C31CA4">
              <w:rPr>
                <w:szCs w:val="20"/>
              </w:rPr>
              <w:t>Substituted medicines</w:t>
            </w:r>
          </w:p>
        </w:tc>
        <w:tc>
          <w:tcPr>
            <w:tcW w:w="4300" w:type="pct"/>
            <w:shd w:val="clear" w:color="auto" w:fill="auto"/>
            <w:vAlign w:val="center"/>
          </w:tcPr>
          <w:p w14:paraId="40AD74B4" w14:textId="79F65BC4" w:rsidR="00CD0882" w:rsidRPr="00C31CA4" w:rsidRDefault="00BD5FE6" w:rsidP="003517DB">
            <w:pPr>
              <w:pStyle w:val="TableText0"/>
              <w:keepNext w:val="0"/>
              <w:widowControl w:val="0"/>
            </w:pPr>
            <w:r w:rsidRPr="00C31CA4">
              <w:t>Filgrastim: PBS items 5829T/5830W;</w:t>
            </w:r>
            <w:r w:rsidR="000A19E6" w:rsidRPr="00C31CA4">
              <w:t xml:space="preserve"> </w:t>
            </w:r>
            <w:r w:rsidRPr="00C31CA4">
              <w:t>$256.54</w:t>
            </w:r>
          </w:p>
        </w:tc>
      </w:tr>
      <w:tr w:rsidR="00CD0882" w:rsidRPr="00C31CA4" w14:paraId="56EC4E9C" w14:textId="77777777" w:rsidTr="00CD0882">
        <w:tc>
          <w:tcPr>
            <w:tcW w:w="700" w:type="pct"/>
            <w:shd w:val="clear" w:color="auto" w:fill="auto"/>
            <w:vAlign w:val="center"/>
          </w:tcPr>
          <w:p w14:paraId="434EF424" w14:textId="049650B0" w:rsidR="00CD0882" w:rsidRPr="00C31CA4" w:rsidRDefault="00CD0882" w:rsidP="003517DB">
            <w:pPr>
              <w:pStyle w:val="TableText0"/>
              <w:keepNext w:val="0"/>
              <w:widowControl w:val="0"/>
            </w:pPr>
            <w:r w:rsidRPr="00C31CA4">
              <w:rPr>
                <w:szCs w:val="20"/>
              </w:rPr>
              <w:t xml:space="preserve">Patient </w:t>
            </w:r>
            <w:r w:rsidR="00C31CA4" w:rsidRPr="00C31CA4">
              <w:rPr>
                <w:szCs w:val="20"/>
              </w:rPr>
              <w:t>co-payment</w:t>
            </w:r>
            <w:r w:rsidRPr="00C31CA4">
              <w:rPr>
                <w:szCs w:val="20"/>
              </w:rPr>
              <w:t xml:space="preserve"> </w:t>
            </w:r>
          </w:p>
        </w:tc>
        <w:tc>
          <w:tcPr>
            <w:tcW w:w="4300" w:type="pct"/>
            <w:shd w:val="clear" w:color="auto" w:fill="auto"/>
            <w:vAlign w:val="center"/>
          </w:tcPr>
          <w:p w14:paraId="46F8EEC1" w14:textId="40F8A3B7" w:rsidR="00CD0882" w:rsidRPr="00C31CA4" w:rsidRDefault="00CD0882" w:rsidP="003517DB">
            <w:pPr>
              <w:pStyle w:val="TableText0"/>
              <w:keepNext w:val="0"/>
              <w:widowControl w:val="0"/>
            </w:pPr>
            <w:r w:rsidRPr="00C31CA4">
              <w:t xml:space="preserve">Patient </w:t>
            </w:r>
            <w:r w:rsidR="00C31CA4" w:rsidRPr="00C31CA4">
              <w:t>co-payment</w:t>
            </w:r>
            <w:r w:rsidRPr="00C31CA4">
              <w:t xml:space="preserve"> was updated to the current $30.00 for PBS and $7.30 for RPBS during the evaluation.</w:t>
            </w:r>
            <w:r w:rsidR="000A19E6" w:rsidRPr="00C31CA4">
              <w:t xml:space="preserve"> </w:t>
            </w:r>
            <w:r w:rsidRPr="00C31CA4">
              <w:t xml:space="preserve">The submission had calculated </w:t>
            </w:r>
            <w:r w:rsidR="00CB637D" w:rsidRPr="00C31CA4">
              <w:t xml:space="preserve">average </w:t>
            </w:r>
            <w:r w:rsidR="00C31CA4" w:rsidRPr="00C31CA4">
              <w:t>co-payment</w:t>
            </w:r>
            <w:r w:rsidRPr="00C31CA4">
              <w:t xml:space="preserve"> values of $17.96 for PBS and $5.01 for RPBS, which changed to $14.26 and $5.54 with the updated </w:t>
            </w:r>
            <w:r w:rsidR="00C31CA4" w:rsidRPr="00C31CA4">
              <w:t>co-payment</w:t>
            </w:r>
            <w:r w:rsidRPr="00C31CA4">
              <w:t xml:space="preserve"> values.</w:t>
            </w:r>
          </w:p>
        </w:tc>
      </w:tr>
      <w:tr w:rsidR="00CD0882" w:rsidRPr="00C31CA4" w14:paraId="3F1BC23A" w14:textId="77777777" w:rsidTr="00CD0882">
        <w:tc>
          <w:tcPr>
            <w:tcW w:w="5000" w:type="pct"/>
            <w:gridSpan w:val="2"/>
            <w:shd w:val="clear" w:color="auto" w:fill="auto"/>
            <w:vAlign w:val="center"/>
          </w:tcPr>
          <w:p w14:paraId="4290911C" w14:textId="77777777" w:rsidR="00CD0882" w:rsidRPr="00C31CA4" w:rsidRDefault="00CD0882" w:rsidP="003517DB">
            <w:pPr>
              <w:pStyle w:val="TableText0"/>
              <w:keepNext w:val="0"/>
              <w:widowControl w:val="0"/>
              <w:rPr>
                <w:b/>
                <w:bCs w:val="0"/>
              </w:rPr>
            </w:pPr>
            <w:r w:rsidRPr="00C31CA4">
              <w:rPr>
                <w:b/>
                <w:bCs w:val="0"/>
              </w:rPr>
              <w:t>Impact on other medicines</w:t>
            </w:r>
          </w:p>
        </w:tc>
      </w:tr>
      <w:tr w:rsidR="00CD0882" w:rsidRPr="00C31CA4" w14:paraId="5E07635C" w14:textId="77777777" w:rsidTr="00CD0882">
        <w:tc>
          <w:tcPr>
            <w:tcW w:w="700" w:type="pct"/>
            <w:shd w:val="clear" w:color="auto" w:fill="auto"/>
            <w:vAlign w:val="center"/>
          </w:tcPr>
          <w:p w14:paraId="26F709DB" w14:textId="77777777" w:rsidR="00CD0882" w:rsidRPr="00C31CA4" w:rsidRDefault="00CD0882" w:rsidP="003517DB">
            <w:pPr>
              <w:pStyle w:val="TableText0"/>
              <w:keepNext w:val="0"/>
              <w:widowControl w:val="0"/>
            </w:pPr>
            <w:r w:rsidRPr="00C31CA4">
              <w:t>Filgrastim</w:t>
            </w:r>
          </w:p>
        </w:tc>
        <w:tc>
          <w:tcPr>
            <w:tcW w:w="4300" w:type="pct"/>
            <w:shd w:val="clear" w:color="auto" w:fill="auto"/>
            <w:vAlign w:val="center"/>
          </w:tcPr>
          <w:p w14:paraId="6E41E7C7" w14:textId="77777777" w:rsidR="00CD0882" w:rsidRPr="00C31CA4" w:rsidRDefault="00CD0882" w:rsidP="003517DB">
            <w:pPr>
              <w:pStyle w:val="TableText0"/>
              <w:keepNext w:val="0"/>
              <w:widowControl w:val="0"/>
            </w:pPr>
            <w:r w:rsidRPr="00C31CA4">
              <w:t>The submission stated a small cost offset was applied due to a reduction in G-CSF use (filgrastim), which the submission indicated was used in second-line to manage neutropenia.</w:t>
            </w:r>
          </w:p>
          <w:p w14:paraId="09B0C878" w14:textId="367313E4" w:rsidR="00CD0882" w:rsidRPr="00C31CA4" w:rsidRDefault="00CD0882" w:rsidP="003517DB">
            <w:pPr>
              <w:pStyle w:val="TableText0"/>
              <w:keepNext w:val="0"/>
              <w:widowControl w:val="0"/>
            </w:pPr>
            <w:r w:rsidRPr="00C31CA4">
              <w:t>The cost offset was small, but was not adequately justified.</w:t>
            </w:r>
          </w:p>
        </w:tc>
      </w:tr>
    </w:tbl>
    <w:p w14:paraId="18D32C76" w14:textId="5497076C" w:rsidR="00E42F73" w:rsidRPr="00C31CA4" w:rsidRDefault="00E42F73" w:rsidP="007925DF">
      <w:pPr>
        <w:pStyle w:val="FooterTableFigure"/>
      </w:pPr>
      <w:r w:rsidRPr="00C31CA4">
        <w:t xml:space="preserve">Source: </w:t>
      </w:r>
      <w:r w:rsidR="00BA5300" w:rsidRPr="00C31CA4">
        <w:t>Table 10, p23-24; Table 11, p24-25 of the submission; Excel workbook ‘UCM-Release-3-workbook-Eltrombopag-sAA’.</w:t>
      </w:r>
    </w:p>
    <w:p w14:paraId="220DA9D9" w14:textId="05640EE0" w:rsidR="007925DF" w:rsidRPr="00C31CA4" w:rsidRDefault="001E6385" w:rsidP="00DF67A1">
      <w:pPr>
        <w:pStyle w:val="FooterTableFigure"/>
      </w:pPr>
      <w:r w:rsidRPr="00C31CA4">
        <w:t>cont’g = continuing</w:t>
      </w:r>
      <w:r w:rsidR="006174F3" w:rsidRPr="00C31CA4">
        <w:t>; G-CSF = granulocyte colony stimulating factor</w:t>
      </w:r>
      <w:r w:rsidR="003A28DF" w:rsidRPr="00C31CA4">
        <w:t>; hATG = horse anti-thymocyte globulin; HSCT = haem</w:t>
      </w:r>
      <w:r w:rsidR="00FA6F94" w:rsidRPr="00C31CA4">
        <w:t>at</w:t>
      </w:r>
      <w:r w:rsidR="003A28DF" w:rsidRPr="00C31CA4">
        <w:t>opoietic stem cell transplant; IST = immunosuppressive therapy; sAA = severe aplastic anaemia</w:t>
      </w:r>
    </w:p>
    <w:p w14:paraId="7F3B9D72" w14:textId="40C5F299" w:rsidR="00D6122B" w:rsidRPr="00C31CA4" w:rsidRDefault="00DF67A1" w:rsidP="008B3F17">
      <w:pPr>
        <w:pStyle w:val="3-BodyText"/>
      </w:pPr>
      <w:r w:rsidRPr="00C31CA4">
        <w:fldChar w:fldCharType="begin" w:fldLock="1"/>
      </w:r>
      <w:r w:rsidRPr="00C31CA4">
        <w:instrText xml:space="preserve"> REF _Ref143475265 \h  \* MERGEFORMAT </w:instrText>
      </w:r>
      <w:r w:rsidRPr="00C31CA4">
        <w:fldChar w:fldCharType="separate"/>
      </w:r>
      <w:r w:rsidR="00897FA1" w:rsidRPr="00897FA1">
        <w:t>Table 13</w:t>
      </w:r>
      <w:r w:rsidRPr="00C31CA4">
        <w:fldChar w:fldCharType="end"/>
      </w:r>
      <w:r w:rsidRPr="00C31CA4">
        <w:t xml:space="preserve"> </w:t>
      </w:r>
      <w:r w:rsidR="00B357BE" w:rsidRPr="00C31CA4">
        <w:t xml:space="preserve">provides estimates of eligible second-line patients, correcting for </w:t>
      </w:r>
      <w:r w:rsidR="00744967" w:rsidRPr="00C31CA4">
        <w:t>errors in the submission</w:t>
      </w:r>
      <w:r w:rsidR="00B357BE" w:rsidRPr="00C31CA4">
        <w:t>.</w:t>
      </w:r>
      <w:r w:rsidR="000A19E6" w:rsidRPr="00C31CA4">
        <w:t xml:space="preserve"> </w:t>
      </w:r>
    </w:p>
    <w:p w14:paraId="788241F7" w14:textId="289E37B2" w:rsidR="002F221F" w:rsidRPr="00C31CA4" w:rsidRDefault="00686791" w:rsidP="00370B52">
      <w:pPr>
        <w:keepNext/>
        <w:keepLines/>
      </w:pPr>
      <w:bookmarkStart w:id="50" w:name="_Ref143475265"/>
      <w:r w:rsidRPr="00C31CA4">
        <w:rPr>
          <w:rFonts w:ascii="Arial Narrow" w:hAnsi="Arial Narrow"/>
          <w:b/>
          <w:bCs/>
          <w:sz w:val="20"/>
          <w:szCs w:val="20"/>
        </w:rPr>
        <w:lastRenderedPageBreak/>
        <w:t xml:space="preserve">Table </w:t>
      </w:r>
      <w:r w:rsidRPr="00C31CA4">
        <w:rPr>
          <w:rFonts w:ascii="Arial Narrow" w:hAnsi="Arial Narrow"/>
          <w:b/>
          <w:bCs/>
          <w:sz w:val="20"/>
          <w:szCs w:val="20"/>
        </w:rPr>
        <w:fldChar w:fldCharType="begin" w:fldLock="1"/>
      </w:r>
      <w:r w:rsidRPr="00C31CA4">
        <w:rPr>
          <w:rFonts w:ascii="Arial Narrow" w:hAnsi="Arial Narrow"/>
          <w:b/>
          <w:bCs/>
          <w:sz w:val="20"/>
          <w:szCs w:val="20"/>
        </w:rPr>
        <w:instrText xml:space="preserve"> SEQ Table \* ARABIC </w:instrText>
      </w:r>
      <w:r w:rsidRPr="00C31CA4">
        <w:rPr>
          <w:rFonts w:ascii="Arial Narrow" w:hAnsi="Arial Narrow"/>
          <w:b/>
          <w:bCs/>
          <w:sz w:val="20"/>
          <w:szCs w:val="20"/>
        </w:rPr>
        <w:fldChar w:fldCharType="separate"/>
      </w:r>
      <w:r w:rsidR="00897FA1">
        <w:rPr>
          <w:rFonts w:ascii="Arial Narrow" w:hAnsi="Arial Narrow"/>
          <w:b/>
          <w:bCs/>
          <w:noProof/>
          <w:sz w:val="20"/>
          <w:szCs w:val="20"/>
        </w:rPr>
        <w:t>13</w:t>
      </w:r>
      <w:r w:rsidRPr="00C31CA4">
        <w:rPr>
          <w:rFonts w:ascii="Arial Narrow" w:hAnsi="Arial Narrow"/>
          <w:b/>
          <w:bCs/>
          <w:sz w:val="20"/>
          <w:szCs w:val="20"/>
        </w:rPr>
        <w:fldChar w:fldCharType="end"/>
      </w:r>
      <w:bookmarkEnd w:id="50"/>
      <w:r w:rsidRPr="00C31CA4">
        <w:rPr>
          <w:rFonts w:ascii="Arial Narrow" w:hAnsi="Arial Narrow"/>
          <w:b/>
          <w:bCs/>
          <w:sz w:val="20"/>
          <w:szCs w:val="20"/>
        </w:rPr>
        <w:t>:</w:t>
      </w:r>
      <w:r w:rsidRPr="00C31CA4">
        <w:rPr>
          <w:rStyle w:val="CommentReference"/>
          <w:b w:val="0"/>
          <w:bCs/>
          <w:szCs w:val="20"/>
        </w:rPr>
        <w:t xml:space="preserve"> </w:t>
      </w:r>
      <w:r w:rsidRPr="00C31CA4">
        <w:rPr>
          <w:rStyle w:val="CommentReference"/>
          <w:bCs/>
          <w:szCs w:val="20"/>
        </w:rPr>
        <w:t>Re-calculation of eligible patients</w:t>
      </w:r>
    </w:p>
    <w:tbl>
      <w:tblPr>
        <w:tblStyle w:val="TableGrid"/>
        <w:tblW w:w="5000" w:type="pct"/>
        <w:tblCellMar>
          <w:left w:w="28" w:type="dxa"/>
          <w:right w:w="28" w:type="dxa"/>
        </w:tblCellMar>
        <w:tblLook w:val="04A0" w:firstRow="1" w:lastRow="0" w:firstColumn="1" w:lastColumn="0" w:noHBand="0" w:noVBand="1"/>
      </w:tblPr>
      <w:tblGrid>
        <w:gridCol w:w="2830"/>
        <w:gridCol w:w="1162"/>
        <w:gridCol w:w="997"/>
        <w:gridCol w:w="998"/>
        <w:gridCol w:w="993"/>
        <w:gridCol w:w="992"/>
        <w:gridCol w:w="1045"/>
      </w:tblGrid>
      <w:tr w:rsidR="00BC3890" w:rsidRPr="00C31CA4" w14:paraId="40D3993B" w14:textId="77777777" w:rsidTr="003D28DC">
        <w:tc>
          <w:tcPr>
            <w:tcW w:w="2830" w:type="dxa"/>
            <w:vAlign w:val="center"/>
          </w:tcPr>
          <w:p w14:paraId="657E125C" w14:textId="77777777" w:rsidR="00875B1C" w:rsidRPr="00C31CA4" w:rsidRDefault="00875B1C" w:rsidP="00370B52">
            <w:pPr>
              <w:keepNext/>
              <w:keepLines/>
              <w:widowControl w:val="0"/>
              <w:tabs>
                <w:tab w:val="left" w:pos="102"/>
              </w:tabs>
              <w:jc w:val="left"/>
              <w:rPr>
                <w:rFonts w:ascii="Arial Narrow" w:hAnsi="Arial Narrow"/>
                <w:sz w:val="20"/>
                <w:szCs w:val="20"/>
              </w:rPr>
            </w:pPr>
          </w:p>
        </w:tc>
        <w:tc>
          <w:tcPr>
            <w:tcW w:w="1162" w:type="dxa"/>
            <w:vAlign w:val="center"/>
          </w:tcPr>
          <w:p w14:paraId="30934730" w14:textId="77777777" w:rsidR="00875B1C" w:rsidRPr="00C31CA4" w:rsidRDefault="00875B1C" w:rsidP="00370B52">
            <w:pPr>
              <w:keepNext/>
              <w:keepLines/>
              <w:widowControl w:val="0"/>
              <w:jc w:val="center"/>
              <w:rPr>
                <w:rFonts w:ascii="Arial Narrow" w:hAnsi="Arial Narrow"/>
                <w:b/>
                <w:bCs/>
                <w:sz w:val="20"/>
                <w:szCs w:val="20"/>
              </w:rPr>
            </w:pPr>
            <w:r w:rsidRPr="00C31CA4">
              <w:rPr>
                <w:rFonts w:ascii="Arial Narrow" w:hAnsi="Arial Narrow"/>
                <w:b/>
                <w:bCs/>
                <w:sz w:val="20"/>
                <w:szCs w:val="20"/>
              </w:rPr>
              <w:t>Year 1</w:t>
            </w:r>
          </w:p>
        </w:tc>
        <w:tc>
          <w:tcPr>
            <w:tcW w:w="997" w:type="dxa"/>
            <w:vAlign w:val="center"/>
          </w:tcPr>
          <w:p w14:paraId="1D1EC844" w14:textId="77777777" w:rsidR="00875B1C" w:rsidRPr="00C31CA4" w:rsidRDefault="00875B1C" w:rsidP="00370B52">
            <w:pPr>
              <w:keepNext/>
              <w:keepLines/>
              <w:widowControl w:val="0"/>
              <w:jc w:val="center"/>
              <w:rPr>
                <w:rFonts w:ascii="Arial Narrow" w:hAnsi="Arial Narrow"/>
                <w:b/>
                <w:bCs/>
                <w:sz w:val="20"/>
                <w:szCs w:val="20"/>
              </w:rPr>
            </w:pPr>
            <w:r w:rsidRPr="00C31CA4">
              <w:rPr>
                <w:rFonts w:ascii="Arial Narrow" w:hAnsi="Arial Narrow"/>
                <w:b/>
                <w:bCs/>
                <w:sz w:val="20"/>
                <w:szCs w:val="20"/>
              </w:rPr>
              <w:t>Year 2</w:t>
            </w:r>
          </w:p>
        </w:tc>
        <w:tc>
          <w:tcPr>
            <w:tcW w:w="998" w:type="dxa"/>
            <w:vAlign w:val="center"/>
          </w:tcPr>
          <w:p w14:paraId="40F5ABA6" w14:textId="77777777" w:rsidR="00875B1C" w:rsidRPr="00C31CA4" w:rsidRDefault="00875B1C" w:rsidP="00370B52">
            <w:pPr>
              <w:keepNext/>
              <w:keepLines/>
              <w:widowControl w:val="0"/>
              <w:jc w:val="center"/>
              <w:rPr>
                <w:rFonts w:ascii="Arial Narrow" w:hAnsi="Arial Narrow"/>
                <w:b/>
                <w:bCs/>
                <w:sz w:val="20"/>
                <w:szCs w:val="20"/>
              </w:rPr>
            </w:pPr>
            <w:r w:rsidRPr="00C31CA4">
              <w:rPr>
                <w:rFonts w:ascii="Arial Narrow" w:hAnsi="Arial Narrow"/>
                <w:b/>
                <w:bCs/>
                <w:sz w:val="20"/>
                <w:szCs w:val="20"/>
              </w:rPr>
              <w:t>Year 3</w:t>
            </w:r>
          </w:p>
        </w:tc>
        <w:tc>
          <w:tcPr>
            <w:tcW w:w="993" w:type="dxa"/>
            <w:vAlign w:val="center"/>
          </w:tcPr>
          <w:p w14:paraId="2BC6DC11" w14:textId="77777777" w:rsidR="00875B1C" w:rsidRPr="00C31CA4" w:rsidRDefault="00875B1C" w:rsidP="00370B52">
            <w:pPr>
              <w:keepNext/>
              <w:keepLines/>
              <w:widowControl w:val="0"/>
              <w:jc w:val="center"/>
              <w:rPr>
                <w:rFonts w:ascii="Arial Narrow" w:hAnsi="Arial Narrow"/>
                <w:b/>
                <w:bCs/>
                <w:sz w:val="20"/>
                <w:szCs w:val="20"/>
              </w:rPr>
            </w:pPr>
            <w:r w:rsidRPr="00C31CA4">
              <w:rPr>
                <w:rFonts w:ascii="Arial Narrow" w:hAnsi="Arial Narrow"/>
                <w:b/>
                <w:bCs/>
                <w:sz w:val="20"/>
                <w:szCs w:val="20"/>
              </w:rPr>
              <w:t>Year 4</w:t>
            </w:r>
          </w:p>
        </w:tc>
        <w:tc>
          <w:tcPr>
            <w:tcW w:w="992" w:type="dxa"/>
            <w:vAlign w:val="center"/>
          </w:tcPr>
          <w:p w14:paraId="06F54D13" w14:textId="77777777" w:rsidR="00875B1C" w:rsidRPr="00C31CA4" w:rsidRDefault="00875B1C" w:rsidP="00370B52">
            <w:pPr>
              <w:keepNext/>
              <w:keepLines/>
              <w:widowControl w:val="0"/>
              <w:jc w:val="center"/>
              <w:rPr>
                <w:rFonts w:ascii="Arial Narrow" w:hAnsi="Arial Narrow"/>
                <w:b/>
                <w:bCs/>
                <w:sz w:val="20"/>
                <w:szCs w:val="20"/>
              </w:rPr>
            </w:pPr>
            <w:r w:rsidRPr="00C31CA4">
              <w:rPr>
                <w:rFonts w:ascii="Arial Narrow" w:hAnsi="Arial Narrow"/>
                <w:b/>
                <w:bCs/>
                <w:sz w:val="20"/>
                <w:szCs w:val="20"/>
              </w:rPr>
              <w:t>Year 5</w:t>
            </w:r>
          </w:p>
        </w:tc>
        <w:tc>
          <w:tcPr>
            <w:tcW w:w="1045" w:type="dxa"/>
            <w:vAlign w:val="center"/>
          </w:tcPr>
          <w:p w14:paraId="0B9A7DAA" w14:textId="77777777" w:rsidR="00875B1C" w:rsidRPr="00C31CA4" w:rsidRDefault="00875B1C" w:rsidP="00370B52">
            <w:pPr>
              <w:keepNext/>
              <w:keepLines/>
              <w:widowControl w:val="0"/>
              <w:jc w:val="center"/>
              <w:rPr>
                <w:rFonts w:ascii="Arial Narrow" w:hAnsi="Arial Narrow"/>
                <w:b/>
                <w:bCs/>
                <w:sz w:val="20"/>
                <w:szCs w:val="20"/>
              </w:rPr>
            </w:pPr>
            <w:r w:rsidRPr="00C31CA4">
              <w:rPr>
                <w:rFonts w:ascii="Arial Narrow" w:hAnsi="Arial Narrow"/>
                <w:b/>
                <w:bCs/>
                <w:sz w:val="20"/>
                <w:szCs w:val="20"/>
              </w:rPr>
              <w:t>Year 6</w:t>
            </w:r>
          </w:p>
        </w:tc>
      </w:tr>
      <w:tr w:rsidR="00BC3890" w:rsidRPr="00C31CA4" w14:paraId="0741A7F3" w14:textId="77777777" w:rsidTr="003D28DC">
        <w:tc>
          <w:tcPr>
            <w:tcW w:w="2830" w:type="dxa"/>
            <w:vAlign w:val="center"/>
          </w:tcPr>
          <w:p w14:paraId="10AA484D" w14:textId="16C8D38F" w:rsidR="00C549FD" w:rsidRPr="00C31CA4" w:rsidRDefault="00C549FD" w:rsidP="00370B52">
            <w:pPr>
              <w:keepNext/>
              <w:keepLines/>
              <w:widowControl w:val="0"/>
              <w:tabs>
                <w:tab w:val="left" w:pos="102"/>
              </w:tabs>
              <w:jc w:val="left"/>
              <w:rPr>
                <w:rFonts w:ascii="Arial Narrow" w:hAnsi="Arial Narrow"/>
                <w:sz w:val="20"/>
                <w:szCs w:val="20"/>
              </w:rPr>
            </w:pPr>
            <w:r w:rsidRPr="00C31CA4">
              <w:rPr>
                <w:rFonts w:ascii="Arial Narrow" w:hAnsi="Arial Narrow"/>
                <w:sz w:val="20"/>
                <w:szCs w:val="20"/>
              </w:rPr>
              <w:tab/>
              <w:t>Total incident population</w:t>
            </w:r>
          </w:p>
        </w:tc>
        <w:tc>
          <w:tcPr>
            <w:tcW w:w="1162" w:type="dxa"/>
            <w:vAlign w:val="center"/>
          </w:tcPr>
          <w:p w14:paraId="6FA4599B" w14:textId="1FCDCC5E"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15"/>
                <w:sz w:val="20"/>
                <w:szCs w:val="20"/>
                <w:shd w:val="solid" w:color="000000" w:fill="000000"/>
                <w:fitText w:val="40" w:id="-1032071936"/>
                <w14:textFill>
                  <w14:solidFill>
                    <w14:srgbClr w14:val="000000">
                      <w14:alpha w14:val="100000"/>
                    </w14:srgbClr>
                  </w14:solidFill>
                </w14:textFill>
              </w:rPr>
              <w:t xml:space="preserve">　</w:t>
            </w:r>
            <w:r w:rsidRPr="008D1DF1">
              <w:rPr>
                <w:rFonts w:ascii="Arial Narrow" w:hAnsi="Arial Narrow"/>
                <w:color w:val="000000"/>
                <w:w w:val="15"/>
                <w:sz w:val="20"/>
                <w:szCs w:val="20"/>
                <w:shd w:val="solid" w:color="000000" w:fill="000000"/>
                <w:fitText w:val="40" w:id="-1032071936"/>
                <w14:textFill>
                  <w14:solidFill>
                    <w14:srgbClr w14:val="000000">
                      <w14:alpha w14:val="100000"/>
                    </w14:srgbClr>
                  </w14:solidFill>
                </w14:textFill>
              </w:rPr>
              <w:t>|</w:t>
            </w:r>
            <w:r w:rsidRPr="008D1DF1">
              <w:rPr>
                <w:rFonts w:ascii="Arial Narrow" w:hAnsi="Arial Narrow" w:hint="eastAsia"/>
                <w:color w:val="000000"/>
                <w:spacing w:val="-25"/>
                <w:w w:val="15"/>
                <w:sz w:val="20"/>
                <w:szCs w:val="20"/>
                <w:shd w:val="solid" w:color="000000" w:fill="000000"/>
                <w:fitText w:val="40" w:id="-1032071936"/>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7" w:type="dxa"/>
            <w:vAlign w:val="center"/>
          </w:tcPr>
          <w:p w14:paraId="0F0E92E3" w14:textId="561D7E9E"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5"/>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5"/>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35"/>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8" w:type="dxa"/>
            <w:vAlign w:val="center"/>
          </w:tcPr>
          <w:p w14:paraId="3D25C071" w14:textId="20F827A6"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4"/>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4"/>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34"/>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3" w:type="dxa"/>
            <w:vAlign w:val="center"/>
          </w:tcPr>
          <w:p w14:paraId="6C548ECF" w14:textId="7CBE8552"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3"/>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3"/>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33"/>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2" w:type="dxa"/>
            <w:vAlign w:val="center"/>
          </w:tcPr>
          <w:p w14:paraId="02F77A4A" w14:textId="571C01DD"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2"/>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2"/>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32"/>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1045" w:type="dxa"/>
            <w:vAlign w:val="center"/>
          </w:tcPr>
          <w:p w14:paraId="6B1B0953" w14:textId="63C363FD"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spacing w:val="10"/>
                <w:w w:val="24"/>
                <w:sz w:val="20"/>
                <w:szCs w:val="20"/>
                <w:shd w:val="solid" w:color="000000" w:fill="000000"/>
                <w:fitText w:val="110" w:id="-1032071931"/>
                <w14:textFill>
                  <w14:solidFill>
                    <w14:srgbClr w14:val="000000">
                      <w14:alpha w14:val="100000"/>
                    </w14:srgbClr>
                  </w14:solidFill>
                </w14:textFill>
              </w:rPr>
              <w:t xml:space="preserve">　</w:t>
            </w:r>
            <w:r w:rsidRPr="008D1DF1">
              <w:rPr>
                <w:rFonts w:ascii="Arial Narrow" w:hAnsi="Arial Narrow"/>
                <w:color w:val="000000"/>
                <w:w w:val="24"/>
                <w:sz w:val="20"/>
                <w:szCs w:val="20"/>
                <w:shd w:val="solid" w:color="000000" w:fill="000000"/>
                <w:fitText w:val="110" w:id="-1032071931"/>
                <w14:textFill>
                  <w14:solidFill>
                    <w14:srgbClr w14:val="000000">
                      <w14:alpha w14:val="100000"/>
                    </w14:srgbClr>
                  </w14:solidFill>
                </w14:textFill>
              </w:rPr>
              <w:t>|</w:t>
            </w:r>
            <w:r w:rsidRPr="008D1DF1">
              <w:rPr>
                <w:rFonts w:ascii="Arial Narrow" w:hAnsi="Arial Narrow" w:hint="eastAsia"/>
                <w:color w:val="000000"/>
                <w:w w:val="24"/>
                <w:sz w:val="20"/>
                <w:szCs w:val="20"/>
                <w:shd w:val="solid" w:color="000000" w:fill="000000"/>
                <w:fitText w:val="110" w:id="-1032071931"/>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r>
      <w:tr w:rsidR="00BC3890" w:rsidRPr="00C31CA4" w14:paraId="1FFA2F52" w14:textId="77777777" w:rsidTr="003D28DC">
        <w:tc>
          <w:tcPr>
            <w:tcW w:w="2830" w:type="dxa"/>
            <w:vAlign w:val="center"/>
          </w:tcPr>
          <w:p w14:paraId="4C5078B1" w14:textId="5A564A29" w:rsidR="00C549FD" w:rsidRPr="00C31CA4" w:rsidRDefault="00C549FD" w:rsidP="00370B52">
            <w:pPr>
              <w:keepNext/>
              <w:keepLines/>
              <w:widowControl w:val="0"/>
              <w:tabs>
                <w:tab w:val="left" w:pos="102"/>
              </w:tabs>
              <w:jc w:val="left"/>
              <w:rPr>
                <w:rFonts w:ascii="Arial Narrow" w:hAnsi="Arial Narrow"/>
                <w:sz w:val="20"/>
                <w:szCs w:val="20"/>
              </w:rPr>
            </w:pPr>
            <w:r w:rsidRPr="00C31CA4">
              <w:rPr>
                <w:rFonts w:ascii="Arial Narrow" w:hAnsi="Arial Narrow"/>
                <w:sz w:val="20"/>
                <w:szCs w:val="20"/>
              </w:rPr>
              <w:tab/>
              <w:t>Total sAA population</w:t>
            </w:r>
          </w:p>
        </w:tc>
        <w:tc>
          <w:tcPr>
            <w:tcW w:w="1162" w:type="dxa"/>
            <w:vAlign w:val="center"/>
          </w:tcPr>
          <w:p w14:paraId="46330D45" w14:textId="069CDFF1"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15"/>
                <w:sz w:val="20"/>
                <w:szCs w:val="20"/>
                <w:shd w:val="solid" w:color="000000" w:fill="000000"/>
                <w:fitText w:val="40" w:id="-1032071929"/>
                <w14:textFill>
                  <w14:solidFill>
                    <w14:srgbClr w14:val="000000">
                      <w14:alpha w14:val="100000"/>
                    </w14:srgbClr>
                  </w14:solidFill>
                </w14:textFill>
              </w:rPr>
              <w:t xml:space="preserve">　</w:t>
            </w:r>
            <w:r w:rsidRPr="008D1DF1">
              <w:rPr>
                <w:rFonts w:ascii="Arial Narrow" w:hAnsi="Arial Narrow"/>
                <w:color w:val="000000"/>
                <w:w w:val="15"/>
                <w:sz w:val="20"/>
                <w:szCs w:val="20"/>
                <w:shd w:val="solid" w:color="000000" w:fill="000000"/>
                <w:fitText w:val="40" w:id="-1032071929"/>
                <w14:textFill>
                  <w14:solidFill>
                    <w14:srgbClr w14:val="000000">
                      <w14:alpha w14:val="100000"/>
                    </w14:srgbClr>
                  </w14:solidFill>
                </w14:textFill>
              </w:rPr>
              <w:t>|</w:t>
            </w:r>
            <w:r w:rsidRPr="008D1DF1">
              <w:rPr>
                <w:rFonts w:ascii="Arial Narrow" w:hAnsi="Arial Narrow" w:hint="eastAsia"/>
                <w:color w:val="000000"/>
                <w:spacing w:val="-25"/>
                <w:w w:val="15"/>
                <w:sz w:val="20"/>
                <w:szCs w:val="20"/>
                <w:shd w:val="solid" w:color="000000" w:fill="000000"/>
                <w:fitText w:val="40" w:id="-1032071929"/>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7" w:type="dxa"/>
            <w:vAlign w:val="center"/>
          </w:tcPr>
          <w:p w14:paraId="2F90EA48" w14:textId="50A85FE6"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8"/>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8"/>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28"/>
                <w14:textFill>
                  <w14:solidFill>
                    <w14:srgbClr w14:val="000000">
                      <w14:alpha w14:val="100000"/>
                    </w14:srgbClr>
                  </w14:solidFill>
                </w14:textFill>
              </w:rPr>
              <w:t xml:space="preserve">　</w:t>
            </w:r>
            <w:r w:rsidR="003945F4" w:rsidRPr="001C6E97">
              <w:rPr>
                <w:rFonts w:ascii="Arial Narrow" w:hAnsi="Arial Narrow"/>
                <w:color w:val="000000"/>
                <w:sz w:val="20"/>
                <w:szCs w:val="20"/>
                <w:vertAlign w:val="superscript"/>
              </w:rPr>
              <w:t>1</w:t>
            </w:r>
          </w:p>
        </w:tc>
        <w:tc>
          <w:tcPr>
            <w:tcW w:w="998" w:type="dxa"/>
            <w:vAlign w:val="center"/>
          </w:tcPr>
          <w:p w14:paraId="65789A4E" w14:textId="0876F865"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7"/>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7"/>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27"/>
                <w14:textFill>
                  <w14:solidFill>
                    <w14:srgbClr w14:val="000000">
                      <w14:alpha w14:val="100000"/>
                    </w14:srgbClr>
                  </w14:solidFill>
                </w14:textFill>
              </w:rPr>
              <w:t xml:space="preserve">　</w:t>
            </w:r>
            <w:r w:rsidR="003945F4" w:rsidRPr="001C6E97">
              <w:rPr>
                <w:rFonts w:ascii="Arial Narrow" w:hAnsi="Arial Narrow"/>
                <w:color w:val="000000"/>
                <w:sz w:val="20"/>
                <w:szCs w:val="20"/>
                <w:vertAlign w:val="superscript"/>
              </w:rPr>
              <w:t>1</w:t>
            </w:r>
          </w:p>
        </w:tc>
        <w:tc>
          <w:tcPr>
            <w:tcW w:w="993" w:type="dxa"/>
            <w:vAlign w:val="center"/>
          </w:tcPr>
          <w:p w14:paraId="5EC48D7B" w14:textId="2332635C"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6"/>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6"/>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26"/>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2" w:type="dxa"/>
            <w:vAlign w:val="center"/>
          </w:tcPr>
          <w:p w14:paraId="35749E25" w14:textId="634D9632"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5"/>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5"/>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25"/>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1045" w:type="dxa"/>
            <w:vAlign w:val="center"/>
          </w:tcPr>
          <w:p w14:paraId="55E3D1F3" w14:textId="3627D0A8" w:rsidR="00C549FD"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spacing w:val="10"/>
                <w:w w:val="24"/>
                <w:sz w:val="20"/>
                <w:szCs w:val="20"/>
                <w:shd w:val="solid" w:color="000000" w:fill="000000"/>
                <w:fitText w:val="110" w:id="-1032071924"/>
                <w14:textFill>
                  <w14:solidFill>
                    <w14:srgbClr w14:val="000000">
                      <w14:alpha w14:val="100000"/>
                    </w14:srgbClr>
                  </w14:solidFill>
                </w14:textFill>
              </w:rPr>
              <w:t xml:space="preserve">　</w:t>
            </w:r>
            <w:r w:rsidRPr="008D1DF1">
              <w:rPr>
                <w:rFonts w:ascii="Arial Narrow" w:hAnsi="Arial Narrow"/>
                <w:color w:val="000000"/>
                <w:w w:val="24"/>
                <w:sz w:val="20"/>
                <w:szCs w:val="20"/>
                <w:shd w:val="solid" w:color="000000" w:fill="000000"/>
                <w:fitText w:val="110" w:id="-1032071924"/>
                <w14:textFill>
                  <w14:solidFill>
                    <w14:srgbClr w14:val="000000">
                      <w14:alpha w14:val="100000"/>
                    </w14:srgbClr>
                  </w14:solidFill>
                </w14:textFill>
              </w:rPr>
              <w:t>|</w:t>
            </w:r>
            <w:r w:rsidRPr="008D1DF1">
              <w:rPr>
                <w:rFonts w:ascii="Arial Narrow" w:hAnsi="Arial Narrow" w:hint="eastAsia"/>
                <w:color w:val="000000"/>
                <w:w w:val="24"/>
                <w:sz w:val="20"/>
                <w:szCs w:val="20"/>
                <w:shd w:val="solid" w:color="000000" w:fill="000000"/>
                <w:fitText w:val="110" w:id="-1032071924"/>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r>
      <w:tr w:rsidR="00875B1C" w:rsidRPr="00C31CA4" w14:paraId="0F1108B6" w14:textId="77777777" w:rsidTr="00D0583B">
        <w:tc>
          <w:tcPr>
            <w:tcW w:w="9017" w:type="dxa"/>
            <w:gridSpan w:val="7"/>
            <w:tcBorders>
              <w:bottom w:val="single" w:sz="4" w:space="0" w:color="auto"/>
            </w:tcBorders>
            <w:vAlign w:val="center"/>
          </w:tcPr>
          <w:p w14:paraId="4DDC14A6" w14:textId="7104C720" w:rsidR="00875B1C" w:rsidRPr="00C31CA4" w:rsidRDefault="00875B1C" w:rsidP="00370B52">
            <w:pPr>
              <w:keepNext/>
              <w:keepLines/>
              <w:widowControl w:val="0"/>
              <w:jc w:val="left"/>
              <w:rPr>
                <w:rFonts w:ascii="Arial Narrow" w:hAnsi="Arial Narrow"/>
                <w:b/>
                <w:bCs/>
                <w:sz w:val="20"/>
                <w:szCs w:val="20"/>
              </w:rPr>
            </w:pPr>
            <w:r w:rsidRPr="00C31CA4">
              <w:rPr>
                <w:rFonts w:ascii="Arial Narrow" w:hAnsi="Arial Narrow"/>
                <w:b/>
                <w:bCs/>
                <w:sz w:val="20"/>
                <w:szCs w:val="20"/>
              </w:rPr>
              <w:t>Submission’s estimate of eligible patients</w:t>
            </w:r>
          </w:p>
        </w:tc>
      </w:tr>
      <w:tr w:rsidR="00BC3890" w:rsidRPr="00C31CA4" w14:paraId="7F31632F" w14:textId="77777777" w:rsidTr="003D28DC">
        <w:tc>
          <w:tcPr>
            <w:tcW w:w="2830" w:type="dxa"/>
            <w:tcBorders>
              <w:bottom w:val="single" w:sz="4" w:space="0" w:color="auto"/>
            </w:tcBorders>
            <w:vAlign w:val="center"/>
          </w:tcPr>
          <w:p w14:paraId="1D457908" w14:textId="77777777" w:rsidR="00BC3890" w:rsidRPr="00C31CA4" w:rsidRDefault="004F1732" w:rsidP="00370B52">
            <w:pPr>
              <w:keepNext/>
              <w:keepLines/>
              <w:widowControl w:val="0"/>
              <w:tabs>
                <w:tab w:val="left" w:pos="102"/>
              </w:tabs>
              <w:jc w:val="left"/>
              <w:rPr>
                <w:rFonts w:ascii="Arial Narrow" w:hAnsi="Arial Narrow"/>
                <w:sz w:val="20"/>
                <w:szCs w:val="20"/>
              </w:rPr>
            </w:pPr>
            <w:r w:rsidRPr="00C31CA4">
              <w:rPr>
                <w:rFonts w:ascii="Arial Narrow" w:hAnsi="Arial Narrow"/>
                <w:sz w:val="20"/>
                <w:szCs w:val="20"/>
              </w:rPr>
              <w:tab/>
              <w:t>First-line</w:t>
            </w:r>
            <w:r w:rsidR="00BC3890" w:rsidRPr="00C31CA4">
              <w:rPr>
                <w:rFonts w:ascii="Arial Narrow" w:hAnsi="Arial Narrow"/>
                <w:sz w:val="20"/>
                <w:szCs w:val="20"/>
              </w:rPr>
              <w:t xml:space="preserve"> </w:t>
            </w:r>
          </w:p>
          <w:p w14:paraId="1B87F0E1" w14:textId="0D40DD1C" w:rsidR="004F1732" w:rsidRPr="00C31CA4" w:rsidRDefault="00BC3890" w:rsidP="00370B52">
            <w:pPr>
              <w:keepNext/>
              <w:keepLines/>
              <w:widowControl w:val="0"/>
              <w:tabs>
                <w:tab w:val="left" w:pos="102"/>
              </w:tabs>
              <w:jc w:val="left"/>
              <w:rPr>
                <w:rFonts w:ascii="Arial Narrow" w:hAnsi="Arial Narrow"/>
                <w:sz w:val="20"/>
                <w:szCs w:val="20"/>
              </w:rPr>
            </w:pPr>
            <w:r w:rsidRPr="00C31CA4">
              <w:rPr>
                <w:rFonts w:ascii="Arial Narrow" w:hAnsi="Arial Narrow"/>
                <w:sz w:val="20"/>
                <w:szCs w:val="20"/>
              </w:rPr>
              <w:tab/>
              <w:t>(incident × 83.8% × 83.97%)</w:t>
            </w:r>
          </w:p>
        </w:tc>
        <w:tc>
          <w:tcPr>
            <w:tcW w:w="1162" w:type="dxa"/>
            <w:tcBorders>
              <w:bottom w:val="single" w:sz="4" w:space="0" w:color="auto"/>
            </w:tcBorders>
            <w:vAlign w:val="center"/>
          </w:tcPr>
          <w:p w14:paraId="4930BB82" w14:textId="4F5BE0E5" w:rsidR="004F1732"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15"/>
                <w:sz w:val="20"/>
                <w:szCs w:val="20"/>
                <w:shd w:val="solid" w:color="000000" w:fill="000000"/>
                <w:fitText w:val="40" w:id="-1032071923"/>
                <w14:textFill>
                  <w14:solidFill>
                    <w14:srgbClr w14:val="000000">
                      <w14:alpha w14:val="100000"/>
                    </w14:srgbClr>
                  </w14:solidFill>
                </w14:textFill>
              </w:rPr>
              <w:t xml:space="preserve">　</w:t>
            </w:r>
            <w:r w:rsidRPr="008D1DF1">
              <w:rPr>
                <w:rFonts w:ascii="Arial Narrow" w:hAnsi="Arial Narrow"/>
                <w:color w:val="000000"/>
                <w:w w:val="15"/>
                <w:sz w:val="20"/>
                <w:szCs w:val="20"/>
                <w:shd w:val="solid" w:color="000000" w:fill="000000"/>
                <w:fitText w:val="40" w:id="-1032071923"/>
                <w14:textFill>
                  <w14:solidFill>
                    <w14:srgbClr w14:val="000000">
                      <w14:alpha w14:val="100000"/>
                    </w14:srgbClr>
                  </w14:solidFill>
                </w14:textFill>
              </w:rPr>
              <w:t>|</w:t>
            </w:r>
            <w:r w:rsidRPr="008D1DF1">
              <w:rPr>
                <w:rFonts w:ascii="Arial Narrow" w:hAnsi="Arial Narrow" w:hint="eastAsia"/>
                <w:color w:val="000000"/>
                <w:spacing w:val="-25"/>
                <w:w w:val="15"/>
                <w:sz w:val="20"/>
                <w:szCs w:val="20"/>
                <w:shd w:val="solid" w:color="000000" w:fill="000000"/>
                <w:fitText w:val="40" w:id="-1032071923"/>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7" w:type="dxa"/>
            <w:tcBorders>
              <w:bottom w:val="single" w:sz="4" w:space="0" w:color="auto"/>
            </w:tcBorders>
            <w:vAlign w:val="center"/>
          </w:tcPr>
          <w:p w14:paraId="6D9646E9" w14:textId="0A5610C2" w:rsidR="004F1732"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2"/>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2"/>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22"/>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8" w:type="dxa"/>
            <w:tcBorders>
              <w:bottom w:val="single" w:sz="4" w:space="0" w:color="auto"/>
            </w:tcBorders>
            <w:vAlign w:val="center"/>
          </w:tcPr>
          <w:p w14:paraId="392B4CEF" w14:textId="5232BB57" w:rsidR="004F1732"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1"/>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1"/>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21"/>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3" w:type="dxa"/>
            <w:tcBorders>
              <w:bottom w:val="single" w:sz="4" w:space="0" w:color="auto"/>
            </w:tcBorders>
            <w:vAlign w:val="center"/>
          </w:tcPr>
          <w:p w14:paraId="4D334311" w14:textId="0C62714C" w:rsidR="004F1732"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0"/>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0"/>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20"/>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2" w:type="dxa"/>
            <w:tcBorders>
              <w:bottom w:val="single" w:sz="4" w:space="0" w:color="auto"/>
            </w:tcBorders>
            <w:vAlign w:val="center"/>
          </w:tcPr>
          <w:p w14:paraId="42A0BFA3" w14:textId="25A35688" w:rsidR="004F1732"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6"/>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6"/>
                <w14:textFill>
                  <w14:solidFill>
                    <w14:srgbClr w14:val="000000">
                      <w14:alpha w14:val="100000"/>
                    </w14:srgbClr>
                  </w14:solidFill>
                </w14:textFill>
              </w:rPr>
              <w:t>|</w:t>
            </w:r>
            <w:r w:rsidRPr="008D1DF1">
              <w:rPr>
                <w:rFonts w:ascii="Arial Narrow" w:hAnsi="Arial Narrow" w:hint="eastAsia"/>
                <w:color w:val="000000"/>
                <w:spacing w:val="2"/>
                <w:w w:val="29"/>
                <w:sz w:val="20"/>
                <w:szCs w:val="20"/>
                <w:shd w:val="solid" w:color="000000" w:fill="000000"/>
                <w:fitText w:val="130" w:id="-1032071936"/>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1045" w:type="dxa"/>
            <w:tcBorders>
              <w:bottom w:val="single" w:sz="4" w:space="0" w:color="auto"/>
            </w:tcBorders>
            <w:vAlign w:val="center"/>
          </w:tcPr>
          <w:p w14:paraId="2BE4AF9A" w14:textId="4C69AC1B" w:rsidR="004F1732"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spacing w:val="10"/>
                <w:w w:val="24"/>
                <w:sz w:val="20"/>
                <w:szCs w:val="20"/>
                <w:shd w:val="solid" w:color="000000" w:fill="000000"/>
                <w:fitText w:val="110" w:id="-1032071935"/>
                <w14:textFill>
                  <w14:solidFill>
                    <w14:srgbClr w14:val="000000">
                      <w14:alpha w14:val="100000"/>
                    </w14:srgbClr>
                  </w14:solidFill>
                </w14:textFill>
              </w:rPr>
              <w:t xml:space="preserve">　</w:t>
            </w:r>
            <w:r w:rsidRPr="008D1DF1">
              <w:rPr>
                <w:rFonts w:ascii="Arial Narrow" w:hAnsi="Arial Narrow"/>
                <w:color w:val="000000"/>
                <w:w w:val="24"/>
                <w:sz w:val="20"/>
                <w:szCs w:val="20"/>
                <w:shd w:val="solid" w:color="000000" w:fill="000000"/>
                <w:fitText w:val="110" w:id="-1032071935"/>
                <w14:textFill>
                  <w14:solidFill>
                    <w14:srgbClr w14:val="000000">
                      <w14:alpha w14:val="100000"/>
                    </w14:srgbClr>
                  </w14:solidFill>
                </w14:textFill>
              </w:rPr>
              <w:t>|</w:t>
            </w:r>
            <w:r w:rsidRPr="008D1DF1">
              <w:rPr>
                <w:rFonts w:ascii="Arial Narrow" w:hAnsi="Arial Narrow" w:hint="eastAsia"/>
                <w:color w:val="000000"/>
                <w:w w:val="24"/>
                <w:sz w:val="20"/>
                <w:szCs w:val="20"/>
                <w:shd w:val="solid" w:color="000000" w:fill="000000"/>
                <w:fitText w:val="110" w:id="-1032071935"/>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r>
      <w:tr w:rsidR="00BC3890" w:rsidRPr="00C31CA4" w14:paraId="775CFD68" w14:textId="77777777" w:rsidTr="003D28DC">
        <w:tc>
          <w:tcPr>
            <w:tcW w:w="2830" w:type="dxa"/>
            <w:tcBorders>
              <w:bottom w:val="single" w:sz="4" w:space="0" w:color="auto"/>
            </w:tcBorders>
            <w:vAlign w:val="center"/>
          </w:tcPr>
          <w:p w14:paraId="38E9228B" w14:textId="77777777" w:rsidR="00BC3890" w:rsidRPr="00C31CA4" w:rsidRDefault="00794D48" w:rsidP="00370B52">
            <w:pPr>
              <w:keepNext/>
              <w:keepLines/>
              <w:widowControl w:val="0"/>
              <w:tabs>
                <w:tab w:val="left" w:pos="102"/>
              </w:tabs>
              <w:jc w:val="left"/>
              <w:rPr>
                <w:rFonts w:ascii="Arial Narrow" w:hAnsi="Arial Narrow"/>
                <w:sz w:val="20"/>
                <w:szCs w:val="20"/>
              </w:rPr>
            </w:pPr>
            <w:r w:rsidRPr="00C31CA4">
              <w:rPr>
                <w:rFonts w:ascii="Arial Narrow" w:hAnsi="Arial Narrow"/>
                <w:sz w:val="20"/>
                <w:szCs w:val="20"/>
              </w:rPr>
              <w:tab/>
              <w:t xml:space="preserve">Second-line </w:t>
            </w:r>
          </w:p>
          <w:p w14:paraId="55451DAC" w14:textId="7CA204F8" w:rsidR="00794D48" w:rsidRPr="00C31CA4" w:rsidRDefault="00BC3890" w:rsidP="00370B52">
            <w:pPr>
              <w:keepNext/>
              <w:keepLines/>
              <w:widowControl w:val="0"/>
              <w:tabs>
                <w:tab w:val="left" w:pos="102"/>
              </w:tabs>
              <w:jc w:val="left"/>
              <w:rPr>
                <w:rFonts w:ascii="Arial Narrow" w:hAnsi="Arial Narrow"/>
                <w:sz w:val="20"/>
                <w:szCs w:val="20"/>
              </w:rPr>
            </w:pPr>
            <w:r w:rsidRPr="00C31CA4">
              <w:rPr>
                <w:rFonts w:ascii="Arial Narrow" w:hAnsi="Arial Narrow"/>
                <w:sz w:val="20"/>
                <w:szCs w:val="20"/>
              </w:rPr>
              <w:tab/>
            </w:r>
            <w:r w:rsidR="00794D48" w:rsidRPr="00C31CA4">
              <w:rPr>
                <w:rFonts w:ascii="Arial Narrow" w:hAnsi="Arial Narrow"/>
                <w:sz w:val="20"/>
                <w:szCs w:val="20"/>
              </w:rPr>
              <w:t>(</w:t>
            </w:r>
            <w:r w:rsidRPr="00C31CA4">
              <w:rPr>
                <w:rFonts w:ascii="Arial Narrow" w:hAnsi="Arial Narrow"/>
                <w:sz w:val="20"/>
                <w:szCs w:val="20"/>
              </w:rPr>
              <w:t xml:space="preserve">incident × 83.8% × 83.97 × </w:t>
            </w:r>
            <w:r w:rsidR="00794D48" w:rsidRPr="00C31CA4">
              <w:rPr>
                <w:rFonts w:ascii="Arial Narrow" w:hAnsi="Arial Narrow"/>
                <w:sz w:val="20"/>
                <w:szCs w:val="20"/>
              </w:rPr>
              <w:t>41%)</w:t>
            </w:r>
          </w:p>
        </w:tc>
        <w:tc>
          <w:tcPr>
            <w:tcW w:w="1162" w:type="dxa"/>
            <w:tcBorders>
              <w:bottom w:val="single" w:sz="4" w:space="0" w:color="auto"/>
            </w:tcBorders>
            <w:vAlign w:val="center"/>
          </w:tcPr>
          <w:p w14:paraId="579036F6" w14:textId="35B1D791" w:rsidR="00794D48"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15"/>
                <w:sz w:val="20"/>
                <w:szCs w:val="20"/>
                <w:shd w:val="solid" w:color="000000" w:fill="000000"/>
                <w:fitText w:val="40" w:id="-1032071934"/>
                <w14:textFill>
                  <w14:solidFill>
                    <w14:srgbClr w14:val="000000">
                      <w14:alpha w14:val="100000"/>
                    </w14:srgbClr>
                  </w14:solidFill>
                </w14:textFill>
              </w:rPr>
              <w:t xml:space="preserve">　</w:t>
            </w:r>
            <w:r w:rsidRPr="008D1DF1">
              <w:rPr>
                <w:rFonts w:ascii="Arial Narrow" w:hAnsi="Arial Narrow"/>
                <w:color w:val="000000"/>
                <w:w w:val="15"/>
                <w:sz w:val="20"/>
                <w:szCs w:val="20"/>
                <w:shd w:val="solid" w:color="000000" w:fill="000000"/>
                <w:fitText w:val="40" w:id="-1032071934"/>
                <w14:textFill>
                  <w14:solidFill>
                    <w14:srgbClr w14:val="000000">
                      <w14:alpha w14:val="100000"/>
                    </w14:srgbClr>
                  </w14:solidFill>
                </w14:textFill>
              </w:rPr>
              <w:t>|</w:t>
            </w:r>
            <w:r w:rsidRPr="008D1DF1">
              <w:rPr>
                <w:rFonts w:ascii="Arial Narrow" w:hAnsi="Arial Narrow" w:hint="eastAsia"/>
                <w:color w:val="000000"/>
                <w:spacing w:val="-25"/>
                <w:w w:val="15"/>
                <w:sz w:val="20"/>
                <w:szCs w:val="20"/>
                <w:shd w:val="solid" w:color="000000" w:fill="000000"/>
                <w:fitText w:val="40" w:id="-1032071934"/>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7" w:type="dxa"/>
            <w:tcBorders>
              <w:bottom w:val="single" w:sz="4" w:space="0" w:color="auto"/>
            </w:tcBorders>
            <w:vAlign w:val="center"/>
          </w:tcPr>
          <w:p w14:paraId="52994F49" w14:textId="72797E20" w:rsidR="00794D48"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3"/>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3"/>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33"/>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8" w:type="dxa"/>
            <w:tcBorders>
              <w:bottom w:val="single" w:sz="4" w:space="0" w:color="auto"/>
            </w:tcBorders>
            <w:vAlign w:val="center"/>
          </w:tcPr>
          <w:p w14:paraId="5E838E24" w14:textId="7E9C0690" w:rsidR="00794D48"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2"/>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2"/>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32"/>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3" w:type="dxa"/>
            <w:tcBorders>
              <w:bottom w:val="single" w:sz="4" w:space="0" w:color="auto"/>
            </w:tcBorders>
            <w:vAlign w:val="center"/>
          </w:tcPr>
          <w:p w14:paraId="77F0E71F" w14:textId="773815C4" w:rsidR="00794D48"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1"/>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1"/>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31"/>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2" w:type="dxa"/>
            <w:tcBorders>
              <w:bottom w:val="single" w:sz="4" w:space="0" w:color="auto"/>
            </w:tcBorders>
            <w:vAlign w:val="center"/>
          </w:tcPr>
          <w:p w14:paraId="6FDF8D9D" w14:textId="6C5D77E6" w:rsidR="00794D48"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0"/>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0"/>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30"/>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1045" w:type="dxa"/>
            <w:tcBorders>
              <w:bottom w:val="single" w:sz="4" w:space="0" w:color="auto"/>
            </w:tcBorders>
            <w:vAlign w:val="center"/>
          </w:tcPr>
          <w:p w14:paraId="6E48BBE4" w14:textId="75868DC7" w:rsidR="00794D48"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4"/>
                <w:sz w:val="20"/>
                <w:szCs w:val="20"/>
                <w:shd w:val="solid" w:color="000000" w:fill="000000"/>
                <w:fitText w:val="110" w:id="-1032071929"/>
                <w14:textFill>
                  <w14:solidFill>
                    <w14:srgbClr w14:val="000000">
                      <w14:alpha w14:val="100000"/>
                    </w14:srgbClr>
                  </w14:solidFill>
                </w14:textFill>
              </w:rPr>
              <w:t xml:space="preserve">　</w:t>
            </w:r>
            <w:r w:rsidRPr="008D1DF1">
              <w:rPr>
                <w:rFonts w:ascii="Arial Narrow" w:hAnsi="Arial Narrow"/>
                <w:color w:val="000000"/>
                <w:w w:val="24"/>
                <w:sz w:val="20"/>
                <w:szCs w:val="20"/>
                <w:shd w:val="solid" w:color="000000" w:fill="000000"/>
                <w:fitText w:val="110" w:id="-1032071929"/>
                <w14:textFill>
                  <w14:solidFill>
                    <w14:srgbClr w14:val="000000">
                      <w14:alpha w14:val="100000"/>
                    </w14:srgbClr>
                  </w14:solidFill>
                </w14:textFill>
              </w:rPr>
              <w:t>|</w:t>
            </w:r>
            <w:r w:rsidRPr="008D1DF1">
              <w:rPr>
                <w:rFonts w:ascii="Arial Narrow" w:hAnsi="Arial Narrow" w:hint="eastAsia"/>
                <w:color w:val="000000"/>
                <w:w w:val="24"/>
                <w:sz w:val="20"/>
                <w:szCs w:val="20"/>
                <w:shd w:val="solid" w:color="000000" w:fill="000000"/>
                <w:fitText w:val="110" w:id="-1032071929"/>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r>
      <w:tr w:rsidR="00BC3890" w:rsidRPr="00C31CA4" w14:paraId="30CDB651" w14:textId="77777777" w:rsidTr="00826BB1">
        <w:tc>
          <w:tcPr>
            <w:tcW w:w="2830" w:type="dxa"/>
            <w:tcBorders>
              <w:bottom w:val="single" w:sz="4" w:space="0" w:color="auto"/>
            </w:tcBorders>
            <w:shd w:val="clear" w:color="auto" w:fill="auto"/>
            <w:vAlign w:val="center"/>
          </w:tcPr>
          <w:p w14:paraId="7CD4C3CE" w14:textId="7E8D5965" w:rsidR="005145A4" w:rsidRPr="00C31CA4" w:rsidRDefault="005145A4" w:rsidP="00370B52">
            <w:pPr>
              <w:keepNext/>
              <w:keepLines/>
              <w:widowControl w:val="0"/>
              <w:tabs>
                <w:tab w:val="left" w:pos="102"/>
              </w:tabs>
              <w:jc w:val="left"/>
              <w:rPr>
                <w:rFonts w:ascii="Arial Narrow" w:hAnsi="Arial Narrow"/>
                <w:sz w:val="20"/>
                <w:szCs w:val="20"/>
              </w:rPr>
            </w:pPr>
            <w:r w:rsidRPr="00C31CA4">
              <w:rPr>
                <w:rFonts w:ascii="Arial Narrow" w:hAnsi="Arial Narrow"/>
                <w:sz w:val="20"/>
                <w:szCs w:val="20"/>
              </w:rPr>
              <w:tab/>
              <w:t>Total eligible - submission</w:t>
            </w:r>
          </w:p>
        </w:tc>
        <w:tc>
          <w:tcPr>
            <w:tcW w:w="1162" w:type="dxa"/>
            <w:tcBorders>
              <w:bottom w:val="single" w:sz="4" w:space="0" w:color="auto"/>
            </w:tcBorders>
            <w:shd w:val="clear" w:color="auto" w:fill="auto"/>
            <w:vAlign w:val="center"/>
          </w:tcPr>
          <w:p w14:paraId="0968AE53" w14:textId="321B56E6" w:rsidR="005145A4"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15"/>
                <w:sz w:val="20"/>
                <w:szCs w:val="20"/>
                <w:shd w:val="solid" w:color="000000" w:fill="000000"/>
                <w:fitText w:val="40" w:id="-1032071928"/>
                <w14:textFill>
                  <w14:solidFill>
                    <w14:srgbClr w14:val="000000">
                      <w14:alpha w14:val="100000"/>
                    </w14:srgbClr>
                  </w14:solidFill>
                </w14:textFill>
              </w:rPr>
              <w:t xml:space="preserve">　</w:t>
            </w:r>
            <w:r w:rsidRPr="008D1DF1">
              <w:rPr>
                <w:rFonts w:ascii="Arial Narrow" w:hAnsi="Arial Narrow"/>
                <w:color w:val="000000"/>
                <w:w w:val="15"/>
                <w:sz w:val="20"/>
                <w:szCs w:val="20"/>
                <w:shd w:val="solid" w:color="000000" w:fill="000000"/>
                <w:fitText w:val="40" w:id="-1032071928"/>
                <w14:textFill>
                  <w14:solidFill>
                    <w14:srgbClr w14:val="000000">
                      <w14:alpha w14:val="100000"/>
                    </w14:srgbClr>
                  </w14:solidFill>
                </w14:textFill>
              </w:rPr>
              <w:t>|</w:t>
            </w:r>
            <w:r w:rsidRPr="008D1DF1">
              <w:rPr>
                <w:rFonts w:ascii="Arial Narrow" w:hAnsi="Arial Narrow" w:hint="eastAsia"/>
                <w:color w:val="000000"/>
                <w:spacing w:val="-25"/>
                <w:w w:val="15"/>
                <w:sz w:val="20"/>
                <w:szCs w:val="20"/>
                <w:shd w:val="solid" w:color="000000" w:fill="000000"/>
                <w:fitText w:val="40" w:id="-1032071928"/>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7" w:type="dxa"/>
            <w:tcBorders>
              <w:bottom w:val="single" w:sz="4" w:space="0" w:color="auto"/>
            </w:tcBorders>
            <w:shd w:val="clear" w:color="auto" w:fill="auto"/>
            <w:vAlign w:val="center"/>
          </w:tcPr>
          <w:p w14:paraId="0FF45CA1" w14:textId="6FD28FFD" w:rsidR="005145A4"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7"/>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7"/>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27"/>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8" w:type="dxa"/>
            <w:tcBorders>
              <w:bottom w:val="single" w:sz="4" w:space="0" w:color="auto"/>
            </w:tcBorders>
            <w:shd w:val="clear" w:color="auto" w:fill="auto"/>
            <w:vAlign w:val="center"/>
          </w:tcPr>
          <w:p w14:paraId="2C9241FD" w14:textId="6ECD8885" w:rsidR="005145A4"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6"/>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6"/>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26"/>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3" w:type="dxa"/>
            <w:tcBorders>
              <w:bottom w:val="single" w:sz="4" w:space="0" w:color="auto"/>
            </w:tcBorders>
            <w:shd w:val="clear" w:color="auto" w:fill="auto"/>
            <w:vAlign w:val="center"/>
          </w:tcPr>
          <w:p w14:paraId="01FA54EA" w14:textId="0BF7B3E0" w:rsidR="005145A4"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5"/>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5"/>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25"/>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2" w:type="dxa"/>
            <w:tcBorders>
              <w:bottom w:val="single" w:sz="4" w:space="0" w:color="auto"/>
            </w:tcBorders>
            <w:shd w:val="clear" w:color="auto" w:fill="auto"/>
            <w:vAlign w:val="center"/>
          </w:tcPr>
          <w:p w14:paraId="7B984BDA" w14:textId="3EEEEBAB" w:rsidR="005145A4"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4"/>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4"/>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24"/>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1045" w:type="dxa"/>
            <w:tcBorders>
              <w:bottom w:val="single" w:sz="4" w:space="0" w:color="auto"/>
            </w:tcBorders>
            <w:shd w:val="clear" w:color="auto" w:fill="auto"/>
            <w:vAlign w:val="center"/>
          </w:tcPr>
          <w:p w14:paraId="1CA2E8E7" w14:textId="23654704" w:rsidR="005145A4" w:rsidRPr="001C6E97" w:rsidRDefault="008D1DF1" w:rsidP="00370B52">
            <w:pPr>
              <w:keepNext/>
              <w:keepLines/>
              <w:widowControl w:val="0"/>
              <w:jc w:val="center"/>
              <w:rPr>
                <w:rFonts w:ascii="Arial Narrow" w:hAnsi="Arial Narrow"/>
                <w:color w:val="000000"/>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4"/>
                <w:sz w:val="20"/>
                <w:szCs w:val="20"/>
                <w:shd w:val="solid" w:color="000000" w:fill="000000"/>
                <w:fitText w:val="110" w:id="-1032071923"/>
                <w14:textFill>
                  <w14:solidFill>
                    <w14:srgbClr w14:val="000000">
                      <w14:alpha w14:val="100000"/>
                    </w14:srgbClr>
                  </w14:solidFill>
                </w14:textFill>
              </w:rPr>
              <w:t xml:space="preserve">　</w:t>
            </w:r>
            <w:r w:rsidRPr="008D1DF1">
              <w:rPr>
                <w:rFonts w:ascii="Arial Narrow" w:hAnsi="Arial Narrow"/>
                <w:color w:val="000000"/>
                <w:w w:val="24"/>
                <w:sz w:val="20"/>
                <w:szCs w:val="20"/>
                <w:shd w:val="solid" w:color="000000" w:fill="000000"/>
                <w:fitText w:val="110" w:id="-1032071923"/>
                <w14:textFill>
                  <w14:solidFill>
                    <w14:srgbClr w14:val="000000">
                      <w14:alpha w14:val="100000"/>
                    </w14:srgbClr>
                  </w14:solidFill>
                </w14:textFill>
              </w:rPr>
              <w:t>|</w:t>
            </w:r>
            <w:r w:rsidRPr="008D1DF1">
              <w:rPr>
                <w:rFonts w:ascii="Arial Narrow" w:hAnsi="Arial Narrow" w:hint="eastAsia"/>
                <w:color w:val="000000"/>
                <w:w w:val="24"/>
                <w:sz w:val="20"/>
                <w:szCs w:val="20"/>
                <w:shd w:val="solid" w:color="000000" w:fill="000000"/>
                <w:fitText w:val="110" w:id="-1032071923"/>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r>
      <w:tr w:rsidR="00875B1C" w:rsidRPr="00C31CA4" w14:paraId="1FC007A7" w14:textId="77777777" w:rsidTr="00D0583B">
        <w:tc>
          <w:tcPr>
            <w:tcW w:w="9017" w:type="dxa"/>
            <w:gridSpan w:val="7"/>
            <w:tcBorders>
              <w:bottom w:val="single" w:sz="4" w:space="0" w:color="auto"/>
            </w:tcBorders>
            <w:vAlign w:val="center"/>
          </w:tcPr>
          <w:p w14:paraId="0F0A7891" w14:textId="354A1675" w:rsidR="00875B1C" w:rsidRPr="00C31CA4" w:rsidRDefault="00875B1C" w:rsidP="00370B52">
            <w:pPr>
              <w:keepNext/>
              <w:keepLines/>
              <w:widowControl w:val="0"/>
              <w:jc w:val="left"/>
              <w:rPr>
                <w:rFonts w:ascii="Arial Narrow" w:hAnsi="Arial Narrow"/>
                <w:b/>
                <w:bCs/>
                <w:sz w:val="20"/>
                <w:szCs w:val="20"/>
              </w:rPr>
            </w:pPr>
            <w:r w:rsidRPr="00C31CA4">
              <w:rPr>
                <w:rFonts w:ascii="Arial Narrow" w:hAnsi="Arial Narrow"/>
                <w:b/>
                <w:bCs/>
                <w:sz w:val="20"/>
                <w:szCs w:val="20"/>
              </w:rPr>
              <w:t>Re-calculation of eligible patients</w:t>
            </w:r>
          </w:p>
        </w:tc>
      </w:tr>
      <w:tr w:rsidR="00BC3890" w:rsidRPr="00C31CA4" w14:paraId="2ED07EE9" w14:textId="77777777" w:rsidTr="003D28DC">
        <w:tc>
          <w:tcPr>
            <w:tcW w:w="2830" w:type="dxa"/>
            <w:tcBorders>
              <w:bottom w:val="single" w:sz="4" w:space="0" w:color="auto"/>
            </w:tcBorders>
            <w:vAlign w:val="center"/>
          </w:tcPr>
          <w:p w14:paraId="24F25541" w14:textId="19FCB5E6" w:rsidR="005145A4" w:rsidRPr="00C31CA4" w:rsidRDefault="005145A4" w:rsidP="00370B52">
            <w:pPr>
              <w:keepNext/>
              <w:keepLines/>
              <w:widowControl w:val="0"/>
              <w:tabs>
                <w:tab w:val="left" w:pos="102"/>
              </w:tabs>
              <w:jc w:val="left"/>
              <w:rPr>
                <w:rFonts w:ascii="Arial Narrow" w:hAnsi="Arial Narrow"/>
                <w:sz w:val="20"/>
                <w:szCs w:val="20"/>
              </w:rPr>
            </w:pPr>
            <w:r w:rsidRPr="00C31CA4">
              <w:rPr>
                <w:rFonts w:ascii="Arial Narrow" w:hAnsi="Arial Narrow"/>
                <w:sz w:val="20"/>
                <w:szCs w:val="20"/>
              </w:rPr>
              <w:tab/>
              <w:t>First-line (same</w:t>
            </w:r>
            <w:r w:rsidR="00D0583B" w:rsidRPr="00C31CA4">
              <w:rPr>
                <w:rFonts w:ascii="Arial Narrow" w:hAnsi="Arial Narrow"/>
                <w:sz w:val="20"/>
                <w:szCs w:val="20"/>
              </w:rPr>
              <w:t xml:space="preserve"> as submission</w:t>
            </w:r>
            <w:r w:rsidRPr="00C31CA4">
              <w:rPr>
                <w:rFonts w:ascii="Arial Narrow" w:hAnsi="Arial Narrow"/>
                <w:sz w:val="20"/>
                <w:szCs w:val="20"/>
              </w:rPr>
              <w:t>)</w:t>
            </w:r>
          </w:p>
        </w:tc>
        <w:tc>
          <w:tcPr>
            <w:tcW w:w="1162" w:type="dxa"/>
            <w:tcBorders>
              <w:bottom w:val="single" w:sz="4" w:space="0" w:color="auto"/>
            </w:tcBorders>
            <w:vAlign w:val="center"/>
          </w:tcPr>
          <w:p w14:paraId="7FBD724E" w14:textId="6C2CB6BE" w:rsidR="005145A4"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15"/>
                <w:sz w:val="20"/>
                <w:szCs w:val="20"/>
                <w:shd w:val="solid" w:color="000000" w:fill="000000"/>
                <w:fitText w:val="40" w:id="-1032071922"/>
                <w14:textFill>
                  <w14:solidFill>
                    <w14:srgbClr w14:val="000000">
                      <w14:alpha w14:val="100000"/>
                    </w14:srgbClr>
                  </w14:solidFill>
                </w14:textFill>
              </w:rPr>
              <w:t xml:space="preserve">　</w:t>
            </w:r>
            <w:r w:rsidRPr="008D1DF1">
              <w:rPr>
                <w:rFonts w:ascii="Arial Narrow" w:hAnsi="Arial Narrow"/>
                <w:color w:val="000000"/>
                <w:w w:val="15"/>
                <w:sz w:val="20"/>
                <w:szCs w:val="20"/>
                <w:shd w:val="solid" w:color="000000" w:fill="000000"/>
                <w:fitText w:val="40" w:id="-1032071922"/>
                <w14:textFill>
                  <w14:solidFill>
                    <w14:srgbClr w14:val="000000">
                      <w14:alpha w14:val="100000"/>
                    </w14:srgbClr>
                  </w14:solidFill>
                </w14:textFill>
              </w:rPr>
              <w:t>|</w:t>
            </w:r>
            <w:r w:rsidRPr="008D1DF1">
              <w:rPr>
                <w:rFonts w:ascii="Arial Narrow" w:hAnsi="Arial Narrow" w:hint="eastAsia"/>
                <w:color w:val="000000"/>
                <w:spacing w:val="-25"/>
                <w:w w:val="15"/>
                <w:sz w:val="20"/>
                <w:szCs w:val="20"/>
                <w:shd w:val="solid" w:color="000000" w:fill="000000"/>
                <w:fitText w:val="40" w:id="-1032071922"/>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7" w:type="dxa"/>
            <w:tcBorders>
              <w:bottom w:val="single" w:sz="4" w:space="0" w:color="auto"/>
            </w:tcBorders>
            <w:vAlign w:val="center"/>
          </w:tcPr>
          <w:p w14:paraId="21D7166B" w14:textId="7E3EAA89" w:rsidR="005145A4"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1"/>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1"/>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21"/>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8" w:type="dxa"/>
            <w:tcBorders>
              <w:bottom w:val="single" w:sz="4" w:space="0" w:color="auto"/>
            </w:tcBorders>
            <w:vAlign w:val="center"/>
          </w:tcPr>
          <w:p w14:paraId="5383D8EB" w14:textId="454B0692" w:rsidR="005145A4"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0"/>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0"/>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20"/>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r>
              <w:rPr>
                <w:rFonts w:ascii="Arial Narrow" w:hAnsi="Arial Narrow"/>
                <w:color w:val="000000"/>
                <w:sz w:val="20"/>
                <w:szCs w:val="20"/>
              </w:rPr>
              <w:t xml:space="preserve"> </w:t>
            </w:r>
          </w:p>
        </w:tc>
        <w:tc>
          <w:tcPr>
            <w:tcW w:w="993" w:type="dxa"/>
            <w:tcBorders>
              <w:bottom w:val="single" w:sz="4" w:space="0" w:color="auto"/>
            </w:tcBorders>
            <w:vAlign w:val="center"/>
          </w:tcPr>
          <w:p w14:paraId="0425853E" w14:textId="6E348C40" w:rsidR="005145A4"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5"/>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5"/>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35"/>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2" w:type="dxa"/>
            <w:tcBorders>
              <w:bottom w:val="single" w:sz="4" w:space="0" w:color="auto"/>
            </w:tcBorders>
            <w:vAlign w:val="center"/>
          </w:tcPr>
          <w:p w14:paraId="2E755525" w14:textId="3C2D7AB3" w:rsidR="005145A4"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4A6237">
              <w:rPr>
                <w:rFonts w:ascii="Arial Narrow" w:hAnsi="Arial Narrow" w:hint="eastAsia"/>
                <w:color w:val="000000"/>
                <w:w w:val="29"/>
                <w:sz w:val="20"/>
                <w:szCs w:val="20"/>
                <w:shd w:val="solid" w:color="000000" w:fill="000000"/>
                <w:fitText w:val="130" w:id="-1032071934"/>
                <w14:textFill>
                  <w14:solidFill>
                    <w14:srgbClr w14:val="000000">
                      <w14:alpha w14:val="100000"/>
                    </w14:srgbClr>
                  </w14:solidFill>
                </w14:textFill>
              </w:rPr>
              <w:t xml:space="preserve">　</w:t>
            </w:r>
            <w:r w:rsidRPr="004A6237">
              <w:rPr>
                <w:rFonts w:ascii="Arial Narrow" w:hAnsi="Arial Narrow"/>
                <w:color w:val="000000"/>
                <w:w w:val="29"/>
                <w:sz w:val="20"/>
                <w:szCs w:val="20"/>
                <w:shd w:val="solid" w:color="000000" w:fill="000000"/>
                <w:fitText w:val="130" w:id="-1032071934"/>
                <w14:textFill>
                  <w14:solidFill>
                    <w14:srgbClr w14:val="000000">
                      <w14:alpha w14:val="100000"/>
                    </w14:srgbClr>
                  </w14:solidFill>
                </w14:textFill>
              </w:rPr>
              <w:t>|</w:t>
            </w:r>
            <w:r w:rsidRPr="004A6237">
              <w:rPr>
                <w:rFonts w:ascii="Arial Narrow" w:hAnsi="Arial Narrow" w:hint="eastAsia"/>
                <w:color w:val="000000"/>
                <w:spacing w:val="2"/>
                <w:w w:val="29"/>
                <w:sz w:val="20"/>
                <w:szCs w:val="20"/>
                <w:shd w:val="solid" w:color="000000" w:fill="000000"/>
                <w:fitText w:val="130" w:id="-1032071934"/>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r>
              <w:rPr>
                <w:rFonts w:ascii="Arial Narrow" w:hAnsi="Arial Narrow"/>
                <w:color w:val="000000"/>
                <w:sz w:val="20"/>
                <w:szCs w:val="20"/>
              </w:rPr>
              <w:t xml:space="preserve"> </w:t>
            </w:r>
          </w:p>
        </w:tc>
        <w:tc>
          <w:tcPr>
            <w:tcW w:w="1045" w:type="dxa"/>
            <w:tcBorders>
              <w:bottom w:val="single" w:sz="4" w:space="0" w:color="auto"/>
            </w:tcBorders>
            <w:vAlign w:val="center"/>
          </w:tcPr>
          <w:p w14:paraId="66503A11" w14:textId="7D208E65" w:rsidR="005145A4"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4"/>
                <w:sz w:val="20"/>
                <w:szCs w:val="20"/>
                <w:shd w:val="solid" w:color="000000" w:fill="000000"/>
                <w:fitText w:val="110" w:id="-1032071932"/>
                <w14:textFill>
                  <w14:solidFill>
                    <w14:srgbClr w14:val="000000">
                      <w14:alpha w14:val="100000"/>
                    </w14:srgbClr>
                  </w14:solidFill>
                </w14:textFill>
              </w:rPr>
              <w:t xml:space="preserve">　</w:t>
            </w:r>
            <w:r w:rsidRPr="008D1DF1">
              <w:rPr>
                <w:rFonts w:ascii="Arial Narrow" w:hAnsi="Arial Narrow"/>
                <w:color w:val="000000"/>
                <w:w w:val="24"/>
                <w:sz w:val="20"/>
                <w:szCs w:val="20"/>
                <w:shd w:val="solid" w:color="000000" w:fill="000000"/>
                <w:fitText w:val="110" w:id="-1032071932"/>
                <w14:textFill>
                  <w14:solidFill>
                    <w14:srgbClr w14:val="000000">
                      <w14:alpha w14:val="100000"/>
                    </w14:srgbClr>
                  </w14:solidFill>
                </w14:textFill>
              </w:rPr>
              <w:t>|</w:t>
            </w:r>
            <w:r w:rsidRPr="008D1DF1">
              <w:rPr>
                <w:rFonts w:ascii="Arial Narrow" w:hAnsi="Arial Narrow" w:hint="eastAsia"/>
                <w:color w:val="000000"/>
                <w:w w:val="24"/>
                <w:sz w:val="20"/>
                <w:szCs w:val="20"/>
                <w:shd w:val="solid" w:color="000000" w:fill="000000"/>
                <w:fitText w:val="110" w:id="-1032071932"/>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r>
      <w:tr w:rsidR="00D0583B" w:rsidRPr="00C31CA4" w14:paraId="3B303457" w14:textId="77777777" w:rsidTr="003D28DC">
        <w:tc>
          <w:tcPr>
            <w:tcW w:w="2830" w:type="dxa"/>
            <w:tcBorders>
              <w:bottom w:val="nil"/>
            </w:tcBorders>
            <w:vAlign w:val="center"/>
          </w:tcPr>
          <w:p w14:paraId="0FA1773B" w14:textId="2A00DF0E" w:rsidR="00D0583B" w:rsidRPr="00C31CA4" w:rsidRDefault="00D0583B" w:rsidP="00370B52">
            <w:pPr>
              <w:keepNext/>
              <w:keepLines/>
              <w:widowControl w:val="0"/>
              <w:tabs>
                <w:tab w:val="left" w:pos="102"/>
              </w:tabs>
              <w:jc w:val="left"/>
              <w:rPr>
                <w:rFonts w:ascii="Arial Narrow" w:hAnsi="Arial Narrow"/>
                <w:sz w:val="20"/>
                <w:szCs w:val="20"/>
              </w:rPr>
            </w:pPr>
            <w:r w:rsidRPr="00C31CA4">
              <w:rPr>
                <w:rFonts w:ascii="Arial Narrow" w:hAnsi="Arial Narrow"/>
                <w:sz w:val="20"/>
                <w:szCs w:val="20"/>
              </w:rPr>
              <w:tab/>
              <w:t>Second-line</w:t>
            </w:r>
            <w:r w:rsidR="000A19E6" w:rsidRPr="00C31CA4">
              <w:rPr>
                <w:rFonts w:ascii="Arial Narrow" w:hAnsi="Arial Narrow"/>
                <w:sz w:val="20"/>
                <w:szCs w:val="20"/>
              </w:rPr>
              <w:t xml:space="preserve"> </w:t>
            </w:r>
            <w:r w:rsidRPr="00C31CA4">
              <w:rPr>
                <w:rFonts w:ascii="Arial Narrow" w:hAnsi="Arial Narrow"/>
                <w:sz w:val="20"/>
                <w:szCs w:val="20"/>
              </w:rPr>
              <w:t>- incident with first-</w:t>
            </w:r>
            <w:r w:rsidRPr="00C31CA4">
              <w:rPr>
                <w:rFonts w:ascii="Arial Narrow" w:hAnsi="Arial Narrow"/>
                <w:sz w:val="20"/>
                <w:szCs w:val="20"/>
              </w:rPr>
              <w:tab/>
              <w:t xml:space="preserve">line removed </w:t>
            </w:r>
          </w:p>
        </w:tc>
        <w:tc>
          <w:tcPr>
            <w:tcW w:w="1162" w:type="dxa"/>
            <w:tcBorders>
              <w:bottom w:val="nil"/>
            </w:tcBorders>
            <w:vAlign w:val="center"/>
          </w:tcPr>
          <w:p w14:paraId="4067C9F5" w14:textId="13690F13" w:rsidR="00D0583B" w:rsidRPr="001C6E97" w:rsidRDefault="00D0583B" w:rsidP="00370B52">
            <w:pPr>
              <w:keepNext/>
              <w:keepLines/>
              <w:widowControl w:val="0"/>
              <w:jc w:val="center"/>
              <w:rPr>
                <w:rFonts w:ascii="Arial Narrow" w:hAnsi="Arial Narrow"/>
                <w:sz w:val="20"/>
                <w:szCs w:val="20"/>
                <w:highlight w:val="darkGray"/>
              </w:rPr>
            </w:pPr>
          </w:p>
        </w:tc>
        <w:tc>
          <w:tcPr>
            <w:tcW w:w="997" w:type="dxa"/>
            <w:tcBorders>
              <w:bottom w:val="nil"/>
            </w:tcBorders>
            <w:vAlign w:val="center"/>
          </w:tcPr>
          <w:p w14:paraId="68BB8655" w14:textId="03FC9225" w:rsidR="00D0583B" w:rsidRPr="001C6E97" w:rsidRDefault="00D0583B" w:rsidP="00370B52">
            <w:pPr>
              <w:keepNext/>
              <w:keepLines/>
              <w:widowControl w:val="0"/>
              <w:jc w:val="center"/>
              <w:rPr>
                <w:rFonts w:ascii="Arial Narrow" w:hAnsi="Arial Narrow"/>
                <w:sz w:val="20"/>
                <w:szCs w:val="20"/>
                <w:highlight w:val="darkGray"/>
              </w:rPr>
            </w:pPr>
          </w:p>
        </w:tc>
        <w:tc>
          <w:tcPr>
            <w:tcW w:w="998" w:type="dxa"/>
            <w:tcBorders>
              <w:bottom w:val="nil"/>
            </w:tcBorders>
            <w:vAlign w:val="center"/>
          </w:tcPr>
          <w:p w14:paraId="7D1D4BE8" w14:textId="34EA8C62" w:rsidR="00D0583B" w:rsidRPr="001C6E97" w:rsidRDefault="00D0583B" w:rsidP="00370B52">
            <w:pPr>
              <w:keepNext/>
              <w:keepLines/>
              <w:widowControl w:val="0"/>
              <w:jc w:val="center"/>
              <w:rPr>
                <w:rFonts w:ascii="Arial Narrow" w:hAnsi="Arial Narrow"/>
                <w:sz w:val="20"/>
                <w:szCs w:val="20"/>
                <w:highlight w:val="darkGray"/>
              </w:rPr>
            </w:pPr>
          </w:p>
        </w:tc>
        <w:tc>
          <w:tcPr>
            <w:tcW w:w="993" w:type="dxa"/>
            <w:tcBorders>
              <w:bottom w:val="nil"/>
            </w:tcBorders>
            <w:vAlign w:val="center"/>
          </w:tcPr>
          <w:p w14:paraId="67F60C19" w14:textId="75F3BF3F" w:rsidR="00D0583B" w:rsidRPr="001C6E97" w:rsidRDefault="00D0583B" w:rsidP="00370B52">
            <w:pPr>
              <w:keepNext/>
              <w:keepLines/>
              <w:widowControl w:val="0"/>
              <w:jc w:val="center"/>
              <w:rPr>
                <w:rFonts w:ascii="Arial Narrow" w:hAnsi="Arial Narrow"/>
                <w:sz w:val="20"/>
                <w:szCs w:val="20"/>
                <w:highlight w:val="darkGray"/>
              </w:rPr>
            </w:pPr>
          </w:p>
        </w:tc>
        <w:tc>
          <w:tcPr>
            <w:tcW w:w="992" w:type="dxa"/>
            <w:tcBorders>
              <w:bottom w:val="nil"/>
            </w:tcBorders>
            <w:vAlign w:val="center"/>
          </w:tcPr>
          <w:p w14:paraId="653B0ED8" w14:textId="62C6EC81" w:rsidR="00D0583B" w:rsidRPr="001C6E97" w:rsidRDefault="00D0583B" w:rsidP="00370B52">
            <w:pPr>
              <w:keepNext/>
              <w:keepLines/>
              <w:widowControl w:val="0"/>
              <w:jc w:val="center"/>
              <w:rPr>
                <w:rFonts w:ascii="Arial Narrow" w:hAnsi="Arial Narrow"/>
                <w:sz w:val="20"/>
                <w:szCs w:val="20"/>
                <w:highlight w:val="darkGray"/>
              </w:rPr>
            </w:pPr>
          </w:p>
        </w:tc>
        <w:tc>
          <w:tcPr>
            <w:tcW w:w="1045" w:type="dxa"/>
            <w:tcBorders>
              <w:bottom w:val="nil"/>
            </w:tcBorders>
            <w:vAlign w:val="center"/>
          </w:tcPr>
          <w:p w14:paraId="25B566A9" w14:textId="0C07590C" w:rsidR="00D0583B" w:rsidRPr="001C6E97" w:rsidRDefault="00D0583B" w:rsidP="00370B52">
            <w:pPr>
              <w:keepNext/>
              <w:keepLines/>
              <w:widowControl w:val="0"/>
              <w:jc w:val="center"/>
              <w:rPr>
                <w:rFonts w:ascii="Arial Narrow" w:hAnsi="Arial Narrow"/>
                <w:sz w:val="20"/>
                <w:szCs w:val="20"/>
                <w:highlight w:val="darkGray"/>
              </w:rPr>
            </w:pPr>
          </w:p>
        </w:tc>
      </w:tr>
      <w:tr w:rsidR="00D0583B" w:rsidRPr="00C31CA4" w14:paraId="58EE1924" w14:textId="77777777" w:rsidTr="003D28DC">
        <w:tc>
          <w:tcPr>
            <w:tcW w:w="2830" w:type="dxa"/>
            <w:tcBorders>
              <w:top w:val="nil"/>
              <w:bottom w:val="single" w:sz="4" w:space="0" w:color="auto"/>
            </w:tcBorders>
            <w:vAlign w:val="center"/>
          </w:tcPr>
          <w:p w14:paraId="0D0ADBAE" w14:textId="795AEC95" w:rsidR="00D0583B" w:rsidRPr="00C31CA4" w:rsidRDefault="00D0583B" w:rsidP="00370B52">
            <w:pPr>
              <w:keepNext/>
              <w:keepLines/>
              <w:widowControl w:val="0"/>
              <w:tabs>
                <w:tab w:val="left" w:pos="102"/>
              </w:tabs>
              <w:jc w:val="left"/>
              <w:rPr>
                <w:rFonts w:ascii="Arial Narrow" w:hAnsi="Arial Narrow"/>
                <w:sz w:val="20"/>
                <w:szCs w:val="20"/>
              </w:rPr>
            </w:pPr>
            <w:r w:rsidRPr="00C31CA4">
              <w:rPr>
                <w:rFonts w:ascii="Arial Narrow" w:hAnsi="Arial Narrow"/>
                <w:sz w:val="20"/>
                <w:szCs w:val="20"/>
              </w:rPr>
              <w:tab/>
              <w:t>(incident × 83.8% × 83.97 × 59%)</w:t>
            </w:r>
          </w:p>
        </w:tc>
        <w:tc>
          <w:tcPr>
            <w:tcW w:w="1162" w:type="dxa"/>
            <w:tcBorders>
              <w:top w:val="nil"/>
              <w:bottom w:val="single" w:sz="4" w:space="0" w:color="auto"/>
            </w:tcBorders>
            <w:vAlign w:val="center"/>
          </w:tcPr>
          <w:p w14:paraId="749A62F2" w14:textId="12711B71" w:rsidR="00D0583B"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15"/>
                <w:sz w:val="20"/>
                <w:szCs w:val="20"/>
                <w:shd w:val="solid" w:color="000000" w:fill="000000"/>
                <w:fitText w:val="40" w:id="-1032071931"/>
                <w14:textFill>
                  <w14:solidFill>
                    <w14:srgbClr w14:val="000000">
                      <w14:alpha w14:val="100000"/>
                    </w14:srgbClr>
                  </w14:solidFill>
                </w14:textFill>
              </w:rPr>
              <w:t xml:space="preserve">　</w:t>
            </w:r>
            <w:r w:rsidRPr="008D1DF1">
              <w:rPr>
                <w:rFonts w:ascii="Arial Narrow" w:hAnsi="Arial Narrow"/>
                <w:color w:val="000000"/>
                <w:w w:val="15"/>
                <w:sz w:val="20"/>
                <w:szCs w:val="20"/>
                <w:shd w:val="solid" w:color="000000" w:fill="000000"/>
                <w:fitText w:val="40" w:id="-1032071931"/>
                <w14:textFill>
                  <w14:solidFill>
                    <w14:srgbClr w14:val="000000">
                      <w14:alpha w14:val="100000"/>
                    </w14:srgbClr>
                  </w14:solidFill>
                </w14:textFill>
              </w:rPr>
              <w:t>|</w:t>
            </w:r>
            <w:r w:rsidRPr="008D1DF1">
              <w:rPr>
                <w:rFonts w:ascii="Arial Narrow" w:hAnsi="Arial Narrow" w:hint="eastAsia"/>
                <w:color w:val="000000"/>
                <w:spacing w:val="-25"/>
                <w:w w:val="15"/>
                <w:sz w:val="20"/>
                <w:szCs w:val="20"/>
                <w:shd w:val="solid" w:color="000000" w:fill="000000"/>
                <w:fitText w:val="40" w:id="-1032071931"/>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7" w:type="dxa"/>
            <w:tcBorders>
              <w:top w:val="nil"/>
              <w:bottom w:val="single" w:sz="4" w:space="0" w:color="auto"/>
            </w:tcBorders>
            <w:vAlign w:val="center"/>
          </w:tcPr>
          <w:p w14:paraId="61D2DBB8" w14:textId="00444FB9" w:rsidR="00D0583B"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30"/>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30"/>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30"/>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8" w:type="dxa"/>
            <w:tcBorders>
              <w:top w:val="nil"/>
              <w:bottom w:val="single" w:sz="4" w:space="0" w:color="auto"/>
            </w:tcBorders>
            <w:vAlign w:val="center"/>
          </w:tcPr>
          <w:p w14:paraId="7143FAC8" w14:textId="1ADEC17E" w:rsidR="00D0583B"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9"/>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9"/>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29"/>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3" w:type="dxa"/>
            <w:tcBorders>
              <w:top w:val="nil"/>
              <w:bottom w:val="single" w:sz="4" w:space="0" w:color="auto"/>
            </w:tcBorders>
            <w:vAlign w:val="center"/>
          </w:tcPr>
          <w:p w14:paraId="57F8BBCC" w14:textId="08939B00" w:rsidR="00D0583B"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9"/>
                <w:sz w:val="20"/>
                <w:szCs w:val="20"/>
                <w:shd w:val="solid" w:color="000000" w:fill="000000"/>
                <w:fitText w:val="130" w:id="-1032071928"/>
                <w14:textFill>
                  <w14:solidFill>
                    <w14:srgbClr w14:val="000000">
                      <w14:alpha w14:val="100000"/>
                    </w14:srgbClr>
                  </w14:solidFill>
                </w14:textFill>
              </w:rPr>
              <w:t xml:space="preserve">　</w:t>
            </w:r>
            <w:r w:rsidRPr="008D1DF1">
              <w:rPr>
                <w:rFonts w:ascii="Arial Narrow" w:hAnsi="Arial Narrow"/>
                <w:color w:val="000000"/>
                <w:w w:val="29"/>
                <w:sz w:val="20"/>
                <w:szCs w:val="20"/>
                <w:shd w:val="solid" w:color="000000" w:fill="000000"/>
                <w:fitText w:val="130" w:id="-1032071928"/>
                <w14:textFill>
                  <w14:solidFill>
                    <w14:srgbClr w14:val="000000">
                      <w14:alpha w14:val="100000"/>
                    </w14:srgbClr>
                  </w14:solidFill>
                </w14:textFill>
              </w:rPr>
              <w:t>|</w:t>
            </w:r>
            <w:r w:rsidRPr="008D1DF1">
              <w:rPr>
                <w:rFonts w:ascii="Arial Narrow" w:hAnsi="Arial Narrow" w:hint="eastAsia"/>
                <w:color w:val="000000"/>
                <w:w w:val="29"/>
                <w:sz w:val="20"/>
                <w:szCs w:val="20"/>
                <w:shd w:val="solid" w:color="000000" w:fill="000000"/>
                <w:fitText w:val="130" w:id="-1032071928"/>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c>
          <w:tcPr>
            <w:tcW w:w="992" w:type="dxa"/>
            <w:tcBorders>
              <w:top w:val="nil"/>
              <w:bottom w:val="single" w:sz="4" w:space="0" w:color="auto"/>
            </w:tcBorders>
            <w:vAlign w:val="center"/>
          </w:tcPr>
          <w:p w14:paraId="7C496596" w14:textId="29C7D24E" w:rsidR="00D0583B"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4A6237">
              <w:rPr>
                <w:rFonts w:ascii="Arial Narrow" w:hAnsi="Arial Narrow" w:hint="eastAsia"/>
                <w:color w:val="000000"/>
                <w:w w:val="29"/>
                <w:sz w:val="20"/>
                <w:szCs w:val="20"/>
                <w:shd w:val="solid" w:color="000000" w:fill="000000"/>
                <w:fitText w:val="130" w:id="-1032071927"/>
                <w14:textFill>
                  <w14:solidFill>
                    <w14:srgbClr w14:val="000000">
                      <w14:alpha w14:val="100000"/>
                    </w14:srgbClr>
                  </w14:solidFill>
                </w14:textFill>
              </w:rPr>
              <w:t xml:space="preserve">　</w:t>
            </w:r>
            <w:r w:rsidRPr="004A6237">
              <w:rPr>
                <w:rFonts w:ascii="Arial Narrow" w:hAnsi="Arial Narrow"/>
                <w:color w:val="000000"/>
                <w:w w:val="29"/>
                <w:sz w:val="20"/>
                <w:szCs w:val="20"/>
                <w:shd w:val="solid" w:color="000000" w:fill="000000"/>
                <w:fitText w:val="130" w:id="-1032071927"/>
                <w14:textFill>
                  <w14:solidFill>
                    <w14:srgbClr w14:val="000000">
                      <w14:alpha w14:val="100000"/>
                    </w14:srgbClr>
                  </w14:solidFill>
                </w14:textFill>
              </w:rPr>
              <w:t>|</w:t>
            </w:r>
            <w:r w:rsidRPr="004A6237">
              <w:rPr>
                <w:rFonts w:ascii="Arial Narrow" w:hAnsi="Arial Narrow" w:hint="eastAsia"/>
                <w:color w:val="000000"/>
                <w:spacing w:val="2"/>
                <w:w w:val="29"/>
                <w:sz w:val="20"/>
                <w:szCs w:val="20"/>
                <w:shd w:val="solid" w:color="000000" w:fill="000000"/>
                <w:fitText w:val="130" w:id="-1032071927"/>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r>
              <w:rPr>
                <w:rFonts w:ascii="Arial Narrow" w:hAnsi="Arial Narrow"/>
                <w:color w:val="000000"/>
                <w:sz w:val="20"/>
                <w:szCs w:val="20"/>
              </w:rPr>
              <w:t xml:space="preserve"> </w:t>
            </w:r>
          </w:p>
        </w:tc>
        <w:tc>
          <w:tcPr>
            <w:tcW w:w="1045" w:type="dxa"/>
            <w:tcBorders>
              <w:top w:val="nil"/>
              <w:bottom w:val="single" w:sz="4" w:space="0" w:color="auto"/>
            </w:tcBorders>
            <w:vAlign w:val="center"/>
          </w:tcPr>
          <w:p w14:paraId="26CB1B96" w14:textId="0CA89996" w:rsidR="00D0583B" w:rsidRPr="001C6E97" w:rsidRDefault="008D1DF1" w:rsidP="00370B52">
            <w:pPr>
              <w:keepNext/>
              <w:keepLines/>
              <w:widowControl w:val="0"/>
              <w:jc w:val="center"/>
              <w:rPr>
                <w:rFonts w:ascii="Arial Narrow" w:hAnsi="Arial Narrow"/>
                <w:sz w:val="20"/>
                <w:szCs w:val="20"/>
                <w:highlight w:val="darkGray"/>
              </w:rPr>
            </w:pPr>
            <w:r>
              <w:rPr>
                <w:rFonts w:ascii="Arial Narrow" w:hAnsi="Arial Narrow"/>
                <w:color w:val="000000"/>
                <w:sz w:val="20"/>
                <w:szCs w:val="20"/>
              </w:rPr>
              <w:t xml:space="preserve"> </w:t>
            </w:r>
            <w:r w:rsidRPr="008D1DF1">
              <w:rPr>
                <w:rFonts w:ascii="Arial Narrow" w:hAnsi="Arial Narrow" w:hint="eastAsia"/>
                <w:color w:val="000000"/>
                <w:w w:val="24"/>
                <w:sz w:val="20"/>
                <w:szCs w:val="20"/>
                <w:shd w:val="solid" w:color="000000" w:fill="000000"/>
                <w:fitText w:val="110" w:id="-1032071925"/>
                <w14:textFill>
                  <w14:solidFill>
                    <w14:srgbClr w14:val="000000">
                      <w14:alpha w14:val="100000"/>
                    </w14:srgbClr>
                  </w14:solidFill>
                </w14:textFill>
              </w:rPr>
              <w:t xml:space="preserve">　</w:t>
            </w:r>
            <w:r w:rsidRPr="008D1DF1">
              <w:rPr>
                <w:rFonts w:ascii="Arial Narrow" w:hAnsi="Arial Narrow"/>
                <w:color w:val="000000"/>
                <w:w w:val="24"/>
                <w:sz w:val="20"/>
                <w:szCs w:val="20"/>
                <w:shd w:val="solid" w:color="000000" w:fill="000000"/>
                <w:fitText w:val="110" w:id="-1032071925"/>
                <w14:textFill>
                  <w14:solidFill>
                    <w14:srgbClr w14:val="000000">
                      <w14:alpha w14:val="100000"/>
                    </w14:srgbClr>
                  </w14:solidFill>
                </w14:textFill>
              </w:rPr>
              <w:t>|</w:t>
            </w:r>
            <w:r w:rsidRPr="008D1DF1">
              <w:rPr>
                <w:rFonts w:ascii="Arial Narrow" w:hAnsi="Arial Narrow" w:hint="eastAsia"/>
                <w:color w:val="000000"/>
                <w:w w:val="24"/>
                <w:sz w:val="20"/>
                <w:szCs w:val="20"/>
                <w:shd w:val="solid" w:color="000000" w:fill="000000"/>
                <w:fitText w:val="110" w:id="-1032071925"/>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r>
      <w:tr w:rsidR="00BC3890" w:rsidRPr="00C31CA4" w14:paraId="216F735C" w14:textId="77777777" w:rsidTr="003D28DC">
        <w:tc>
          <w:tcPr>
            <w:tcW w:w="2830" w:type="dxa"/>
            <w:tcBorders>
              <w:bottom w:val="single" w:sz="4" w:space="0" w:color="auto"/>
            </w:tcBorders>
            <w:vAlign w:val="center"/>
          </w:tcPr>
          <w:p w14:paraId="73D40FC1" w14:textId="682A1220" w:rsidR="005704DE" w:rsidRPr="00C31CA4" w:rsidRDefault="005704DE" w:rsidP="00370B52">
            <w:pPr>
              <w:keepNext/>
              <w:keepLines/>
              <w:widowControl w:val="0"/>
              <w:tabs>
                <w:tab w:val="left" w:pos="102"/>
              </w:tabs>
              <w:jc w:val="left"/>
              <w:rPr>
                <w:rFonts w:ascii="Arial Narrow" w:hAnsi="Arial Narrow"/>
                <w:b/>
                <w:bCs/>
                <w:sz w:val="20"/>
                <w:szCs w:val="20"/>
              </w:rPr>
            </w:pPr>
            <w:r w:rsidRPr="00C31CA4">
              <w:rPr>
                <w:rFonts w:ascii="Arial Narrow" w:hAnsi="Arial Narrow"/>
                <w:b/>
                <w:bCs/>
                <w:sz w:val="20"/>
                <w:szCs w:val="20"/>
              </w:rPr>
              <w:tab/>
              <w:t xml:space="preserve">Total </w:t>
            </w:r>
            <w:r w:rsidR="00744967" w:rsidRPr="00C31CA4">
              <w:rPr>
                <w:rFonts w:ascii="Arial Narrow" w:hAnsi="Arial Narrow"/>
                <w:b/>
                <w:bCs/>
                <w:sz w:val="20"/>
                <w:szCs w:val="20"/>
              </w:rPr>
              <w:t>eligible</w:t>
            </w:r>
            <w:r w:rsidR="00A87E05">
              <w:rPr>
                <w:rFonts w:ascii="Arial Narrow" w:hAnsi="Arial Narrow"/>
                <w:b/>
                <w:bCs/>
                <w:sz w:val="20"/>
                <w:szCs w:val="20"/>
                <w:vertAlign w:val="superscript"/>
              </w:rPr>
              <w:t>b</w:t>
            </w:r>
            <w:r w:rsidR="00744967" w:rsidRPr="00C31CA4">
              <w:rPr>
                <w:rFonts w:ascii="Arial Narrow" w:hAnsi="Arial Narrow"/>
                <w:b/>
                <w:bCs/>
                <w:sz w:val="20"/>
                <w:szCs w:val="20"/>
              </w:rPr>
              <w:t xml:space="preserve"> </w:t>
            </w:r>
            <w:r w:rsidR="00D0583B" w:rsidRPr="00C31CA4">
              <w:rPr>
                <w:rFonts w:ascii="Arial Narrow" w:hAnsi="Arial Narrow"/>
                <w:b/>
                <w:bCs/>
                <w:sz w:val="20"/>
                <w:szCs w:val="20"/>
              </w:rPr>
              <w:t>–</w:t>
            </w:r>
            <w:r w:rsidRPr="00C31CA4">
              <w:rPr>
                <w:rFonts w:ascii="Arial Narrow" w:hAnsi="Arial Narrow"/>
                <w:b/>
                <w:bCs/>
                <w:sz w:val="20"/>
                <w:szCs w:val="20"/>
              </w:rPr>
              <w:t xml:space="preserve"> </w:t>
            </w:r>
            <w:r w:rsidR="003D28DC" w:rsidRPr="00C31CA4">
              <w:rPr>
                <w:rFonts w:ascii="Arial Narrow" w:hAnsi="Arial Narrow"/>
                <w:b/>
                <w:bCs/>
                <w:sz w:val="20"/>
                <w:szCs w:val="20"/>
              </w:rPr>
              <w:t xml:space="preserve"> </w:t>
            </w:r>
            <w:r w:rsidR="00D0583B" w:rsidRPr="00C31CA4">
              <w:rPr>
                <w:rFonts w:ascii="Arial Narrow" w:hAnsi="Arial Narrow"/>
                <w:b/>
                <w:bCs/>
                <w:sz w:val="20"/>
                <w:szCs w:val="20"/>
              </w:rPr>
              <w:t xml:space="preserve">second-line </w:t>
            </w:r>
            <w:r w:rsidRPr="00C31CA4">
              <w:rPr>
                <w:rFonts w:ascii="Arial Narrow" w:hAnsi="Arial Narrow"/>
                <w:b/>
                <w:bCs/>
                <w:sz w:val="20"/>
                <w:szCs w:val="20"/>
              </w:rPr>
              <w:t>revised</w:t>
            </w:r>
          </w:p>
        </w:tc>
        <w:tc>
          <w:tcPr>
            <w:tcW w:w="1162" w:type="dxa"/>
            <w:tcBorders>
              <w:bottom w:val="single" w:sz="4" w:space="0" w:color="auto"/>
            </w:tcBorders>
            <w:vAlign w:val="center"/>
          </w:tcPr>
          <w:p w14:paraId="296D653D" w14:textId="25CCB971" w:rsidR="005704DE" w:rsidRPr="001C6E97" w:rsidRDefault="008D1DF1" w:rsidP="00370B52">
            <w:pPr>
              <w:keepNext/>
              <w:keepLines/>
              <w:widowControl w:val="0"/>
              <w:jc w:val="center"/>
              <w:rPr>
                <w:rFonts w:ascii="Arial Narrow" w:hAnsi="Arial Narrow"/>
                <w:b/>
                <w:bCs/>
                <w:sz w:val="20"/>
                <w:szCs w:val="20"/>
                <w:highlight w:val="darkGray"/>
              </w:rPr>
            </w:pPr>
            <w:r>
              <w:rPr>
                <w:rFonts w:ascii="Arial Narrow" w:hAnsi="Arial Narrow"/>
                <w:b/>
                <w:bCs/>
                <w:color w:val="000000"/>
                <w:sz w:val="20"/>
                <w:szCs w:val="20"/>
              </w:rPr>
              <w:t xml:space="preserve"> </w:t>
            </w:r>
            <w:r w:rsidRPr="008D1DF1">
              <w:rPr>
                <w:rFonts w:ascii="Arial Narrow" w:hAnsi="Arial Narrow"/>
                <w:b/>
                <w:bCs/>
                <w:color w:val="000000"/>
                <w:spacing w:val="52"/>
                <w:sz w:val="20"/>
                <w:szCs w:val="20"/>
                <w:shd w:val="solid" w:color="000000" w:fill="000000"/>
                <w:fitText w:val="340" w:id="-1032071924"/>
                <w14:textFill>
                  <w14:solidFill>
                    <w14:srgbClr w14:val="000000">
                      <w14:alpha w14:val="100000"/>
                    </w14:srgbClr>
                  </w14:solidFill>
                </w14:textFill>
              </w:rPr>
              <w:t>|||</w:t>
            </w:r>
            <w:r w:rsidRPr="008D1DF1">
              <w:rPr>
                <w:rFonts w:ascii="Arial Narrow" w:hAnsi="Arial Narrow"/>
                <w:b/>
                <w:bCs/>
                <w:color w:val="000000"/>
                <w:spacing w:val="1"/>
                <w:sz w:val="20"/>
                <w:szCs w:val="20"/>
                <w:shd w:val="solid" w:color="000000" w:fill="000000"/>
                <w:fitText w:val="340" w:id="-1032071924"/>
                <w14:textFill>
                  <w14:solidFill>
                    <w14:srgbClr w14:val="000000">
                      <w14:alpha w14:val="100000"/>
                    </w14:srgbClr>
                  </w14:solidFill>
                </w14:textFill>
              </w:rPr>
              <w:t>|</w:t>
            </w:r>
            <w:r w:rsidR="001C6E97" w:rsidRPr="001C6E97">
              <w:rPr>
                <w:rFonts w:ascii="Arial Narrow" w:hAnsi="Arial Narrow"/>
                <w:color w:val="000000"/>
                <w:sz w:val="20"/>
                <w:szCs w:val="20"/>
                <w:vertAlign w:val="superscript"/>
              </w:rPr>
              <w:t>1</w:t>
            </w:r>
          </w:p>
        </w:tc>
        <w:tc>
          <w:tcPr>
            <w:tcW w:w="997" w:type="dxa"/>
            <w:tcBorders>
              <w:bottom w:val="single" w:sz="4" w:space="0" w:color="auto"/>
            </w:tcBorders>
            <w:vAlign w:val="center"/>
          </w:tcPr>
          <w:p w14:paraId="64D18DE1" w14:textId="49E5AB51" w:rsidR="005704DE" w:rsidRPr="001C6E97" w:rsidRDefault="008D1DF1" w:rsidP="00370B52">
            <w:pPr>
              <w:keepNext/>
              <w:keepLines/>
              <w:widowControl w:val="0"/>
              <w:jc w:val="center"/>
              <w:rPr>
                <w:rFonts w:ascii="Arial Narrow" w:hAnsi="Arial Narrow"/>
                <w:b/>
                <w:bCs/>
                <w:sz w:val="20"/>
                <w:szCs w:val="20"/>
                <w:highlight w:val="darkGray"/>
              </w:rPr>
            </w:pPr>
            <w:r>
              <w:rPr>
                <w:rFonts w:ascii="Arial Narrow" w:hAnsi="Arial Narrow"/>
                <w:b/>
                <w:bCs/>
                <w:color w:val="000000"/>
                <w:sz w:val="20"/>
                <w:szCs w:val="20"/>
              </w:rPr>
              <w:t xml:space="preserve"> </w:t>
            </w:r>
            <w:r w:rsidRPr="008D1DF1">
              <w:rPr>
                <w:rFonts w:ascii="Arial Narrow" w:hAnsi="Arial Narrow"/>
                <w:b/>
                <w:bCs/>
                <w:color w:val="000000"/>
                <w:spacing w:val="78"/>
                <w:sz w:val="20"/>
                <w:szCs w:val="20"/>
                <w:shd w:val="solid" w:color="000000" w:fill="000000"/>
                <w:fitText w:val="170" w:id="-1032071922"/>
                <w14:textFill>
                  <w14:solidFill>
                    <w14:srgbClr w14:val="000000">
                      <w14:alpha w14:val="100000"/>
                    </w14:srgbClr>
                  </w14:solidFill>
                </w14:textFill>
              </w:rPr>
              <w:t>|</w:t>
            </w:r>
            <w:r w:rsidRPr="008D1DF1">
              <w:rPr>
                <w:rFonts w:ascii="Arial Narrow" w:hAnsi="Arial Narrow"/>
                <w:b/>
                <w:bCs/>
                <w:color w:val="000000"/>
                <w:sz w:val="20"/>
                <w:szCs w:val="20"/>
                <w:shd w:val="solid" w:color="000000" w:fill="000000"/>
                <w:fitText w:val="170" w:id="-1032071922"/>
                <w14:textFill>
                  <w14:solidFill>
                    <w14:srgbClr w14:val="000000">
                      <w14:alpha w14:val="100000"/>
                    </w14:srgbClr>
                  </w14:solidFill>
                </w14:textFill>
              </w:rPr>
              <w:t>|</w:t>
            </w:r>
            <w:r w:rsidR="001C6E97" w:rsidRPr="001C6E97">
              <w:rPr>
                <w:rFonts w:ascii="Arial Narrow" w:hAnsi="Arial Narrow"/>
                <w:color w:val="000000"/>
                <w:sz w:val="20"/>
                <w:szCs w:val="20"/>
                <w:vertAlign w:val="superscript"/>
              </w:rPr>
              <w:t>1</w:t>
            </w:r>
          </w:p>
        </w:tc>
        <w:tc>
          <w:tcPr>
            <w:tcW w:w="998" w:type="dxa"/>
            <w:tcBorders>
              <w:bottom w:val="single" w:sz="4" w:space="0" w:color="auto"/>
            </w:tcBorders>
            <w:vAlign w:val="center"/>
          </w:tcPr>
          <w:p w14:paraId="563CDDD5" w14:textId="592201B7" w:rsidR="005704DE" w:rsidRPr="001C6E97" w:rsidRDefault="008D1DF1" w:rsidP="00370B52">
            <w:pPr>
              <w:keepNext/>
              <w:keepLines/>
              <w:widowControl w:val="0"/>
              <w:jc w:val="center"/>
              <w:rPr>
                <w:rFonts w:ascii="Arial Narrow" w:hAnsi="Arial Narrow"/>
                <w:b/>
                <w:bCs/>
                <w:sz w:val="20"/>
                <w:szCs w:val="20"/>
                <w:highlight w:val="darkGray"/>
              </w:rPr>
            </w:pPr>
            <w:r>
              <w:rPr>
                <w:rFonts w:ascii="Arial Narrow" w:hAnsi="Arial Narrow"/>
                <w:b/>
                <w:bCs/>
                <w:color w:val="000000"/>
                <w:sz w:val="20"/>
                <w:szCs w:val="20"/>
              </w:rPr>
              <w:t xml:space="preserve"> </w:t>
            </w:r>
            <w:r w:rsidRPr="008D1DF1">
              <w:rPr>
                <w:rFonts w:ascii="Arial Narrow" w:hAnsi="Arial Narrow"/>
                <w:b/>
                <w:bCs/>
                <w:color w:val="000000"/>
                <w:spacing w:val="78"/>
                <w:sz w:val="20"/>
                <w:szCs w:val="20"/>
                <w:shd w:val="solid" w:color="000000" w:fill="000000"/>
                <w:fitText w:val="170" w:id="-1032071921"/>
                <w14:textFill>
                  <w14:solidFill>
                    <w14:srgbClr w14:val="000000">
                      <w14:alpha w14:val="100000"/>
                    </w14:srgbClr>
                  </w14:solidFill>
                </w14:textFill>
              </w:rPr>
              <w:t>|</w:t>
            </w:r>
            <w:r w:rsidRPr="008D1DF1">
              <w:rPr>
                <w:rFonts w:ascii="Arial Narrow" w:hAnsi="Arial Narrow"/>
                <w:b/>
                <w:bCs/>
                <w:color w:val="000000"/>
                <w:sz w:val="20"/>
                <w:szCs w:val="20"/>
                <w:shd w:val="solid" w:color="000000" w:fill="000000"/>
                <w:fitText w:val="170" w:id="-1032071921"/>
                <w14:textFill>
                  <w14:solidFill>
                    <w14:srgbClr w14:val="000000">
                      <w14:alpha w14:val="100000"/>
                    </w14:srgbClr>
                  </w14:solidFill>
                </w14:textFill>
              </w:rPr>
              <w:t>|</w:t>
            </w:r>
            <w:r w:rsidR="001C6E97" w:rsidRPr="001C6E97">
              <w:rPr>
                <w:rFonts w:ascii="Arial Narrow" w:hAnsi="Arial Narrow"/>
                <w:color w:val="000000"/>
                <w:sz w:val="20"/>
                <w:szCs w:val="20"/>
                <w:vertAlign w:val="superscript"/>
              </w:rPr>
              <w:t>1</w:t>
            </w:r>
          </w:p>
        </w:tc>
        <w:tc>
          <w:tcPr>
            <w:tcW w:w="993" w:type="dxa"/>
            <w:tcBorders>
              <w:bottom w:val="single" w:sz="4" w:space="0" w:color="auto"/>
            </w:tcBorders>
            <w:vAlign w:val="center"/>
          </w:tcPr>
          <w:p w14:paraId="78172033" w14:textId="59684DA3" w:rsidR="005704DE" w:rsidRPr="001C6E97" w:rsidRDefault="008D1DF1" w:rsidP="00370B52">
            <w:pPr>
              <w:keepNext/>
              <w:keepLines/>
              <w:widowControl w:val="0"/>
              <w:jc w:val="center"/>
              <w:rPr>
                <w:rFonts w:ascii="Arial Narrow" w:hAnsi="Arial Narrow"/>
                <w:b/>
                <w:bCs/>
                <w:sz w:val="20"/>
                <w:szCs w:val="20"/>
                <w:highlight w:val="darkGray"/>
              </w:rPr>
            </w:pPr>
            <w:r>
              <w:rPr>
                <w:rFonts w:ascii="Arial Narrow" w:hAnsi="Arial Narrow"/>
                <w:b/>
                <w:bCs/>
                <w:color w:val="000000"/>
                <w:sz w:val="20"/>
                <w:szCs w:val="20"/>
              </w:rPr>
              <w:t xml:space="preserve"> </w:t>
            </w:r>
            <w:r w:rsidRPr="008D1DF1">
              <w:rPr>
                <w:rFonts w:ascii="Arial Narrow" w:hAnsi="Arial Narrow"/>
                <w:b/>
                <w:bCs/>
                <w:color w:val="000000"/>
                <w:spacing w:val="88"/>
                <w:sz w:val="20"/>
                <w:szCs w:val="20"/>
                <w:shd w:val="solid" w:color="000000" w:fill="000000"/>
                <w:fitText w:val="180" w:id="-1032071920"/>
                <w14:textFill>
                  <w14:solidFill>
                    <w14:srgbClr w14:val="000000">
                      <w14:alpha w14:val="100000"/>
                    </w14:srgbClr>
                  </w14:solidFill>
                </w14:textFill>
              </w:rPr>
              <w:t>|</w:t>
            </w:r>
            <w:r w:rsidRPr="008D1DF1">
              <w:rPr>
                <w:rFonts w:ascii="Arial Narrow" w:hAnsi="Arial Narrow"/>
                <w:b/>
                <w:bCs/>
                <w:color w:val="000000"/>
                <w:sz w:val="20"/>
                <w:szCs w:val="20"/>
                <w:shd w:val="solid" w:color="000000" w:fill="000000"/>
                <w:fitText w:val="180" w:id="-1032071920"/>
                <w14:textFill>
                  <w14:solidFill>
                    <w14:srgbClr w14:val="000000">
                      <w14:alpha w14:val="100000"/>
                    </w14:srgbClr>
                  </w14:solidFill>
                </w14:textFill>
              </w:rPr>
              <w:t>|</w:t>
            </w:r>
            <w:r w:rsidR="001C6E97" w:rsidRPr="001C6E97">
              <w:rPr>
                <w:rFonts w:ascii="Arial Narrow" w:hAnsi="Arial Narrow"/>
                <w:color w:val="000000"/>
                <w:sz w:val="20"/>
                <w:szCs w:val="20"/>
                <w:vertAlign w:val="superscript"/>
              </w:rPr>
              <w:t>1</w:t>
            </w:r>
          </w:p>
        </w:tc>
        <w:tc>
          <w:tcPr>
            <w:tcW w:w="992" w:type="dxa"/>
            <w:tcBorders>
              <w:bottom w:val="single" w:sz="4" w:space="0" w:color="auto"/>
            </w:tcBorders>
            <w:vAlign w:val="center"/>
          </w:tcPr>
          <w:p w14:paraId="2A3B2CFB" w14:textId="6E1F312C" w:rsidR="005704DE" w:rsidRPr="001C6E97" w:rsidRDefault="008D1DF1" w:rsidP="00370B52">
            <w:pPr>
              <w:keepNext/>
              <w:keepLines/>
              <w:widowControl w:val="0"/>
              <w:jc w:val="center"/>
              <w:rPr>
                <w:rFonts w:ascii="Arial Narrow" w:hAnsi="Arial Narrow"/>
                <w:b/>
                <w:bCs/>
                <w:sz w:val="20"/>
                <w:szCs w:val="20"/>
                <w:highlight w:val="darkGray"/>
              </w:rPr>
            </w:pPr>
            <w:r>
              <w:rPr>
                <w:rFonts w:ascii="Arial Narrow" w:hAnsi="Arial Narrow"/>
                <w:b/>
                <w:bCs/>
                <w:color w:val="000000"/>
                <w:sz w:val="20"/>
                <w:szCs w:val="20"/>
              </w:rPr>
              <w:t xml:space="preserve"> </w:t>
            </w:r>
            <w:r w:rsidRPr="008D1DF1">
              <w:rPr>
                <w:rFonts w:ascii="Arial Narrow" w:hAnsi="Arial Narrow" w:hint="eastAsia"/>
                <w:b/>
                <w:bCs/>
                <w:color w:val="000000"/>
                <w:w w:val="33"/>
                <w:sz w:val="20"/>
                <w:szCs w:val="20"/>
                <w:shd w:val="solid" w:color="000000" w:fill="000000"/>
                <w:fitText w:val="150" w:id="-1032071936"/>
                <w14:textFill>
                  <w14:solidFill>
                    <w14:srgbClr w14:val="000000">
                      <w14:alpha w14:val="100000"/>
                    </w14:srgbClr>
                  </w14:solidFill>
                </w14:textFill>
              </w:rPr>
              <w:t xml:space="preserve">　</w:t>
            </w:r>
            <w:r w:rsidRPr="008D1DF1">
              <w:rPr>
                <w:rFonts w:ascii="Arial Narrow" w:hAnsi="Arial Narrow"/>
                <w:b/>
                <w:bCs/>
                <w:color w:val="000000"/>
                <w:w w:val="33"/>
                <w:sz w:val="20"/>
                <w:szCs w:val="20"/>
                <w:shd w:val="solid" w:color="000000" w:fill="000000"/>
                <w:fitText w:val="150" w:id="-1032071936"/>
                <w14:textFill>
                  <w14:solidFill>
                    <w14:srgbClr w14:val="000000">
                      <w14:alpha w14:val="100000"/>
                    </w14:srgbClr>
                  </w14:solidFill>
                </w14:textFill>
              </w:rPr>
              <w:t>|</w:t>
            </w:r>
            <w:r w:rsidRPr="008D1DF1">
              <w:rPr>
                <w:rFonts w:ascii="Arial Narrow" w:hAnsi="Arial Narrow" w:hint="eastAsia"/>
                <w:b/>
                <w:bCs/>
                <w:color w:val="000000"/>
                <w:w w:val="33"/>
                <w:sz w:val="20"/>
                <w:szCs w:val="20"/>
                <w:shd w:val="solid" w:color="000000" w:fill="000000"/>
                <w:fitText w:val="150" w:id="-1032071936"/>
                <w14:textFill>
                  <w14:solidFill>
                    <w14:srgbClr w14:val="000000">
                      <w14:alpha w14:val="100000"/>
                    </w14:srgbClr>
                  </w14:solidFill>
                </w14:textFill>
              </w:rPr>
              <w:t xml:space="preserve">　</w:t>
            </w:r>
          </w:p>
        </w:tc>
        <w:tc>
          <w:tcPr>
            <w:tcW w:w="1045" w:type="dxa"/>
            <w:tcBorders>
              <w:bottom w:val="single" w:sz="4" w:space="0" w:color="auto"/>
            </w:tcBorders>
            <w:vAlign w:val="center"/>
          </w:tcPr>
          <w:p w14:paraId="3B39549A" w14:textId="370A53E2" w:rsidR="005704DE" w:rsidRPr="001C6E97" w:rsidRDefault="008D1DF1" w:rsidP="00370B52">
            <w:pPr>
              <w:keepNext/>
              <w:keepLines/>
              <w:widowControl w:val="0"/>
              <w:jc w:val="center"/>
              <w:rPr>
                <w:rFonts w:ascii="Arial Narrow" w:hAnsi="Arial Narrow"/>
                <w:b/>
                <w:bCs/>
                <w:sz w:val="20"/>
                <w:szCs w:val="20"/>
                <w:highlight w:val="darkGray"/>
              </w:rPr>
            </w:pPr>
            <w:r>
              <w:rPr>
                <w:rFonts w:ascii="Arial Narrow" w:hAnsi="Arial Narrow"/>
                <w:b/>
                <w:bCs/>
                <w:color w:val="000000"/>
                <w:sz w:val="20"/>
                <w:szCs w:val="20"/>
              </w:rPr>
              <w:t xml:space="preserve"> </w:t>
            </w:r>
            <w:r w:rsidRPr="008D1DF1">
              <w:rPr>
                <w:rFonts w:ascii="Arial Narrow" w:hAnsi="Arial Narrow" w:hint="eastAsia"/>
                <w:b/>
                <w:bCs/>
                <w:color w:val="000000"/>
                <w:w w:val="31"/>
                <w:sz w:val="20"/>
                <w:szCs w:val="20"/>
                <w:shd w:val="solid" w:color="000000" w:fill="000000"/>
                <w:fitText w:val="140" w:id="-1032071935"/>
                <w14:textFill>
                  <w14:solidFill>
                    <w14:srgbClr w14:val="000000">
                      <w14:alpha w14:val="100000"/>
                    </w14:srgbClr>
                  </w14:solidFill>
                </w14:textFill>
              </w:rPr>
              <w:t xml:space="preserve">　</w:t>
            </w:r>
            <w:r w:rsidRPr="008D1DF1">
              <w:rPr>
                <w:rFonts w:ascii="Arial Narrow" w:hAnsi="Arial Narrow"/>
                <w:b/>
                <w:bCs/>
                <w:color w:val="000000"/>
                <w:w w:val="31"/>
                <w:sz w:val="20"/>
                <w:szCs w:val="20"/>
                <w:shd w:val="solid" w:color="000000" w:fill="000000"/>
                <w:fitText w:val="140" w:id="-1032071935"/>
                <w14:textFill>
                  <w14:solidFill>
                    <w14:srgbClr w14:val="000000">
                      <w14:alpha w14:val="100000"/>
                    </w14:srgbClr>
                  </w14:solidFill>
                </w14:textFill>
              </w:rPr>
              <w:t>|</w:t>
            </w:r>
            <w:r w:rsidRPr="008D1DF1">
              <w:rPr>
                <w:rFonts w:ascii="Arial Narrow" w:hAnsi="Arial Narrow" w:hint="eastAsia"/>
                <w:b/>
                <w:bCs/>
                <w:color w:val="000000"/>
                <w:w w:val="31"/>
                <w:sz w:val="20"/>
                <w:szCs w:val="20"/>
                <w:shd w:val="solid" w:color="000000" w:fill="000000"/>
                <w:fitText w:val="140" w:id="-1032071935"/>
                <w14:textFill>
                  <w14:solidFill>
                    <w14:srgbClr w14:val="000000">
                      <w14:alpha w14:val="100000"/>
                    </w14:srgbClr>
                  </w14:solidFill>
                </w14:textFill>
              </w:rPr>
              <w:t xml:space="preserve">　</w:t>
            </w:r>
            <w:r w:rsidR="001C6E97" w:rsidRPr="001C6E97">
              <w:rPr>
                <w:rFonts w:ascii="Arial Narrow" w:hAnsi="Arial Narrow"/>
                <w:color w:val="000000"/>
                <w:sz w:val="20"/>
                <w:szCs w:val="20"/>
                <w:vertAlign w:val="superscript"/>
              </w:rPr>
              <w:t>1</w:t>
            </w:r>
          </w:p>
        </w:tc>
      </w:tr>
    </w:tbl>
    <w:p w14:paraId="2D414264" w14:textId="3D8A3061" w:rsidR="00686791" w:rsidRPr="00C31CA4" w:rsidRDefault="00D0583B" w:rsidP="00370B52">
      <w:pPr>
        <w:pStyle w:val="FooterTableFigure"/>
        <w:keepNext/>
        <w:keepLines/>
      </w:pPr>
      <w:r w:rsidRPr="00C31CA4">
        <w:t>Source: Table 11, p24-25 of the submission</w:t>
      </w:r>
      <w:r w:rsidR="00DF67A1" w:rsidRPr="00C31CA4">
        <w:t>; Excel workbook ‘UCM-Release-3-workbook-Eltrombopag-sAA’.</w:t>
      </w:r>
    </w:p>
    <w:p w14:paraId="1F1EF031" w14:textId="45D2F9E4" w:rsidR="00D0583B" w:rsidRPr="00C31CA4" w:rsidRDefault="00D0583B" w:rsidP="00370B52">
      <w:pPr>
        <w:pStyle w:val="FooterTableFigure"/>
        <w:keepNext/>
        <w:keepLines/>
      </w:pPr>
      <w:r w:rsidRPr="00C31CA4">
        <w:t>sAA = severe aplastic anaemia</w:t>
      </w:r>
    </w:p>
    <w:p w14:paraId="41C33935" w14:textId="300DD305" w:rsidR="00744967" w:rsidRPr="00C31CA4" w:rsidRDefault="00744967" w:rsidP="00A87E05">
      <w:pPr>
        <w:pStyle w:val="FooterTableFigure"/>
        <w:keepNext/>
        <w:keepLines/>
        <w:numPr>
          <w:ilvl w:val="0"/>
          <w:numId w:val="19"/>
        </w:numPr>
        <w:tabs>
          <w:tab w:val="left" w:pos="142"/>
        </w:tabs>
        <w:ind w:left="284" w:hanging="284"/>
      </w:pPr>
      <w:r w:rsidRPr="00C31CA4">
        <w:t>Calculated as (65 – 46) x 0.838 x 0.8397 x 0.59</w:t>
      </w:r>
    </w:p>
    <w:p w14:paraId="13D388B1" w14:textId="254C6569" w:rsidR="00F3008C" w:rsidRDefault="00EA29D5" w:rsidP="00F3008C">
      <w:pPr>
        <w:pStyle w:val="FooterTableFigure"/>
        <w:keepNext/>
        <w:keepLines/>
        <w:numPr>
          <w:ilvl w:val="0"/>
          <w:numId w:val="19"/>
        </w:numPr>
        <w:tabs>
          <w:tab w:val="left" w:pos="142"/>
        </w:tabs>
        <w:ind w:left="284" w:hanging="284"/>
      </w:pPr>
      <w:r w:rsidRPr="00C31CA4">
        <w:t>Totals may be impacted by rounding.</w:t>
      </w:r>
    </w:p>
    <w:p w14:paraId="195E335F" w14:textId="1E792405" w:rsidR="00F3008C" w:rsidRPr="00F3008C" w:rsidRDefault="00F3008C" w:rsidP="00F3008C">
      <w:pPr>
        <w:pStyle w:val="FooterTableFigure"/>
        <w:keepNext/>
        <w:keepLines/>
        <w:tabs>
          <w:tab w:val="left" w:pos="142"/>
        </w:tabs>
      </w:pPr>
      <w:r w:rsidRPr="00F3008C">
        <w:rPr>
          <w:rStyle w:val="cf01"/>
          <w:rFonts w:ascii="Arial Narrow" w:hAnsi="Arial Narrow"/>
        </w:rPr>
        <w:t>T</w:t>
      </w:r>
      <w:r w:rsidRPr="00F3008C">
        <w:rPr>
          <w:i/>
          <w:iCs/>
          <w:szCs w:val="18"/>
        </w:rPr>
        <w:t>he redacted values correspond to the following ranges:</w:t>
      </w:r>
    </w:p>
    <w:p w14:paraId="6B4E9E70" w14:textId="4F4DCFB8" w:rsidR="001C6E97" w:rsidRPr="00C31CA4" w:rsidRDefault="001C6E97" w:rsidP="001C6E97">
      <w:pPr>
        <w:pStyle w:val="FooterTableFigure"/>
        <w:keepNext/>
        <w:keepLines/>
        <w:tabs>
          <w:tab w:val="left" w:pos="142"/>
        </w:tabs>
      </w:pPr>
      <w:r w:rsidRPr="001C6E97">
        <w:rPr>
          <w:vertAlign w:val="superscript"/>
        </w:rPr>
        <w:t>1</w:t>
      </w:r>
      <w:r>
        <w:t xml:space="preserve"> </w:t>
      </w:r>
      <w:r w:rsidRPr="001C6E97">
        <w:t>&lt; 500</w:t>
      </w:r>
    </w:p>
    <w:p w14:paraId="4A86BCAA" w14:textId="3B612712" w:rsidR="0082504A" w:rsidRPr="00C31CA4" w:rsidRDefault="005F0728" w:rsidP="008B3F17">
      <w:pPr>
        <w:pStyle w:val="3-BodyText"/>
      </w:pPr>
      <w:r w:rsidRPr="00C31CA4">
        <w:t>The submission assumed upta</w:t>
      </w:r>
      <w:r w:rsidR="003633E5" w:rsidRPr="00C31CA4">
        <w:t>k</w:t>
      </w:r>
      <w:r w:rsidRPr="00C31CA4">
        <w:t>e of 80% in Year 1 and 90% in Years 2 to 6, on the basis of the severity of the disease and the claimed benefit of eltrombopag plus IST.</w:t>
      </w:r>
      <w:r w:rsidR="000A19E6" w:rsidRPr="00C31CA4">
        <w:t xml:space="preserve"> </w:t>
      </w:r>
      <w:r w:rsidR="003633E5" w:rsidRPr="00C31CA4">
        <w:t>The ESC considered the uptake in the first line and second line setting was likely to be reasonable.</w:t>
      </w:r>
    </w:p>
    <w:p w14:paraId="26FB6670" w14:textId="7252F337" w:rsidR="00B505C8" w:rsidRPr="00C31CA4" w:rsidRDefault="009812C5" w:rsidP="008B3F17">
      <w:pPr>
        <w:pStyle w:val="3-BodyText"/>
      </w:pPr>
      <w:r w:rsidRPr="00C31CA4">
        <w:t xml:space="preserve">The </w:t>
      </w:r>
      <w:r w:rsidR="009C5647" w:rsidRPr="00C31CA4">
        <w:t>submission calculated cost offsets due to HSCT procedures based on the claim that the improvement in response rates seen with eltrombopag would lead to a reduction in the number of patients undergoing HSCT.</w:t>
      </w:r>
      <w:r w:rsidR="006B5B82" w:rsidRPr="00C31CA4">
        <w:t xml:space="preserve"> </w:t>
      </w:r>
      <w:r w:rsidR="005406E3" w:rsidRPr="00C31CA4">
        <w:t xml:space="preserve">As discussed in paragraph </w:t>
      </w:r>
      <w:r w:rsidR="005406E3" w:rsidRPr="00C31CA4">
        <w:fldChar w:fldCharType="begin" w:fldLock="1"/>
      </w:r>
      <w:r w:rsidR="005406E3" w:rsidRPr="00C31CA4">
        <w:instrText xml:space="preserve"> REF _Ref148451275 \r \h </w:instrText>
      </w:r>
      <w:r w:rsidR="005406E3" w:rsidRPr="00C31CA4">
        <w:fldChar w:fldCharType="separate"/>
      </w:r>
      <w:r w:rsidR="00897FA1">
        <w:t>6.20</w:t>
      </w:r>
      <w:r w:rsidR="005406E3" w:rsidRPr="00C31CA4">
        <w:fldChar w:fldCharType="end"/>
      </w:r>
      <w:r w:rsidR="005406E3" w:rsidRPr="00C31CA4">
        <w:t xml:space="preserve">, there was no evidence from the studies that eltrombopag reduced the need for HSCT. Additionally, HSCT costs represent hospital costs and therefore cannot be considered as an offset in the financials. </w:t>
      </w:r>
      <w:r w:rsidR="006B5B82" w:rsidRPr="00C31CA4">
        <w:t>The ESC noted inclusion of offsets due to HSCT procedures in the financial estimates was not appropriate and this has been removed from the revised estimates</w:t>
      </w:r>
      <w:r w:rsidR="00C31CA4">
        <w:t xml:space="preserve">. </w:t>
      </w:r>
    </w:p>
    <w:p w14:paraId="3ADC3E2E" w14:textId="1DB48FD7" w:rsidR="00D0304D" w:rsidRPr="00C31CA4" w:rsidRDefault="001A4414" w:rsidP="008B3F17">
      <w:pPr>
        <w:pStyle w:val="3-BodyText"/>
      </w:pPr>
      <w:r w:rsidRPr="00C31CA4">
        <w:fldChar w:fldCharType="begin" w:fldLock="1"/>
      </w:r>
      <w:r w:rsidRPr="00C31CA4">
        <w:instrText xml:space="preserve"> REF _Ref104805295 \h </w:instrText>
      </w:r>
      <w:r w:rsidRPr="00C31CA4">
        <w:fldChar w:fldCharType="separate"/>
      </w:r>
      <w:r w:rsidR="00897FA1" w:rsidRPr="00C31CA4">
        <w:t xml:space="preserve">Table </w:t>
      </w:r>
      <w:r w:rsidR="00897FA1">
        <w:rPr>
          <w:noProof/>
        </w:rPr>
        <w:t>14</w:t>
      </w:r>
      <w:r w:rsidRPr="00C31CA4">
        <w:fldChar w:fldCharType="end"/>
      </w:r>
      <w:r w:rsidRPr="00C31CA4">
        <w:t xml:space="preserve"> </w:t>
      </w:r>
      <w:r w:rsidR="00CD0882" w:rsidRPr="00C31CA4">
        <w:t>provides the estimated financial implications for the listing of eltrombopag.</w:t>
      </w:r>
      <w:r w:rsidR="000A19E6" w:rsidRPr="00C31CA4">
        <w:t xml:space="preserve"> </w:t>
      </w:r>
      <w:r w:rsidR="00CD0882" w:rsidRPr="00C31CA4">
        <w:t xml:space="preserve">The revised base case corrects the errors observed in the submission (second-line proportion; double-counting of second-line patients; </w:t>
      </w:r>
      <w:r w:rsidR="00677783" w:rsidRPr="00C31CA4">
        <w:t>co-payment</w:t>
      </w:r>
      <w:r w:rsidR="00CD0882" w:rsidRPr="00C31CA4">
        <w:t xml:space="preserve"> values)</w:t>
      </w:r>
      <w:r w:rsidR="00744967" w:rsidRPr="00C31CA4">
        <w:t>.</w:t>
      </w:r>
      <w:r w:rsidR="00CD0882" w:rsidRPr="00C31CA4">
        <w:t xml:space="preserve"> </w:t>
      </w:r>
    </w:p>
    <w:p w14:paraId="38EC053C" w14:textId="2B2D7B35" w:rsidR="00C25D9C" w:rsidRPr="00C31CA4" w:rsidRDefault="00E16AD8" w:rsidP="00A87E05">
      <w:pPr>
        <w:pStyle w:val="Caption"/>
      </w:pPr>
      <w:bookmarkStart w:id="51" w:name="_Ref104805295"/>
      <w:r w:rsidRPr="00C31CA4">
        <w:lastRenderedPageBreak/>
        <w:t xml:space="preserve">Table </w:t>
      </w:r>
      <w:fldSimple w:instr=" SEQ Table \* ARABIC " w:fldLock="1">
        <w:r w:rsidR="00897FA1">
          <w:rPr>
            <w:noProof/>
          </w:rPr>
          <w:t>14</w:t>
        </w:r>
      </w:fldSimple>
      <w:bookmarkEnd w:id="51"/>
      <w:r w:rsidRPr="00C31CA4">
        <w:t>:</w:t>
      </w:r>
      <w:r w:rsidR="002A2F50" w:rsidRPr="00C31CA4">
        <w:rPr>
          <w:rStyle w:val="CommentReference"/>
          <w:b/>
          <w:szCs w:val="24"/>
        </w:rPr>
        <w:t xml:space="preserve"> Estimated use and financial implications</w:t>
      </w:r>
      <w:r w:rsidR="003633E5" w:rsidRPr="00C31CA4">
        <w:rPr>
          <w:rStyle w:val="CommentReference"/>
          <w:b/>
          <w:szCs w:val="24"/>
        </w:rPr>
        <w:t xml:space="preserve"> (revised during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C31CA4" w14:paraId="43A2A3A1" w14:textId="77777777" w:rsidTr="008A3158">
        <w:trPr>
          <w:tblHeader/>
        </w:trPr>
        <w:tc>
          <w:tcPr>
            <w:tcW w:w="1334" w:type="pct"/>
            <w:shd w:val="clear" w:color="auto" w:fill="auto"/>
            <w:vAlign w:val="center"/>
          </w:tcPr>
          <w:p w14:paraId="0A4E41E1" w14:textId="77777777" w:rsidR="00385A9D" w:rsidRPr="00C31CA4" w:rsidRDefault="00385A9D" w:rsidP="00A87E05">
            <w:pPr>
              <w:pStyle w:val="In-tableHeading"/>
              <w:jc w:val="center"/>
              <w:rPr>
                <w:lang w:val="en-AU"/>
              </w:rPr>
            </w:pPr>
          </w:p>
        </w:tc>
        <w:tc>
          <w:tcPr>
            <w:tcW w:w="611" w:type="pct"/>
            <w:shd w:val="clear" w:color="auto" w:fill="auto"/>
            <w:vAlign w:val="center"/>
          </w:tcPr>
          <w:p w14:paraId="77420B6F" w14:textId="77777777" w:rsidR="00385A9D" w:rsidRPr="00C31CA4" w:rsidRDefault="00385A9D" w:rsidP="00A87E05">
            <w:pPr>
              <w:pStyle w:val="In-tableHeading"/>
              <w:jc w:val="center"/>
              <w:rPr>
                <w:lang w:val="en-AU"/>
              </w:rPr>
            </w:pPr>
            <w:r w:rsidRPr="00C31CA4">
              <w:rPr>
                <w:lang w:val="en-AU"/>
              </w:rPr>
              <w:t>Year 1</w:t>
            </w:r>
          </w:p>
        </w:tc>
        <w:tc>
          <w:tcPr>
            <w:tcW w:w="611" w:type="pct"/>
            <w:shd w:val="clear" w:color="auto" w:fill="auto"/>
            <w:vAlign w:val="center"/>
          </w:tcPr>
          <w:p w14:paraId="3BBD9218" w14:textId="77777777" w:rsidR="00385A9D" w:rsidRPr="00C31CA4" w:rsidRDefault="00385A9D" w:rsidP="00A87E05">
            <w:pPr>
              <w:pStyle w:val="In-tableHeading"/>
              <w:jc w:val="center"/>
              <w:rPr>
                <w:lang w:val="en-AU"/>
              </w:rPr>
            </w:pPr>
            <w:r w:rsidRPr="00C31CA4">
              <w:rPr>
                <w:lang w:val="en-AU"/>
              </w:rPr>
              <w:t>Year 2</w:t>
            </w:r>
          </w:p>
        </w:tc>
        <w:tc>
          <w:tcPr>
            <w:tcW w:w="611" w:type="pct"/>
            <w:shd w:val="clear" w:color="auto" w:fill="auto"/>
            <w:vAlign w:val="center"/>
          </w:tcPr>
          <w:p w14:paraId="729A646E" w14:textId="77777777" w:rsidR="00385A9D" w:rsidRPr="00C31CA4" w:rsidRDefault="00385A9D" w:rsidP="00A87E05">
            <w:pPr>
              <w:pStyle w:val="In-tableHeading"/>
              <w:jc w:val="center"/>
              <w:rPr>
                <w:lang w:val="en-AU"/>
              </w:rPr>
            </w:pPr>
            <w:r w:rsidRPr="00C31CA4">
              <w:rPr>
                <w:lang w:val="en-AU"/>
              </w:rPr>
              <w:t>Year 3</w:t>
            </w:r>
          </w:p>
        </w:tc>
        <w:tc>
          <w:tcPr>
            <w:tcW w:w="611" w:type="pct"/>
            <w:shd w:val="clear" w:color="auto" w:fill="auto"/>
            <w:vAlign w:val="center"/>
          </w:tcPr>
          <w:p w14:paraId="280BB544" w14:textId="77777777" w:rsidR="00385A9D" w:rsidRPr="00C31CA4" w:rsidRDefault="00385A9D" w:rsidP="00A87E05">
            <w:pPr>
              <w:pStyle w:val="In-tableHeading"/>
              <w:jc w:val="center"/>
              <w:rPr>
                <w:lang w:val="en-AU"/>
              </w:rPr>
            </w:pPr>
            <w:r w:rsidRPr="00C31CA4">
              <w:rPr>
                <w:lang w:val="en-AU"/>
              </w:rPr>
              <w:t>Year 4</w:t>
            </w:r>
          </w:p>
        </w:tc>
        <w:tc>
          <w:tcPr>
            <w:tcW w:w="611" w:type="pct"/>
            <w:shd w:val="clear" w:color="auto" w:fill="auto"/>
            <w:vAlign w:val="center"/>
          </w:tcPr>
          <w:p w14:paraId="6435BB5B" w14:textId="77777777" w:rsidR="00385A9D" w:rsidRPr="00C31CA4" w:rsidRDefault="00385A9D" w:rsidP="00A87E05">
            <w:pPr>
              <w:pStyle w:val="In-tableHeading"/>
              <w:jc w:val="center"/>
              <w:rPr>
                <w:lang w:val="en-AU"/>
              </w:rPr>
            </w:pPr>
            <w:r w:rsidRPr="00C31CA4">
              <w:rPr>
                <w:lang w:val="en-AU"/>
              </w:rPr>
              <w:t>Year 5</w:t>
            </w:r>
          </w:p>
        </w:tc>
        <w:tc>
          <w:tcPr>
            <w:tcW w:w="611" w:type="pct"/>
          </w:tcPr>
          <w:p w14:paraId="7C618119" w14:textId="77777777" w:rsidR="00385A9D" w:rsidRPr="00C31CA4" w:rsidRDefault="00385A9D" w:rsidP="00A87E05">
            <w:pPr>
              <w:pStyle w:val="In-tableHeading"/>
              <w:jc w:val="center"/>
              <w:rPr>
                <w:lang w:val="en-AU"/>
              </w:rPr>
            </w:pPr>
            <w:r w:rsidRPr="00C31CA4">
              <w:rPr>
                <w:lang w:val="en-AU"/>
              </w:rPr>
              <w:t>Year 6</w:t>
            </w:r>
          </w:p>
        </w:tc>
      </w:tr>
      <w:tr w:rsidR="00385A9D" w:rsidRPr="00C31CA4" w14:paraId="3C519059" w14:textId="77777777" w:rsidTr="009C3A3A">
        <w:tc>
          <w:tcPr>
            <w:tcW w:w="5000" w:type="pct"/>
            <w:gridSpan w:val="7"/>
            <w:shd w:val="clear" w:color="auto" w:fill="auto"/>
            <w:vAlign w:val="center"/>
          </w:tcPr>
          <w:p w14:paraId="516C2197" w14:textId="41CEE32B" w:rsidR="00385A9D" w:rsidRPr="00C31CA4" w:rsidRDefault="00385A9D" w:rsidP="00A87E05">
            <w:pPr>
              <w:pStyle w:val="In-tableHeading"/>
              <w:rPr>
                <w:bCs/>
                <w:color w:val="000000"/>
                <w:lang w:val="en-AU"/>
              </w:rPr>
            </w:pPr>
            <w:r w:rsidRPr="00C31CA4">
              <w:rPr>
                <w:bCs/>
                <w:color w:val="000000"/>
                <w:lang w:val="en-AU"/>
              </w:rPr>
              <w:t>Estimated extent of use</w:t>
            </w:r>
            <w:r w:rsidR="00D63708" w:rsidRPr="00C31CA4">
              <w:rPr>
                <w:bCs/>
                <w:color w:val="000000"/>
                <w:lang w:val="en-AU"/>
              </w:rPr>
              <w:t xml:space="preserve"> </w:t>
            </w:r>
          </w:p>
        </w:tc>
      </w:tr>
      <w:tr w:rsidR="00C1075B" w:rsidRPr="00C31CA4" w14:paraId="148A8EEF" w14:textId="77777777" w:rsidTr="0081063B">
        <w:tc>
          <w:tcPr>
            <w:tcW w:w="1334" w:type="pct"/>
            <w:shd w:val="clear" w:color="auto" w:fill="auto"/>
            <w:vAlign w:val="center"/>
          </w:tcPr>
          <w:p w14:paraId="201B6ECA" w14:textId="77777777" w:rsidR="00C1075B" w:rsidRPr="00C31CA4" w:rsidRDefault="00C1075B" w:rsidP="00A87E05">
            <w:pPr>
              <w:pStyle w:val="TableText0"/>
              <w:rPr>
                <w:rFonts w:ascii="Times" w:hAnsi="Times"/>
              </w:rPr>
            </w:pPr>
            <w:r w:rsidRPr="00C31CA4">
              <w:t>Number of patients treated</w:t>
            </w:r>
          </w:p>
        </w:tc>
        <w:tc>
          <w:tcPr>
            <w:tcW w:w="611" w:type="pct"/>
            <w:shd w:val="clear" w:color="auto" w:fill="auto"/>
            <w:vAlign w:val="center"/>
          </w:tcPr>
          <w:p w14:paraId="577607A9" w14:textId="08FCC31B" w:rsidR="00C1075B"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hint="eastAsia"/>
                <w:bCs w:val="0"/>
                <w:color w:val="000000"/>
                <w:w w:val="15"/>
                <w:szCs w:val="20"/>
                <w:shd w:val="solid" w:color="000000" w:fill="000000"/>
                <w:fitText w:val="70" w:id="-1032071934"/>
                <w14:textFill>
                  <w14:solidFill>
                    <w14:srgbClr w14:val="000000">
                      <w14:alpha w14:val="100000"/>
                    </w14:srgbClr>
                  </w14:solidFill>
                </w14:textFill>
              </w:rPr>
              <w:t xml:space="preserve">　</w:t>
            </w:r>
            <w:r w:rsidRPr="008D1DF1">
              <w:rPr>
                <w:rFonts w:cs="Arial"/>
                <w:bCs w:val="0"/>
                <w:color w:val="000000"/>
                <w:w w:val="15"/>
                <w:szCs w:val="20"/>
                <w:shd w:val="solid" w:color="000000" w:fill="000000"/>
                <w:fitText w:val="70" w:id="-1032071934"/>
                <w14:textFill>
                  <w14:solidFill>
                    <w14:srgbClr w14:val="000000">
                      <w14:alpha w14:val="100000"/>
                    </w14:srgbClr>
                  </w14:solidFill>
                </w14:textFill>
              </w:rPr>
              <w:t>|</w:t>
            </w:r>
            <w:r w:rsidRPr="008D1DF1">
              <w:rPr>
                <w:rFonts w:cs="Arial" w:hint="eastAsia"/>
                <w:bCs w:val="0"/>
                <w:color w:val="000000"/>
                <w:spacing w:val="4"/>
                <w:w w:val="15"/>
                <w:szCs w:val="20"/>
                <w:shd w:val="solid" w:color="000000" w:fill="000000"/>
                <w:fitText w:val="70" w:id="-1032071934"/>
                <w14:textFill>
                  <w14:solidFill>
                    <w14:srgbClr w14:val="000000">
                      <w14:alpha w14:val="100000"/>
                    </w14:srgbClr>
                  </w14:solidFill>
                </w14:textFill>
              </w:rPr>
              <w:t xml:space="preserve">　</w:t>
            </w:r>
            <w:r w:rsidR="00440FB7" w:rsidRPr="00440FB7">
              <w:rPr>
                <w:rFonts w:cs="Arial"/>
                <w:bCs w:val="0"/>
                <w:color w:val="000000"/>
                <w:szCs w:val="20"/>
                <w:vertAlign w:val="superscript"/>
              </w:rPr>
              <w:t>1</w:t>
            </w:r>
          </w:p>
        </w:tc>
        <w:tc>
          <w:tcPr>
            <w:tcW w:w="611" w:type="pct"/>
            <w:shd w:val="clear" w:color="auto" w:fill="auto"/>
            <w:vAlign w:val="center"/>
          </w:tcPr>
          <w:p w14:paraId="6610B4C9" w14:textId="01754903" w:rsidR="00C1075B"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hint="eastAsia"/>
                <w:bCs w:val="0"/>
                <w:color w:val="000000"/>
                <w:w w:val="15"/>
                <w:szCs w:val="20"/>
                <w:shd w:val="solid" w:color="000000" w:fill="000000"/>
                <w:fitText w:val="70" w:id="-1032071933"/>
                <w14:textFill>
                  <w14:solidFill>
                    <w14:srgbClr w14:val="000000">
                      <w14:alpha w14:val="100000"/>
                    </w14:srgbClr>
                  </w14:solidFill>
                </w14:textFill>
              </w:rPr>
              <w:t xml:space="preserve">　</w:t>
            </w:r>
            <w:r w:rsidRPr="008D1DF1">
              <w:rPr>
                <w:rFonts w:cs="Arial"/>
                <w:bCs w:val="0"/>
                <w:color w:val="000000"/>
                <w:w w:val="15"/>
                <w:szCs w:val="20"/>
                <w:shd w:val="solid" w:color="000000" w:fill="000000"/>
                <w:fitText w:val="70" w:id="-1032071933"/>
                <w14:textFill>
                  <w14:solidFill>
                    <w14:srgbClr w14:val="000000">
                      <w14:alpha w14:val="100000"/>
                    </w14:srgbClr>
                  </w14:solidFill>
                </w14:textFill>
              </w:rPr>
              <w:t>|</w:t>
            </w:r>
            <w:r w:rsidRPr="008D1DF1">
              <w:rPr>
                <w:rFonts w:cs="Arial" w:hint="eastAsia"/>
                <w:bCs w:val="0"/>
                <w:color w:val="000000"/>
                <w:spacing w:val="4"/>
                <w:w w:val="15"/>
                <w:szCs w:val="20"/>
                <w:shd w:val="solid" w:color="000000" w:fill="000000"/>
                <w:fitText w:val="70" w:id="-1032071933"/>
                <w14:textFill>
                  <w14:solidFill>
                    <w14:srgbClr w14:val="000000">
                      <w14:alpha w14:val="100000"/>
                    </w14:srgbClr>
                  </w14:solidFill>
                </w14:textFill>
              </w:rPr>
              <w:t xml:space="preserve">　</w:t>
            </w:r>
            <w:r w:rsidR="00440FB7" w:rsidRPr="00440FB7">
              <w:rPr>
                <w:rFonts w:cs="Arial"/>
                <w:bCs w:val="0"/>
                <w:color w:val="000000"/>
                <w:szCs w:val="20"/>
                <w:vertAlign w:val="superscript"/>
              </w:rPr>
              <w:t>1</w:t>
            </w:r>
          </w:p>
        </w:tc>
        <w:tc>
          <w:tcPr>
            <w:tcW w:w="611" w:type="pct"/>
            <w:shd w:val="clear" w:color="auto" w:fill="auto"/>
            <w:vAlign w:val="center"/>
          </w:tcPr>
          <w:p w14:paraId="29F46D6B" w14:textId="21C799F1" w:rsidR="00C1075B"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hint="eastAsia"/>
                <w:bCs w:val="0"/>
                <w:color w:val="000000"/>
                <w:w w:val="15"/>
                <w:szCs w:val="20"/>
                <w:shd w:val="solid" w:color="000000" w:fill="000000"/>
                <w:fitText w:val="70" w:id="-1032071932"/>
                <w14:textFill>
                  <w14:solidFill>
                    <w14:srgbClr w14:val="000000">
                      <w14:alpha w14:val="100000"/>
                    </w14:srgbClr>
                  </w14:solidFill>
                </w14:textFill>
              </w:rPr>
              <w:t xml:space="preserve">　</w:t>
            </w:r>
            <w:r w:rsidRPr="008D1DF1">
              <w:rPr>
                <w:rFonts w:cs="Arial"/>
                <w:bCs w:val="0"/>
                <w:color w:val="000000"/>
                <w:w w:val="15"/>
                <w:szCs w:val="20"/>
                <w:shd w:val="solid" w:color="000000" w:fill="000000"/>
                <w:fitText w:val="70" w:id="-1032071932"/>
                <w14:textFill>
                  <w14:solidFill>
                    <w14:srgbClr w14:val="000000">
                      <w14:alpha w14:val="100000"/>
                    </w14:srgbClr>
                  </w14:solidFill>
                </w14:textFill>
              </w:rPr>
              <w:t>|</w:t>
            </w:r>
            <w:r w:rsidRPr="008D1DF1">
              <w:rPr>
                <w:rFonts w:cs="Arial" w:hint="eastAsia"/>
                <w:bCs w:val="0"/>
                <w:color w:val="000000"/>
                <w:spacing w:val="4"/>
                <w:w w:val="15"/>
                <w:szCs w:val="20"/>
                <w:shd w:val="solid" w:color="000000" w:fill="000000"/>
                <w:fitText w:val="70" w:id="-1032071932"/>
                <w14:textFill>
                  <w14:solidFill>
                    <w14:srgbClr w14:val="000000">
                      <w14:alpha w14:val="100000"/>
                    </w14:srgbClr>
                  </w14:solidFill>
                </w14:textFill>
              </w:rPr>
              <w:t xml:space="preserve">　</w:t>
            </w:r>
            <w:r w:rsidR="00440FB7" w:rsidRPr="00440FB7">
              <w:rPr>
                <w:rFonts w:cs="Arial"/>
                <w:bCs w:val="0"/>
                <w:color w:val="000000"/>
                <w:szCs w:val="20"/>
                <w:vertAlign w:val="superscript"/>
              </w:rPr>
              <w:t>1</w:t>
            </w:r>
          </w:p>
        </w:tc>
        <w:tc>
          <w:tcPr>
            <w:tcW w:w="611" w:type="pct"/>
            <w:shd w:val="clear" w:color="auto" w:fill="auto"/>
            <w:vAlign w:val="center"/>
          </w:tcPr>
          <w:p w14:paraId="21167904" w14:textId="69158381" w:rsidR="00C1075B"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hint="eastAsia"/>
                <w:bCs w:val="0"/>
                <w:color w:val="000000"/>
                <w:w w:val="15"/>
                <w:szCs w:val="20"/>
                <w:shd w:val="solid" w:color="000000" w:fill="000000"/>
                <w:fitText w:val="70" w:id="-1032071931"/>
                <w14:textFill>
                  <w14:solidFill>
                    <w14:srgbClr w14:val="000000">
                      <w14:alpha w14:val="100000"/>
                    </w14:srgbClr>
                  </w14:solidFill>
                </w14:textFill>
              </w:rPr>
              <w:t xml:space="preserve">　</w:t>
            </w:r>
            <w:r w:rsidRPr="008D1DF1">
              <w:rPr>
                <w:rFonts w:cs="Arial"/>
                <w:bCs w:val="0"/>
                <w:color w:val="000000"/>
                <w:w w:val="15"/>
                <w:szCs w:val="20"/>
                <w:shd w:val="solid" w:color="000000" w:fill="000000"/>
                <w:fitText w:val="70" w:id="-1032071931"/>
                <w14:textFill>
                  <w14:solidFill>
                    <w14:srgbClr w14:val="000000">
                      <w14:alpha w14:val="100000"/>
                    </w14:srgbClr>
                  </w14:solidFill>
                </w14:textFill>
              </w:rPr>
              <w:t>|</w:t>
            </w:r>
            <w:r w:rsidRPr="008D1DF1">
              <w:rPr>
                <w:rFonts w:cs="Arial" w:hint="eastAsia"/>
                <w:bCs w:val="0"/>
                <w:color w:val="000000"/>
                <w:spacing w:val="4"/>
                <w:w w:val="15"/>
                <w:szCs w:val="20"/>
                <w:shd w:val="solid" w:color="000000" w:fill="000000"/>
                <w:fitText w:val="70" w:id="-1032071931"/>
                <w14:textFill>
                  <w14:solidFill>
                    <w14:srgbClr w14:val="000000">
                      <w14:alpha w14:val="100000"/>
                    </w14:srgbClr>
                  </w14:solidFill>
                </w14:textFill>
              </w:rPr>
              <w:t xml:space="preserve">　</w:t>
            </w:r>
            <w:r w:rsidR="00440FB7" w:rsidRPr="00440FB7">
              <w:rPr>
                <w:rFonts w:cs="Arial"/>
                <w:bCs w:val="0"/>
                <w:color w:val="000000"/>
                <w:szCs w:val="20"/>
                <w:vertAlign w:val="superscript"/>
              </w:rPr>
              <w:t>1</w:t>
            </w:r>
          </w:p>
        </w:tc>
        <w:tc>
          <w:tcPr>
            <w:tcW w:w="611" w:type="pct"/>
            <w:shd w:val="clear" w:color="auto" w:fill="auto"/>
            <w:vAlign w:val="center"/>
          </w:tcPr>
          <w:p w14:paraId="762D4B71" w14:textId="2ED7326B" w:rsidR="00C1075B"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bCs w:val="0"/>
                <w:color w:val="000000"/>
                <w:spacing w:val="46"/>
                <w:szCs w:val="20"/>
                <w:shd w:val="solid" w:color="000000" w:fill="000000"/>
                <w:fitText w:val="310" w:id="-1032071930"/>
                <w14:textFill>
                  <w14:solidFill>
                    <w14:srgbClr w14:val="000000">
                      <w14:alpha w14:val="100000"/>
                    </w14:srgbClr>
                  </w14:solidFill>
                </w14:textFill>
              </w:rPr>
              <w:t>|||</w:t>
            </w:r>
            <w:r w:rsidRPr="008D1DF1">
              <w:rPr>
                <w:rFonts w:cs="Arial"/>
                <w:bCs w:val="0"/>
                <w:color w:val="000000"/>
                <w:spacing w:val="2"/>
                <w:szCs w:val="20"/>
                <w:shd w:val="solid" w:color="000000" w:fill="000000"/>
                <w:fitText w:val="310" w:id="-1032071930"/>
                <w14:textFill>
                  <w14:solidFill>
                    <w14:srgbClr w14:val="000000">
                      <w14:alpha w14:val="100000"/>
                    </w14:srgbClr>
                  </w14:solidFill>
                </w14:textFill>
              </w:rPr>
              <w:t>|</w:t>
            </w:r>
            <w:r w:rsidR="00440FB7" w:rsidRPr="00440FB7">
              <w:rPr>
                <w:rFonts w:cs="Arial"/>
                <w:bCs w:val="0"/>
                <w:color w:val="000000"/>
                <w:szCs w:val="20"/>
                <w:vertAlign w:val="superscript"/>
              </w:rPr>
              <w:t>1</w:t>
            </w:r>
            <w:r>
              <w:rPr>
                <w:rFonts w:cs="Arial"/>
                <w:bCs w:val="0"/>
                <w:color w:val="000000"/>
                <w:szCs w:val="20"/>
              </w:rPr>
              <w:t xml:space="preserve"> </w:t>
            </w:r>
          </w:p>
        </w:tc>
        <w:tc>
          <w:tcPr>
            <w:tcW w:w="611" w:type="pct"/>
            <w:vAlign w:val="center"/>
          </w:tcPr>
          <w:p w14:paraId="42B428B5" w14:textId="69050A5C" w:rsidR="00C1075B"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hint="eastAsia"/>
                <w:bCs w:val="0"/>
                <w:color w:val="000000"/>
                <w:w w:val="15"/>
                <w:szCs w:val="20"/>
                <w:shd w:val="solid" w:color="000000" w:fill="000000"/>
                <w:fitText w:val="70" w:id="-1032071928"/>
                <w14:textFill>
                  <w14:solidFill>
                    <w14:srgbClr w14:val="000000">
                      <w14:alpha w14:val="100000"/>
                    </w14:srgbClr>
                  </w14:solidFill>
                </w14:textFill>
              </w:rPr>
              <w:t xml:space="preserve">　</w:t>
            </w:r>
            <w:r w:rsidRPr="008D1DF1">
              <w:rPr>
                <w:rFonts w:cs="Arial"/>
                <w:bCs w:val="0"/>
                <w:color w:val="000000"/>
                <w:w w:val="15"/>
                <w:szCs w:val="20"/>
                <w:shd w:val="solid" w:color="000000" w:fill="000000"/>
                <w:fitText w:val="70" w:id="-1032071928"/>
                <w14:textFill>
                  <w14:solidFill>
                    <w14:srgbClr w14:val="000000">
                      <w14:alpha w14:val="100000"/>
                    </w14:srgbClr>
                  </w14:solidFill>
                </w14:textFill>
              </w:rPr>
              <w:t>|</w:t>
            </w:r>
            <w:r w:rsidRPr="008D1DF1">
              <w:rPr>
                <w:rFonts w:cs="Arial" w:hint="eastAsia"/>
                <w:bCs w:val="0"/>
                <w:color w:val="000000"/>
                <w:spacing w:val="4"/>
                <w:w w:val="15"/>
                <w:szCs w:val="20"/>
                <w:shd w:val="solid" w:color="000000" w:fill="000000"/>
                <w:fitText w:val="70" w:id="-1032071928"/>
                <w14:textFill>
                  <w14:solidFill>
                    <w14:srgbClr w14:val="000000">
                      <w14:alpha w14:val="100000"/>
                    </w14:srgbClr>
                  </w14:solidFill>
                </w14:textFill>
              </w:rPr>
              <w:t xml:space="preserve">　</w:t>
            </w:r>
            <w:r w:rsidR="00440FB7" w:rsidRPr="00440FB7">
              <w:rPr>
                <w:rFonts w:cs="Arial"/>
                <w:bCs w:val="0"/>
                <w:color w:val="000000"/>
                <w:szCs w:val="20"/>
                <w:vertAlign w:val="superscript"/>
              </w:rPr>
              <w:t>1</w:t>
            </w:r>
          </w:p>
        </w:tc>
      </w:tr>
      <w:tr w:rsidR="004E0FD6" w:rsidRPr="00C31CA4" w14:paraId="1CEE4D09" w14:textId="77777777" w:rsidTr="004806EC">
        <w:tc>
          <w:tcPr>
            <w:tcW w:w="1334" w:type="pct"/>
            <w:shd w:val="clear" w:color="auto" w:fill="auto"/>
            <w:vAlign w:val="center"/>
          </w:tcPr>
          <w:p w14:paraId="229A1EDF" w14:textId="77777777" w:rsidR="004E0FD6" w:rsidRPr="00C31CA4" w:rsidRDefault="004E0FD6" w:rsidP="00A87E05">
            <w:pPr>
              <w:pStyle w:val="TableText0"/>
              <w:rPr>
                <w:rFonts w:ascii="Times" w:hAnsi="Times"/>
              </w:rPr>
            </w:pPr>
            <w:r w:rsidRPr="00C31CA4">
              <w:t>Number of scripts dispensed</w:t>
            </w:r>
            <w:r w:rsidRPr="00C31CA4">
              <w:rPr>
                <w:vertAlign w:val="superscript"/>
              </w:rPr>
              <w:t>a</w:t>
            </w:r>
          </w:p>
        </w:tc>
        <w:tc>
          <w:tcPr>
            <w:tcW w:w="611" w:type="pct"/>
            <w:shd w:val="clear" w:color="auto" w:fill="auto"/>
            <w:vAlign w:val="center"/>
          </w:tcPr>
          <w:p w14:paraId="0D9F25C2" w14:textId="64D3AB02" w:rsidR="004E0FD6"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bCs w:val="0"/>
                <w:color w:val="000000"/>
                <w:spacing w:val="46"/>
                <w:szCs w:val="20"/>
                <w:shd w:val="solid" w:color="000000" w:fill="000000"/>
                <w:fitText w:val="310" w:id="-1032071927"/>
                <w14:textFill>
                  <w14:solidFill>
                    <w14:srgbClr w14:val="000000">
                      <w14:alpha w14:val="100000"/>
                    </w14:srgbClr>
                  </w14:solidFill>
                </w14:textFill>
              </w:rPr>
              <w:t>|||</w:t>
            </w:r>
            <w:r w:rsidRPr="008D1DF1">
              <w:rPr>
                <w:rFonts w:cs="Arial"/>
                <w:bCs w:val="0"/>
                <w:color w:val="000000"/>
                <w:spacing w:val="2"/>
                <w:szCs w:val="20"/>
                <w:shd w:val="solid" w:color="000000" w:fill="000000"/>
                <w:fitText w:val="310" w:id="-1032071927"/>
                <w14:textFill>
                  <w14:solidFill>
                    <w14:srgbClr w14:val="000000">
                      <w14:alpha w14:val="100000"/>
                    </w14:srgbClr>
                  </w14:solidFill>
                </w14:textFill>
              </w:rPr>
              <w:t>|</w:t>
            </w:r>
            <w:r w:rsidR="00440FB7" w:rsidRPr="00440FB7">
              <w:rPr>
                <w:rFonts w:cs="Arial"/>
                <w:bCs w:val="0"/>
                <w:color w:val="000000"/>
                <w:szCs w:val="20"/>
                <w:vertAlign w:val="superscript"/>
              </w:rPr>
              <w:t>1</w:t>
            </w:r>
            <w:r>
              <w:rPr>
                <w:rFonts w:cs="Arial"/>
                <w:bCs w:val="0"/>
                <w:color w:val="000000"/>
                <w:szCs w:val="20"/>
              </w:rPr>
              <w:t xml:space="preserve"> </w:t>
            </w:r>
          </w:p>
        </w:tc>
        <w:tc>
          <w:tcPr>
            <w:tcW w:w="611" w:type="pct"/>
            <w:shd w:val="clear" w:color="auto" w:fill="auto"/>
            <w:vAlign w:val="center"/>
          </w:tcPr>
          <w:p w14:paraId="2D7847AA" w14:textId="5C91CE59" w:rsidR="004E0FD6"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bCs w:val="0"/>
                <w:color w:val="000000"/>
                <w:spacing w:val="46"/>
                <w:szCs w:val="20"/>
                <w:shd w:val="solid" w:color="000000" w:fill="000000"/>
                <w:fitText w:val="310" w:id="-1032071925"/>
                <w14:textFill>
                  <w14:solidFill>
                    <w14:srgbClr w14:val="000000">
                      <w14:alpha w14:val="100000"/>
                    </w14:srgbClr>
                  </w14:solidFill>
                </w14:textFill>
              </w:rPr>
              <w:t>|||</w:t>
            </w:r>
            <w:r w:rsidRPr="008D1DF1">
              <w:rPr>
                <w:rFonts w:cs="Arial"/>
                <w:bCs w:val="0"/>
                <w:color w:val="000000"/>
                <w:spacing w:val="2"/>
                <w:szCs w:val="20"/>
                <w:shd w:val="solid" w:color="000000" w:fill="000000"/>
                <w:fitText w:val="310" w:id="-1032071925"/>
                <w14:textFill>
                  <w14:solidFill>
                    <w14:srgbClr w14:val="000000">
                      <w14:alpha w14:val="100000"/>
                    </w14:srgbClr>
                  </w14:solidFill>
                </w14:textFill>
              </w:rPr>
              <w:t>|</w:t>
            </w:r>
            <w:r w:rsidR="00440FB7" w:rsidRPr="00440FB7">
              <w:rPr>
                <w:rFonts w:cs="Arial"/>
                <w:bCs w:val="0"/>
                <w:color w:val="000000"/>
                <w:szCs w:val="20"/>
                <w:vertAlign w:val="superscript"/>
              </w:rPr>
              <w:t>1</w:t>
            </w:r>
            <w:r>
              <w:rPr>
                <w:rFonts w:cs="Arial"/>
                <w:bCs w:val="0"/>
                <w:color w:val="000000"/>
                <w:szCs w:val="20"/>
              </w:rPr>
              <w:t xml:space="preserve"> </w:t>
            </w:r>
          </w:p>
        </w:tc>
        <w:tc>
          <w:tcPr>
            <w:tcW w:w="611" w:type="pct"/>
            <w:shd w:val="clear" w:color="auto" w:fill="auto"/>
            <w:vAlign w:val="center"/>
          </w:tcPr>
          <w:p w14:paraId="7A620378" w14:textId="0AC89A45" w:rsidR="004E0FD6"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hint="eastAsia"/>
                <w:bCs w:val="0"/>
                <w:color w:val="000000"/>
                <w:w w:val="15"/>
                <w:szCs w:val="20"/>
                <w:shd w:val="solid" w:color="000000" w:fill="000000"/>
                <w:fitText w:val="70" w:id="-1032071923"/>
                <w14:textFill>
                  <w14:solidFill>
                    <w14:srgbClr w14:val="000000">
                      <w14:alpha w14:val="100000"/>
                    </w14:srgbClr>
                  </w14:solidFill>
                </w14:textFill>
              </w:rPr>
              <w:t xml:space="preserve">　</w:t>
            </w:r>
            <w:r w:rsidRPr="008D1DF1">
              <w:rPr>
                <w:rFonts w:cs="Arial"/>
                <w:bCs w:val="0"/>
                <w:color w:val="000000"/>
                <w:w w:val="15"/>
                <w:szCs w:val="20"/>
                <w:shd w:val="solid" w:color="000000" w:fill="000000"/>
                <w:fitText w:val="70" w:id="-1032071923"/>
                <w14:textFill>
                  <w14:solidFill>
                    <w14:srgbClr w14:val="000000">
                      <w14:alpha w14:val="100000"/>
                    </w14:srgbClr>
                  </w14:solidFill>
                </w14:textFill>
              </w:rPr>
              <w:t>|</w:t>
            </w:r>
            <w:r w:rsidRPr="008D1DF1">
              <w:rPr>
                <w:rFonts w:cs="Arial" w:hint="eastAsia"/>
                <w:bCs w:val="0"/>
                <w:color w:val="000000"/>
                <w:spacing w:val="4"/>
                <w:w w:val="15"/>
                <w:szCs w:val="20"/>
                <w:shd w:val="solid" w:color="000000" w:fill="000000"/>
                <w:fitText w:val="70" w:id="-1032071923"/>
                <w14:textFill>
                  <w14:solidFill>
                    <w14:srgbClr w14:val="000000">
                      <w14:alpha w14:val="100000"/>
                    </w14:srgbClr>
                  </w14:solidFill>
                </w14:textFill>
              </w:rPr>
              <w:t xml:space="preserve">　</w:t>
            </w:r>
            <w:r w:rsidR="00440FB7" w:rsidRPr="00440FB7">
              <w:rPr>
                <w:rFonts w:cs="Arial"/>
                <w:bCs w:val="0"/>
                <w:color w:val="000000"/>
                <w:szCs w:val="20"/>
                <w:vertAlign w:val="superscript"/>
              </w:rPr>
              <w:t>1</w:t>
            </w:r>
          </w:p>
        </w:tc>
        <w:tc>
          <w:tcPr>
            <w:tcW w:w="611" w:type="pct"/>
            <w:shd w:val="clear" w:color="auto" w:fill="auto"/>
            <w:vAlign w:val="center"/>
          </w:tcPr>
          <w:p w14:paraId="1D2C1413" w14:textId="42EB9A21" w:rsidR="004E0FD6"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bCs w:val="0"/>
                <w:color w:val="000000"/>
                <w:spacing w:val="46"/>
                <w:szCs w:val="20"/>
                <w:shd w:val="solid" w:color="000000" w:fill="000000"/>
                <w:fitText w:val="310" w:id="-1032071922"/>
                <w14:textFill>
                  <w14:solidFill>
                    <w14:srgbClr w14:val="000000">
                      <w14:alpha w14:val="100000"/>
                    </w14:srgbClr>
                  </w14:solidFill>
                </w14:textFill>
              </w:rPr>
              <w:t>|||</w:t>
            </w:r>
            <w:r w:rsidRPr="008D1DF1">
              <w:rPr>
                <w:rFonts w:cs="Arial"/>
                <w:bCs w:val="0"/>
                <w:color w:val="000000"/>
                <w:spacing w:val="2"/>
                <w:szCs w:val="20"/>
                <w:shd w:val="solid" w:color="000000" w:fill="000000"/>
                <w:fitText w:val="310" w:id="-1032071922"/>
                <w14:textFill>
                  <w14:solidFill>
                    <w14:srgbClr w14:val="000000">
                      <w14:alpha w14:val="100000"/>
                    </w14:srgbClr>
                  </w14:solidFill>
                </w14:textFill>
              </w:rPr>
              <w:t>|</w:t>
            </w:r>
            <w:r w:rsidR="00440FB7" w:rsidRPr="00440FB7">
              <w:rPr>
                <w:rFonts w:cs="Arial"/>
                <w:bCs w:val="0"/>
                <w:color w:val="000000"/>
                <w:szCs w:val="20"/>
                <w:vertAlign w:val="superscript"/>
              </w:rPr>
              <w:t>1</w:t>
            </w:r>
            <w:r>
              <w:rPr>
                <w:rFonts w:cs="Arial"/>
                <w:bCs w:val="0"/>
                <w:color w:val="000000"/>
                <w:szCs w:val="20"/>
              </w:rPr>
              <w:t xml:space="preserve"> </w:t>
            </w:r>
          </w:p>
        </w:tc>
        <w:tc>
          <w:tcPr>
            <w:tcW w:w="611" w:type="pct"/>
            <w:shd w:val="clear" w:color="auto" w:fill="auto"/>
            <w:vAlign w:val="center"/>
          </w:tcPr>
          <w:p w14:paraId="3F0ACB95" w14:textId="6B3FABB5" w:rsidR="004E0FD6"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hint="eastAsia"/>
                <w:bCs w:val="0"/>
                <w:color w:val="000000"/>
                <w:w w:val="15"/>
                <w:szCs w:val="20"/>
                <w:shd w:val="solid" w:color="000000" w:fill="000000"/>
                <w:fitText w:val="70" w:id="-1032071920"/>
                <w14:textFill>
                  <w14:solidFill>
                    <w14:srgbClr w14:val="000000">
                      <w14:alpha w14:val="100000"/>
                    </w14:srgbClr>
                  </w14:solidFill>
                </w14:textFill>
              </w:rPr>
              <w:t xml:space="preserve">　</w:t>
            </w:r>
            <w:r w:rsidRPr="008D1DF1">
              <w:rPr>
                <w:rFonts w:cs="Arial"/>
                <w:bCs w:val="0"/>
                <w:color w:val="000000"/>
                <w:w w:val="15"/>
                <w:szCs w:val="20"/>
                <w:shd w:val="solid" w:color="000000" w:fill="000000"/>
                <w:fitText w:val="70" w:id="-1032071920"/>
                <w14:textFill>
                  <w14:solidFill>
                    <w14:srgbClr w14:val="000000">
                      <w14:alpha w14:val="100000"/>
                    </w14:srgbClr>
                  </w14:solidFill>
                </w14:textFill>
              </w:rPr>
              <w:t>|</w:t>
            </w:r>
            <w:r w:rsidRPr="008D1DF1">
              <w:rPr>
                <w:rFonts w:cs="Arial" w:hint="eastAsia"/>
                <w:bCs w:val="0"/>
                <w:color w:val="000000"/>
                <w:spacing w:val="4"/>
                <w:w w:val="15"/>
                <w:szCs w:val="20"/>
                <w:shd w:val="solid" w:color="000000" w:fill="000000"/>
                <w:fitText w:val="70" w:id="-1032071920"/>
                <w14:textFill>
                  <w14:solidFill>
                    <w14:srgbClr w14:val="000000">
                      <w14:alpha w14:val="100000"/>
                    </w14:srgbClr>
                  </w14:solidFill>
                </w14:textFill>
              </w:rPr>
              <w:t xml:space="preserve">　</w:t>
            </w:r>
            <w:r w:rsidR="00440FB7" w:rsidRPr="00440FB7">
              <w:rPr>
                <w:rFonts w:cs="Arial"/>
                <w:bCs w:val="0"/>
                <w:color w:val="000000"/>
                <w:szCs w:val="20"/>
                <w:vertAlign w:val="superscript"/>
              </w:rPr>
              <w:t>1</w:t>
            </w:r>
          </w:p>
        </w:tc>
        <w:tc>
          <w:tcPr>
            <w:tcW w:w="611" w:type="pct"/>
            <w:vAlign w:val="center"/>
          </w:tcPr>
          <w:p w14:paraId="1C30F331" w14:textId="6DB4B4A6" w:rsidR="004E0FD6" w:rsidRPr="00440FB7" w:rsidRDefault="008D1DF1" w:rsidP="00A87E05">
            <w:pPr>
              <w:pStyle w:val="TableText0"/>
              <w:jc w:val="center"/>
              <w:rPr>
                <w:bCs w:val="0"/>
                <w:color w:val="000000"/>
                <w:highlight w:val="darkGray"/>
              </w:rPr>
            </w:pPr>
            <w:r>
              <w:rPr>
                <w:rFonts w:cs="Arial"/>
                <w:bCs w:val="0"/>
                <w:color w:val="000000"/>
                <w:szCs w:val="20"/>
              </w:rPr>
              <w:t xml:space="preserve"> </w:t>
            </w:r>
            <w:r w:rsidRPr="008D1DF1">
              <w:rPr>
                <w:rFonts w:cs="Arial" w:hint="eastAsia"/>
                <w:bCs w:val="0"/>
                <w:color w:val="000000"/>
                <w:w w:val="15"/>
                <w:szCs w:val="20"/>
                <w:shd w:val="solid" w:color="000000" w:fill="000000"/>
                <w:fitText w:val="70" w:id="-1032071936"/>
                <w14:textFill>
                  <w14:solidFill>
                    <w14:srgbClr w14:val="000000">
                      <w14:alpha w14:val="100000"/>
                    </w14:srgbClr>
                  </w14:solidFill>
                </w14:textFill>
              </w:rPr>
              <w:t xml:space="preserve">　</w:t>
            </w:r>
            <w:r w:rsidRPr="008D1DF1">
              <w:rPr>
                <w:rFonts w:cs="Arial"/>
                <w:bCs w:val="0"/>
                <w:color w:val="000000"/>
                <w:w w:val="15"/>
                <w:szCs w:val="20"/>
                <w:shd w:val="solid" w:color="000000" w:fill="000000"/>
                <w:fitText w:val="70" w:id="-1032071936"/>
                <w14:textFill>
                  <w14:solidFill>
                    <w14:srgbClr w14:val="000000">
                      <w14:alpha w14:val="100000"/>
                    </w14:srgbClr>
                  </w14:solidFill>
                </w14:textFill>
              </w:rPr>
              <w:t>|</w:t>
            </w:r>
            <w:r w:rsidRPr="008D1DF1">
              <w:rPr>
                <w:rFonts w:cs="Arial" w:hint="eastAsia"/>
                <w:bCs w:val="0"/>
                <w:color w:val="000000"/>
                <w:spacing w:val="4"/>
                <w:w w:val="15"/>
                <w:szCs w:val="20"/>
                <w:shd w:val="solid" w:color="000000" w:fill="000000"/>
                <w:fitText w:val="70" w:id="-1032071936"/>
                <w14:textFill>
                  <w14:solidFill>
                    <w14:srgbClr w14:val="000000">
                      <w14:alpha w14:val="100000"/>
                    </w14:srgbClr>
                  </w14:solidFill>
                </w14:textFill>
              </w:rPr>
              <w:t xml:space="preserve">　</w:t>
            </w:r>
            <w:r w:rsidR="00440FB7" w:rsidRPr="00440FB7">
              <w:rPr>
                <w:rFonts w:cs="Arial"/>
                <w:bCs w:val="0"/>
                <w:color w:val="000000"/>
                <w:szCs w:val="20"/>
                <w:vertAlign w:val="superscript"/>
              </w:rPr>
              <w:t>1</w:t>
            </w:r>
          </w:p>
        </w:tc>
      </w:tr>
      <w:tr w:rsidR="00D63708" w:rsidRPr="00C31CA4" w14:paraId="1E699D47" w14:textId="77777777" w:rsidTr="009C3A3A">
        <w:tc>
          <w:tcPr>
            <w:tcW w:w="5000" w:type="pct"/>
            <w:gridSpan w:val="7"/>
            <w:shd w:val="clear" w:color="auto" w:fill="auto"/>
            <w:vAlign w:val="center"/>
          </w:tcPr>
          <w:p w14:paraId="7D0E0884" w14:textId="261BEF12" w:rsidR="00D63708" w:rsidRPr="00C31CA4" w:rsidRDefault="00D63708" w:rsidP="00A87E05">
            <w:pPr>
              <w:pStyle w:val="In-tableHeading"/>
              <w:rPr>
                <w:lang w:val="en-AU"/>
              </w:rPr>
            </w:pPr>
            <w:r w:rsidRPr="00C31CA4">
              <w:rPr>
                <w:lang w:val="en-AU"/>
              </w:rPr>
              <w:t>Estimated financial implications of eltrombopag</w:t>
            </w:r>
          </w:p>
        </w:tc>
      </w:tr>
      <w:tr w:rsidR="00BA37CA" w:rsidRPr="00C31CA4" w14:paraId="4B4ACF1A" w14:textId="77777777" w:rsidTr="00414D79">
        <w:tc>
          <w:tcPr>
            <w:tcW w:w="1334" w:type="pct"/>
            <w:shd w:val="clear" w:color="auto" w:fill="auto"/>
            <w:vAlign w:val="center"/>
          </w:tcPr>
          <w:p w14:paraId="467993BD" w14:textId="6AD29BA4" w:rsidR="00BA37CA" w:rsidRPr="00C31CA4" w:rsidRDefault="00BA37CA" w:rsidP="00A87E05">
            <w:pPr>
              <w:pStyle w:val="TableText0"/>
              <w:rPr>
                <w:szCs w:val="20"/>
              </w:rPr>
            </w:pPr>
            <w:r w:rsidRPr="00C31CA4">
              <w:rPr>
                <w:szCs w:val="20"/>
              </w:rPr>
              <w:t xml:space="preserve">Cost to PBS/RPBS less </w:t>
            </w:r>
            <w:r w:rsidR="00677783" w:rsidRPr="00C31CA4">
              <w:rPr>
                <w:szCs w:val="20"/>
              </w:rPr>
              <w:t>co-payments</w:t>
            </w:r>
            <w:r w:rsidRPr="00C31CA4">
              <w:rPr>
                <w:szCs w:val="20"/>
              </w:rPr>
              <w:t xml:space="preserve"> - revised</w:t>
            </w:r>
          </w:p>
        </w:tc>
        <w:tc>
          <w:tcPr>
            <w:tcW w:w="611" w:type="pct"/>
            <w:shd w:val="clear" w:color="auto" w:fill="auto"/>
            <w:vAlign w:val="center"/>
          </w:tcPr>
          <w:p w14:paraId="4125A2B6" w14:textId="25C322BB" w:rsidR="00BA37CA" w:rsidRPr="00C31CA4" w:rsidRDefault="004A6237" w:rsidP="00A87E05">
            <w:pPr>
              <w:pStyle w:val="TableText0"/>
              <w:jc w:val="center"/>
              <w:rPr>
                <w:bCs w:val="0"/>
                <w:szCs w:val="20"/>
              </w:rPr>
            </w:pPr>
            <w:r>
              <w:rPr>
                <w:rFonts w:cs="Arial"/>
                <w:bCs w:val="0"/>
                <w:color w:val="000000"/>
                <w:szCs w:val="20"/>
              </w:rPr>
              <w:t>$</w:t>
            </w:r>
            <w:r w:rsidR="008D1DF1" w:rsidRPr="004A6237">
              <w:rPr>
                <w:rFonts w:cs="Arial" w:hint="eastAsia"/>
                <w:bCs w:val="0"/>
                <w:color w:val="000000"/>
                <w:w w:val="33"/>
                <w:szCs w:val="20"/>
                <w:shd w:val="solid" w:color="000000" w:fill="000000"/>
                <w:fitText w:val="150" w:id="-1032071935"/>
                <w14:textFill>
                  <w14:solidFill>
                    <w14:srgbClr w14:val="000000">
                      <w14:alpha w14:val="100000"/>
                    </w14:srgbClr>
                  </w14:solidFill>
                </w14:textFill>
              </w:rPr>
              <w:t xml:space="preserve">　</w:t>
            </w:r>
            <w:r w:rsidR="008D1DF1" w:rsidRPr="004A6237">
              <w:rPr>
                <w:rFonts w:cs="Arial"/>
                <w:bCs w:val="0"/>
                <w:color w:val="000000"/>
                <w:w w:val="33"/>
                <w:szCs w:val="20"/>
                <w:shd w:val="solid" w:color="000000" w:fill="000000"/>
                <w:fitText w:val="150" w:id="-1032071935"/>
                <w14:textFill>
                  <w14:solidFill>
                    <w14:srgbClr w14:val="000000">
                      <w14:alpha w14:val="100000"/>
                    </w14:srgbClr>
                  </w14:solidFill>
                </w14:textFill>
              </w:rPr>
              <w:t>|</w:t>
            </w:r>
            <w:r w:rsidR="008D1DF1" w:rsidRPr="004A6237">
              <w:rPr>
                <w:rFonts w:cs="Arial" w:hint="eastAsia"/>
                <w:bCs w:val="0"/>
                <w:color w:val="000000"/>
                <w:w w:val="33"/>
                <w:szCs w:val="20"/>
                <w:shd w:val="solid" w:color="000000" w:fill="000000"/>
                <w:fitText w:val="150" w:id="-1032071935"/>
                <w14:textFill>
                  <w14:solidFill>
                    <w14:srgbClr w14:val="000000">
                      <w14:alpha w14:val="100000"/>
                    </w14:srgbClr>
                  </w14:solidFill>
                </w14:textFill>
              </w:rPr>
              <w:t xml:space="preserve">　</w:t>
            </w:r>
            <w:r w:rsidR="0054042C">
              <w:rPr>
                <w:rFonts w:cs="Arial"/>
                <w:bCs w:val="0"/>
                <w:color w:val="000000"/>
                <w:szCs w:val="20"/>
              </w:rPr>
              <w:t xml:space="preserve"> </w:t>
            </w:r>
            <w:r w:rsidR="0054042C" w:rsidRPr="0054042C">
              <w:rPr>
                <w:rFonts w:cs="Arial"/>
                <w:bCs w:val="0"/>
                <w:color w:val="000000"/>
                <w:szCs w:val="20"/>
                <w:vertAlign w:val="superscript"/>
              </w:rPr>
              <w:t>2</w:t>
            </w:r>
          </w:p>
        </w:tc>
        <w:tc>
          <w:tcPr>
            <w:tcW w:w="611" w:type="pct"/>
            <w:shd w:val="clear" w:color="auto" w:fill="auto"/>
            <w:vAlign w:val="center"/>
          </w:tcPr>
          <w:p w14:paraId="5BDFECEB" w14:textId="20D51F91" w:rsidR="00BA37CA" w:rsidRPr="00C31CA4" w:rsidRDefault="004A6237" w:rsidP="00A87E05">
            <w:pPr>
              <w:pStyle w:val="TableText0"/>
              <w:jc w:val="center"/>
              <w:rPr>
                <w:bCs w:val="0"/>
                <w:szCs w:val="20"/>
              </w:rPr>
            </w:pPr>
            <w:r>
              <w:rPr>
                <w:rFonts w:cs="Arial"/>
                <w:bCs w:val="0"/>
                <w:color w:val="000000"/>
                <w:szCs w:val="20"/>
              </w:rPr>
              <w:t>$</w:t>
            </w:r>
            <w:r w:rsidR="008D1DF1" w:rsidRPr="004A6237">
              <w:rPr>
                <w:rFonts w:cs="Arial" w:hint="eastAsia"/>
                <w:bCs w:val="0"/>
                <w:color w:val="000000"/>
                <w:w w:val="27"/>
                <w:szCs w:val="20"/>
                <w:shd w:val="solid" w:color="000000" w:fill="000000"/>
                <w:fitText w:val="120" w:id="-1032071934"/>
                <w14:textFill>
                  <w14:solidFill>
                    <w14:srgbClr w14:val="000000">
                      <w14:alpha w14:val="100000"/>
                    </w14:srgbClr>
                  </w14:solidFill>
                </w14:textFill>
              </w:rPr>
              <w:t xml:space="preserve">　</w:t>
            </w:r>
            <w:r w:rsidR="008D1DF1" w:rsidRPr="004A6237">
              <w:rPr>
                <w:rFonts w:cs="Arial"/>
                <w:bCs w:val="0"/>
                <w:color w:val="000000"/>
                <w:w w:val="27"/>
                <w:szCs w:val="20"/>
                <w:shd w:val="solid" w:color="000000" w:fill="000000"/>
                <w:fitText w:val="120" w:id="-1032071934"/>
                <w14:textFill>
                  <w14:solidFill>
                    <w14:srgbClr w14:val="000000">
                      <w14:alpha w14:val="100000"/>
                    </w14:srgbClr>
                  </w14:solidFill>
                </w14:textFill>
              </w:rPr>
              <w:t>|</w:t>
            </w:r>
            <w:r w:rsidR="008D1DF1" w:rsidRPr="004A6237">
              <w:rPr>
                <w:rFonts w:cs="Arial" w:hint="eastAsia"/>
                <w:bCs w:val="0"/>
                <w:color w:val="000000"/>
                <w:w w:val="27"/>
                <w:szCs w:val="20"/>
                <w:shd w:val="solid" w:color="000000" w:fill="000000"/>
                <w:fitText w:val="120" w:id="-1032071934"/>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c>
          <w:tcPr>
            <w:tcW w:w="611" w:type="pct"/>
            <w:shd w:val="clear" w:color="auto" w:fill="auto"/>
            <w:vAlign w:val="center"/>
          </w:tcPr>
          <w:p w14:paraId="3890D42E" w14:textId="4A4ED01A" w:rsidR="00BA37CA" w:rsidRPr="00C31CA4" w:rsidRDefault="004A6237" w:rsidP="00A87E05">
            <w:pPr>
              <w:pStyle w:val="TableText0"/>
              <w:jc w:val="center"/>
              <w:rPr>
                <w:bCs w:val="0"/>
                <w:szCs w:val="20"/>
              </w:rPr>
            </w:pPr>
            <w:r>
              <w:rPr>
                <w:rFonts w:cs="Arial"/>
                <w:bCs w:val="0"/>
                <w:color w:val="000000"/>
                <w:szCs w:val="20"/>
              </w:rPr>
              <w:t>$</w:t>
            </w:r>
            <w:r w:rsidR="008D1DF1" w:rsidRPr="004A6237">
              <w:rPr>
                <w:rFonts w:cs="Arial" w:hint="eastAsia"/>
                <w:bCs w:val="0"/>
                <w:color w:val="000000"/>
                <w:w w:val="27"/>
                <w:szCs w:val="20"/>
                <w:shd w:val="solid" w:color="000000" w:fill="000000"/>
                <w:fitText w:val="120" w:id="-1032071933"/>
                <w14:textFill>
                  <w14:solidFill>
                    <w14:srgbClr w14:val="000000">
                      <w14:alpha w14:val="100000"/>
                    </w14:srgbClr>
                  </w14:solidFill>
                </w14:textFill>
              </w:rPr>
              <w:t xml:space="preserve">　</w:t>
            </w:r>
            <w:r w:rsidR="008D1DF1" w:rsidRPr="004A6237">
              <w:rPr>
                <w:rFonts w:cs="Arial"/>
                <w:bCs w:val="0"/>
                <w:color w:val="000000"/>
                <w:w w:val="27"/>
                <w:szCs w:val="20"/>
                <w:shd w:val="solid" w:color="000000" w:fill="000000"/>
                <w:fitText w:val="120" w:id="-1032071933"/>
                <w14:textFill>
                  <w14:solidFill>
                    <w14:srgbClr w14:val="000000">
                      <w14:alpha w14:val="100000"/>
                    </w14:srgbClr>
                  </w14:solidFill>
                </w14:textFill>
              </w:rPr>
              <w:t>|</w:t>
            </w:r>
            <w:r w:rsidR="008D1DF1" w:rsidRPr="004A6237">
              <w:rPr>
                <w:rFonts w:cs="Arial" w:hint="eastAsia"/>
                <w:bCs w:val="0"/>
                <w:color w:val="000000"/>
                <w:w w:val="27"/>
                <w:szCs w:val="20"/>
                <w:shd w:val="solid" w:color="000000" w:fill="000000"/>
                <w:fitText w:val="120" w:id="-1032071933"/>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c>
          <w:tcPr>
            <w:tcW w:w="611" w:type="pct"/>
            <w:shd w:val="clear" w:color="auto" w:fill="auto"/>
            <w:vAlign w:val="center"/>
          </w:tcPr>
          <w:p w14:paraId="2728B643" w14:textId="3C03CB01" w:rsidR="00BA37CA" w:rsidRPr="00C31CA4" w:rsidRDefault="004A6237" w:rsidP="00A87E05">
            <w:pPr>
              <w:pStyle w:val="TableText0"/>
              <w:jc w:val="center"/>
              <w:rPr>
                <w:bCs w:val="0"/>
                <w:szCs w:val="20"/>
              </w:rPr>
            </w:pPr>
            <w:r>
              <w:rPr>
                <w:rFonts w:cs="Arial"/>
                <w:bCs w:val="0"/>
                <w:color w:val="000000"/>
                <w:szCs w:val="20"/>
              </w:rPr>
              <w:t>$</w:t>
            </w:r>
            <w:r w:rsidR="008D1DF1" w:rsidRPr="004A6237">
              <w:rPr>
                <w:rFonts w:cs="Arial" w:hint="eastAsia"/>
                <w:bCs w:val="0"/>
                <w:color w:val="000000"/>
                <w:w w:val="27"/>
                <w:szCs w:val="20"/>
                <w:shd w:val="solid" w:color="000000" w:fill="000000"/>
                <w:fitText w:val="120" w:id="-1032071932"/>
                <w14:textFill>
                  <w14:solidFill>
                    <w14:srgbClr w14:val="000000">
                      <w14:alpha w14:val="100000"/>
                    </w14:srgbClr>
                  </w14:solidFill>
                </w14:textFill>
              </w:rPr>
              <w:t xml:space="preserve">　</w:t>
            </w:r>
            <w:r w:rsidR="008D1DF1" w:rsidRPr="004A6237">
              <w:rPr>
                <w:rFonts w:cs="Arial"/>
                <w:bCs w:val="0"/>
                <w:color w:val="000000"/>
                <w:w w:val="27"/>
                <w:szCs w:val="20"/>
                <w:shd w:val="solid" w:color="000000" w:fill="000000"/>
                <w:fitText w:val="120" w:id="-1032071932"/>
                <w14:textFill>
                  <w14:solidFill>
                    <w14:srgbClr w14:val="000000">
                      <w14:alpha w14:val="100000"/>
                    </w14:srgbClr>
                  </w14:solidFill>
                </w14:textFill>
              </w:rPr>
              <w:t>|</w:t>
            </w:r>
            <w:r w:rsidR="008D1DF1" w:rsidRPr="004A6237">
              <w:rPr>
                <w:rFonts w:cs="Arial" w:hint="eastAsia"/>
                <w:bCs w:val="0"/>
                <w:color w:val="000000"/>
                <w:w w:val="27"/>
                <w:szCs w:val="20"/>
                <w:shd w:val="solid" w:color="000000" w:fill="000000"/>
                <w:fitText w:val="120" w:id="-1032071932"/>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c>
          <w:tcPr>
            <w:tcW w:w="611" w:type="pct"/>
            <w:shd w:val="clear" w:color="auto" w:fill="auto"/>
            <w:vAlign w:val="center"/>
          </w:tcPr>
          <w:p w14:paraId="5FE5021A" w14:textId="74ECE228" w:rsidR="00BA37CA" w:rsidRPr="00C31CA4" w:rsidRDefault="004A6237" w:rsidP="00A87E05">
            <w:pPr>
              <w:pStyle w:val="TableText0"/>
              <w:jc w:val="center"/>
              <w:rPr>
                <w:bCs w:val="0"/>
                <w:szCs w:val="20"/>
              </w:rPr>
            </w:pPr>
            <w:r>
              <w:rPr>
                <w:rFonts w:cs="Arial"/>
                <w:bCs w:val="0"/>
                <w:color w:val="000000"/>
                <w:szCs w:val="20"/>
              </w:rPr>
              <w:t>$</w:t>
            </w:r>
            <w:r w:rsidR="008D1DF1" w:rsidRPr="004A6237">
              <w:rPr>
                <w:rFonts w:cs="Arial" w:hint="eastAsia"/>
                <w:bCs w:val="0"/>
                <w:color w:val="000000"/>
                <w:w w:val="27"/>
                <w:szCs w:val="20"/>
                <w:shd w:val="solid" w:color="000000" w:fill="000000"/>
                <w:fitText w:val="120" w:id="-1032071931"/>
                <w14:textFill>
                  <w14:solidFill>
                    <w14:srgbClr w14:val="000000">
                      <w14:alpha w14:val="100000"/>
                    </w14:srgbClr>
                  </w14:solidFill>
                </w14:textFill>
              </w:rPr>
              <w:t xml:space="preserve">　</w:t>
            </w:r>
            <w:r w:rsidR="008D1DF1" w:rsidRPr="004A6237">
              <w:rPr>
                <w:rFonts w:cs="Arial"/>
                <w:bCs w:val="0"/>
                <w:color w:val="000000"/>
                <w:w w:val="27"/>
                <w:szCs w:val="20"/>
                <w:shd w:val="solid" w:color="000000" w:fill="000000"/>
                <w:fitText w:val="120" w:id="-1032071931"/>
                <w14:textFill>
                  <w14:solidFill>
                    <w14:srgbClr w14:val="000000">
                      <w14:alpha w14:val="100000"/>
                    </w14:srgbClr>
                  </w14:solidFill>
                </w14:textFill>
              </w:rPr>
              <w:t>|</w:t>
            </w:r>
            <w:r w:rsidR="008D1DF1" w:rsidRPr="004A6237">
              <w:rPr>
                <w:rFonts w:cs="Arial" w:hint="eastAsia"/>
                <w:bCs w:val="0"/>
                <w:color w:val="000000"/>
                <w:w w:val="27"/>
                <w:szCs w:val="20"/>
                <w:shd w:val="solid" w:color="000000" w:fill="000000"/>
                <w:fitText w:val="120" w:id="-1032071931"/>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c>
          <w:tcPr>
            <w:tcW w:w="611" w:type="pct"/>
            <w:vAlign w:val="center"/>
          </w:tcPr>
          <w:p w14:paraId="6F8E9082" w14:textId="4AAC6A6D" w:rsidR="00BA37CA" w:rsidRPr="00C31CA4" w:rsidRDefault="004A6237" w:rsidP="00A87E05">
            <w:pPr>
              <w:pStyle w:val="TableText0"/>
              <w:jc w:val="center"/>
              <w:rPr>
                <w:bCs w:val="0"/>
                <w:szCs w:val="20"/>
              </w:rPr>
            </w:pPr>
            <w:r>
              <w:rPr>
                <w:rFonts w:cs="Arial"/>
                <w:bCs w:val="0"/>
                <w:color w:val="000000"/>
                <w:szCs w:val="20"/>
              </w:rPr>
              <w:t>$</w:t>
            </w:r>
            <w:r w:rsidR="008D1DF1" w:rsidRPr="004A6237">
              <w:rPr>
                <w:rFonts w:cs="Arial" w:hint="eastAsia"/>
                <w:bCs w:val="0"/>
                <w:color w:val="000000"/>
                <w:w w:val="27"/>
                <w:szCs w:val="20"/>
                <w:shd w:val="solid" w:color="000000" w:fill="000000"/>
                <w:fitText w:val="120" w:id="-1032071930"/>
                <w14:textFill>
                  <w14:solidFill>
                    <w14:srgbClr w14:val="000000">
                      <w14:alpha w14:val="100000"/>
                    </w14:srgbClr>
                  </w14:solidFill>
                </w14:textFill>
              </w:rPr>
              <w:t xml:space="preserve">　</w:t>
            </w:r>
            <w:r w:rsidR="008D1DF1" w:rsidRPr="004A6237">
              <w:rPr>
                <w:rFonts w:cs="Arial"/>
                <w:bCs w:val="0"/>
                <w:color w:val="000000"/>
                <w:w w:val="27"/>
                <w:szCs w:val="20"/>
                <w:shd w:val="solid" w:color="000000" w:fill="000000"/>
                <w:fitText w:val="120" w:id="-1032071930"/>
                <w14:textFill>
                  <w14:solidFill>
                    <w14:srgbClr w14:val="000000">
                      <w14:alpha w14:val="100000"/>
                    </w14:srgbClr>
                  </w14:solidFill>
                </w14:textFill>
              </w:rPr>
              <w:t>|</w:t>
            </w:r>
            <w:r w:rsidR="008D1DF1" w:rsidRPr="004A6237">
              <w:rPr>
                <w:rFonts w:cs="Arial" w:hint="eastAsia"/>
                <w:bCs w:val="0"/>
                <w:color w:val="000000"/>
                <w:w w:val="27"/>
                <w:szCs w:val="20"/>
                <w:shd w:val="solid" w:color="000000" w:fill="000000"/>
                <w:fitText w:val="120" w:id="-1032071930"/>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r>
      <w:tr w:rsidR="00BA37CA" w:rsidRPr="00C31CA4" w14:paraId="344AC0E2" w14:textId="77777777" w:rsidTr="009C3A3A">
        <w:tc>
          <w:tcPr>
            <w:tcW w:w="5000" w:type="pct"/>
            <w:gridSpan w:val="7"/>
            <w:shd w:val="clear" w:color="auto" w:fill="auto"/>
            <w:vAlign w:val="center"/>
          </w:tcPr>
          <w:p w14:paraId="0FF7E64D" w14:textId="1AC39FFB" w:rsidR="00BA37CA" w:rsidRPr="00C31CA4" w:rsidRDefault="00BA37CA" w:rsidP="00A87E05">
            <w:pPr>
              <w:pStyle w:val="TableText0"/>
              <w:rPr>
                <w:b/>
                <w:bCs w:val="0"/>
                <w:szCs w:val="20"/>
              </w:rPr>
            </w:pPr>
            <w:r w:rsidRPr="00C31CA4">
              <w:rPr>
                <w:b/>
                <w:bCs w:val="0"/>
                <w:szCs w:val="20"/>
              </w:rPr>
              <w:t>Estimated financial implications for filgrastim</w:t>
            </w:r>
          </w:p>
        </w:tc>
      </w:tr>
      <w:tr w:rsidR="00BA37CA" w:rsidRPr="00C31CA4" w14:paraId="5BF93438" w14:textId="77777777" w:rsidTr="00506D5D">
        <w:tc>
          <w:tcPr>
            <w:tcW w:w="1334" w:type="pct"/>
            <w:shd w:val="clear" w:color="auto" w:fill="auto"/>
            <w:vAlign w:val="center"/>
          </w:tcPr>
          <w:p w14:paraId="687CC26A" w14:textId="487BB2C1" w:rsidR="00BA37CA" w:rsidRPr="00C31CA4" w:rsidRDefault="00BA37CA" w:rsidP="00A87E05">
            <w:pPr>
              <w:pStyle w:val="TableText0"/>
              <w:rPr>
                <w:szCs w:val="20"/>
              </w:rPr>
            </w:pPr>
            <w:r w:rsidRPr="00C31CA4">
              <w:rPr>
                <w:szCs w:val="20"/>
              </w:rPr>
              <w:t xml:space="preserve">Cost to PBS/RPBS less </w:t>
            </w:r>
            <w:r w:rsidR="00677783" w:rsidRPr="00C31CA4">
              <w:rPr>
                <w:szCs w:val="20"/>
              </w:rPr>
              <w:t>co-payments</w:t>
            </w:r>
            <w:r w:rsidRPr="00C31CA4">
              <w:rPr>
                <w:szCs w:val="20"/>
              </w:rPr>
              <w:t xml:space="preserve"> - revised</w:t>
            </w:r>
          </w:p>
        </w:tc>
        <w:tc>
          <w:tcPr>
            <w:tcW w:w="611" w:type="pct"/>
            <w:shd w:val="clear" w:color="auto" w:fill="auto"/>
            <w:vAlign w:val="center"/>
          </w:tcPr>
          <w:p w14:paraId="153B3CCB" w14:textId="4DD3C408" w:rsidR="00BA37CA" w:rsidRPr="00440FB7" w:rsidRDefault="00BA37CA" w:rsidP="00A87E05">
            <w:pPr>
              <w:pStyle w:val="TableText0"/>
              <w:jc w:val="center"/>
              <w:rPr>
                <w:rFonts w:cs="Arial"/>
                <w:bCs w:val="0"/>
                <w:szCs w:val="20"/>
                <w:highlight w:val="darkGray"/>
              </w:rPr>
            </w:pPr>
            <w:r w:rsidRPr="0054042C">
              <w:rPr>
                <w:rFonts w:cs="Arial"/>
                <w:bCs w:val="0"/>
                <w:szCs w:val="20"/>
              </w:rPr>
              <w:t>-</w:t>
            </w:r>
            <w:r w:rsidR="004A6237">
              <w:rPr>
                <w:rFonts w:cs="Arial"/>
                <w:bCs w:val="0"/>
                <w:szCs w:val="20"/>
              </w:rPr>
              <w:t>$</w:t>
            </w:r>
            <w:r w:rsidR="008D1DF1" w:rsidRPr="004A6237">
              <w:rPr>
                <w:rFonts w:cs="Arial" w:hint="eastAsia"/>
                <w:bCs w:val="0"/>
                <w:color w:val="000000"/>
                <w:w w:val="33"/>
                <w:szCs w:val="20"/>
                <w:shd w:val="solid" w:color="000000" w:fill="000000"/>
                <w:fitText w:val="150" w:id="-1032071929"/>
                <w14:textFill>
                  <w14:solidFill>
                    <w14:srgbClr w14:val="000000">
                      <w14:alpha w14:val="100000"/>
                    </w14:srgbClr>
                  </w14:solidFill>
                </w14:textFill>
              </w:rPr>
              <w:t xml:space="preserve">　</w:t>
            </w:r>
            <w:r w:rsidR="008D1DF1" w:rsidRPr="004A6237">
              <w:rPr>
                <w:rFonts w:cs="Arial"/>
                <w:bCs w:val="0"/>
                <w:color w:val="000000"/>
                <w:w w:val="33"/>
                <w:szCs w:val="20"/>
                <w:shd w:val="solid" w:color="000000" w:fill="000000"/>
                <w:fitText w:val="150" w:id="-1032071929"/>
                <w14:textFill>
                  <w14:solidFill>
                    <w14:srgbClr w14:val="000000">
                      <w14:alpha w14:val="100000"/>
                    </w14:srgbClr>
                  </w14:solidFill>
                </w14:textFill>
              </w:rPr>
              <w:t>|</w:t>
            </w:r>
            <w:r w:rsidR="008D1DF1" w:rsidRPr="004A6237">
              <w:rPr>
                <w:rFonts w:cs="Arial" w:hint="eastAsia"/>
                <w:bCs w:val="0"/>
                <w:color w:val="000000"/>
                <w:w w:val="33"/>
                <w:szCs w:val="20"/>
                <w:shd w:val="solid" w:color="000000" w:fill="000000"/>
                <w:fitText w:val="150" w:id="-1032071929"/>
                <w14:textFill>
                  <w14:solidFill>
                    <w14:srgbClr w14:val="000000">
                      <w14:alpha w14:val="100000"/>
                    </w14:srgbClr>
                  </w14:solidFill>
                </w14:textFill>
              </w:rPr>
              <w:t xml:space="preserve">　</w:t>
            </w:r>
            <w:r w:rsidR="00F3008C">
              <w:rPr>
                <w:rFonts w:cs="Arial"/>
                <w:bCs w:val="0"/>
                <w:color w:val="000000"/>
                <w:szCs w:val="20"/>
                <w:vertAlign w:val="superscript"/>
              </w:rPr>
              <w:t>3</w:t>
            </w:r>
          </w:p>
        </w:tc>
        <w:tc>
          <w:tcPr>
            <w:tcW w:w="611" w:type="pct"/>
            <w:shd w:val="clear" w:color="auto" w:fill="auto"/>
            <w:vAlign w:val="center"/>
          </w:tcPr>
          <w:p w14:paraId="1C97FAE2" w14:textId="35D98C64" w:rsidR="00BA37CA" w:rsidRPr="00440FB7" w:rsidRDefault="00BA37CA" w:rsidP="00A87E05">
            <w:pPr>
              <w:pStyle w:val="TableText0"/>
              <w:jc w:val="center"/>
              <w:rPr>
                <w:rFonts w:cs="Arial"/>
                <w:bCs w:val="0"/>
                <w:szCs w:val="20"/>
                <w:highlight w:val="darkGray"/>
              </w:rPr>
            </w:pPr>
            <w:r w:rsidRPr="0054042C">
              <w:rPr>
                <w:rFonts w:cs="Arial"/>
                <w:bCs w:val="0"/>
                <w:szCs w:val="20"/>
              </w:rPr>
              <w:t>-</w:t>
            </w:r>
            <w:r w:rsidR="004A6237">
              <w:rPr>
                <w:rFonts w:cs="Arial"/>
                <w:bCs w:val="0"/>
                <w:szCs w:val="20"/>
              </w:rPr>
              <w:t>$</w:t>
            </w:r>
            <w:r w:rsidR="008D1DF1" w:rsidRPr="004A6237">
              <w:rPr>
                <w:rFonts w:cs="Arial" w:hint="eastAsia"/>
                <w:bCs w:val="0"/>
                <w:color w:val="000000"/>
                <w:w w:val="33"/>
                <w:szCs w:val="20"/>
                <w:shd w:val="solid" w:color="000000" w:fill="000000"/>
                <w:fitText w:val="150" w:id="-1032071928"/>
                <w14:textFill>
                  <w14:solidFill>
                    <w14:srgbClr w14:val="000000">
                      <w14:alpha w14:val="100000"/>
                    </w14:srgbClr>
                  </w14:solidFill>
                </w14:textFill>
              </w:rPr>
              <w:t xml:space="preserve">　</w:t>
            </w:r>
            <w:r w:rsidR="008D1DF1" w:rsidRPr="004A6237">
              <w:rPr>
                <w:rFonts w:cs="Arial"/>
                <w:bCs w:val="0"/>
                <w:color w:val="000000"/>
                <w:w w:val="33"/>
                <w:szCs w:val="20"/>
                <w:shd w:val="solid" w:color="000000" w:fill="000000"/>
                <w:fitText w:val="150" w:id="-1032071928"/>
                <w14:textFill>
                  <w14:solidFill>
                    <w14:srgbClr w14:val="000000">
                      <w14:alpha w14:val="100000"/>
                    </w14:srgbClr>
                  </w14:solidFill>
                </w14:textFill>
              </w:rPr>
              <w:t>|</w:t>
            </w:r>
            <w:r w:rsidR="008D1DF1" w:rsidRPr="004A6237">
              <w:rPr>
                <w:rFonts w:cs="Arial" w:hint="eastAsia"/>
                <w:bCs w:val="0"/>
                <w:color w:val="000000"/>
                <w:w w:val="33"/>
                <w:szCs w:val="20"/>
                <w:shd w:val="solid" w:color="000000" w:fill="000000"/>
                <w:fitText w:val="150" w:id="-1032071928"/>
                <w14:textFill>
                  <w14:solidFill>
                    <w14:srgbClr w14:val="000000">
                      <w14:alpha w14:val="100000"/>
                    </w14:srgbClr>
                  </w14:solidFill>
                </w14:textFill>
              </w:rPr>
              <w:t xml:space="preserve">　</w:t>
            </w:r>
            <w:r w:rsidR="00F3008C">
              <w:rPr>
                <w:rFonts w:cs="Arial"/>
                <w:bCs w:val="0"/>
                <w:color w:val="000000"/>
                <w:szCs w:val="20"/>
                <w:vertAlign w:val="superscript"/>
              </w:rPr>
              <w:t>3</w:t>
            </w:r>
          </w:p>
        </w:tc>
        <w:tc>
          <w:tcPr>
            <w:tcW w:w="611" w:type="pct"/>
            <w:shd w:val="clear" w:color="auto" w:fill="auto"/>
            <w:vAlign w:val="center"/>
          </w:tcPr>
          <w:p w14:paraId="0D80805A" w14:textId="4FD8BC1E" w:rsidR="00BA37CA" w:rsidRPr="0054042C" w:rsidRDefault="00BA37CA" w:rsidP="00A87E05">
            <w:pPr>
              <w:pStyle w:val="TableText0"/>
              <w:jc w:val="center"/>
              <w:rPr>
                <w:rFonts w:cs="Arial"/>
                <w:bCs w:val="0"/>
                <w:szCs w:val="20"/>
              </w:rPr>
            </w:pPr>
            <w:r w:rsidRPr="0054042C">
              <w:rPr>
                <w:rFonts w:cs="Arial"/>
                <w:bCs w:val="0"/>
                <w:szCs w:val="20"/>
              </w:rPr>
              <w:t>-</w:t>
            </w:r>
            <w:r w:rsidR="004A6237">
              <w:rPr>
                <w:rFonts w:cs="Arial"/>
                <w:bCs w:val="0"/>
                <w:szCs w:val="20"/>
              </w:rPr>
              <w:t>$</w:t>
            </w:r>
            <w:r w:rsidR="008D1DF1" w:rsidRPr="004A6237">
              <w:rPr>
                <w:rFonts w:cs="Arial" w:hint="eastAsia"/>
                <w:bCs w:val="0"/>
                <w:color w:val="000000"/>
                <w:w w:val="33"/>
                <w:szCs w:val="20"/>
                <w:shd w:val="solid" w:color="000000" w:fill="000000"/>
                <w:fitText w:val="150" w:id="-1032071927"/>
                <w14:textFill>
                  <w14:solidFill>
                    <w14:srgbClr w14:val="000000">
                      <w14:alpha w14:val="100000"/>
                    </w14:srgbClr>
                  </w14:solidFill>
                </w14:textFill>
              </w:rPr>
              <w:t xml:space="preserve">　</w:t>
            </w:r>
            <w:r w:rsidR="008D1DF1" w:rsidRPr="004A6237">
              <w:rPr>
                <w:rFonts w:cs="Arial"/>
                <w:bCs w:val="0"/>
                <w:color w:val="000000"/>
                <w:w w:val="33"/>
                <w:szCs w:val="20"/>
                <w:shd w:val="solid" w:color="000000" w:fill="000000"/>
                <w:fitText w:val="150" w:id="-1032071927"/>
                <w14:textFill>
                  <w14:solidFill>
                    <w14:srgbClr w14:val="000000">
                      <w14:alpha w14:val="100000"/>
                    </w14:srgbClr>
                  </w14:solidFill>
                </w14:textFill>
              </w:rPr>
              <w:t>|</w:t>
            </w:r>
            <w:r w:rsidR="008D1DF1" w:rsidRPr="004A6237">
              <w:rPr>
                <w:rFonts w:cs="Arial" w:hint="eastAsia"/>
                <w:bCs w:val="0"/>
                <w:color w:val="000000"/>
                <w:w w:val="33"/>
                <w:szCs w:val="20"/>
                <w:shd w:val="solid" w:color="000000" w:fill="000000"/>
                <w:fitText w:val="150" w:id="-1032071927"/>
                <w14:textFill>
                  <w14:solidFill>
                    <w14:srgbClr w14:val="000000">
                      <w14:alpha w14:val="100000"/>
                    </w14:srgbClr>
                  </w14:solidFill>
                </w14:textFill>
              </w:rPr>
              <w:t xml:space="preserve">　</w:t>
            </w:r>
            <w:r w:rsidR="00F3008C">
              <w:rPr>
                <w:rFonts w:cs="Arial"/>
                <w:bCs w:val="0"/>
                <w:color w:val="000000"/>
                <w:szCs w:val="20"/>
                <w:vertAlign w:val="superscript"/>
              </w:rPr>
              <w:t>3</w:t>
            </w:r>
          </w:p>
        </w:tc>
        <w:tc>
          <w:tcPr>
            <w:tcW w:w="611" w:type="pct"/>
            <w:shd w:val="clear" w:color="auto" w:fill="auto"/>
            <w:vAlign w:val="center"/>
          </w:tcPr>
          <w:p w14:paraId="15C8C4C7" w14:textId="75EABE27" w:rsidR="00BA37CA" w:rsidRPr="00440FB7" w:rsidRDefault="00BA37CA" w:rsidP="00A87E05">
            <w:pPr>
              <w:pStyle w:val="TableText0"/>
              <w:jc w:val="center"/>
              <w:rPr>
                <w:rFonts w:cs="Arial"/>
                <w:bCs w:val="0"/>
                <w:szCs w:val="20"/>
                <w:highlight w:val="darkGray"/>
              </w:rPr>
            </w:pPr>
            <w:r w:rsidRPr="0054042C">
              <w:rPr>
                <w:rFonts w:cs="Arial"/>
                <w:bCs w:val="0"/>
                <w:szCs w:val="20"/>
              </w:rPr>
              <w:t>-</w:t>
            </w:r>
            <w:r w:rsidR="004A6237">
              <w:rPr>
                <w:rFonts w:cs="Arial"/>
                <w:bCs w:val="0"/>
                <w:szCs w:val="20"/>
              </w:rPr>
              <w:t>$</w:t>
            </w:r>
            <w:r w:rsidR="008D1DF1" w:rsidRPr="004A6237">
              <w:rPr>
                <w:rFonts w:cs="Arial" w:hint="eastAsia"/>
                <w:bCs w:val="0"/>
                <w:color w:val="000000"/>
                <w:w w:val="33"/>
                <w:szCs w:val="20"/>
                <w:shd w:val="solid" w:color="000000" w:fill="000000"/>
                <w:fitText w:val="150" w:id="-1032071926"/>
                <w14:textFill>
                  <w14:solidFill>
                    <w14:srgbClr w14:val="000000">
                      <w14:alpha w14:val="100000"/>
                    </w14:srgbClr>
                  </w14:solidFill>
                </w14:textFill>
              </w:rPr>
              <w:t xml:space="preserve">　</w:t>
            </w:r>
            <w:r w:rsidR="008D1DF1" w:rsidRPr="004A6237">
              <w:rPr>
                <w:rFonts w:cs="Arial"/>
                <w:bCs w:val="0"/>
                <w:color w:val="000000"/>
                <w:w w:val="33"/>
                <w:szCs w:val="20"/>
                <w:shd w:val="solid" w:color="000000" w:fill="000000"/>
                <w:fitText w:val="150" w:id="-1032071926"/>
                <w14:textFill>
                  <w14:solidFill>
                    <w14:srgbClr w14:val="000000">
                      <w14:alpha w14:val="100000"/>
                    </w14:srgbClr>
                  </w14:solidFill>
                </w14:textFill>
              </w:rPr>
              <w:t>|</w:t>
            </w:r>
            <w:r w:rsidR="008D1DF1" w:rsidRPr="004A6237">
              <w:rPr>
                <w:rFonts w:cs="Arial" w:hint="eastAsia"/>
                <w:bCs w:val="0"/>
                <w:color w:val="000000"/>
                <w:w w:val="33"/>
                <w:szCs w:val="20"/>
                <w:shd w:val="solid" w:color="000000" w:fill="000000"/>
                <w:fitText w:val="150" w:id="-1032071926"/>
                <w14:textFill>
                  <w14:solidFill>
                    <w14:srgbClr w14:val="000000">
                      <w14:alpha w14:val="100000"/>
                    </w14:srgbClr>
                  </w14:solidFill>
                </w14:textFill>
              </w:rPr>
              <w:t xml:space="preserve">　</w:t>
            </w:r>
            <w:r w:rsidR="00F3008C">
              <w:rPr>
                <w:rFonts w:cs="Arial"/>
                <w:bCs w:val="0"/>
                <w:color w:val="000000"/>
                <w:szCs w:val="20"/>
                <w:vertAlign w:val="superscript"/>
              </w:rPr>
              <w:t>3</w:t>
            </w:r>
          </w:p>
        </w:tc>
        <w:tc>
          <w:tcPr>
            <w:tcW w:w="611" w:type="pct"/>
            <w:shd w:val="clear" w:color="auto" w:fill="auto"/>
            <w:vAlign w:val="center"/>
          </w:tcPr>
          <w:p w14:paraId="5231D617" w14:textId="5306BA20" w:rsidR="00BA37CA" w:rsidRPr="00440FB7" w:rsidRDefault="00BA37CA" w:rsidP="00A87E05">
            <w:pPr>
              <w:pStyle w:val="TableText0"/>
              <w:jc w:val="center"/>
              <w:rPr>
                <w:rFonts w:cs="Arial"/>
                <w:bCs w:val="0"/>
                <w:szCs w:val="20"/>
                <w:highlight w:val="darkGray"/>
              </w:rPr>
            </w:pPr>
            <w:r w:rsidRPr="0054042C">
              <w:rPr>
                <w:rFonts w:cs="Arial"/>
                <w:bCs w:val="0"/>
                <w:szCs w:val="20"/>
              </w:rPr>
              <w:t>-</w:t>
            </w:r>
            <w:r w:rsidR="004A6237">
              <w:rPr>
                <w:rFonts w:cs="Arial"/>
                <w:bCs w:val="0"/>
                <w:szCs w:val="20"/>
              </w:rPr>
              <w:t>$</w:t>
            </w:r>
            <w:r w:rsidR="008D1DF1" w:rsidRPr="004A6237">
              <w:rPr>
                <w:rFonts w:cs="Arial" w:hint="eastAsia"/>
                <w:bCs w:val="0"/>
                <w:color w:val="000000"/>
                <w:w w:val="33"/>
                <w:szCs w:val="20"/>
                <w:shd w:val="solid" w:color="000000" w:fill="000000"/>
                <w:fitText w:val="150" w:id="-1032071925"/>
                <w14:textFill>
                  <w14:solidFill>
                    <w14:srgbClr w14:val="000000">
                      <w14:alpha w14:val="100000"/>
                    </w14:srgbClr>
                  </w14:solidFill>
                </w14:textFill>
              </w:rPr>
              <w:t xml:space="preserve">　</w:t>
            </w:r>
            <w:r w:rsidR="008D1DF1" w:rsidRPr="004A6237">
              <w:rPr>
                <w:rFonts w:cs="Arial"/>
                <w:bCs w:val="0"/>
                <w:color w:val="000000"/>
                <w:w w:val="33"/>
                <w:szCs w:val="20"/>
                <w:shd w:val="solid" w:color="000000" w:fill="000000"/>
                <w:fitText w:val="150" w:id="-1032071925"/>
                <w14:textFill>
                  <w14:solidFill>
                    <w14:srgbClr w14:val="000000">
                      <w14:alpha w14:val="100000"/>
                    </w14:srgbClr>
                  </w14:solidFill>
                </w14:textFill>
              </w:rPr>
              <w:t>|</w:t>
            </w:r>
            <w:r w:rsidR="008D1DF1" w:rsidRPr="004A6237">
              <w:rPr>
                <w:rFonts w:cs="Arial" w:hint="eastAsia"/>
                <w:bCs w:val="0"/>
                <w:color w:val="000000"/>
                <w:w w:val="33"/>
                <w:szCs w:val="20"/>
                <w:shd w:val="solid" w:color="000000" w:fill="000000"/>
                <w:fitText w:val="150" w:id="-1032071925"/>
                <w14:textFill>
                  <w14:solidFill>
                    <w14:srgbClr w14:val="000000">
                      <w14:alpha w14:val="100000"/>
                    </w14:srgbClr>
                  </w14:solidFill>
                </w14:textFill>
              </w:rPr>
              <w:t xml:space="preserve">　</w:t>
            </w:r>
            <w:r w:rsidR="00F3008C">
              <w:rPr>
                <w:rFonts w:cs="Arial"/>
                <w:bCs w:val="0"/>
                <w:color w:val="000000"/>
                <w:szCs w:val="20"/>
                <w:vertAlign w:val="superscript"/>
              </w:rPr>
              <w:t>3</w:t>
            </w:r>
          </w:p>
        </w:tc>
        <w:tc>
          <w:tcPr>
            <w:tcW w:w="611" w:type="pct"/>
            <w:vAlign w:val="center"/>
          </w:tcPr>
          <w:p w14:paraId="5CEF1B5A" w14:textId="441046B9" w:rsidR="00BA37CA" w:rsidRPr="00440FB7" w:rsidRDefault="00BA37CA" w:rsidP="00A87E05">
            <w:pPr>
              <w:pStyle w:val="TableText0"/>
              <w:jc w:val="center"/>
              <w:rPr>
                <w:rFonts w:cs="Arial"/>
                <w:bCs w:val="0"/>
                <w:szCs w:val="20"/>
                <w:highlight w:val="darkGray"/>
              </w:rPr>
            </w:pPr>
            <w:r w:rsidRPr="0054042C">
              <w:rPr>
                <w:rFonts w:cs="Arial"/>
                <w:bCs w:val="0"/>
                <w:szCs w:val="20"/>
              </w:rPr>
              <w:t>-</w:t>
            </w:r>
            <w:r w:rsidR="004A6237">
              <w:rPr>
                <w:rFonts w:cs="Arial"/>
                <w:bCs w:val="0"/>
                <w:szCs w:val="20"/>
              </w:rPr>
              <w:t>$</w:t>
            </w:r>
            <w:r w:rsidR="008D1DF1" w:rsidRPr="004A6237">
              <w:rPr>
                <w:rFonts w:cs="Arial" w:hint="eastAsia"/>
                <w:bCs w:val="0"/>
                <w:color w:val="000000"/>
                <w:w w:val="33"/>
                <w:szCs w:val="20"/>
                <w:shd w:val="solid" w:color="000000" w:fill="000000"/>
                <w:fitText w:val="150" w:id="-1032071924"/>
                <w14:textFill>
                  <w14:solidFill>
                    <w14:srgbClr w14:val="000000">
                      <w14:alpha w14:val="100000"/>
                    </w14:srgbClr>
                  </w14:solidFill>
                </w14:textFill>
              </w:rPr>
              <w:t xml:space="preserve">　</w:t>
            </w:r>
            <w:r w:rsidR="008D1DF1" w:rsidRPr="004A6237">
              <w:rPr>
                <w:rFonts w:cs="Arial"/>
                <w:bCs w:val="0"/>
                <w:color w:val="000000"/>
                <w:w w:val="33"/>
                <w:szCs w:val="20"/>
                <w:shd w:val="solid" w:color="000000" w:fill="000000"/>
                <w:fitText w:val="150" w:id="-1032071924"/>
                <w14:textFill>
                  <w14:solidFill>
                    <w14:srgbClr w14:val="000000">
                      <w14:alpha w14:val="100000"/>
                    </w14:srgbClr>
                  </w14:solidFill>
                </w14:textFill>
              </w:rPr>
              <w:t>|</w:t>
            </w:r>
            <w:r w:rsidR="008D1DF1" w:rsidRPr="004A6237">
              <w:rPr>
                <w:rFonts w:cs="Arial" w:hint="eastAsia"/>
                <w:bCs w:val="0"/>
                <w:color w:val="000000"/>
                <w:w w:val="33"/>
                <w:szCs w:val="20"/>
                <w:shd w:val="solid" w:color="000000" w:fill="000000"/>
                <w:fitText w:val="150" w:id="-1032071924"/>
                <w14:textFill>
                  <w14:solidFill>
                    <w14:srgbClr w14:val="000000">
                      <w14:alpha w14:val="100000"/>
                    </w14:srgbClr>
                  </w14:solidFill>
                </w14:textFill>
              </w:rPr>
              <w:t xml:space="preserve">　</w:t>
            </w:r>
            <w:r w:rsidR="00F3008C">
              <w:rPr>
                <w:rFonts w:cs="Arial"/>
                <w:bCs w:val="0"/>
                <w:color w:val="000000"/>
                <w:szCs w:val="20"/>
                <w:vertAlign w:val="superscript"/>
              </w:rPr>
              <w:t>3</w:t>
            </w:r>
          </w:p>
        </w:tc>
      </w:tr>
      <w:tr w:rsidR="00BA37CA" w:rsidRPr="00C31CA4" w14:paraId="4FA07BD8" w14:textId="77777777" w:rsidTr="009C3A3A">
        <w:tc>
          <w:tcPr>
            <w:tcW w:w="5000" w:type="pct"/>
            <w:gridSpan w:val="7"/>
            <w:shd w:val="clear" w:color="auto" w:fill="auto"/>
            <w:vAlign w:val="center"/>
          </w:tcPr>
          <w:p w14:paraId="1A627EA0" w14:textId="68B114AE" w:rsidR="00BA37CA" w:rsidRPr="00C31CA4" w:rsidRDefault="00BA37CA" w:rsidP="00A87E05">
            <w:pPr>
              <w:pStyle w:val="In-tableHeading"/>
              <w:rPr>
                <w:szCs w:val="20"/>
                <w:lang w:val="en-AU"/>
              </w:rPr>
            </w:pPr>
            <w:r w:rsidRPr="00C31CA4">
              <w:rPr>
                <w:szCs w:val="20"/>
                <w:lang w:val="en-AU"/>
              </w:rPr>
              <w:t xml:space="preserve">Net financial implications </w:t>
            </w:r>
          </w:p>
        </w:tc>
      </w:tr>
      <w:tr w:rsidR="00BA37CA" w:rsidRPr="00C31CA4" w14:paraId="3F33D4C6" w14:textId="77777777" w:rsidTr="003D4EBB">
        <w:tc>
          <w:tcPr>
            <w:tcW w:w="1334" w:type="pct"/>
            <w:shd w:val="clear" w:color="auto" w:fill="auto"/>
            <w:vAlign w:val="center"/>
          </w:tcPr>
          <w:p w14:paraId="5ABBDE64" w14:textId="77777777" w:rsidR="00BA37CA" w:rsidRPr="00C31CA4" w:rsidRDefault="00BA37CA" w:rsidP="00A87E05">
            <w:pPr>
              <w:pStyle w:val="TableText0"/>
              <w:rPr>
                <w:szCs w:val="20"/>
              </w:rPr>
            </w:pPr>
            <w:r w:rsidRPr="00C31CA4">
              <w:rPr>
                <w:szCs w:val="20"/>
              </w:rPr>
              <w:t>Net cost to PBS/RPBS</w:t>
            </w:r>
          </w:p>
        </w:tc>
        <w:tc>
          <w:tcPr>
            <w:tcW w:w="611" w:type="pct"/>
            <w:shd w:val="clear" w:color="auto" w:fill="auto"/>
            <w:vAlign w:val="center"/>
          </w:tcPr>
          <w:p w14:paraId="744F82C2" w14:textId="29BBB1AD" w:rsidR="00BA37CA" w:rsidRPr="00C31CA4" w:rsidRDefault="004A6237" w:rsidP="00A87E05">
            <w:pPr>
              <w:pStyle w:val="TableText0"/>
              <w:jc w:val="center"/>
              <w:rPr>
                <w:szCs w:val="20"/>
              </w:rPr>
            </w:pPr>
            <w:r>
              <w:rPr>
                <w:rFonts w:cs="Arial"/>
                <w:color w:val="000000"/>
                <w:szCs w:val="20"/>
              </w:rPr>
              <w:t>$</w:t>
            </w:r>
            <w:r w:rsidR="008D1DF1" w:rsidRPr="004A6237">
              <w:rPr>
                <w:rFonts w:cs="Arial" w:hint="eastAsia"/>
                <w:color w:val="000000"/>
                <w:w w:val="27"/>
                <w:szCs w:val="20"/>
                <w:shd w:val="solid" w:color="000000" w:fill="000000"/>
                <w:fitText w:val="120" w:id="-1032071923"/>
                <w14:textFill>
                  <w14:solidFill>
                    <w14:srgbClr w14:val="000000">
                      <w14:alpha w14:val="100000"/>
                    </w14:srgbClr>
                  </w14:solidFill>
                </w14:textFill>
              </w:rPr>
              <w:t xml:space="preserve">　</w:t>
            </w:r>
            <w:r w:rsidR="008D1DF1" w:rsidRPr="004A6237">
              <w:rPr>
                <w:rFonts w:cs="Arial"/>
                <w:color w:val="000000"/>
                <w:w w:val="27"/>
                <w:szCs w:val="20"/>
                <w:shd w:val="solid" w:color="000000" w:fill="000000"/>
                <w:fitText w:val="120" w:id="-1032071923"/>
                <w14:textFill>
                  <w14:solidFill>
                    <w14:srgbClr w14:val="000000">
                      <w14:alpha w14:val="100000"/>
                    </w14:srgbClr>
                  </w14:solidFill>
                </w14:textFill>
              </w:rPr>
              <w:t>|</w:t>
            </w:r>
            <w:r w:rsidR="008D1DF1" w:rsidRPr="004A6237">
              <w:rPr>
                <w:rFonts w:cs="Arial" w:hint="eastAsia"/>
                <w:color w:val="000000"/>
                <w:w w:val="27"/>
                <w:szCs w:val="20"/>
                <w:shd w:val="solid" w:color="000000" w:fill="000000"/>
                <w:fitText w:val="120" w:id="-1032071923"/>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c>
          <w:tcPr>
            <w:tcW w:w="611" w:type="pct"/>
            <w:shd w:val="clear" w:color="auto" w:fill="auto"/>
            <w:vAlign w:val="center"/>
          </w:tcPr>
          <w:p w14:paraId="295843EA" w14:textId="26099FA6" w:rsidR="00BA37CA" w:rsidRPr="00C31CA4" w:rsidRDefault="004A6237" w:rsidP="00A87E05">
            <w:pPr>
              <w:pStyle w:val="TableText0"/>
              <w:jc w:val="center"/>
              <w:rPr>
                <w:szCs w:val="20"/>
              </w:rPr>
            </w:pPr>
            <w:r>
              <w:rPr>
                <w:rFonts w:cs="Arial"/>
                <w:color w:val="000000"/>
                <w:szCs w:val="20"/>
              </w:rPr>
              <w:t>$</w:t>
            </w:r>
            <w:r w:rsidR="008D1DF1" w:rsidRPr="004A6237">
              <w:rPr>
                <w:rFonts w:cs="Arial" w:hint="eastAsia"/>
                <w:color w:val="000000"/>
                <w:w w:val="27"/>
                <w:szCs w:val="20"/>
                <w:shd w:val="solid" w:color="000000" w:fill="000000"/>
                <w:fitText w:val="120" w:id="-1032071922"/>
                <w14:textFill>
                  <w14:solidFill>
                    <w14:srgbClr w14:val="000000">
                      <w14:alpha w14:val="100000"/>
                    </w14:srgbClr>
                  </w14:solidFill>
                </w14:textFill>
              </w:rPr>
              <w:t xml:space="preserve">　</w:t>
            </w:r>
            <w:r w:rsidR="008D1DF1" w:rsidRPr="004A6237">
              <w:rPr>
                <w:rFonts w:cs="Arial"/>
                <w:color w:val="000000"/>
                <w:w w:val="27"/>
                <w:szCs w:val="20"/>
                <w:shd w:val="solid" w:color="000000" w:fill="000000"/>
                <w:fitText w:val="120" w:id="-1032071922"/>
                <w14:textFill>
                  <w14:solidFill>
                    <w14:srgbClr w14:val="000000">
                      <w14:alpha w14:val="100000"/>
                    </w14:srgbClr>
                  </w14:solidFill>
                </w14:textFill>
              </w:rPr>
              <w:t>|</w:t>
            </w:r>
            <w:r w:rsidR="008D1DF1" w:rsidRPr="004A6237">
              <w:rPr>
                <w:rFonts w:cs="Arial" w:hint="eastAsia"/>
                <w:color w:val="000000"/>
                <w:w w:val="27"/>
                <w:szCs w:val="20"/>
                <w:shd w:val="solid" w:color="000000" w:fill="000000"/>
                <w:fitText w:val="120" w:id="-1032071922"/>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c>
          <w:tcPr>
            <w:tcW w:w="611" w:type="pct"/>
            <w:shd w:val="clear" w:color="auto" w:fill="auto"/>
            <w:vAlign w:val="center"/>
          </w:tcPr>
          <w:p w14:paraId="3A32302A" w14:textId="719BCD93" w:rsidR="00BA37CA" w:rsidRPr="00C31CA4" w:rsidRDefault="004A6237" w:rsidP="00A87E05">
            <w:pPr>
              <w:pStyle w:val="TableText0"/>
              <w:jc w:val="center"/>
              <w:rPr>
                <w:szCs w:val="20"/>
              </w:rPr>
            </w:pPr>
            <w:r>
              <w:rPr>
                <w:rFonts w:cs="Arial"/>
                <w:color w:val="000000"/>
                <w:szCs w:val="20"/>
              </w:rPr>
              <w:t>$</w:t>
            </w:r>
            <w:r w:rsidR="008D1DF1" w:rsidRPr="004A6237">
              <w:rPr>
                <w:rFonts w:cs="Arial" w:hint="eastAsia"/>
                <w:color w:val="000000"/>
                <w:w w:val="27"/>
                <w:szCs w:val="20"/>
                <w:shd w:val="solid" w:color="000000" w:fill="000000"/>
                <w:fitText w:val="120" w:id="-1032071921"/>
                <w14:textFill>
                  <w14:solidFill>
                    <w14:srgbClr w14:val="000000">
                      <w14:alpha w14:val="100000"/>
                    </w14:srgbClr>
                  </w14:solidFill>
                </w14:textFill>
              </w:rPr>
              <w:t xml:space="preserve">　</w:t>
            </w:r>
            <w:r w:rsidR="008D1DF1" w:rsidRPr="004A6237">
              <w:rPr>
                <w:rFonts w:cs="Arial"/>
                <w:color w:val="000000"/>
                <w:w w:val="27"/>
                <w:szCs w:val="20"/>
                <w:shd w:val="solid" w:color="000000" w:fill="000000"/>
                <w:fitText w:val="120" w:id="-1032071921"/>
                <w14:textFill>
                  <w14:solidFill>
                    <w14:srgbClr w14:val="000000">
                      <w14:alpha w14:val="100000"/>
                    </w14:srgbClr>
                  </w14:solidFill>
                </w14:textFill>
              </w:rPr>
              <w:t>|</w:t>
            </w:r>
            <w:r w:rsidR="008D1DF1" w:rsidRPr="004A6237">
              <w:rPr>
                <w:rFonts w:cs="Arial" w:hint="eastAsia"/>
                <w:color w:val="000000"/>
                <w:w w:val="27"/>
                <w:szCs w:val="20"/>
                <w:shd w:val="solid" w:color="000000" w:fill="000000"/>
                <w:fitText w:val="120" w:id="-1032071921"/>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c>
          <w:tcPr>
            <w:tcW w:w="611" w:type="pct"/>
            <w:shd w:val="clear" w:color="auto" w:fill="auto"/>
            <w:vAlign w:val="center"/>
          </w:tcPr>
          <w:p w14:paraId="326E9207" w14:textId="547CA009" w:rsidR="00BA37CA" w:rsidRPr="00C31CA4" w:rsidRDefault="004A6237" w:rsidP="00A87E05">
            <w:pPr>
              <w:pStyle w:val="TableText0"/>
              <w:jc w:val="center"/>
              <w:rPr>
                <w:szCs w:val="20"/>
              </w:rPr>
            </w:pPr>
            <w:r>
              <w:rPr>
                <w:rFonts w:cs="Arial"/>
                <w:color w:val="000000"/>
                <w:szCs w:val="20"/>
              </w:rPr>
              <w:t>$</w:t>
            </w:r>
            <w:r w:rsidR="008D1DF1" w:rsidRPr="004A6237">
              <w:rPr>
                <w:rFonts w:cs="Arial" w:hint="eastAsia"/>
                <w:color w:val="000000"/>
                <w:w w:val="27"/>
                <w:szCs w:val="20"/>
                <w:shd w:val="solid" w:color="000000" w:fill="000000"/>
                <w:fitText w:val="120" w:id="-1032071920"/>
                <w14:textFill>
                  <w14:solidFill>
                    <w14:srgbClr w14:val="000000">
                      <w14:alpha w14:val="100000"/>
                    </w14:srgbClr>
                  </w14:solidFill>
                </w14:textFill>
              </w:rPr>
              <w:t xml:space="preserve">　</w:t>
            </w:r>
            <w:r w:rsidR="008D1DF1" w:rsidRPr="004A6237">
              <w:rPr>
                <w:rFonts w:cs="Arial"/>
                <w:color w:val="000000"/>
                <w:w w:val="27"/>
                <w:szCs w:val="20"/>
                <w:shd w:val="solid" w:color="000000" w:fill="000000"/>
                <w:fitText w:val="120" w:id="-1032071920"/>
                <w14:textFill>
                  <w14:solidFill>
                    <w14:srgbClr w14:val="000000">
                      <w14:alpha w14:val="100000"/>
                    </w14:srgbClr>
                  </w14:solidFill>
                </w14:textFill>
              </w:rPr>
              <w:t>|</w:t>
            </w:r>
            <w:r w:rsidR="008D1DF1" w:rsidRPr="004A6237">
              <w:rPr>
                <w:rFonts w:cs="Arial" w:hint="eastAsia"/>
                <w:color w:val="000000"/>
                <w:w w:val="27"/>
                <w:szCs w:val="20"/>
                <w:shd w:val="solid" w:color="000000" w:fill="000000"/>
                <w:fitText w:val="120" w:id="-1032071920"/>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c>
          <w:tcPr>
            <w:tcW w:w="611" w:type="pct"/>
            <w:shd w:val="clear" w:color="auto" w:fill="auto"/>
            <w:vAlign w:val="center"/>
          </w:tcPr>
          <w:p w14:paraId="56E4D70E" w14:textId="7107C734" w:rsidR="00BA37CA" w:rsidRPr="00C31CA4" w:rsidRDefault="004A6237" w:rsidP="00A87E05">
            <w:pPr>
              <w:pStyle w:val="TableText0"/>
              <w:jc w:val="center"/>
              <w:rPr>
                <w:szCs w:val="20"/>
              </w:rPr>
            </w:pPr>
            <w:r>
              <w:rPr>
                <w:rFonts w:cs="Arial"/>
                <w:color w:val="000000"/>
                <w:szCs w:val="20"/>
              </w:rPr>
              <w:t>$</w:t>
            </w:r>
            <w:r w:rsidR="008D1DF1" w:rsidRPr="004A6237">
              <w:rPr>
                <w:rFonts w:cs="Arial" w:hint="eastAsia"/>
                <w:color w:val="000000"/>
                <w:w w:val="27"/>
                <w:szCs w:val="20"/>
                <w:shd w:val="solid" w:color="000000" w:fill="000000"/>
                <w:fitText w:val="120" w:id="-1032071936"/>
                <w14:textFill>
                  <w14:solidFill>
                    <w14:srgbClr w14:val="000000">
                      <w14:alpha w14:val="100000"/>
                    </w14:srgbClr>
                  </w14:solidFill>
                </w14:textFill>
              </w:rPr>
              <w:t xml:space="preserve">　</w:t>
            </w:r>
            <w:r w:rsidR="008D1DF1" w:rsidRPr="004A6237">
              <w:rPr>
                <w:rFonts w:cs="Arial"/>
                <w:color w:val="000000"/>
                <w:w w:val="27"/>
                <w:szCs w:val="20"/>
                <w:shd w:val="solid" w:color="000000" w:fill="000000"/>
                <w:fitText w:val="120" w:id="-1032071936"/>
                <w14:textFill>
                  <w14:solidFill>
                    <w14:srgbClr w14:val="000000">
                      <w14:alpha w14:val="100000"/>
                    </w14:srgbClr>
                  </w14:solidFill>
                </w14:textFill>
              </w:rPr>
              <w:t>|</w:t>
            </w:r>
            <w:r w:rsidR="008D1DF1" w:rsidRPr="004A6237">
              <w:rPr>
                <w:rFonts w:cs="Arial" w:hint="eastAsia"/>
                <w:color w:val="000000"/>
                <w:w w:val="27"/>
                <w:szCs w:val="20"/>
                <w:shd w:val="solid" w:color="000000" w:fill="000000"/>
                <w:fitText w:val="120" w:id="-1032071936"/>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c>
          <w:tcPr>
            <w:tcW w:w="611" w:type="pct"/>
            <w:vAlign w:val="center"/>
          </w:tcPr>
          <w:p w14:paraId="241B1CFD" w14:textId="08D869A2" w:rsidR="00BA37CA" w:rsidRPr="00C31CA4" w:rsidRDefault="004A6237" w:rsidP="00A87E05">
            <w:pPr>
              <w:pStyle w:val="TableText0"/>
              <w:jc w:val="center"/>
              <w:rPr>
                <w:szCs w:val="20"/>
              </w:rPr>
            </w:pPr>
            <w:r>
              <w:rPr>
                <w:rFonts w:cs="Arial"/>
                <w:color w:val="000000"/>
                <w:szCs w:val="20"/>
              </w:rPr>
              <w:t>$</w:t>
            </w:r>
            <w:r w:rsidR="008D1DF1" w:rsidRPr="004A6237">
              <w:rPr>
                <w:rFonts w:cs="Arial" w:hint="eastAsia"/>
                <w:color w:val="000000"/>
                <w:w w:val="27"/>
                <w:szCs w:val="20"/>
                <w:shd w:val="solid" w:color="000000" w:fill="000000"/>
                <w:fitText w:val="120" w:id="-1032071935"/>
                <w14:textFill>
                  <w14:solidFill>
                    <w14:srgbClr w14:val="000000">
                      <w14:alpha w14:val="100000"/>
                    </w14:srgbClr>
                  </w14:solidFill>
                </w14:textFill>
              </w:rPr>
              <w:t xml:space="preserve">　</w:t>
            </w:r>
            <w:r w:rsidR="008D1DF1" w:rsidRPr="004A6237">
              <w:rPr>
                <w:rFonts w:cs="Arial"/>
                <w:color w:val="000000"/>
                <w:w w:val="27"/>
                <w:szCs w:val="20"/>
                <w:shd w:val="solid" w:color="000000" w:fill="000000"/>
                <w:fitText w:val="120" w:id="-1032071935"/>
                <w14:textFill>
                  <w14:solidFill>
                    <w14:srgbClr w14:val="000000">
                      <w14:alpha w14:val="100000"/>
                    </w14:srgbClr>
                  </w14:solidFill>
                </w14:textFill>
              </w:rPr>
              <w:t>|</w:t>
            </w:r>
            <w:r w:rsidR="008D1DF1" w:rsidRPr="004A6237">
              <w:rPr>
                <w:rFonts w:cs="Arial" w:hint="eastAsia"/>
                <w:color w:val="000000"/>
                <w:w w:val="27"/>
                <w:szCs w:val="20"/>
                <w:shd w:val="solid" w:color="000000" w:fill="000000"/>
                <w:fitText w:val="120" w:id="-1032071935"/>
                <w14:textFill>
                  <w14:solidFill>
                    <w14:srgbClr w14:val="000000">
                      <w14:alpha w14:val="100000"/>
                    </w14:srgbClr>
                  </w14:solidFill>
                </w14:textFill>
              </w:rPr>
              <w:t xml:space="preserve">　</w:t>
            </w:r>
            <w:r w:rsidR="0054042C" w:rsidRPr="0054042C">
              <w:rPr>
                <w:rFonts w:cs="Arial"/>
                <w:bCs w:val="0"/>
                <w:color w:val="000000"/>
                <w:szCs w:val="20"/>
                <w:vertAlign w:val="superscript"/>
              </w:rPr>
              <w:t>2</w:t>
            </w:r>
          </w:p>
        </w:tc>
      </w:tr>
    </w:tbl>
    <w:p w14:paraId="3CE99DDD" w14:textId="7C9B695B" w:rsidR="00E43E21" w:rsidRPr="00C31CA4" w:rsidRDefault="00E43E21" w:rsidP="00A87E05">
      <w:pPr>
        <w:pStyle w:val="FooterTableFigure"/>
        <w:rPr>
          <w:rStyle w:val="CommentReference"/>
        </w:rPr>
      </w:pPr>
      <w:r w:rsidRPr="00C31CA4">
        <w:t>HSCT = haematopoietic stem cell transplant</w:t>
      </w:r>
    </w:p>
    <w:p w14:paraId="73EFE3C6" w14:textId="6F64D768" w:rsidR="00F3008C" w:rsidRDefault="00E466F3" w:rsidP="00F3008C">
      <w:pPr>
        <w:pStyle w:val="FooterTableFigure"/>
        <w:tabs>
          <w:tab w:val="left" w:pos="142"/>
        </w:tabs>
        <w:ind w:left="142" w:hanging="142"/>
      </w:pPr>
      <w:r w:rsidRPr="00C31CA4">
        <w:rPr>
          <w:vertAlign w:val="superscript"/>
        </w:rPr>
        <w:t>a</w:t>
      </w:r>
      <w:r w:rsidR="00606FBA" w:rsidRPr="00C31CA4">
        <w:t xml:space="preserve"> </w:t>
      </w:r>
      <w:r w:rsidR="00130508" w:rsidRPr="00C31CA4">
        <w:tab/>
      </w:r>
      <w:r w:rsidRPr="00C31CA4">
        <w:t xml:space="preserve">Assuming </w:t>
      </w:r>
      <w:r w:rsidR="00E81626" w:rsidRPr="00C31CA4">
        <w:t>5.34 months of treatment</w:t>
      </w:r>
      <w:r w:rsidR="001434D3" w:rsidRPr="00C31CA4">
        <w:t xml:space="preserve"> (5.8 scripts)</w:t>
      </w:r>
      <w:r w:rsidR="00E81626" w:rsidRPr="00C31CA4">
        <w:t xml:space="preserve">, based on de Latour </w:t>
      </w:r>
      <w:r w:rsidR="002846D2" w:rsidRPr="00C31CA4">
        <w:t>(</w:t>
      </w:r>
      <w:r w:rsidR="00E81626" w:rsidRPr="00C31CA4">
        <w:t>2022</w:t>
      </w:r>
      <w:r w:rsidR="002846D2" w:rsidRPr="00C31CA4">
        <w:t>)</w:t>
      </w:r>
      <w:r w:rsidR="00E81626" w:rsidRPr="00C31CA4">
        <w:t xml:space="preserve">, where </w:t>
      </w:r>
      <w:r w:rsidR="001434D3" w:rsidRPr="00C31CA4">
        <w:t>22% of patients were treated for 3 months, and 78% were treated for 6 months.</w:t>
      </w:r>
      <w:r w:rsidR="000A19E6" w:rsidRPr="00C31CA4">
        <w:t xml:space="preserve"> </w:t>
      </w:r>
      <w:r w:rsidR="001434D3" w:rsidRPr="00C31CA4">
        <w:t>For second-line treatment the submission assumed 4 months of initia</w:t>
      </w:r>
      <w:r w:rsidR="002C76E9" w:rsidRPr="00C31CA4">
        <w:t>l</w:t>
      </w:r>
      <w:r w:rsidR="001434D3" w:rsidRPr="00C31CA4">
        <w:t xml:space="preserve"> treatment (4.35 scripts) and 12 months of continuing treatment (13.04 scripts).</w:t>
      </w:r>
      <w:r w:rsidR="000A19E6" w:rsidRPr="00C31CA4">
        <w:t xml:space="preserve"> </w:t>
      </w:r>
      <w:r w:rsidR="001434D3" w:rsidRPr="00C31CA4">
        <w:t xml:space="preserve">The initial treatment was based on the eltrombopag PI, which indicates patients should discontinue if no haematological response after 16 weeks; and 12 months of continuing treatment was based on Desmond </w:t>
      </w:r>
      <w:r w:rsidR="002846D2" w:rsidRPr="00C31CA4">
        <w:t>(</w:t>
      </w:r>
      <w:r w:rsidR="001434D3" w:rsidRPr="00C31CA4">
        <w:t>201</w:t>
      </w:r>
      <w:r w:rsidR="00130508" w:rsidRPr="00C31CA4">
        <w:t>4</w:t>
      </w:r>
      <w:r w:rsidR="002846D2" w:rsidRPr="00C31CA4">
        <w:t>)</w:t>
      </w:r>
      <w:r w:rsidR="001434D3" w:rsidRPr="00C31CA4">
        <w:t xml:space="preserve"> where median time on treatment for responders was 12 months</w:t>
      </w:r>
      <w:r w:rsidRPr="00C31CA4">
        <w:t>.</w:t>
      </w:r>
    </w:p>
    <w:p w14:paraId="6B8A298B" w14:textId="24ADC6B3" w:rsidR="00F3008C" w:rsidRDefault="00F3008C" w:rsidP="00A87E05">
      <w:pPr>
        <w:pStyle w:val="FooterTableFigure"/>
        <w:tabs>
          <w:tab w:val="left" w:pos="142"/>
        </w:tabs>
        <w:ind w:left="142" w:hanging="142"/>
      </w:pPr>
      <w:r w:rsidRPr="00F3008C">
        <w:t>The redacted values correspond to the following ranges:</w:t>
      </w:r>
    </w:p>
    <w:p w14:paraId="191B600B" w14:textId="77777777" w:rsidR="00440FB7" w:rsidRPr="00E33A76" w:rsidRDefault="00440FB7" w:rsidP="00440FB7">
      <w:pPr>
        <w:pStyle w:val="FooterTableFigure"/>
        <w:keepNext/>
        <w:keepLines/>
        <w:tabs>
          <w:tab w:val="left" w:pos="142"/>
        </w:tabs>
        <w:rPr>
          <w:i/>
          <w:iCs/>
          <w:szCs w:val="18"/>
        </w:rPr>
      </w:pPr>
      <w:r w:rsidRPr="00E33A76">
        <w:rPr>
          <w:i/>
          <w:iCs/>
          <w:szCs w:val="18"/>
          <w:vertAlign w:val="superscript"/>
        </w:rPr>
        <w:t>1</w:t>
      </w:r>
      <w:r w:rsidRPr="00E33A76">
        <w:rPr>
          <w:i/>
          <w:iCs/>
          <w:szCs w:val="18"/>
        </w:rPr>
        <w:t xml:space="preserve"> &lt; 500</w:t>
      </w:r>
    </w:p>
    <w:p w14:paraId="32475C2B" w14:textId="73F135C4" w:rsidR="00440FB7" w:rsidRPr="00E33A76" w:rsidRDefault="00440FB7" w:rsidP="00A87E05">
      <w:pPr>
        <w:pStyle w:val="FooterTableFigure"/>
        <w:tabs>
          <w:tab w:val="left" w:pos="142"/>
        </w:tabs>
        <w:ind w:left="142" w:hanging="142"/>
        <w:rPr>
          <w:i/>
          <w:iCs/>
          <w:szCs w:val="18"/>
        </w:rPr>
      </w:pPr>
      <w:r w:rsidRPr="00E33A76">
        <w:rPr>
          <w:i/>
          <w:iCs/>
          <w:szCs w:val="18"/>
          <w:vertAlign w:val="superscript"/>
        </w:rPr>
        <w:t>2</w:t>
      </w:r>
      <w:r w:rsidRPr="00E33A76">
        <w:rPr>
          <w:i/>
          <w:iCs/>
          <w:szCs w:val="18"/>
        </w:rPr>
        <w:t xml:space="preserve"> </w:t>
      </w:r>
      <w:r w:rsidR="0054042C" w:rsidRPr="00E33A76">
        <w:rPr>
          <w:i/>
          <w:iCs/>
          <w:szCs w:val="18"/>
        </w:rPr>
        <w:t>$0 to &lt; $10 million</w:t>
      </w:r>
    </w:p>
    <w:p w14:paraId="467340FF" w14:textId="0F39C10F" w:rsidR="00440FB7" w:rsidRPr="00C31CA4" w:rsidRDefault="0054042C" w:rsidP="003945F4">
      <w:pPr>
        <w:pStyle w:val="FooterTableFigure"/>
        <w:tabs>
          <w:tab w:val="left" w:pos="142"/>
        </w:tabs>
        <w:ind w:left="142" w:hanging="142"/>
      </w:pPr>
      <w:r w:rsidRPr="00E33A76">
        <w:rPr>
          <w:i/>
          <w:iCs/>
          <w:szCs w:val="18"/>
          <w:vertAlign w:val="superscript"/>
        </w:rPr>
        <w:t>3</w:t>
      </w:r>
      <w:r w:rsidRPr="00E33A76">
        <w:rPr>
          <w:i/>
          <w:iCs/>
          <w:szCs w:val="18"/>
        </w:rPr>
        <w:t xml:space="preserve"> net cost saving</w:t>
      </w:r>
    </w:p>
    <w:p w14:paraId="7CCCB95E" w14:textId="79FA5F06" w:rsidR="00DE66B5" w:rsidRPr="00C31CA4" w:rsidRDefault="00A86DF4" w:rsidP="008B3F17">
      <w:pPr>
        <w:pStyle w:val="3-BodyText"/>
      </w:pPr>
      <w:r w:rsidRPr="00C31CA4">
        <w:t>T</w:t>
      </w:r>
      <w:r w:rsidR="000902D9" w:rsidRPr="00C31CA4">
        <w:t xml:space="preserve">he total cost to the PBS/RPBS of listing </w:t>
      </w:r>
      <w:r w:rsidR="00B931BD" w:rsidRPr="00C31CA4">
        <w:t>eltrombopag</w:t>
      </w:r>
      <w:r w:rsidR="000902D9" w:rsidRPr="00C31CA4">
        <w:t xml:space="preserve"> was estimated </w:t>
      </w:r>
      <w:r w:rsidR="00A05C32" w:rsidRPr="00C31CA4">
        <w:t>to be</w:t>
      </w:r>
      <w:r w:rsidR="000902D9" w:rsidRPr="00C31CA4">
        <w:t xml:space="preserve"> $</w:t>
      </w:r>
      <w:r w:rsidR="00440FB7" w:rsidRPr="00440FB7">
        <w:t>0 to &lt;</w:t>
      </w:r>
      <w:r w:rsidR="00B44C1C">
        <w:t> </w:t>
      </w:r>
      <w:r w:rsidR="00440FB7" w:rsidRPr="00440FB7">
        <w:t>$10</w:t>
      </w:r>
      <w:r w:rsidR="00B44C1C">
        <w:t> </w:t>
      </w:r>
      <w:r w:rsidR="00440FB7" w:rsidRPr="00440FB7">
        <w:t>million</w:t>
      </w:r>
      <w:r w:rsidR="000902D9" w:rsidRPr="00C31CA4">
        <w:t xml:space="preserve"> in Year 6, and a total of </w:t>
      </w:r>
      <w:r w:rsidR="0054042C" w:rsidRPr="0054042C">
        <w:t>$10 million to &lt; $20 million</w:t>
      </w:r>
      <w:r w:rsidR="0054042C">
        <w:t xml:space="preserve"> </w:t>
      </w:r>
      <w:r w:rsidR="000902D9" w:rsidRPr="00C31CA4">
        <w:t>in the first 6 years of listing</w:t>
      </w:r>
      <w:r w:rsidR="003633E5" w:rsidRPr="00C31CA4">
        <w:t xml:space="preserve"> using the published prices of eltrombopag</w:t>
      </w:r>
      <w:r w:rsidR="00C31CA4">
        <w:t>.</w:t>
      </w:r>
    </w:p>
    <w:p w14:paraId="2C1F1BC7" w14:textId="7D6E590A" w:rsidR="006E74E9" w:rsidRPr="00C31CA4" w:rsidRDefault="006E74E9" w:rsidP="006E74E9">
      <w:pPr>
        <w:pStyle w:val="2-SectionHeading"/>
      </w:pPr>
      <w:bookmarkStart w:id="52" w:name="_Hlk103934877"/>
      <w:bookmarkStart w:id="53" w:name="_Hlk103937430"/>
      <w:bookmarkStart w:id="54" w:name="_Toc22897650"/>
      <w:bookmarkStart w:id="55" w:name="_Toc144676136"/>
      <w:r w:rsidRPr="00C31CA4">
        <w:t>PBAC Outcome</w:t>
      </w:r>
      <w:r w:rsidR="00A70F14" w:rsidRPr="00C31CA4">
        <w:t xml:space="preserve"> </w:t>
      </w:r>
    </w:p>
    <w:p w14:paraId="546A70F3" w14:textId="1A395FFA" w:rsidR="006E74E9" w:rsidRPr="00C31CA4" w:rsidRDefault="00B219B4" w:rsidP="008B3F17">
      <w:pPr>
        <w:pStyle w:val="3-BodyText"/>
        <w:rPr>
          <w:rFonts w:eastAsia="Calibri"/>
        </w:rPr>
      </w:pPr>
      <w:r w:rsidRPr="00C31CA4">
        <w:rPr>
          <w:rFonts w:eastAsia="Calibri"/>
        </w:rPr>
        <w:t>The PBAC recommended the listing</w:t>
      </w:r>
      <w:r w:rsidR="00532A48" w:rsidRPr="00C31CA4">
        <w:rPr>
          <w:rFonts w:eastAsia="Calibri"/>
        </w:rPr>
        <w:t xml:space="preserve"> of </w:t>
      </w:r>
      <w:r w:rsidRPr="00C31CA4">
        <w:rPr>
          <w:rFonts w:eastAsia="Calibri"/>
        </w:rPr>
        <w:t xml:space="preserve">eltrombopag for the treatment of severe aplastic anaemia (sAA), as first-line treatment in combination </w:t>
      </w:r>
      <w:r w:rsidR="00DE6089" w:rsidRPr="00C31CA4">
        <w:rPr>
          <w:rFonts w:eastAsia="Calibri"/>
        </w:rPr>
        <w:t xml:space="preserve">with </w:t>
      </w:r>
      <w:r w:rsidRPr="00C31CA4">
        <w:rPr>
          <w:rFonts w:eastAsia="Calibri"/>
        </w:rPr>
        <w:t>horse anti-thymocyte globulin (hATG) and c</w:t>
      </w:r>
      <w:r w:rsidR="009A6886">
        <w:rPr>
          <w:rFonts w:eastAsia="Calibri"/>
        </w:rPr>
        <w:t>i</w:t>
      </w:r>
      <w:r w:rsidRPr="00C31CA4">
        <w:rPr>
          <w:rFonts w:eastAsia="Calibri"/>
        </w:rPr>
        <w:t xml:space="preserve">closporin A (CsA), and as a second-line treatment in patients with an inadequate response </w:t>
      </w:r>
      <w:r w:rsidR="00532A48" w:rsidRPr="00C31CA4">
        <w:rPr>
          <w:rFonts w:eastAsia="Calibri"/>
        </w:rPr>
        <w:t>to</w:t>
      </w:r>
      <w:r w:rsidR="00DE6089" w:rsidRPr="00C31CA4">
        <w:rPr>
          <w:rFonts w:eastAsia="Calibri"/>
        </w:rPr>
        <w:t xml:space="preserve"> </w:t>
      </w:r>
      <w:r w:rsidR="00F02288" w:rsidRPr="00C31CA4">
        <w:rPr>
          <w:rFonts w:eastAsia="Calibri"/>
        </w:rPr>
        <w:t>immunosuppressive therapy (IST)</w:t>
      </w:r>
      <w:r w:rsidRPr="00C31CA4">
        <w:rPr>
          <w:rFonts w:eastAsia="Calibri"/>
        </w:rPr>
        <w:t>.</w:t>
      </w:r>
      <w:r w:rsidR="002B5F00" w:rsidRPr="00C31CA4">
        <w:rPr>
          <w:rFonts w:eastAsia="Calibri"/>
        </w:rPr>
        <w:t xml:space="preserve"> </w:t>
      </w:r>
      <w:r w:rsidR="00CE3E40" w:rsidRPr="00C31CA4">
        <w:rPr>
          <w:rFonts w:eastAsia="Calibri"/>
        </w:rPr>
        <w:t xml:space="preserve">The PBAC considered there is a clinical need for effective treatment options for this rare condition. </w:t>
      </w:r>
      <w:r w:rsidR="002B5F00" w:rsidRPr="00C31CA4">
        <w:rPr>
          <w:rFonts w:eastAsia="Calibri"/>
        </w:rPr>
        <w:t>The PBAC’s recommendation for listing was based on, among other matters, its assessment</w:t>
      </w:r>
      <w:r w:rsidR="001B1374" w:rsidRPr="00C31CA4">
        <w:rPr>
          <w:rFonts w:eastAsia="Calibri"/>
        </w:rPr>
        <w:t xml:space="preserve"> </w:t>
      </w:r>
      <w:r w:rsidR="002B5F00" w:rsidRPr="00C31CA4">
        <w:rPr>
          <w:rFonts w:eastAsia="Calibri"/>
        </w:rPr>
        <w:t xml:space="preserve">that the cost-effectiveness of eltrombopag would be acceptable at the effective price </w:t>
      </w:r>
      <w:r w:rsidR="00DE6089" w:rsidRPr="00C31CA4">
        <w:rPr>
          <w:rFonts w:eastAsia="Calibri"/>
        </w:rPr>
        <w:t xml:space="preserve">currently </w:t>
      </w:r>
      <w:r w:rsidR="002B5F00" w:rsidRPr="00C31CA4">
        <w:rPr>
          <w:rFonts w:eastAsia="Calibri"/>
        </w:rPr>
        <w:t>in place for</w:t>
      </w:r>
      <w:r w:rsidR="00F02288" w:rsidRPr="00C31CA4">
        <w:rPr>
          <w:rFonts w:eastAsia="Calibri"/>
        </w:rPr>
        <w:t xml:space="preserve"> severe </w:t>
      </w:r>
      <w:r w:rsidR="00F02288" w:rsidRPr="00C31CA4">
        <w:t>chronic idiopathic thrombocytopenic purpura</w:t>
      </w:r>
      <w:r w:rsidR="002B5F00" w:rsidRPr="00C31CA4">
        <w:rPr>
          <w:rFonts w:eastAsia="Calibri"/>
        </w:rPr>
        <w:t xml:space="preserve"> </w:t>
      </w:r>
      <w:r w:rsidR="00F02288" w:rsidRPr="00C31CA4">
        <w:rPr>
          <w:rFonts w:eastAsia="Calibri"/>
        </w:rPr>
        <w:t>(</w:t>
      </w:r>
      <w:r w:rsidR="002B5F00" w:rsidRPr="00C31CA4">
        <w:rPr>
          <w:rFonts w:eastAsia="Calibri"/>
        </w:rPr>
        <w:t>ITP</w:t>
      </w:r>
      <w:r w:rsidR="00F02288" w:rsidRPr="00C31CA4">
        <w:rPr>
          <w:rFonts w:eastAsia="Calibri"/>
        </w:rPr>
        <w:t>)</w:t>
      </w:r>
      <w:r w:rsidR="00C31CA4">
        <w:rPr>
          <w:rFonts w:eastAsia="Calibri"/>
        </w:rPr>
        <w:t xml:space="preserve">. </w:t>
      </w:r>
    </w:p>
    <w:p w14:paraId="41E4747C" w14:textId="6CC0FE4A" w:rsidR="006E74E9" w:rsidRPr="00C31CA4" w:rsidRDefault="00F96F2F" w:rsidP="008B3F17">
      <w:pPr>
        <w:pStyle w:val="3-BodyText"/>
        <w:rPr>
          <w:rFonts w:eastAsia="Calibri"/>
        </w:rPr>
      </w:pPr>
      <w:r w:rsidRPr="00C31CA4">
        <w:rPr>
          <w:rFonts w:eastAsia="Calibri"/>
        </w:rPr>
        <w:t>The PBAC noted the consumer comments highlighted the significant impact of sAA on a patient</w:t>
      </w:r>
      <w:r w:rsidR="004E3791" w:rsidRPr="00C31CA4">
        <w:rPr>
          <w:rFonts w:eastAsia="Calibri"/>
        </w:rPr>
        <w:t>’</w:t>
      </w:r>
      <w:r w:rsidRPr="00C31CA4">
        <w:rPr>
          <w:rFonts w:eastAsia="Calibri"/>
        </w:rPr>
        <w:t xml:space="preserve">s quality of life and the clinical need for effective treatment options for this rare condition. </w:t>
      </w:r>
      <w:r w:rsidR="00D61C90" w:rsidRPr="00C31CA4">
        <w:rPr>
          <w:rFonts w:eastAsia="Calibri"/>
        </w:rPr>
        <w:t>The PBAC noted the range of p</w:t>
      </w:r>
      <w:r w:rsidR="002D2F7C" w:rsidRPr="00C31CA4">
        <w:rPr>
          <w:rFonts w:eastAsia="Calibri"/>
        </w:rPr>
        <w:t xml:space="preserve">atient relevant </w:t>
      </w:r>
      <w:r w:rsidR="001968A7" w:rsidRPr="00C31CA4">
        <w:rPr>
          <w:rFonts w:eastAsia="Calibri"/>
        </w:rPr>
        <w:t>benefits</w:t>
      </w:r>
      <w:r w:rsidR="00D61C90" w:rsidRPr="00C31CA4">
        <w:rPr>
          <w:rFonts w:eastAsia="Calibri"/>
        </w:rPr>
        <w:t xml:space="preserve"> of treatment with eltrombopag, including </w:t>
      </w:r>
      <w:r w:rsidR="00897FA1">
        <w:rPr>
          <w:rFonts w:eastAsia="Calibri"/>
        </w:rPr>
        <w:t>fewer</w:t>
      </w:r>
      <w:r w:rsidR="000B2D64" w:rsidRPr="00C31CA4">
        <w:rPr>
          <w:rFonts w:eastAsia="Calibri"/>
        </w:rPr>
        <w:t xml:space="preserve"> </w:t>
      </w:r>
      <w:r w:rsidR="00D61C90" w:rsidRPr="00C31CA4">
        <w:rPr>
          <w:rFonts w:eastAsia="Calibri"/>
        </w:rPr>
        <w:t>blood tran</w:t>
      </w:r>
      <w:r w:rsidR="004000AF" w:rsidRPr="00C31CA4">
        <w:rPr>
          <w:rFonts w:eastAsia="Calibri"/>
        </w:rPr>
        <w:t>s</w:t>
      </w:r>
      <w:r w:rsidR="00D61C90" w:rsidRPr="00C31CA4">
        <w:rPr>
          <w:rFonts w:eastAsia="Calibri"/>
        </w:rPr>
        <w:t xml:space="preserve">fusions, reduced complications </w:t>
      </w:r>
      <w:r w:rsidR="0071704D" w:rsidRPr="00C31CA4">
        <w:rPr>
          <w:rFonts w:eastAsia="Calibri"/>
        </w:rPr>
        <w:t xml:space="preserve">(from other treatments and from transfusions) </w:t>
      </w:r>
      <w:r w:rsidR="00D61C90" w:rsidRPr="00C31CA4">
        <w:rPr>
          <w:rFonts w:eastAsia="Calibri"/>
        </w:rPr>
        <w:t xml:space="preserve">and </w:t>
      </w:r>
      <w:r w:rsidR="00855757" w:rsidRPr="00C31CA4">
        <w:rPr>
          <w:rFonts w:eastAsia="Calibri"/>
        </w:rPr>
        <w:t xml:space="preserve">fewer </w:t>
      </w:r>
      <w:r w:rsidR="00D61C90" w:rsidRPr="00C31CA4">
        <w:rPr>
          <w:rFonts w:eastAsia="Calibri"/>
        </w:rPr>
        <w:t xml:space="preserve">hospital visits. </w:t>
      </w:r>
    </w:p>
    <w:p w14:paraId="34E1152D" w14:textId="436BB3FF" w:rsidR="008B3F17" w:rsidRPr="00C31CA4" w:rsidRDefault="008B3F17" w:rsidP="008B3F17">
      <w:pPr>
        <w:pStyle w:val="3-BodyText"/>
        <w:rPr>
          <w:rFonts w:eastAsia="Calibri"/>
        </w:rPr>
      </w:pPr>
      <w:r w:rsidRPr="00C31CA4">
        <w:rPr>
          <w:rFonts w:eastAsia="Calibri"/>
        </w:rPr>
        <w:t>The PBAC advised the following with respect to the proposed restriction criteria:</w:t>
      </w:r>
    </w:p>
    <w:p w14:paraId="674384C8" w14:textId="5E3ACAB3" w:rsidR="008B3F17" w:rsidRPr="00C31CA4" w:rsidRDefault="008B3F17" w:rsidP="00A87E05">
      <w:pPr>
        <w:pStyle w:val="ListParagraph"/>
        <w:rPr>
          <w:rFonts w:eastAsia="Calibri"/>
        </w:rPr>
      </w:pPr>
      <w:r w:rsidRPr="00C31CA4">
        <w:t>In the first line setting, the clinical criteri</w:t>
      </w:r>
      <w:r w:rsidR="00337CC8">
        <w:t>on</w:t>
      </w:r>
      <w:r w:rsidRPr="00C31CA4">
        <w:t xml:space="preserve"> </w:t>
      </w:r>
      <w:r w:rsidRPr="00C31CA4">
        <w:rPr>
          <w:rFonts w:eastAsia="Calibri"/>
        </w:rPr>
        <w:t xml:space="preserve">’The treatment must be administered in combination with standard immunosuppressive therapy as defined in the Product Information for this medicine’ should be amended to ‘The treatment </w:t>
      </w:r>
      <w:r w:rsidRPr="00C31CA4">
        <w:rPr>
          <w:rFonts w:eastAsia="Calibri"/>
        </w:rPr>
        <w:lastRenderedPageBreak/>
        <w:t xml:space="preserve">must be administered in combination with </w:t>
      </w:r>
      <w:r w:rsidR="00267418" w:rsidRPr="00C31CA4">
        <w:rPr>
          <w:rFonts w:eastAsia="Calibri"/>
        </w:rPr>
        <w:t xml:space="preserve">standard immunosuppressive therapy, including </w:t>
      </w:r>
      <w:r w:rsidRPr="00C31CA4">
        <w:rPr>
          <w:rFonts w:eastAsia="Calibri"/>
        </w:rPr>
        <w:t>anti</w:t>
      </w:r>
      <w:r w:rsidR="00267418" w:rsidRPr="00C31CA4">
        <w:rPr>
          <w:rFonts w:eastAsia="Calibri"/>
        </w:rPr>
        <w:t>-</w:t>
      </w:r>
      <w:r w:rsidR="00677783" w:rsidRPr="00C31CA4">
        <w:rPr>
          <w:rFonts w:eastAsia="Calibri"/>
        </w:rPr>
        <w:t>thymocyte</w:t>
      </w:r>
      <w:r w:rsidRPr="00C31CA4">
        <w:rPr>
          <w:rFonts w:eastAsia="Calibri"/>
        </w:rPr>
        <w:t xml:space="preserve"> globulin and c</w:t>
      </w:r>
      <w:r w:rsidR="00267418" w:rsidRPr="00C31CA4">
        <w:rPr>
          <w:rFonts w:eastAsia="Calibri"/>
        </w:rPr>
        <w:t>i</w:t>
      </w:r>
      <w:r w:rsidRPr="00C31CA4">
        <w:rPr>
          <w:rFonts w:eastAsia="Calibri"/>
        </w:rPr>
        <w:t xml:space="preserve">closporin’ (as discussed in paragraph </w:t>
      </w:r>
      <w:r w:rsidRPr="00C31CA4">
        <w:rPr>
          <w:rFonts w:eastAsia="Calibri"/>
        </w:rPr>
        <w:fldChar w:fldCharType="begin" w:fldLock="1"/>
      </w:r>
      <w:r w:rsidRPr="00C31CA4">
        <w:rPr>
          <w:rFonts w:eastAsia="Calibri"/>
        </w:rPr>
        <w:instrText xml:space="preserve"> REF _Ref150928702 \r \h </w:instrText>
      </w:r>
      <w:r w:rsidR="00A87E05">
        <w:rPr>
          <w:rFonts w:eastAsia="Calibri"/>
        </w:rPr>
        <w:instrText xml:space="preserve"> \* MERGEFORMAT </w:instrText>
      </w:r>
      <w:r w:rsidRPr="00C31CA4">
        <w:rPr>
          <w:rFonts w:eastAsia="Calibri"/>
        </w:rPr>
      </w:r>
      <w:r w:rsidRPr="00C31CA4">
        <w:rPr>
          <w:rFonts w:eastAsia="Calibri"/>
        </w:rPr>
        <w:fldChar w:fldCharType="separate"/>
      </w:r>
      <w:r w:rsidR="00897FA1">
        <w:rPr>
          <w:rFonts w:eastAsia="Calibri"/>
        </w:rPr>
        <w:t>3.6</w:t>
      </w:r>
      <w:r w:rsidRPr="00C31CA4">
        <w:rPr>
          <w:rFonts w:eastAsia="Calibri"/>
        </w:rPr>
        <w:fldChar w:fldCharType="end"/>
      </w:r>
      <w:r w:rsidRPr="00C31CA4">
        <w:rPr>
          <w:rFonts w:eastAsia="Calibri"/>
        </w:rPr>
        <w:t>).</w:t>
      </w:r>
    </w:p>
    <w:p w14:paraId="64BA37E8" w14:textId="107F0ECB" w:rsidR="00337CC8" w:rsidRPr="00337CC8" w:rsidRDefault="00337CC8" w:rsidP="00A87E05">
      <w:pPr>
        <w:pStyle w:val="ListParagraph"/>
        <w:rPr>
          <w:rFonts w:eastAsia="Calibri"/>
        </w:rPr>
      </w:pPr>
      <w:r>
        <w:rPr>
          <w:rFonts w:eastAsia="Calibri"/>
        </w:rPr>
        <w:t>In the second line setting, the initial clinical criteria ‘</w:t>
      </w:r>
      <w:r w:rsidRPr="00337CC8">
        <w:rPr>
          <w:rFonts w:eastAsia="Calibri"/>
        </w:rPr>
        <w:t xml:space="preserve">Patient must have failed to achieve an inadequate response or intolerance to prior immunosuppressive therapy including anti-thymocyte antibody and </w:t>
      </w:r>
      <w:r w:rsidR="009A6886">
        <w:rPr>
          <w:rFonts w:eastAsia="Calibri"/>
        </w:rPr>
        <w:t>ciclosporin</w:t>
      </w:r>
      <w:r>
        <w:rPr>
          <w:rFonts w:eastAsia="Calibri"/>
        </w:rPr>
        <w:t>;</w:t>
      </w:r>
      <w:r w:rsidRPr="00337CC8">
        <w:rPr>
          <w:rFonts w:eastAsia="Calibri"/>
        </w:rPr>
        <w:t xml:space="preserve"> OR</w:t>
      </w:r>
      <w:r>
        <w:rPr>
          <w:rFonts w:eastAsia="Calibri"/>
        </w:rPr>
        <w:t xml:space="preserve"> </w:t>
      </w:r>
      <w:r w:rsidRPr="00337CC8">
        <w:rPr>
          <w:rFonts w:eastAsia="Calibri"/>
        </w:rPr>
        <w:t>Patient must have a documented intolerance of a severity necessitating permanent treatment withdrawal of immunosuppressive therapy</w:t>
      </w:r>
      <w:r>
        <w:rPr>
          <w:rFonts w:eastAsia="Calibri"/>
        </w:rPr>
        <w:t>’</w:t>
      </w:r>
      <w:r w:rsidRPr="00337CC8">
        <w:rPr>
          <w:rFonts w:eastAsia="Calibri"/>
        </w:rPr>
        <w:t xml:space="preserve"> should be amended to ‘Patient must not have achieved an adequate response to prior immunosuppressive therapy including anti-thymocyte antibody and ciclosporin; OR Patient must have relapsed following prior immunosuppressive therapy including anti-thymocyte antibody and ciclosporin’ (</w:t>
      </w:r>
      <w:r>
        <w:rPr>
          <w:rFonts w:eastAsia="Calibri"/>
        </w:rPr>
        <w:t>to</w:t>
      </w:r>
      <w:r w:rsidRPr="00337CC8">
        <w:rPr>
          <w:rFonts w:eastAsia="Calibri"/>
        </w:rPr>
        <w:t xml:space="preserve"> </w:t>
      </w:r>
      <w:r>
        <w:rPr>
          <w:rFonts w:eastAsia="Calibri"/>
        </w:rPr>
        <w:t xml:space="preserve">address the issues raised by the ESC </w:t>
      </w:r>
      <w:r w:rsidRPr="00337CC8">
        <w:rPr>
          <w:rFonts w:eastAsia="Calibri"/>
        </w:rPr>
        <w:t xml:space="preserve">in paragraph </w:t>
      </w:r>
      <w:r>
        <w:rPr>
          <w:rFonts w:eastAsia="Calibri"/>
        </w:rPr>
        <w:fldChar w:fldCharType="begin" w:fldLock="1"/>
      </w:r>
      <w:r>
        <w:rPr>
          <w:rFonts w:eastAsia="Calibri"/>
        </w:rPr>
        <w:instrText xml:space="preserve"> REF _Ref151481311 \r \h </w:instrText>
      </w:r>
      <w:r w:rsidR="00A87E05">
        <w:rPr>
          <w:rFonts w:eastAsia="Calibri"/>
        </w:rPr>
        <w:instrText xml:space="preserve"> \* MERGEFORMAT </w:instrText>
      </w:r>
      <w:r>
        <w:rPr>
          <w:rFonts w:eastAsia="Calibri"/>
        </w:rPr>
      </w:r>
      <w:r>
        <w:rPr>
          <w:rFonts w:eastAsia="Calibri"/>
        </w:rPr>
        <w:fldChar w:fldCharType="separate"/>
      </w:r>
      <w:r>
        <w:rPr>
          <w:rFonts w:eastAsia="Calibri"/>
        </w:rPr>
        <w:t>3.4</w:t>
      </w:r>
      <w:r>
        <w:rPr>
          <w:rFonts w:eastAsia="Calibri"/>
        </w:rPr>
        <w:fldChar w:fldCharType="end"/>
      </w:r>
      <w:r>
        <w:rPr>
          <w:rFonts w:eastAsia="Calibri"/>
        </w:rPr>
        <w:t>)</w:t>
      </w:r>
      <w:r w:rsidRPr="00337CC8">
        <w:rPr>
          <w:rFonts w:eastAsia="Calibri"/>
        </w:rPr>
        <w:t xml:space="preserve">. </w:t>
      </w:r>
    </w:p>
    <w:p w14:paraId="45307184" w14:textId="58B074B5" w:rsidR="00267418" w:rsidRDefault="00267418" w:rsidP="00A87E05">
      <w:pPr>
        <w:pStyle w:val="ListParagraph"/>
        <w:rPr>
          <w:rFonts w:eastAsia="Calibri"/>
        </w:rPr>
      </w:pPr>
      <w:r w:rsidRPr="00C31CA4">
        <w:rPr>
          <w:rFonts w:eastAsia="Calibri"/>
        </w:rPr>
        <w:t>In the second line setting, patients</w:t>
      </w:r>
      <w:r w:rsidR="003A4EC5">
        <w:rPr>
          <w:rFonts w:eastAsia="Calibri"/>
        </w:rPr>
        <w:t xml:space="preserve"> with a </w:t>
      </w:r>
      <w:r w:rsidRPr="00C31CA4">
        <w:rPr>
          <w:rFonts w:eastAsia="Calibri"/>
        </w:rPr>
        <w:t xml:space="preserve">response </w:t>
      </w:r>
      <w:r w:rsidR="003A4EC5">
        <w:rPr>
          <w:rFonts w:eastAsia="Calibri"/>
        </w:rPr>
        <w:t xml:space="preserve">to treatment, with a response defined as no longer meeting the criteria for sAA, </w:t>
      </w:r>
      <w:r w:rsidRPr="00C31CA4">
        <w:rPr>
          <w:rFonts w:eastAsia="Calibri"/>
        </w:rPr>
        <w:t>should be able to continue treatment.</w:t>
      </w:r>
      <w:r w:rsidR="003A4EC5">
        <w:rPr>
          <w:rFonts w:eastAsia="Calibri"/>
        </w:rPr>
        <w:t xml:space="preserve"> The PBAC advised inclusion of the Prescribing Instruction ‘</w:t>
      </w:r>
      <w:r w:rsidR="003A4EC5" w:rsidRPr="003A4EC5">
        <w:rPr>
          <w:rFonts w:eastAsia="Calibri"/>
        </w:rPr>
        <w:t>Once platelet count &gt; 50 x 109/L, haemoglobin &gt; 100 g/L in the absence of red blood cell (RBC) transfusion, and absolute neutrophil (ANC) &gt; 1 x 109/L for more than 8</w:t>
      </w:r>
      <w:r w:rsidR="00A87E05">
        <w:rPr>
          <w:rFonts w:eastAsia="Calibri"/>
        </w:rPr>
        <w:t> </w:t>
      </w:r>
      <w:r w:rsidR="003A4EC5" w:rsidRPr="003A4EC5">
        <w:rPr>
          <w:rFonts w:eastAsia="Calibri"/>
        </w:rPr>
        <w:t>weeks., the dose of eltrombopag should be reduced as per the Product Information</w:t>
      </w:r>
      <w:r w:rsidR="003A4EC5">
        <w:rPr>
          <w:rFonts w:eastAsia="Calibri"/>
        </w:rPr>
        <w:t>’ would be appropriate.</w:t>
      </w:r>
      <w:r w:rsidRPr="00C31CA4">
        <w:rPr>
          <w:rFonts w:eastAsia="Calibri"/>
        </w:rPr>
        <w:t xml:space="preserve"> </w:t>
      </w:r>
    </w:p>
    <w:p w14:paraId="22A284C9" w14:textId="2F96D18F" w:rsidR="006E74E9" w:rsidRPr="00C31CA4" w:rsidRDefault="00582A83" w:rsidP="008B3F17">
      <w:pPr>
        <w:pStyle w:val="3-BodyText"/>
        <w:rPr>
          <w:rFonts w:eastAsia="Calibri"/>
        </w:rPr>
      </w:pPr>
      <w:r w:rsidRPr="00C31CA4">
        <w:rPr>
          <w:rFonts w:eastAsia="Calibri"/>
        </w:rPr>
        <w:t xml:space="preserve">The PBAC considered the clinical positioning of eltrombopag was consistent with the TGA approved indications and supported by international treatment guidelines. </w:t>
      </w:r>
      <w:r w:rsidR="00DE6089" w:rsidRPr="00C31CA4">
        <w:rPr>
          <w:rFonts w:eastAsia="Calibri"/>
        </w:rPr>
        <w:t>The PBAC considered</w:t>
      </w:r>
      <w:r w:rsidR="00212569">
        <w:rPr>
          <w:rFonts w:eastAsia="Calibri"/>
        </w:rPr>
        <w:t xml:space="preserve"> </w:t>
      </w:r>
      <w:r w:rsidR="00DE6089" w:rsidRPr="00C31CA4">
        <w:rPr>
          <w:rFonts w:eastAsia="Calibri"/>
        </w:rPr>
        <w:t xml:space="preserve">standard of care was the appropriate comparator in the </w:t>
      </w:r>
      <w:r w:rsidR="00212569">
        <w:rPr>
          <w:rFonts w:eastAsia="Calibri"/>
        </w:rPr>
        <w:t xml:space="preserve">first and </w:t>
      </w:r>
      <w:r w:rsidR="00DE6089" w:rsidRPr="00C31CA4">
        <w:rPr>
          <w:rFonts w:eastAsia="Calibri"/>
        </w:rPr>
        <w:t>second</w:t>
      </w:r>
      <w:r w:rsidR="00212569">
        <w:rPr>
          <w:rFonts w:eastAsia="Calibri"/>
        </w:rPr>
        <w:t>-</w:t>
      </w:r>
      <w:r w:rsidR="00DE6089" w:rsidRPr="00C31CA4">
        <w:rPr>
          <w:rFonts w:eastAsia="Calibri"/>
        </w:rPr>
        <w:t xml:space="preserve">line treatment setting. </w:t>
      </w:r>
      <w:r w:rsidR="00212569">
        <w:rPr>
          <w:rFonts w:eastAsia="Calibri"/>
        </w:rPr>
        <w:t xml:space="preserve">The PBAC noted that eltrombopag is used in combination with hATG and CsA in the first line treatment setting and will not replace hATG and CsA. </w:t>
      </w:r>
    </w:p>
    <w:p w14:paraId="138E41FA" w14:textId="7EDF56C4" w:rsidR="00001D89" w:rsidRPr="00C31CA4" w:rsidRDefault="007A61CF" w:rsidP="008B3F17">
      <w:pPr>
        <w:pStyle w:val="3-BodyText"/>
        <w:rPr>
          <w:rFonts w:eastAsia="Calibri"/>
        </w:rPr>
      </w:pPr>
      <w:r w:rsidRPr="00C31CA4">
        <w:rPr>
          <w:rFonts w:eastAsia="Calibri"/>
        </w:rPr>
        <w:t xml:space="preserve">The PBAC noted the clinical evidence supporting the </w:t>
      </w:r>
      <w:r w:rsidR="002D1B88" w:rsidRPr="00C31CA4">
        <w:rPr>
          <w:rFonts w:eastAsia="Calibri"/>
        </w:rPr>
        <w:t xml:space="preserve">use of </w:t>
      </w:r>
      <w:r w:rsidRPr="00C31CA4">
        <w:rPr>
          <w:rFonts w:eastAsia="Calibri"/>
        </w:rPr>
        <w:t xml:space="preserve">eltrombopag in the first line treatment setting consisted of an open-label, randomised controlled trial comparing eltrombopag </w:t>
      </w:r>
      <w:r w:rsidR="00F357E5" w:rsidRPr="00C31CA4">
        <w:rPr>
          <w:rFonts w:eastAsia="Calibri"/>
        </w:rPr>
        <w:t>in combination with</w:t>
      </w:r>
      <w:r w:rsidRPr="00C31CA4">
        <w:rPr>
          <w:rFonts w:eastAsia="Calibri"/>
        </w:rPr>
        <w:t xml:space="preserve"> hATG </w:t>
      </w:r>
      <w:r w:rsidR="00F357E5" w:rsidRPr="00C31CA4">
        <w:rPr>
          <w:rFonts w:eastAsia="Calibri"/>
        </w:rPr>
        <w:t xml:space="preserve">+ </w:t>
      </w:r>
      <w:r w:rsidRPr="00C31CA4">
        <w:rPr>
          <w:rFonts w:eastAsia="Calibri"/>
        </w:rPr>
        <w:t xml:space="preserve">CsA to hATG </w:t>
      </w:r>
      <w:r w:rsidR="00F357E5" w:rsidRPr="00C31CA4">
        <w:rPr>
          <w:rFonts w:eastAsia="Calibri"/>
        </w:rPr>
        <w:t xml:space="preserve">+ </w:t>
      </w:r>
      <w:r w:rsidRPr="00C31CA4">
        <w:rPr>
          <w:rFonts w:eastAsia="Calibri"/>
        </w:rPr>
        <w:t>CsA alone (the RACE trial</w:t>
      </w:r>
      <w:r w:rsidR="00F02288" w:rsidRPr="00C31CA4">
        <w:rPr>
          <w:rFonts w:eastAsia="Calibri"/>
        </w:rPr>
        <w:t>, n=197</w:t>
      </w:r>
      <w:r w:rsidRPr="00C31CA4">
        <w:rPr>
          <w:rFonts w:eastAsia="Calibri"/>
        </w:rPr>
        <w:t>).</w:t>
      </w:r>
      <w:r w:rsidR="00F02288" w:rsidRPr="00C31CA4">
        <w:rPr>
          <w:rFonts w:eastAsia="Calibri"/>
        </w:rPr>
        <w:t xml:space="preserve"> </w:t>
      </w:r>
      <w:r w:rsidRPr="00C31CA4">
        <w:rPr>
          <w:rFonts w:eastAsia="Calibri"/>
        </w:rPr>
        <w:t>The PBAC noted the relative risk for patients receiving eltrombopag achieving an overall response at 3 months was 1.97 (95% CI: 1.44, 2.69) and at 6</w:t>
      </w:r>
      <w:r w:rsidR="00A87E05">
        <w:rPr>
          <w:rFonts w:eastAsia="Calibri"/>
        </w:rPr>
        <w:t> </w:t>
      </w:r>
      <w:r w:rsidRPr="00C31CA4">
        <w:rPr>
          <w:rFonts w:eastAsia="Calibri"/>
        </w:rPr>
        <w:t xml:space="preserve">months was 1.71 (1.33, 2.21). </w:t>
      </w:r>
      <w:r w:rsidR="00121AF1" w:rsidRPr="00C31CA4">
        <w:rPr>
          <w:rFonts w:eastAsia="Calibri"/>
        </w:rPr>
        <w:t>T</w:t>
      </w:r>
      <w:r w:rsidRPr="00C31CA4">
        <w:rPr>
          <w:rFonts w:eastAsia="Calibri"/>
        </w:rPr>
        <w:t>he PBAC noted the median time to response was 3</w:t>
      </w:r>
      <w:r w:rsidR="00A87E05">
        <w:rPr>
          <w:rFonts w:eastAsia="Calibri"/>
        </w:rPr>
        <w:t> </w:t>
      </w:r>
      <w:r w:rsidRPr="00C31CA4">
        <w:rPr>
          <w:rFonts w:eastAsia="Calibri"/>
        </w:rPr>
        <w:t xml:space="preserve">months for patients receiving eltrombopag and 8.8 months for patients receiving hATG + CsA alone. </w:t>
      </w:r>
      <w:r w:rsidR="002D1B88" w:rsidRPr="00C31CA4">
        <w:rPr>
          <w:rFonts w:eastAsia="Calibri"/>
        </w:rPr>
        <w:t xml:space="preserve">The PBAC considered achieving a partial response (which results in transfusion independence) was also a clinically meaningful outcome for patients, and a higher proportion of patients achieved a partial response with eltrombopag (37.5% vs 20.8% at 3 months). </w:t>
      </w:r>
      <w:r w:rsidRPr="00C31CA4">
        <w:rPr>
          <w:rFonts w:eastAsia="Calibri"/>
        </w:rPr>
        <w:t>The PBAC noted clinical evidence from another randomised trial in paediatric patients (Goronkova 2023</w:t>
      </w:r>
      <w:r w:rsidR="00582A83" w:rsidRPr="00C31CA4">
        <w:rPr>
          <w:rFonts w:eastAsia="Calibri"/>
        </w:rPr>
        <w:t>) and</w:t>
      </w:r>
      <w:r w:rsidRPr="00C31CA4">
        <w:rPr>
          <w:rFonts w:eastAsia="Calibri"/>
        </w:rPr>
        <w:t xml:space="preserve"> </w:t>
      </w:r>
      <w:r w:rsidR="00582A83" w:rsidRPr="00C31CA4">
        <w:rPr>
          <w:rFonts w:eastAsia="Calibri"/>
        </w:rPr>
        <w:t xml:space="preserve">a systematic review and meta-analysis of 6 non-randomised studies </w:t>
      </w:r>
      <w:r w:rsidRPr="00C31CA4">
        <w:rPr>
          <w:rFonts w:eastAsia="Calibri"/>
        </w:rPr>
        <w:t xml:space="preserve">supported the benefit of eltrombopag in the first line treatment setting. </w:t>
      </w:r>
    </w:p>
    <w:p w14:paraId="5D48FAF4" w14:textId="355CC422" w:rsidR="00001D89" w:rsidRPr="00C31CA4" w:rsidRDefault="00582A83" w:rsidP="008B3F17">
      <w:pPr>
        <w:pStyle w:val="3-BodyText"/>
        <w:rPr>
          <w:rFonts w:eastAsia="Calibri"/>
        </w:rPr>
      </w:pPr>
      <w:r w:rsidRPr="00C31CA4">
        <w:rPr>
          <w:rFonts w:eastAsia="Calibri"/>
        </w:rPr>
        <w:lastRenderedPageBreak/>
        <w:t>The PBAC noted the clinical evidence supporting the use of eltrombopag in the second line treatment setting</w:t>
      </w:r>
      <w:r w:rsidR="002D1B88" w:rsidRPr="00C31CA4">
        <w:rPr>
          <w:rFonts w:eastAsia="Calibri"/>
        </w:rPr>
        <w:t xml:space="preserve"> was of lower quality than in the first line setting but considered that, overall, </w:t>
      </w:r>
      <w:r w:rsidR="00F02288" w:rsidRPr="00C31CA4">
        <w:rPr>
          <w:rFonts w:eastAsia="Calibri"/>
        </w:rPr>
        <w:t xml:space="preserve">patients treated with </w:t>
      </w:r>
      <w:r w:rsidR="002D1B88" w:rsidRPr="00C31CA4">
        <w:rPr>
          <w:rFonts w:eastAsia="Calibri"/>
        </w:rPr>
        <w:t xml:space="preserve">eltrombopag </w:t>
      </w:r>
      <w:r w:rsidR="00B0734F" w:rsidRPr="00C31CA4">
        <w:rPr>
          <w:rFonts w:eastAsia="Calibri"/>
        </w:rPr>
        <w:t>achiev</w:t>
      </w:r>
      <w:r w:rsidR="00F02288" w:rsidRPr="00C31CA4">
        <w:rPr>
          <w:rFonts w:eastAsia="Calibri"/>
        </w:rPr>
        <w:t>ed</w:t>
      </w:r>
      <w:r w:rsidR="00B0734F" w:rsidRPr="00C31CA4">
        <w:rPr>
          <w:rFonts w:eastAsia="Calibri"/>
        </w:rPr>
        <w:t xml:space="preserve"> clinically meaningful haematological responses</w:t>
      </w:r>
      <w:r w:rsidR="00C31CA4">
        <w:rPr>
          <w:rFonts w:eastAsia="Calibri"/>
        </w:rPr>
        <w:t xml:space="preserve">. </w:t>
      </w:r>
    </w:p>
    <w:p w14:paraId="542A05B5" w14:textId="047A3A4B" w:rsidR="00B0734F" w:rsidRPr="00C31CA4" w:rsidRDefault="00B0734F" w:rsidP="008B3F17">
      <w:pPr>
        <w:pStyle w:val="3-BodyText"/>
        <w:rPr>
          <w:rFonts w:eastAsia="Calibri"/>
        </w:rPr>
      </w:pPr>
      <w:r w:rsidRPr="00C31CA4">
        <w:rPr>
          <w:rFonts w:eastAsia="Calibri"/>
        </w:rPr>
        <w:t xml:space="preserve">The PBAC considered the claim that eltrombopag is superior in terms of effectiveness to </w:t>
      </w:r>
      <w:r w:rsidR="00212569">
        <w:rPr>
          <w:rFonts w:eastAsia="Calibri"/>
        </w:rPr>
        <w:t xml:space="preserve">standard of </w:t>
      </w:r>
      <w:r w:rsidR="00F1769B">
        <w:rPr>
          <w:rFonts w:eastAsia="Calibri"/>
        </w:rPr>
        <w:t>care</w:t>
      </w:r>
      <w:r w:rsidRPr="00C31CA4">
        <w:rPr>
          <w:rFonts w:eastAsia="Calibri"/>
        </w:rPr>
        <w:t xml:space="preserve"> was supported by the evidence presented in the submission. The PBAC considered the safety of eltrombopag was likely to be consistent with that observed in ITP and was manageable. </w:t>
      </w:r>
    </w:p>
    <w:p w14:paraId="2859168C" w14:textId="00996B2F" w:rsidR="009862C0" w:rsidRPr="00C31CA4" w:rsidRDefault="003564F9" w:rsidP="008B3F17">
      <w:pPr>
        <w:pStyle w:val="3-BodyText"/>
        <w:rPr>
          <w:rFonts w:eastAsia="Calibri"/>
        </w:rPr>
      </w:pPr>
      <w:r w:rsidRPr="00C31CA4">
        <w:rPr>
          <w:rFonts w:eastAsia="Calibri"/>
        </w:rPr>
        <w:t>The PBAC noted the incremental cost per additional responder at 12 months was $</w:t>
      </w:r>
      <w:r w:rsidR="00927441" w:rsidRPr="00927441">
        <w:rPr>
          <w:rFonts w:eastAsia="Calibri"/>
        </w:rPr>
        <w:t xml:space="preserve">95,000 to &lt; $115,000 </w:t>
      </w:r>
      <w:r w:rsidRPr="00C31CA4">
        <w:rPr>
          <w:rFonts w:eastAsia="Calibri"/>
        </w:rPr>
        <w:t>(based on the published price of eltrombopag</w:t>
      </w:r>
      <w:r w:rsidR="00F02288" w:rsidRPr="00C31CA4">
        <w:rPr>
          <w:rFonts w:eastAsia="Calibri"/>
        </w:rPr>
        <w:t>, see CIC section using effective price</w:t>
      </w:r>
      <w:r w:rsidRPr="00C31CA4">
        <w:rPr>
          <w:rFonts w:eastAsia="Calibri"/>
        </w:rPr>
        <w:t xml:space="preserve">). The PBAC agreed with the ESC that this was likely </w:t>
      </w:r>
      <w:r w:rsidR="00225B8E" w:rsidRPr="00C31CA4">
        <w:rPr>
          <w:rFonts w:eastAsia="Calibri"/>
        </w:rPr>
        <w:t xml:space="preserve">to </w:t>
      </w:r>
      <w:r w:rsidRPr="00C31CA4">
        <w:rPr>
          <w:rFonts w:eastAsia="Calibri"/>
        </w:rPr>
        <w:t xml:space="preserve">be conservative </w:t>
      </w:r>
      <w:r w:rsidR="00576ECE" w:rsidRPr="00C31CA4">
        <w:rPr>
          <w:rFonts w:eastAsia="Calibri"/>
        </w:rPr>
        <w:t xml:space="preserve">(i.e., an over-estimate) </w:t>
      </w:r>
      <w:r w:rsidRPr="00C31CA4">
        <w:rPr>
          <w:rFonts w:eastAsia="Calibri"/>
        </w:rPr>
        <w:t xml:space="preserve">as it did not include a range of additional patient relevant benefits related to becoming transfusion independent. </w:t>
      </w:r>
      <w:r w:rsidR="00225B8E" w:rsidRPr="00C31CA4">
        <w:rPr>
          <w:rFonts w:eastAsia="Calibri"/>
        </w:rPr>
        <w:t>The PBAC considered that the cost per responder was high but was reasonable in the context of a rare condition with a high clinical need.</w:t>
      </w:r>
      <w:r w:rsidR="00212569">
        <w:rPr>
          <w:rFonts w:eastAsia="Calibri"/>
        </w:rPr>
        <w:t xml:space="preserve"> The PBAC noted there was a relatively large randomised controlled trial available which provided some certainty regarding the incremental benefit of eltrombopag.</w:t>
      </w:r>
    </w:p>
    <w:p w14:paraId="61AF587D" w14:textId="7695796B" w:rsidR="00001D89" w:rsidRPr="00C31CA4" w:rsidRDefault="00B0734F" w:rsidP="008B3F17">
      <w:pPr>
        <w:pStyle w:val="3-BodyText"/>
        <w:rPr>
          <w:rFonts w:eastAsia="Calibri"/>
        </w:rPr>
      </w:pPr>
      <w:r w:rsidRPr="00C31CA4">
        <w:rPr>
          <w:rFonts w:eastAsia="Calibri"/>
        </w:rPr>
        <w:t xml:space="preserve">The PBAC noted the </w:t>
      </w:r>
      <w:r w:rsidR="004000AF" w:rsidRPr="00C31CA4">
        <w:rPr>
          <w:rFonts w:eastAsia="Calibri"/>
        </w:rPr>
        <w:t xml:space="preserve">listing of eltrombopag for sAA </w:t>
      </w:r>
      <w:r w:rsidR="004E3791" w:rsidRPr="00C31CA4">
        <w:rPr>
          <w:rFonts w:eastAsia="Calibri"/>
        </w:rPr>
        <w:t xml:space="preserve">was estimated to </w:t>
      </w:r>
      <w:r w:rsidR="004000AF" w:rsidRPr="00C31CA4">
        <w:rPr>
          <w:rFonts w:eastAsia="Calibri"/>
        </w:rPr>
        <w:t xml:space="preserve">result in </w:t>
      </w:r>
      <w:r w:rsidR="00F3008C">
        <w:rPr>
          <w:rFonts w:eastAsia="Calibri"/>
        </w:rPr>
        <w:t>&lt;</w:t>
      </w:r>
      <w:r w:rsidR="00DC2C11">
        <w:rPr>
          <w:rFonts w:eastAsia="Calibri"/>
        </w:rPr>
        <w:t> </w:t>
      </w:r>
      <w:r w:rsidR="00F3008C">
        <w:rPr>
          <w:rFonts w:eastAsia="Calibri"/>
        </w:rPr>
        <w:t>500</w:t>
      </w:r>
      <w:r w:rsidR="00DC2C11">
        <w:rPr>
          <w:rFonts w:eastAsia="Calibri"/>
        </w:rPr>
        <w:t xml:space="preserve"> </w:t>
      </w:r>
      <w:r w:rsidR="004000AF" w:rsidRPr="00C31CA4">
        <w:rPr>
          <w:rFonts w:eastAsia="Calibri"/>
        </w:rPr>
        <w:t xml:space="preserve">patients treated in Year 1, increasing to </w:t>
      </w:r>
      <w:r w:rsidR="00F3008C">
        <w:rPr>
          <w:rFonts w:eastAsia="Calibri"/>
        </w:rPr>
        <w:t>&lt; 500</w:t>
      </w:r>
      <w:r w:rsidR="00F3008C" w:rsidRPr="00C31CA4">
        <w:rPr>
          <w:rFonts w:eastAsia="Calibri"/>
        </w:rPr>
        <w:t xml:space="preserve"> </w:t>
      </w:r>
      <w:r w:rsidR="004000AF" w:rsidRPr="00C31CA4">
        <w:rPr>
          <w:rFonts w:eastAsia="Calibri"/>
        </w:rPr>
        <w:t xml:space="preserve">patients in Year 6 with an overall estimated cost to the PBS/ RPBS of </w:t>
      </w:r>
      <w:r w:rsidR="00927441" w:rsidRPr="00927441">
        <w:rPr>
          <w:rFonts w:eastAsia="Calibri"/>
        </w:rPr>
        <w:t>$10 million to &lt; $20 million</w:t>
      </w:r>
      <w:r w:rsidR="00927441" w:rsidRPr="00927441" w:rsidDel="00927441">
        <w:rPr>
          <w:rFonts w:eastAsia="Calibri"/>
        </w:rPr>
        <w:t xml:space="preserve"> </w:t>
      </w:r>
      <w:r w:rsidR="004000AF" w:rsidRPr="00C31CA4">
        <w:rPr>
          <w:rFonts w:eastAsia="Calibri"/>
        </w:rPr>
        <w:t>(</w:t>
      </w:r>
      <w:r w:rsidR="00F02288" w:rsidRPr="00C31CA4">
        <w:rPr>
          <w:rFonts w:eastAsia="Calibri"/>
        </w:rPr>
        <w:t xml:space="preserve">based on </w:t>
      </w:r>
      <w:r w:rsidR="004000AF" w:rsidRPr="00C31CA4">
        <w:rPr>
          <w:rFonts w:eastAsia="Calibri"/>
        </w:rPr>
        <w:t>the published price</w:t>
      </w:r>
      <w:r w:rsidR="00F02288" w:rsidRPr="00C31CA4">
        <w:rPr>
          <w:rFonts w:eastAsia="Calibri"/>
        </w:rPr>
        <w:t xml:space="preserve"> of </w:t>
      </w:r>
      <w:r w:rsidR="00677783" w:rsidRPr="00C31CA4">
        <w:rPr>
          <w:rFonts w:eastAsia="Calibri"/>
        </w:rPr>
        <w:t>eltrombopag</w:t>
      </w:r>
      <w:r w:rsidR="00F02288" w:rsidRPr="00C31CA4">
        <w:rPr>
          <w:rFonts w:eastAsia="Calibri"/>
        </w:rPr>
        <w:t>, see CIC section using effective price</w:t>
      </w:r>
      <w:r w:rsidR="004000AF" w:rsidRPr="00C31CA4">
        <w:rPr>
          <w:rFonts w:eastAsia="Calibri"/>
        </w:rPr>
        <w:t xml:space="preserve">) over 6 years. </w:t>
      </w:r>
      <w:r w:rsidR="0052662E" w:rsidRPr="00C31CA4">
        <w:rPr>
          <w:rFonts w:eastAsia="Calibri"/>
        </w:rPr>
        <w:t xml:space="preserve">The PBAC noted the submission assumed a small cost offset for reduced use of filgrastim in the second line setting to manage neutropenia but considered this was highly uncertain. </w:t>
      </w:r>
    </w:p>
    <w:p w14:paraId="3B7BE01F" w14:textId="73DB5597" w:rsidR="00F02288" w:rsidRPr="00C31CA4" w:rsidRDefault="00F02288" w:rsidP="008B3F17">
      <w:pPr>
        <w:pStyle w:val="3-BodyText"/>
        <w:rPr>
          <w:rFonts w:eastAsia="Calibri"/>
        </w:rPr>
      </w:pPr>
      <w:r w:rsidRPr="00C31CA4">
        <w:rPr>
          <w:rFonts w:eastAsia="Calibri"/>
        </w:rPr>
        <w:t>The cost per patient, cost per responder and cost to PBS/RPBS using the effective price of eltrombopag is presented in the table below.</w:t>
      </w:r>
    </w:p>
    <w:p w14:paraId="2777D1CB" w14:textId="69F6553B" w:rsidR="00F02288" w:rsidRDefault="00F02288" w:rsidP="00F02288">
      <w:pPr>
        <w:pStyle w:val="Caption"/>
      </w:pPr>
      <w:r w:rsidRPr="00C31CA4">
        <w:t xml:space="preserve">Table </w:t>
      </w:r>
      <w:fldSimple w:instr=" SEQ Table \* ARABIC " w:fldLock="1">
        <w:r w:rsidR="00897FA1">
          <w:rPr>
            <w:noProof/>
          </w:rPr>
          <w:t>15</w:t>
        </w:r>
      </w:fldSimple>
      <w:r w:rsidRPr="00C31CA4">
        <w:t xml:space="preserve">: </w:t>
      </w:r>
      <w:r w:rsidR="008B3F17" w:rsidRPr="00C31CA4">
        <w:t>C</w:t>
      </w:r>
      <w:r w:rsidRPr="00C31CA4">
        <w:t>ost per patient, cost per responder and cost to PBS/RPBS using the effective price</w:t>
      </w:r>
    </w:p>
    <w:tbl>
      <w:tblPr>
        <w:tblStyle w:val="TableGrid"/>
        <w:tblW w:w="5000" w:type="pct"/>
        <w:tblLook w:val="04A0" w:firstRow="1" w:lastRow="0" w:firstColumn="1" w:lastColumn="0" w:noHBand="0" w:noVBand="1"/>
      </w:tblPr>
      <w:tblGrid>
        <w:gridCol w:w="4512"/>
        <w:gridCol w:w="4505"/>
      </w:tblGrid>
      <w:tr w:rsidR="00360DF2" w:rsidRPr="00C31CA4" w14:paraId="47193E58" w14:textId="77777777" w:rsidTr="00B5005A">
        <w:tc>
          <w:tcPr>
            <w:tcW w:w="2502" w:type="pct"/>
          </w:tcPr>
          <w:p w14:paraId="6542D716" w14:textId="77777777" w:rsidR="00360DF2" w:rsidRPr="00360DF2" w:rsidRDefault="00360DF2" w:rsidP="00B5005A">
            <w:pPr>
              <w:pStyle w:val="In-tableHeading"/>
              <w:rPr>
                <w:b w:val="0"/>
                <w:bCs/>
                <w:lang w:val="en-AU"/>
              </w:rPr>
            </w:pPr>
            <w:r w:rsidRPr="00360DF2">
              <w:rPr>
                <w:b w:val="0"/>
                <w:bCs/>
                <w:lang w:val="en-AU"/>
              </w:rPr>
              <w:t>Effective price</w:t>
            </w:r>
          </w:p>
        </w:tc>
        <w:tc>
          <w:tcPr>
            <w:tcW w:w="2498" w:type="pct"/>
          </w:tcPr>
          <w:p w14:paraId="249FF465" w14:textId="40882477" w:rsidR="00B44C1C" w:rsidRDefault="004A6237" w:rsidP="00B5005A">
            <w:pPr>
              <w:pStyle w:val="In-tableHeading"/>
              <w:rPr>
                <w:b w:val="0"/>
                <w:bCs/>
                <w:lang w:val="en-AU"/>
              </w:rPr>
            </w:pPr>
            <w:r>
              <w:rPr>
                <w:b w:val="0"/>
                <w:bCs/>
                <w:lang w:val="en-AU"/>
              </w:rPr>
              <w:t>$</w:t>
            </w:r>
            <w:r w:rsidR="003012C1" w:rsidRPr="004A6237">
              <w:rPr>
                <w:b w:val="0"/>
                <w:bCs/>
                <w:color w:val="000000"/>
                <w:spacing w:val="54"/>
                <w:shd w:val="solid" w:color="000000" w:fill="000000"/>
                <w:fitText w:val="334" w:id="-1025869568"/>
                <w:lang w:val="en-AU"/>
                <w14:textFill>
                  <w14:solidFill>
                    <w14:srgbClr w14:val="000000">
                      <w14:alpha w14:val="100000"/>
                    </w14:srgbClr>
                  </w14:solidFill>
                </w14:textFill>
              </w:rPr>
              <w:t>|||</w:t>
            </w:r>
            <w:r w:rsidR="003012C1" w:rsidRPr="004A6237">
              <w:rPr>
                <w:b w:val="0"/>
                <w:bCs/>
                <w:color w:val="000000"/>
                <w:spacing w:val="2"/>
                <w:shd w:val="solid" w:color="000000" w:fill="000000"/>
                <w:fitText w:val="334" w:id="-1025869568"/>
                <w:lang w:val="en-AU"/>
                <w14:textFill>
                  <w14:solidFill>
                    <w14:srgbClr w14:val="000000">
                      <w14:alpha w14:val="100000"/>
                    </w14:srgbClr>
                  </w14:solidFill>
                </w14:textFill>
              </w:rPr>
              <w:t>|</w:t>
            </w:r>
            <w:r w:rsidR="00360DF2" w:rsidRPr="00360DF2">
              <w:rPr>
                <w:b w:val="0"/>
                <w:bCs/>
                <w:lang w:val="en-AU"/>
              </w:rPr>
              <w:t xml:space="preserve"> for 3 packs of 25 mg x 28</w:t>
            </w:r>
            <w:r w:rsidR="003012C1">
              <w:rPr>
                <w:b w:val="0"/>
                <w:bCs/>
                <w:lang w:val="en-AU"/>
              </w:rPr>
              <w:t xml:space="preserve"> </w:t>
            </w:r>
          </w:p>
          <w:p w14:paraId="1C5013ED" w14:textId="52E88C44" w:rsidR="00360DF2" w:rsidRPr="00360DF2" w:rsidRDefault="004A6237" w:rsidP="00B5005A">
            <w:pPr>
              <w:pStyle w:val="In-tableHeading"/>
              <w:rPr>
                <w:b w:val="0"/>
                <w:bCs/>
                <w:highlight w:val="lightGray"/>
                <w:lang w:val="en-AU"/>
              </w:rPr>
            </w:pPr>
            <w:r>
              <w:rPr>
                <w:b w:val="0"/>
                <w:bCs/>
                <w:lang w:val="en-AU"/>
              </w:rPr>
              <w:t>$</w:t>
            </w:r>
            <w:r w:rsidR="003012C1" w:rsidRPr="004A6237">
              <w:rPr>
                <w:b w:val="0"/>
                <w:bCs/>
                <w:color w:val="000000"/>
                <w:spacing w:val="54"/>
                <w:shd w:val="solid" w:color="000000" w:fill="000000"/>
                <w:fitText w:val="334" w:id="-1025869566"/>
                <w:lang w:val="en-AU"/>
                <w14:textFill>
                  <w14:solidFill>
                    <w14:srgbClr w14:val="000000">
                      <w14:alpha w14:val="100000"/>
                    </w14:srgbClr>
                  </w14:solidFill>
                </w14:textFill>
              </w:rPr>
              <w:t>|||</w:t>
            </w:r>
            <w:r w:rsidR="003012C1" w:rsidRPr="004A6237">
              <w:rPr>
                <w:b w:val="0"/>
                <w:bCs/>
                <w:color w:val="000000"/>
                <w:spacing w:val="2"/>
                <w:shd w:val="solid" w:color="000000" w:fill="000000"/>
                <w:fitText w:val="334" w:id="-1025869566"/>
                <w:lang w:val="en-AU"/>
                <w14:textFill>
                  <w14:solidFill>
                    <w14:srgbClr w14:val="000000">
                      <w14:alpha w14:val="100000"/>
                    </w14:srgbClr>
                  </w14:solidFill>
                </w14:textFill>
              </w:rPr>
              <w:t>|</w:t>
            </w:r>
            <w:r w:rsidR="00360DF2" w:rsidRPr="00360DF2">
              <w:rPr>
                <w:b w:val="0"/>
                <w:bCs/>
                <w:lang w:val="en-AU"/>
              </w:rPr>
              <w:t xml:space="preserve"> for 3 packs of 50 mg x 28</w:t>
            </w:r>
          </w:p>
        </w:tc>
      </w:tr>
      <w:tr w:rsidR="00360DF2" w:rsidRPr="00C31CA4" w14:paraId="671B8271" w14:textId="77777777" w:rsidTr="00B5005A">
        <w:tc>
          <w:tcPr>
            <w:tcW w:w="2502" w:type="pct"/>
          </w:tcPr>
          <w:p w14:paraId="2E79883E" w14:textId="77777777" w:rsidR="00360DF2" w:rsidRPr="00360DF2" w:rsidRDefault="00360DF2" w:rsidP="00B5005A">
            <w:pPr>
              <w:pStyle w:val="In-tableHeading"/>
              <w:rPr>
                <w:b w:val="0"/>
                <w:bCs/>
                <w:lang w:val="en-AU"/>
              </w:rPr>
            </w:pPr>
            <w:r w:rsidRPr="00360DF2">
              <w:rPr>
                <w:b w:val="0"/>
                <w:bCs/>
                <w:lang w:val="en-AU"/>
              </w:rPr>
              <w:t>Cost per patient per course</w:t>
            </w:r>
          </w:p>
        </w:tc>
        <w:tc>
          <w:tcPr>
            <w:tcW w:w="2498" w:type="pct"/>
          </w:tcPr>
          <w:p w14:paraId="076C76F0" w14:textId="62F71F4B" w:rsidR="00360DF2" w:rsidRPr="00360DF2" w:rsidRDefault="004A6237" w:rsidP="00B5005A">
            <w:pPr>
              <w:pStyle w:val="In-tableHeading"/>
              <w:rPr>
                <w:b w:val="0"/>
                <w:bCs/>
                <w:highlight w:val="lightGray"/>
                <w:lang w:val="en-AU"/>
              </w:rPr>
            </w:pPr>
            <w:r>
              <w:rPr>
                <w:b w:val="0"/>
                <w:bCs/>
                <w:lang w:val="en-AU"/>
              </w:rPr>
              <w:t>$</w:t>
            </w:r>
            <w:r w:rsidR="003012C1" w:rsidRPr="004A6237">
              <w:rPr>
                <w:b w:val="0"/>
                <w:bCs/>
                <w:color w:val="000000"/>
                <w:spacing w:val="54"/>
                <w:shd w:val="solid" w:color="000000" w:fill="000000"/>
                <w:fitText w:val="334" w:id="-1025869565"/>
                <w:lang w:val="en-AU"/>
                <w14:textFill>
                  <w14:solidFill>
                    <w14:srgbClr w14:val="000000">
                      <w14:alpha w14:val="100000"/>
                    </w14:srgbClr>
                  </w14:solidFill>
                </w14:textFill>
              </w:rPr>
              <w:t>|||</w:t>
            </w:r>
            <w:r w:rsidR="003012C1" w:rsidRPr="004A6237">
              <w:rPr>
                <w:b w:val="0"/>
                <w:bCs/>
                <w:color w:val="000000"/>
                <w:spacing w:val="2"/>
                <w:shd w:val="solid" w:color="000000" w:fill="000000"/>
                <w:fitText w:val="334" w:id="-1025869565"/>
                <w:lang w:val="en-AU"/>
                <w14:textFill>
                  <w14:solidFill>
                    <w14:srgbClr w14:val="000000">
                      <w14:alpha w14:val="100000"/>
                    </w14:srgbClr>
                  </w14:solidFill>
                </w14:textFill>
              </w:rPr>
              <w:t>|</w:t>
            </w:r>
            <w:r w:rsidR="00360DF2" w:rsidRPr="00360DF2">
              <w:rPr>
                <w:b w:val="0"/>
                <w:bCs/>
                <w:lang w:val="en-AU"/>
              </w:rPr>
              <w:t xml:space="preserve"> in the first line setting</w:t>
            </w:r>
          </w:p>
        </w:tc>
      </w:tr>
      <w:tr w:rsidR="00360DF2" w:rsidRPr="00C31CA4" w14:paraId="66DBB617" w14:textId="77777777" w:rsidTr="00B5005A">
        <w:tc>
          <w:tcPr>
            <w:tcW w:w="2502" w:type="pct"/>
          </w:tcPr>
          <w:p w14:paraId="25681E2A" w14:textId="77777777" w:rsidR="00360DF2" w:rsidRPr="00360DF2" w:rsidRDefault="00360DF2" w:rsidP="00B5005A">
            <w:pPr>
              <w:pStyle w:val="In-tableHeading"/>
              <w:rPr>
                <w:b w:val="0"/>
                <w:bCs/>
                <w:lang w:val="en-AU"/>
              </w:rPr>
            </w:pPr>
            <w:r w:rsidRPr="00360DF2">
              <w:rPr>
                <w:b w:val="0"/>
                <w:bCs/>
                <w:lang w:val="en-AU"/>
              </w:rPr>
              <w:t>Cost per responder</w:t>
            </w:r>
          </w:p>
        </w:tc>
        <w:tc>
          <w:tcPr>
            <w:tcW w:w="2498" w:type="pct"/>
          </w:tcPr>
          <w:p w14:paraId="265A076D" w14:textId="4CCDCA07" w:rsidR="00360DF2" w:rsidRPr="00360DF2" w:rsidRDefault="004A6237" w:rsidP="00B5005A">
            <w:pPr>
              <w:pStyle w:val="In-tableHeading"/>
              <w:rPr>
                <w:b w:val="0"/>
                <w:bCs/>
                <w:highlight w:val="lightGray"/>
                <w:vertAlign w:val="superscript"/>
                <w:lang w:val="en-AU"/>
              </w:rPr>
            </w:pPr>
            <w:r>
              <w:rPr>
                <w:b w:val="0"/>
                <w:bCs/>
                <w:lang w:val="en-AU"/>
              </w:rPr>
              <w:t>$</w:t>
            </w:r>
            <w:r w:rsidR="003012C1" w:rsidRPr="004A6237">
              <w:rPr>
                <w:b w:val="0"/>
                <w:bCs/>
                <w:color w:val="000000"/>
                <w:spacing w:val="54"/>
                <w:shd w:val="solid" w:color="000000" w:fill="000000"/>
                <w:fitText w:val="334" w:id="-1025869564"/>
                <w:lang w:val="en-AU"/>
                <w14:textFill>
                  <w14:solidFill>
                    <w14:srgbClr w14:val="000000">
                      <w14:alpha w14:val="100000"/>
                    </w14:srgbClr>
                  </w14:solidFill>
                </w14:textFill>
              </w:rPr>
              <w:t>|||</w:t>
            </w:r>
            <w:r w:rsidR="003012C1" w:rsidRPr="004A6237">
              <w:rPr>
                <w:b w:val="0"/>
                <w:bCs/>
                <w:color w:val="000000"/>
                <w:spacing w:val="2"/>
                <w:shd w:val="solid" w:color="000000" w:fill="000000"/>
                <w:fitText w:val="334" w:id="-1025869564"/>
                <w:lang w:val="en-AU"/>
                <w14:textFill>
                  <w14:solidFill>
                    <w14:srgbClr w14:val="000000">
                      <w14:alpha w14:val="100000"/>
                    </w14:srgbClr>
                  </w14:solidFill>
                </w14:textFill>
              </w:rPr>
              <w:t>|</w:t>
            </w:r>
          </w:p>
        </w:tc>
      </w:tr>
      <w:tr w:rsidR="00360DF2" w:rsidRPr="00C31CA4" w14:paraId="2D253407" w14:textId="77777777" w:rsidTr="00B5005A">
        <w:tc>
          <w:tcPr>
            <w:tcW w:w="2502" w:type="pct"/>
          </w:tcPr>
          <w:p w14:paraId="15E573DD" w14:textId="77777777" w:rsidR="00360DF2" w:rsidRPr="00360DF2" w:rsidRDefault="00360DF2" w:rsidP="00B5005A">
            <w:pPr>
              <w:pStyle w:val="In-tableHeading"/>
              <w:rPr>
                <w:b w:val="0"/>
                <w:bCs/>
                <w:lang w:val="en-AU"/>
              </w:rPr>
            </w:pPr>
            <w:r w:rsidRPr="00360DF2">
              <w:rPr>
                <w:b w:val="0"/>
                <w:bCs/>
                <w:lang w:val="en-AU"/>
              </w:rPr>
              <w:t>Cost to PBS/RPBS over first 6 years of listing</w:t>
            </w:r>
          </w:p>
        </w:tc>
        <w:tc>
          <w:tcPr>
            <w:tcW w:w="2498" w:type="pct"/>
          </w:tcPr>
          <w:p w14:paraId="1E9AA128" w14:textId="476AD2B6" w:rsidR="00360DF2" w:rsidRPr="00360DF2" w:rsidRDefault="004A6237" w:rsidP="00B5005A">
            <w:pPr>
              <w:pStyle w:val="In-tableHeading"/>
              <w:rPr>
                <w:b w:val="0"/>
                <w:bCs/>
                <w:highlight w:val="lightGray"/>
                <w:vertAlign w:val="superscript"/>
                <w:lang w:val="en-AU"/>
              </w:rPr>
            </w:pPr>
            <w:r>
              <w:rPr>
                <w:b w:val="0"/>
                <w:bCs/>
                <w:lang w:val="en-AU"/>
              </w:rPr>
              <w:t>$</w:t>
            </w:r>
            <w:r w:rsidR="003012C1" w:rsidRPr="004A6237">
              <w:rPr>
                <w:b w:val="0"/>
                <w:bCs/>
                <w:color w:val="000000"/>
                <w:spacing w:val="54"/>
                <w:shd w:val="solid" w:color="000000" w:fill="000000"/>
                <w:fitText w:val="334" w:id="-1025869563"/>
                <w:lang w:val="en-AU"/>
                <w14:textFill>
                  <w14:solidFill>
                    <w14:srgbClr w14:val="000000">
                      <w14:alpha w14:val="100000"/>
                    </w14:srgbClr>
                  </w14:solidFill>
                </w14:textFill>
              </w:rPr>
              <w:t>|||</w:t>
            </w:r>
            <w:r w:rsidR="003012C1" w:rsidRPr="004A6237">
              <w:rPr>
                <w:b w:val="0"/>
                <w:bCs/>
                <w:color w:val="000000"/>
                <w:spacing w:val="2"/>
                <w:shd w:val="solid" w:color="000000" w:fill="000000"/>
                <w:fitText w:val="334" w:id="-1025869563"/>
                <w:lang w:val="en-AU"/>
                <w14:textFill>
                  <w14:solidFill>
                    <w14:srgbClr w14:val="000000">
                      <w14:alpha w14:val="100000"/>
                    </w14:srgbClr>
                  </w14:solidFill>
                </w14:textFill>
              </w:rPr>
              <w:t>|</w:t>
            </w:r>
            <w:r w:rsidR="00360DF2" w:rsidRPr="00360DF2">
              <w:rPr>
                <w:b w:val="0"/>
                <w:bCs/>
                <w:vertAlign w:val="superscript"/>
                <w:lang w:val="en-AU"/>
              </w:rPr>
              <w:t>1</w:t>
            </w:r>
          </w:p>
        </w:tc>
      </w:tr>
    </w:tbl>
    <w:p w14:paraId="4A05A0F4" w14:textId="77777777" w:rsidR="00360DF2" w:rsidRPr="00B44C1C" w:rsidRDefault="00360DF2" w:rsidP="00360DF2">
      <w:pPr>
        <w:pStyle w:val="FooterTableFigure"/>
        <w:tabs>
          <w:tab w:val="left" w:pos="142"/>
        </w:tabs>
        <w:ind w:left="142" w:hanging="142"/>
        <w:rPr>
          <w:i/>
          <w:iCs/>
        </w:rPr>
      </w:pPr>
      <w:r w:rsidRPr="00B44C1C">
        <w:rPr>
          <w:i/>
          <w:iCs/>
        </w:rPr>
        <w:t>The redacted values correspond to the following ranges:</w:t>
      </w:r>
    </w:p>
    <w:p w14:paraId="54FC86A8" w14:textId="3E75D2D6" w:rsidR="00360DF2" w:rsidRPr="00E33A76" w:rsidRDefault="00360DF2" w:rsidP="00360DF2">
      <w:pPr>
        <w:pStyle w:val="FooterTableFigure"/>
        <w:keepNext/>
        <w:keepLines/>
        <w:tabs>
          <w:tab w:val="left" w:pos="142"/>
        </w:tabs>
        <w:rPr>
          <w:i/>
          <w:iCs/>
          <w:szCs w:val="18"/>
        </w:rPr>
      </w:pPr>
      <w:r w:rsidRPr="00E33A76">
        <w:rPr>
          <w:i/>
          <w:iCs/>
          <w:szCs w:val="18"/>
          <w:vertAlign w:val="superscript"/>
        </w:rPr>
        <w:t>1</w:t>
      </w:r>
      <w:r w:rsidRPr="00E33A76">
        <w:rPr>
          <w:i/>
          <w:iCs/>
          <w:szCs w:val="18"/>
        </w:rPr>
        <w:t xml:space="preserve"> </w:t>
      </w:r>
      <w:r w:rsidRPr="00360DF2">
        <w:rPr>
          <w:i/>
          <w:iCs/>
          <w:szCs w:val="18"/>
        </w:rPr>
        <w:t>$0 to &lt; $10 million</w:t>
      </w:r>
    </w:p>
    <w:p w14:paraId="05776F29" w14:textId="17A6A760" w:rsidR="00CB7048" w:rsidRPr="00C31CA4" w:rsidRDefault="00CB7048" w:rsidP="008B3F17">
      <w:pPr>
        <w:pStyle w:val="3-BodyText"/>
        <w:rPr>
          <w:rFonts w:eastAsia="Calibri"/>
        </w:rPr>
      </w:pPr>
      <w:r w:rsidRPr="00C31CA4">
        <w:rPr>
          <w:rFonts w:eastAsia="Calibri"/>
        </w:rPr>
        <w:t xml:space="preserve">The PBAC found that the criteria prescribed by the </w:t>
      </w:r>
      <w:r w:rsidRPr="002B35AF">
        <w:rPr>
          <w:rFonts w:eastAsia="Calibri"/>
          <w:i/>
          <w:iCs/>
        </w:rPr>
        <w:t>National Health (Pharmaceuticals and Vaccines – Cost Recovery) Regulations 2022</w:t>
      </w:r>
      <w:r w:rsidRPr="00C31CA4">
        <w:rPr>
          <w:rFonts w:eastAsia="Calibri"/>
        </w:rPr>
        <w:t xml:space="preserve"> for Pricing Pathway A were met. </w:t>
      </w:r>
      <w:r w:rsidR="00677783" w:rsidRPr="00C31CA4">
        <w:rPr>
          <w:rFonts w:eastAsia="Calibri"/>
        </w:rPr>
        <w:t>Specifically,</w:t>
      </w:r>
      <w:r w:rsidRPr="00C31CA4">
        <w:rPr>
          <w:rFonts w:eastAsia="Calibri"/>
        </w:rPr>
        <w:t xml:space="preserve"> the PBAC found that in the circumstances of its recommendation for </w:t>
      </w:r>
      <w:r w:rsidR="001968A7" w:rsidRPr="00C31CA4">
        <w:rPr>
          <w:rFonts w:eastAsia="Calibri"/>
        </w:rPr>
        <w:t>eltrombopag</w:t>
      </w:r>
      <w:r w:rsidRPr="00C31CA4">
        <w:rPr>
          <w:rFonts w:eastAsia="Calibri"/>
        </w:rPr>
        <w:t>:</w:t>
      </w:r>
    </w:p>
    <w:p w14:paraId="51F03230" w14:textId="5EA1176E" w:rsidR="00CB7048" w:rsidRPr="00C31CA4" w:rsidRDefault="00CB7048" w:rsidP="002B35AF">
      <w:pPr>
        <w:pStyle w:val="3-BodyText"/>
        <w:numPr>
          <w:ilvl w:val="0"/>
          <w:numId w:val="10"/>
        </w:numPr>
        <w:ind w:left="1134"/>
        <w:rPr>
          <w:rFonts w:eastAsia="Calibri"/>
        </w:rPr>
      </w:pPr>
      <w:r w:rsidRPr="00C31CA4">
        <w:rPr>
          <w:rFonts w:eastAsia="Calibri"/>
        </w:rPr>
        <w:t>The treatment is expected to provide a substantial and clinically relevant improvement in efficacy over</w:t>
      </w:r>
      <w:r w:rsidR="008B3F17" w:rsidRPr="00C31CA4">
        <w:rPr>
          <w:rFonts w:eastAsia="Calibri"/>
        </w:rPr>
        <w:t xml:space="preserve"> hATG + CsA alone</w:t>
      </w:r>
      <w:r w:rsidRPr="00C31CA4">
        <w:rPr>
          <w:rFonts w:eastAsia="Calibri"/>
        </w:rPr>
        <w:t xml:space="preserve"> </w:t>
      </w:r>
      <w:r w:rsidR="001968A7" w:rsidRPr="00C31CA4">
        <w:rPr>
          <w:rFonts w:eastAsia="Calibri"/>
        </w:rPr>
        <w:t xml:space="preserve">on the basis of </w:t>
      </w:r>
      <w:r w:rsidR="008B3F17" w:rsidRPr="00C31CA4">
        <w:rPr>
          <w:rFonts w:eastAsia="Calibri"/>
        </w:rPr>
        <w:t>haematological response</w:t>
      </w:r>
      <w:r w:rsidRPr="00C31CA4">
        <w:rPr>
          <w:rFonts w:eastAsia="Calibri"/>
        </w:rPr>
        <w:t xml:space="preserve">; </w:t>
      </w:r>
    </w:p>
    <w:p w14:paraId="33EA549E" w14:textId="5CA4132A" w:rsidR="00CB7048" w:rsidRPr="00C31CA4" w:rsidRDefault="00CB7048" w:rsidP="002B35AF">
      <w:pPr>
        <w:pStyle w:val="3-BodyText"/>
        <w:numPr>
          <w:ilvl w:val="0"/>
          <w:numId w:val="10"/>
        </w:numPr>
        <w:ind w:left="1134"/>
        <w:rPr>
          <w:rFonts w:eastAsia="Calibri"/>
        </w:rPr>
      </w:pPr>
      <w:r w:rsidRPr="00C31CA4">
        <w:rPr>
          <w:rFonts w:eastAsia="Calibri"/>
        </w:rPr>
        <w:t xml:space="preserve">The treatment </w:t>
      </w:r>
      <w:r w:rsidR="001968A7" w:rsidRPr="00C31CA4">
        <w:rPr>
          <w:rFonts w:eastAsia="Calibri"/>
        </w:rPr>
        <w:t>i</w:t>
      </w:r>
      <w:r w:rsidRPr="00C31CA4">
        <w:rPr>
          <w:rFonts w:eastAsia="Calibri"/>
        </w:rPr>
        <w:t xml:space="preserve">s expected to address a high and urgent unmet clinical need </w:t>
      </w:r>
      <w:r w:rsidR="008B3F17" w:rsidRPr="00C31CA4">
        <w:rPr>
          <w:rFonts w:eastAsia="Calibri"/>
        </w:rPr>
        <w:t>due to the limited treatment options available</w:t>
      </w:r>
      <w:r w:rsidRPr="00C31CA4">
        <w:rPr>
          <w:rFonts w:eastAsia="Calibri"/>
        </w:rPr>
        <w:t>;</w:t>
      </w:r>
    </w:p>
    <w:p w14:paraId="78F9B89B" w14:textId="1BB473AE" w:rsidR="00CB7048" w:rsidRPr="00C31CA4" w:rsidRDefault="00CB7048" w:rsidP="002B35AF">
      <w:pPr>
        <w:pStyle w:val="3-BodyText"/>
        <w:numPr>
          <w:ilvl w:val="0"/>
          <w:numId w:val="10"/>
        </w:numPr>
        <w:ind w:left="1134"/>
        <w:rPr>
          <w:rFonts w:eastAsia="Calibri"/>
        </w:rPr>
      </w:pPr>
      <w:r w:rsidRPr="00C31CA4">
        <w:rPr>
          <w:rFonts w:eastAsia="Calibri"/>
        </w:rPr>
        <w:lastRenderedPageBreak/>
        <w:t>It would be in the public interest for the subsequent pricing application to be progressed under Pricing Pathway A on the basis of the preceding findings</w:t>
      </w:r>
      <w:r w:rsidR="000B2D64">
        <w:rPr>
          <w:rFonts w:eastAsia="Calibri"/>
        </w:rPr>
        <w:t>.</w:t>
      </w:r>
    </w:p>
    <w:p w14:paraId="0DE7CA97" w14:textId="0D13742E" w:rsidR="00CB7048" w:rsidRPr="00C31CA4" w:rsidRDefault="00CB7048" w:rsidP="008B3F17">
      <w:pPr>
        <w:pStyle w:val="3-BodyText"/>
        <w:rPr>
          <w:rFonts w:eastAsia="Calibri"/>
        </w:rPr>
      </w:pPr>
      <w:r w:rsidRPr="00C31CA4">
        <w:rPr>
          <w:rFonts w:eastAsia="Calibri"/>
        </w:rPr>
        <w:t xml:space="preserve">The PBAC did not recommend that </w:t>
      </w:r>
      <w:r w:rsidR="00677783" w:rsidRPr="00C31CA4">
        <w:rPr>
          <w:rFonts w:eastAsia="Calibri"/>
        </w:rPr>
        <w:t>eltrombopag</w:t>
      </w:r>
      <w:r w:rsidRPr="00C31CA4">
        <w:rPr>
          <w:rFonts w:eastAsia="Calibri"/>
        </w:rPr>
        <w:t xml:space="preserve"> should be treated as interchangeable on an individual patient basis with any other drug. </w:t>
      </w:r>
    </w:p>
    <w:p w14:paraId="47945FC2" w14:textId="31454343" w:rsidR="00CB7048" w:rsidRPr="00C31CA4" w:rsidRDefault="00CB7048" w:rsidP="008B3F17">
      <w:pPr>
        <w:pStyle w:val="3-BodyText"/>
        <w:rPr>
          <w:rFonts w:eastAsia="Calibri"/>
        </w:rPr>
      </w:pPr>
      <w:r w:rsidRPr="00C31CA4">
        <w:t xml:space="preserve">The PBAC noted that this submission is not eligible for an Independent Review as it </w:t>
      </w:r>
      <w:r w:rsidR="008B3F17" w:rsidRPr="00C31CA4">
        <w:t>received a positive recommendation</w:t>
      </w:r>
      <w:r w:rsidRPr="00C31CA4">
        <w:t>.</w:t>
      </w:r>
    </w:p>
    <w:p w14:paraId="4A17C776" w14:textId="32AE2F13" w:rsidR="006E74E9" w:rsidRPr="002B35AF" w:rsidRDefault="006E74E9" w:rsidP="003A4EC5">
      <w:pPr>
        <w:rPr>
          <w:b/>
          <w:bCs/>
        </w:rPr>
      </w:pPr>
      <w:r w:rsidRPr="002B35AF">
        <w:rPr>
          <w:b/>
          <w:bCs/>
        </w:rPr>
        <w:t>Outcome:</w:t>
      </w:r>
    </w:p>
    <w:p w14:paraId="5F50BB66" w14:textId="6BEDF5BA" w:rsidR="006E74E9" w:rsidRDefault="006E74E9" w:rsidP="003A4EC5">
      <w:r w:rsidRPr="00C31CA4">
        <w:t>Recommended.</w:t>
      </w:r>
    </w:p>
    <w:p w14:paraId="2099F89B" w14:textId="467B835B" w:rsidR="006E74E9" w:rsidRPr="00D92642" w:rsidRDefault="006E74E9" w:rsidP="00D92642">
      <w:pPr>
        <w:pStyle w:val="2-SectionHeading"/>
      </w:pPr>
      <w:r w:rsidRPr="00D92642">
        <w:t>Recommended listing</w:t>
      </w:r>
    </w:p>
    <w:p w14:paraId="1B6A0A49" w14:textId="013734CE" w:rsidR="006E74E9" w:rsidRPr="00C31CA4" w:rsidRDefault="006E74E9" w:rsidP="008B3F17">
      <w:pPr>
        <w:pStyle w:val="3-BodyText"/>
      </w:pPr>
      <w:r w:rsidRPr="00C31CA4">
        <w:t>Add new item</w:t>
      </w:r>
      <w:r w:rsidR="00267418" w:rsidRPr="00C31CA4">
        <w:t>s</w:t>
      </w:r>
      <w:r w:rsidRPr="00C31CA4">
        <w:t>:</w:t>
      </w:r>
    </w:p>
    <w:p w14:paraId="3D9EE7A1" w14:textId="19DD8061" w:rsidR="001C1E48" w:rsidRPr="00C31CA4" w:rsidRDefault="00267418" w:rsidP="00D92642">
      <w:pPr>
        <w:spacing w:after="120"/>
        <w:rPr>
          <w:rFonts w:asciiTheme="minorHAnsi" w:hAnsiTheme="minorHAnsi" w:cstheme="minorHAnsi"/>
          <w:b/>
          <w:bCs/>
        </w:rPr>
      </w:pPr>
      <w:r w:rsidRPr="00C31CA4">
        <w:rPr>
          <w:rFonts w:asciiTheme="minorHAnsi" w:hAnsiTheme="minorHAnsi" w:cstheme="minorHAnsi"/>
          <w:b/>
          <w:bCs/>
        </w:rPr>
        <w:t>First line setting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67"/>
        <w:gridCol w:w="988"/>
        <w:gridCol w:w="846"/>
        <w:gridCol w:w="705"/>
        <w:gridCol w:w="705"/>
        <w:gridCol w:w="1830"/>
      </w:tblGrid>
      <w:tr w:rsidR="001C1E48" w:rsidRPr="00C31CA4" w14:paraId="22636D62" w14:textId="77777777" w:rsidTr="005F67C4">
        <w:trPr>
          <w:trHeight w:val="284"/>
        </w:trPr>
        <w:tc>
          <w:tcPr>
            <w:tcW w:w="2186" w:type="pct"/>
            <w:gridSpan w:val="2"/>
          </w:tcPr>
          <w:p w14:paraId="1428E375" w14:textId="77777777" w:rsidR="001C1E48" w:rsidRPr="00C31CA4" w:rsidRDefault="001C1E48" w:rsidP="005F67C4">
            <w:pPr>
              <w:keepNext/>
              <w:ind w:left="-57"/>
              <w:rPr>
                <w:rFonts w:ascii="Arial Narrow" w:hAnsi="Arial Narrow"/>
                <w:b/>
                <w:bCs/>
                <w:sz w:val="20"/>
                <w:szCs w:val="20"/>
              </w:rPr>
            </w:pPr>
            <w:r w:rsidRPr="00C31CA4">
              <w:rPr>
                <w:rFonts w:ascii="Arial Narrow" w:hAnsi="Arial Narrow"/>
                <w:b/>
                <w:bCs/>
                <w:sz w:val="20"/>
                <w:szCs w:val="20"/>
              </w:rPr>
              <w:t>MEDICINAL PRODUCT</w:t>
            </w:r>
          </w:p>
          <w:p w14:paraId="7FAABC6B" w14:textId="77777777" w:rsidR="001C1E48" w:rsidRPr="00C31CA4" w:rsidRDefault="001C1E48" w:rsidP="005F67C4">
            <w:pPr>
              <w:keepNext/>
              <w:ind w:left="-57"/>
              <w:rPr>
                <w:rFonts w:ascii="Arial Narrow" w:hAnsi="Arial Narrow"/>
                <w:b/>
                <w:sz w:val="20"/>
                <w:szCs w:val="20"/>
              </w:rPr>
            </w:pPr>
            <w:r w:rsidRPr="00C31CA4">
              <w:rPr>
                <w:rFonts w:ascii="Arial Narrow" w:hAnsi="Arial Narrow"/>
                <w:b/>
                <w:bCs/>
                <w:sz w:val="20"/>
                <w:szCs w:val="20"/>
              </w:rPr>
              <w:t>medicinal product pack</w:t>
            </w:r>
          </w:p>
        </w:tc>
        <w:tc>
          <w:tcPr>
            <w:tcW w:w="548" w:type="pct"/>
          </w:tcPr>
          <w:p w14:paraId="540B488F"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PBS item code</w:t>
            </w:r>
          </w:p>
        </w:tc>
        <w:tc>
          <w:tcPr>
            <w:tcW w:w="469" w:type="pct"/>
          </w:tcPr>
          <w:p w14:paraId="4FEB812C"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Max. qty packs</w:t>
            </w:r>
          </w:p>
        </w:tc>
        <w:tc>
          <w:tcPr>
            <w:tcW w:w="391" w:type="pct"/>
          </w:tcPr>
          <w:p w14:paraId="18C74C0E"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Max. qty units</w:t>
            </w:r>
          </w:p>
        </w:tc>
        <w:tc>
          <w:tcPr>
            <w:tcW w:w="391" w:type="pct"/>
          </w:tcPr>
          <w:p w14:paraId="30BD6B1C"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№.of</w:t>
            </w:r>
          </w:p>
          <w:p w14:paraId="6DC2E996"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Rpts</w:t>
            </w:r>
          </w:p>
        </w:tc>
        <w:tc>
          <w:tcPr>
            <w:tcW w:w="1015" w:type="pct"/>
          </w:tcPr>
          <w:p w14:paraId="69880637" w14:textId="77777777" w:rsidR="001C1E48" w:rsidRPr="00C31CA4" w:rsidRDefault="001C1E48" w:rsidP="005F67C4">
            <w:pPr>
              <w:keepNext/>
              <w:rPr>
                <w:rFonts w:ascii="Arial Narrow" w:hAnsi="Arial Narrow"/>
                <w:b/>
                <w:sz w:val="20"/>
                <w:szCs w:val="20"/>
              </w:rPr>
            </w:pPr>
            <w:r w:rsidRPr="00C31CA4">
              <w:rPr>
                <w:rFonts w:ascii="Arial Narrow" w:hAnsi="Arial Narrow"/>
                <w:b/>
                <w:sz w:val="20"/>
                <w:szCs w:val="20"/>
              </w:rPr>
              <w:t>Available brands</w:t>
            </w:r>
          </w:p>
        </w:tc>
      </w:tr>
      <w:tr w:rsidR="001C1E48" w:rsidRPr="00C31CA4" w14:paraId="433ACF07" w14:textId="77777777" w:rsidTr="005F67C4">
        <w:trPr>
          <w:trHeight w:val="284"/>
        </w:trPr>
        <w:tc>
          <w:tcPr>
            <w:tcW w:w="5000" w:type="pct"/>
            <w:gridSpan w:val="7"/>
          </w:tcPr>
          <w:p w14:paraId="5B6816AD" w14:textId="77777777" w:rsidR="001C1E48" w:rsidRPr="00C31CA4" w:rsidRDefault="001C1E48" w:rsidP="005F67C4">
            <w:pPr>
              <w:keepNext/>
              <w:ind w:left="-57"/>
              <w:rPr>
                <w:rFonts w:ascii="Arial Narrow" w:hAnsi="Arial Narrow"/>
                <w:sz w:val="20"/>
                <w:szCs w:val="20"/>
              </w:rPr>
            </w:pPr>
            <w:r w:rsidRPr="00C31CA4">
              <w:rPr>
                <w:rFonts w:ascii="Arial Narrow" w:hAnsi="Arial Narrow"/>
                <w:sz w:val="20"/>
                <w:szCs w:val="20"/>
              </w:rPr>
              <w:t>ELTROMBOPAG</w:t>
            </w:r>
          </w:p>
        </w:tc>
      </w:tr>
      <w:tr w:rsidR="001C1E48" w:rsidRPr="00C31CA4" w14:paraId="7EE7D73A" w14:textId="77777777" w:rsidTr="005F67C4">
        <w:trPr>
          <w:trHeight w:val="284"/>
        </w:trPr>
        <w:tc>
          <w:tcPr>
            <w:tcW w:w="2186" w:type="pct"/>
            <w:gridSpan w:val="2"/>
          </w:tcPr>
          <w:p w14:paraId="422513C3" w14:textId="77777777" w:rsidR="001C1E48" w:rsidRPr="00C31CA4" w:rsidRDefault="001C1E48" w:rsidP="005F67C4">
            <w:pPr>
              <w:ind w:left="-109"/>
              <w:rPr>
                <w:rFonts w:ascii="Arial Narrow" w:hAnsi="Arial Narrow"/>
                <w:sz w:val="20"/>
                <w:szCs w:val="20"/>
              </w:rPr>
            </w:pPr>
            <w:r w:rsidRPr="00C31CA4">
              <w:rPr>
                <w:rFonts w:ascii="Arial Narrow" w:hAnsi="Arial Narrow"/>
                <w:sz w:val="20"/>
                <w:szCs w:val="20"/>
              </w:rPr>
              <w:t xml:space="preserve"> Eltrombopag 25mg tablet, 28</w:t>
            </w:r>
          </w:p>
        </w:tc>
        <w:tc>
          <w:tcPr>
            <w:tcW w:w="548" w:type="pct"/>
          </w:tcPr>
          <w:p w14:paraId="2373FFFA"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New</w:t>
            </w:r>
          </w:p>
        </w:tc>
        <w:tc>
          <w:tcPr>
            <w:tcW w:w="469" w:type="pct"/>
          </w:tcPr>
          <w:p w14:paraId="342FCF05"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3</w:t>
            </w:r>
          </w:p>
        </w:tc>
        <w:tc>
          <w:tcPr>
            <w:tcW w:w="391" w:type="pct"/>
          </w:tcPr>
          <w:p w14:paraId="2925CB4F"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84</w:t>
            </w:r>
          </w:p>
        </w:tc>
        <w:tc>
          <w:tcPr>
            <w:tcW w:w="391" w:type="pct"/>
          </w:tcPr>
          <w:p w14:paraId="29F55D08"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5</w:t>
            </w:r>
          </w:p>
        </w:tc>
        <w:tc>
          <w:tcPr>
            <w:tcW w:w="1015" w:type="pct"/>
          </w:tcPr>
          <w:p w14:paraId="44FED2C0" w14:textId="77777777" w:rsidR="001C1E48" w:rsidRPr="00C31CA4" w:rsidRDefault="001C1E48" w:rsidP="005F67C4">
            <w:pPr>
              <w:keepNext/>
              <w:rPr>
                <w:rFonts w:ascii="Arial Narrow" w:hAnsi="Arial Narrow"/>
                <w:sz w:val="20"/>
                <w:szCs w:val="20"/>
              </w:rPr>
            </w:pPr>
            <w:r w:rsidRPr="00C31CA4">
              <w:rPr>
                <w:rFonts w:ascii="Arial Narrow" w:hAnsi="Arial Narrow"/>
                <w:sz w:val="20"/>
                <w:szCs w:val="20"/>
              </w:rPr>
              <w:t>Revolade</w:t>
            </w:r>
          </w:p>
        </w:tc>
      </w:tr>
      <w:tr w:rsidR="001C1E48" w:rsidRPr="00C31CA4" w14:paraId="2F381E95" w14:textId="77777777" w:rsidTr="005F67C4">
        <w:trPr>
          <w:trHeight w:val="284"/>
        </w:trPr>
        <w:tc>
          <w:tcPr>
            <w:tcW w:w="2186" w:type="pct"/>
            <w:gridSpan w:val="2"/>
          </w:tcPr>
          <w:p w14:paraId="1F38D737" w14:textId="77777777" w:rsidR="001C1E48" w:rsidRPr="00C31CA4" w:rsidRDefault="001C1E48" w:rsidP="005F67C4">
            <w:pPr>
              <w:keepNext/>
              <w:ind w:left="-57"/>
              <w:rPr>
                <w:rFonts w:ascii="Arial Narrow" w:hAnsi="Arial Narrow"/>
                <w:sz w:val="20"/>
                <w:szCs w:val="20"/>
              </w:rPr>
            </w:pPr>
            <w:r w:rsidRPr="00C31CA4">
              <w:rPr>
                <w:rFonts w:ascii="Arial Narrow" w:hAnsi="Arial Narrow"/>
                <w:sz w:val="20"/>
                <w:szCs w:val="20"/>
              </w:rPr>
              <w:t>Eltrombopag 50mg tablet, 28</w:t>
            </w:r>
          </w:p>
        </w:tc>
        <w:tc>
          <w:tcPr>
            <w:tcW w:w="548" w:type="pct"/>
          </w:tcPr>
          <w:p w14:paraId="62A5184B"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New</w:t>
            </w:r>
          </w:p>
        </w:tc>
        <w:tc>
          <w:tcPr>
            <w:tcW w:w="469" w:type="pct"/>
          </w:tcPr>
          <w:p w14:paraId="72A1E1BD"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3</w:t>
            </w:r>
          </w:p>
        </w:tc>
        <w:tc>
          <w:tcPr>
            <w:tcW w:w="391" w:type="pct"/>
          </w:tcPr>
          <w:p w14:paraId="475E1076"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84</w:t>
            </w:r>
          </w:p>
        </w:tc>
        <w:tc>
          <w:tcPr>
            <w:tcW w:w="391" w:type="pct"/>
          </w:tcPr>
          <w:p w14:paraId="7EAA61FE"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5</w:t>
            </w:r>
          </w:p>
        </w:tc>
        <w:tc>
          <w:tcPr>
            <w:tcW w:w="1015" w:type="pct"/>
          </w:tcPr>
          <w:p w14:paraId="697E5963" w14:textId="77777777" w:rsidR="001C1E48" w:rsidRPr="00C31CA4" w:rsidRDefault="001C1E48" w:rsidP="005F67C4">
            <w:pPr>
              <w:keepNext/>
              <w:rPr>
                <w:rFonts w:ascii="Arial Narrow" w:hAnsi="Arial Narrow"/>
                <w:sz w:val="20"/>
                <w:szCs w:val="20"/>
              </w:rPr>
            </w:pPr>
            <w:r w:rsidRPr="00C31CA4">
              <w:rPr>
                <w:rFonts w:ascii="Arial Narrow" w:hAnsi="Arial Narrow"/>
                <w:sz w:val="20"/>
                <w:szCs w:val="20"/>
              </w:rPr>
              <w:t>Revolade</w:t>
            </w:r>
          </w:p>
        </w:tc>
      </w:tr>
      <w:tr w:rsidR="001C1E48" w:rsidRPr="00C31CA4" w14:paraId="0EACB302"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000" w:type="pct"/>
            <w:gridSpan w:val="7"/>
            <w:vAlign w:val="center"/>
          </w:tcPr>
          <w:p w14:paraId="16F9F806"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Restriction Summary/ Treatment of Concept</w:t>
            </w:r>
          </w:p>
        </w:tc>
      </w:tr>
      <w:tr w:rsidR="001C1E48" w:rsidRPr="00C31CA4" w14:paraId="451A4198"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Merge w:val="restart"/>
            <w:tcBorders>
              <w:top w:val="single" w:sz="4" w:space="0" w:color="auto"/>
              <w:left w:val="single" w:sz="4" w:space="0" w:color="auto"/>
              <w:right w:val="single" w:sz="4" w:space="0" w:color="auto"/>
            </w:tcBorders>
          </w:tcPr>
          <w:p w14:paraId="132D9789" w14:textId="0104AC42" w:rsidR="001C1E48" w:rsidRPr="00C31CA4" w:rsidRDefault="001C1E48" w:rsidP="005F67C4">
            <w:pPr>
              <w:jc w:val="cente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571B15A5" w14:textId="77777777" w:rsidR="001C1E48" w:rsidRPr="00C31CA4" w:rsidRDefault="001C1E48" w:rsidP="005F67C4">
            <w:pPr>
              <w:rPr>
                <w:rFonts w:ascii="Arial Narrow" w:hAnsi="Arial Narrow"/>
                <w:sz w:val="20"/>
                <w:szCs w:val="20"/>
              </w:rPr>
            </w:pPr>
            <w:r w:rsidRPr="00C31CA4">
              <w:rPr>
                <w:rFonts w:ascii="Arial Narrow" w:hAnsi="Arial Narrow"/>
                <w:b/>
                <w:sz w:val="20"/>
                <w:szCs w:val="20"/>
              </w:rPr>
              <w:t xml:space="preserve">Category / Program: </w:t>
            </w:r>
            <w:r w:rsidRPr="00C31CA4">
              <w:rPr>
                <w:rFonts w:ascii="Arial Narrow" w:hAnsi="Arial Narrow"/>
                <w:sz w:val="20"/>
                <w:szCs w:val="20"/>
              </w:rPr>
              <w:t xml:space="preserve">Section 100 – Highly Specialised Drugs Program  </w:t>
            </w:r>
          </w:p>
        </w:tc>
      </w:tr>
      <w:tr w:rsidR="001C1E48" w:rsidRPr="00C31CA4" w14:paraId="3DBE162E"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Merge/>
            <w:tcBorders>
              <w:left w:val="single" w:sz="4" w:space="0" w:color="auto"/>
              <w:right w:val="single" w:sz="4" w:space="0" w:color="auto"/>
            </w:tcBorders>
          </w:tcPr>
          <w:p w14:paraId="1B533837" w14:textId="77777777" w:rsidR="001C1E48" w:rsidRPr="00C31CA4" w:rsidRDefault="001C1E48" w:rsidP="005F67C4">
            <w:pP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62A06135" w14:textId="77777777" w:rsidR="001C1E48" w:rsidRPr="00C31CA4" w:rsidRDefault="001C1E48" w:rsidP="005F67C4">
            <w:pPr>
              <w:rPr>
                <w:rFonts w:ascii="Arial Narrow" w:hAnsi="Arial Narrow"/>
                <w:b/>
                <w:sz w:val="20"/>
                <w:szCs w:val="20"/>
              </w:rPr>
            </w:pPr>
            <w:r w:rsidRPr="00C31CA4">
              <w:rPr>
                <w:rFonts w:ascii="Arial Narrow" w:hAnsi="Arial Narrow"/>
                <w:b/>
                <w:sz w:val="20"/>
                <w:szCs w:val="20"/>
              </w:rPr>
              <w:t>Prescriber type:</w:t>
            </w:r>
            <w:r w:rsidRPr="00C31CA4">
              <w:rPr>
                <w:rFonts w:ascii="Arial Narrow" w:hAnsi="Arial Narrow"/>
                <w:sz w:val="20"/>
                <w:szCs w:val="20"/>
              </w:rPr>
              <w:t xml:space="preserve"> </w:t>
            </w:r>
            <w:r w:rsidRPr="00C31CA4">
              <w:rPr>
                <w:rFonts w:ascii="Arial Narrow" w:hAnsi="Arial Narrow"/>
                <w:sz w:val="20"/>
                <w:szCs w:val="20"/>
              </w:rPr>
              <w:fldChar w:fldCharType="begin" w:fldLock="1">
                <w:ffData>
                  <w:name w:val=""/>
                  <w:enabled/>
                  <w:calcOnExit w:val="0"/>
                  <w:checkBox>
                    <w:sizeAuto/>
                    <w:default w:val="1"/>
                  </w:checkBox>
                </w:ffData>
              </w:fldChar>
            </w:r>
            <w:r w:rsidRPr="00C31CA4">
              <w:rPr>
                <w:rFonts w:ascii="Arial Narrow" w:hAnsi="Arial Narrow"/>
                <w:sz w:val="20"/>
                <w:szCs w:val="20"/>
              </w:rPr>
              <w:instrText xml:space="preserve"> FORMCHECKBOX </w:instrText>
            </w:r>
            <w:r w:rsidR="004A6237">
              <w:rPr>
                <w:rFonts w:ascii="Arial Narrow" w:hAnsi="Arial Narrow"/>
                <w:sz w:val="20"/>
                <w:szCs w:val="20"/>
              </w:rPr>
            </w:r>
            <w:r w:rsidR="004A6237">
              <w:rPr>
                <w:rFonts w:ascii="Arial Narrow" w:hAnsi="Arial Narrow"/>
                <w:sz w:val="20"/>
                <w:szCs w:val="20"/>
              </w:rPr>
              <w:fldChar w:fldCharType="separate"/>
            </w:r>
            <w:r w:rsidRPr="00C31CA4">
              <w:rPr>
                <w:rFonts w:ascii="Arial Narrow" w:hAnsi="Arial Narrow"/>
                <w:sz w:val="20"/>
                <w:szCs w:val="20"/>
              </w:rPr>
              <w:fldChar w:fldCharType="end"/>
            </w:r>
            <w:r w:rsidRPr="00C31CA4">
              <w:rPr>
                <w:rFonts w:ascii="Arial Narrow" w:hAnsi="Arial Narrow"/>
                <w:sz w:val="20"/>
                <w:szCs w:val="20"/>
              </w:rPr>
              <w:t xml:space="preserve">Medical Practitioners   </w:t>
            </w:r>
          </w:p>
        </w:tc>
      </w:tr>
      <w:tr w:rsidR="001C1E48" w:rsidRPr="00C31CA4" w14:paraId="2AD8BBAA"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Merge/>
            <w:tcBorders>
              <w:left w:val="single" w:sz="4" w:space="0" w:color="auto"/>
              <w:bottom w:val="single" w:sz="4" w:space="0" w:color="auto"/>
              <w:right w:val="single" w:sz="4" w:space="0" w:color="auto"/>
            </w:tcBorders>
          </w:tcPr>
          <w:p w14:paraId="4065BA14" w14:textId="77777777" w:rsidR="001C1E48" w:rsidRPr="00C31CA4" w:rsidRDefault="001C1E48" w:rsidP="005F67C4">
            <w:pP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19A0632A" w14:textId="77777777" w:rsidR="001C1E48" w:rsidRPr="00C31CA4" w:rsidRDefault="001C1E48" w:rsidP="005F67C4">
            <w:pPr>
              <w:rPr>
                <w:rFonts w:ascii="Arial Narrow" w:hAnsi="Arial Narrow"/>
                <w:b/>
                <w:sz w:val="20"/>
                <w:szCs w:val="20"/>
              </w:rPr>
            </w:pPr>
            <w:r w:rsidRPr="00C31CA4">
              <w:rPr>
                <w:rFonts w:ascii="Arial Narrow" w:hAnsi="Arial Narrow"/>
                <w:b/>
                <w:sz w:val="20"/>
                <w:szCs w:val="20"/>
              </w:rPr>
              <w:t>Restriction type:</w:t>
            </w:r>
          </w:p>
          <w:p w14:paraId="39090A31" w14:textId="56BB64B8" w:rsidR="001C1E48" w:rsidRPr="00C31CA4" w:rsidRDefault="001C1E48" w:rsidP="005F67C4">
            <w:pPr>
              <w:rPr>
                <w:rFonts w:ascii="Arial Narrow" w:eastAsia="Calibri" w:hAnsi="Arial Narrow"/>
                <w:sz w:val="20"/>
                <w:szCs w:val="20"/>
              </w:rPr>
            </w:pPr>
            <w:r w:rsidRPr="00C31CA4">
              <w:rPr>
                <w:rFonts w:ascii="Arial Narrow" w:eastAsia="Calibri" w:hAnsi="Arial Narrow"/>
                <w:sz w:val="20"/>
                <w:szCs w:val="20"/>
              </w:rPr>
              <w:fldChar w:fldCharType="begin" w:fldLock="1">
                <w:ffData>
                  <w:name w:val=""/>
                  <w:enabled/>
                  <w:calcOnExit w:val="0"/>
                  <w:checkBox>
                    <w:sizeAuto/>
                    <w:default w:val="1"/>
                  </w:checkBox>
                </w:ffData>
              </w:fldChar>
            </w:r>
            <w:r w:rsidRPr="00C31CA4">
              <w:rPr>
                <w:rFonts w:ascii="Arial Narrow" w:eastAsia="Calibri" w:hAnsi="Arial Narrow"/>
                <w:sz w:val="20"/>
                <w:szCs w:val="20"/>
              </w:rPr>
              <w:instrText xml:space="preserve"> FORMCHECKBOX </w:instrText>
            </w:r>
            <w:r w:rsidR="004A6237">
              <w:rPr>
                <w:rFonts w:ascii="Arial Narrow" w:eastAsia="Calibri" w:hAnsi="Arial Narrow"/>
                <w:sz w:val="20"/>
                <w:szCs w:val="20"/>
              </w:rPr>
            </w:r>
            <w:r w:rsidR="004A6237">
              <w:rPr>
                <w:rFonts w:ascii="Arial Narrow" w:eastAsia="Calibri" w:hAnsi="Arial Narrow"/>
                <w:sz w:val="20"/>
                <w:szCs w:val="20"/>
              </w:rPr>
              <w:fldChar w:fldCharType="separate"/>
            </w:r>
            <w:r w:rsidRPr="00C31CA4">
              <w:rPr>
                <w:rFonts w:ascii="Arial Narrow" w:eastAsia="Calibri" w:hAnsi="Arial Narrow"/>
                <w:sz w:val="20"/>
                <w:szCs w:val="20"/>
              </w:rPr>
              <w:fldChar w:fldCharType="end"/>
            </w:r>
            <w:r w:rsidRPr="00C31CA4">
              <w:rPr>
                <w:rFonts w:ascii="Arial Narrow" w:eastAsia="Calibri" w:hAnsi="Arial Narrow"/>
                <w:sz w:val="20"/>
                <w:szCs w:val="20"/>
              </w:rPr>
              <w:t xml:space="preserve">Authority Required – </w:t>
            </w:r>
            <w:r w:rsidR="00D458E3" w:rsidRPr="00C31CA4">
              <w:rPr>
                <w:rFonts w:ascii="Arial Narrow" w:eastAsia="Calibri" w:hAnsi="Arial Narrow"/>
                <w:sz w:val="20"/>
                <w:szCs w:val="20"/>
              </w:rPr>
              <w:t xml:space="preserve">(in writing-legacy) – Postal/HPOS upload or Online PBS Authorities immediate assessment </w:t>
            </w:r>
          </w:p>
        </w:tc>
      </w:tr>
      <w:tr w:rsidR="001C1E48" w:rsidRPr="00C31CA4" w14:paraId="12893CEC"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57A435A2" w14:textId="77777777" w:rsidR="001C1E48" w:rsidRPr="00C31CA4" w:rsidRDefault="001C1E48" w:rsidP="005F67C4">
            <w:pPr>
              <w:jc w:val="center"/>
              <w:rPr>
                <w:rFonts w:ascii="Arial Narrow" w:hAnsi="Arial Narrow"/>
                <w:sz w:val="20"/>
                <w:szCs w:val="20"/>
              </w:rPr>
            </w:pPr>
          </w:p>
        </w:tc>
        <w:tc>
          <w:tcPr>
            <w:tcW w:w="4459" w:type="pct"/>
            <w:gridSpan w:val="6"/>
            <w:vAlign w:val="center"/>
            <w:hideMark/>
          </w:tcPr>
          <w:p w14:paraId="51AA6FA0" w14:textId="77777777" w:rsidR="001C1E48" w:rsidRPr="00C31CA4" w:rsidRDefault="001C1E48" w:rsidP="005F67C4">
            <w:pPr>
              <w:rPr>
                <w:rFonts w:ascii="Arial Narrow" w:hAnsi="Arial Narrow"/>
                <w:sz w:val="20"/>
                <w:szCs w:val="20"/>
              </w:rPr>
            </w:pPr>
            <w:r w:rsidRPr="00C31CA4">
              <w:rPr>
                <w:rFonts w:ascii="Arial Narrow" w:hAnsi="Arial Narrow"/>
                <w:b/>
                <w:bCs/>
                <w:sz w:val="20"/>
                <w:szCs w:val="20"/>
              </w:rPr>
              <w:t>Indication:</w:t>
            </w:r>
            <w:r w:rsidRPr="00C31CA4">
              <w:rPr>
                <w:rFonts w:ascii="Arial Narrow" w:hAnsi="Arial Narrow"/>
                <w:sz w:val="20"/>
                <w:szCs w:val="20"/>
              </w:rPr>
              <w:t xml:space="preserve"> Severe aplastic an</w:t>
            </w:r>
            <w:r w:rsidRPr="00C31CA4">
              <w:rPr>
                <w:rFonts w:ascii="Arial Narrow" w:hAnsi="Arial Narrow"/>
                <w:i/>
                <w:iCs/>
                <w:sz w:val="20"/>
                <w:szCs w:val="20"/>
              </w:rPr>
              <w:t>a</w:t>
            </w:r>
            <w:r w:rsidRPr="00C31CA4">
              <w:rPr>
                <w:rFonts w:ascii="Arial Narrow" w:hAnsi="Arial Narrow"/>
                <w:sz w:val="20"/>
                <w:szCs w:val="20"/>
              </w:rPr>
              <w:t>emia</w:t>
            </w:r>
          </w:p>
        </w:tc>
      </w:tr>
      <w:tr w:rsidR="001C1E48" w:rsidRPr="00C31CA4" w14:paraId="5138C1D6"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35F2DD83"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4128B1C6"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Clinical criteria:</w:t>
            </w:r>
          </w:p>
        </w:tc>
      </w:tr>
      <w:tr w:rsidR="001C1E48" w:rsidRPr="00C31CA4" w14:paraId="5BF3739F"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0970FE78" w14:textId="32B0EB7A" w:rsidR="001C1E48" w:rsidRPr="00C31CA4" w:rsidRDefault="001C1E48" w:rsidP="005F67C4">
            <w:pPr>
              <w:jc w:val="center"/>
              <w:rPr>
                <w:rFonts w:ascii="Arial Narrow" w:hAnsi="Arial Narrow"/>
                <w:sz w:val="20"/>
                <w:szCs w:val="20"/>
              </w:rPr>
            </w:pPr>
          </w:p>
        </w:tc>
        <w:tc>
          <w:tcPr>
            <w:tcW w:w="4459" w:type="pct"/>
            <w:gridSpan w:val="6"/>
            <w:vAlign w:val="center"/>
          </w:tcPr>
          <w:p w14:paraId="4EDEFF42" w14:textId="77777777" w:rsidR="001C1E48" w:rsidRPr="00C31CA4" w:rsidRDefault="001C1E48" w:rsidP="005F67C4">
            <w:pPr>
              <w:rPr>
                <w:rFonts w:ascii="Arial Narrow" w:hAnsi="Arial Narrow"/>
                <w:b/>
                <w:bCs/>
                <w:sz w:val="20"/>
                <w:szCs w:val="20"/>
              </w:rPr>
            </w:pPr>
            <w:r w:rsidRPr="00C31CA4">
              <w:rPr>
                <w:rFonts w:ascii="Arial Narrow" w:hAnsi="Arial Narrow"/>
                <w:sz w:val="20"/>
                <w:szCs w:val="20"/>
              </w:rPr>
              <w:t>The condition must be severe aplastic an</w:t>
            </w:r>
            <w:r w:rsidRPr="00C31CA4">
              <w:rPr>
                <w:rFonts w:ascii="Arial Narrow" w:hAnsi="Arial Narrow"/>
                <w:i/>
                <w:iCs/>
                <w:sz w:val="20"/>
                <w:szCs w:val="20"/>
              </w:rPr>
              <w:t>a</w:t>
            </w:r>
            <w:r w:rsidRPr="00C31CA4">
              <w:rPr>
                <w:rFonts w:ascii="Arial Narrow" w:hAnsi="Arial Narrow"/>
                <w:sz w:val="20"/>
                <w:szCs w:val="20"/>
              </w:rPr>
              <w:t>emia</w:t>
            </w:r>
          </w:p>
        </w:tc>
      </w:tr>
      <w:tr w:rsidR="001C1E48" w:rsidRPr="00C31CA4" w14:paraId="19A70A94"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25A78324"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265EB088"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AND</w:t>
            </w:r>
          </w:p>
        </w:tc>
      </w:tr>
      <w:tr w:rsidR="001C1E48" w:rsidRPr="00C31CA4" w14:paraId="6B2EB36C"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384D99F2" w14:textId="77777777" w:rsidR="001C1E48" w:rsidRPr="00C31CA4" w:rsidRDefault="001C1E48" w:rsidP="005F67C4">
            <w:pPr>
              <w:jc w:val="center"/>
              <w:rPr>
                <w:rFonts w:ascii="Arial Narrow" w:hAnsi="Arial Narrow"/>
                <w:b/>
                <w:bCs/>
                <w:sz w:val="20"/>
                <w:szCs w:val="20"/>
              </w:rPr>
            </w:pPr>
          </w:p>
        </w:tc>
        <w:tc>
          <w:tcPr>
            <w:tcW w:w="4459" w:type="pct"/>
            <w:gridSpan w:val="6"/>
            <w:vAlign w:val="center"/>
          </w:tcPr>
          <w:p w14:paraId="1417AC03"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Clinical criteria:</w:t>
            </w:r>
          </w:p>
        </w:tc>
      </w:tr>
      <w:tr w:rsidR="001C1E48" w:rsidRPr="00C31CA4" w14:paraId="0CB00E01"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79A6293F" w14:textId="2B5100F2" w:rsidR="001C1E48" w:rsidRPr="00C31CA4" w:rsidRDefault="001C1E48" w:rsidP="005F67C4">
            <w:pPr>
              <w:jc w:val="center"/>
              <w:rPr>
                <w:rFonts w:ascii="Arial Narrow" w:hAnsi="Arial Narrow"/>
                <w:sz w:val="20"/>
                <w:szCs w:val="20"/>
              </w:rPr>
            </w:pPr>
          </w:p>
        </w:tc>
        <w:tc>
          <w:tcPr>
            <w:tcW w:w="4459" w:type="pct"/>
            <w:gridSpan w:val="6"/>
            <w:vAlign w:val="center"/>
          </w:tcPr>
          <w:p w14:paraId="76894F31" w14:textId="6E35CF7B" w:rsidR="001C1E48" w:rsidRPr="00C31CA4" w:rsidRDefault="001C1E48" w:rsidP="005F67C4">
            <w:pPr>
              <w:rPr>
                <w:rFonts w:ascii="Arial Narrow" w:hAnsi="Arial Narrow"/>
                <w:sz w:val="20"/>
                <w:szCs w:val="20"/>
              </w:rPr>
            </w:pPr>
            <w:r w:rsidRPr="00C31CA4">
              <w:rPr>
                <w:rFonts w:ascii="Arial Narrow" w:hAnsi="Arial Narrow"/>
                <w:sz w:val="20"/>
                <w:szCs w:val="20"/>
              </w:rPr>
              <w:t>Patient must not have received treatment with immunosuppressive therapy for this condition</w:t>
            </w:r>
          </w:p>
        </w:tc>
      </w:tr>
      <w:tr w:rsidR="001C1E48" w:rsidRPr="00C31CA4" w14:paraId="2E3C2C9F"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5915F1F0"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39EF5928"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AND</w:t>
            </w:r>
          </w:p>
        </w:tc>
      </w:tr>
      <w:tr w:rsidR="001C1E48" w:rsidRPr="00C31CA4" w14:paraId="791E346D"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5588A87A"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76B42C8E"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Clinical criteria:</w:t>
            </w:r>
          </w:p>
        </w:tc>
      </w:tr>
      <w:tr w:rsidR="001C1E48" w:rsidRPr="00C31CA4" w14:paraId="68ABD8A1"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16CE28B8" w14:textId="5D9E1AC1" w:rsidR="001C1E48" w:rsidRPr="00C31CA4" w:rsidRDefault="001C1E48" w:rsidP="005F67C4">
            <w:pPr>
              <w:jc w:val="center"/>
              <w:rPr>
                <w:rFonts w:ascii="Arial Narrow" w:hAnsi="Arial Narrow"/>
                <w:sz w:val="20"/>
                <w:szCs w:val="20"/>
              </w:rPr>
            </w:pPr>
          </w:p>
        </w:tc>
        <w:tc>
          <w:tcPr>
            <w:tcW w:w="4459" w:type="pct"/>
            <w:gridSpan w:val="6"/>
            <w:vAlign w:val="center"/>
          </w:tcPr>
          <w:p w14:paraId="7DFCDCB4" w14:textId="6EE5369F" w:rsidR="001C1E48" w:rsidRPr="00C31CA4" w:rsidRDefault="001C1E48" w:rsidP="005F67C4">
            <w:pPr>
              <w:rPr>
                <w:rFonts w:ascii="Arial Narrow" w:hAnsi="Arial Narrow"/>
                <w:sz w:val="20"/>
                <w:szCs w:val="20"/>
              </w:rPr>
            </w:pPr>
            <w:r w:rsidRPr="00C31CA4">
              <w:rPr>
                <w:rFonts w:ascii="Arial Narrow" w:hAnsi="Arial Narrow"/>
                <w:sz w:val="20"/>
                <w:szCs w:val="20"/>
              </w:rPr>
              <w:t xml:space="preserve">The treatment must be administered in combination with </w:t>
            </w:r>
            <w:r w:rsidR="00D458E3" w:rsidRPr="00C31CA4">
              <w:rPr>
                <w:rFonts w:ascii="Arial Narrow" w:hAnsi="Arial Narrow"/>
                <w:sz w:val="20"/>
                <w:szCs w:val="20"/>
              </w:rPr>
              <w:t>standard immunosuppressive therapy, including anti-thymocyte antibody and ciclosporin</w:t>
            </w:r>
          </w:p>
        </w:tc>
      </w:tr>
      <w:tr w:rsidR="001C1E48" w:rsidRPr="00C31CA4" w14:paraId="2B2A1846"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23A2806A"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2C2539E0" w14:textId="77777777" w:rsidR="001C1E48" w:rsidRPr="00212569" w:rsidRDefault="001C1E48" w:rsidP="005F67C4">
            <w:pPr>
              <w:rPr>
                <w:rFonts w:ascii="Arial Narrow" w:hAnsi="Arial Narrow"/>
                <w:sz w:val="20"/>
                <w:szCs w:val="20"/>
              </w:rPr>
            </w:pPr>
            <w:r w:rsidRPr="00212569">
              <w:rPr>
                <w:rFonts w:ascii="Arial Narrow" w:hAnsi="Arial Narrow"/>
                <w:b/>
                <w:bCs/>
                <w:sz w:val="20"/>
                <w:szCs w:val="20"/>
              </w:rPr>
              <w:t>AND</w:t>
            </w:r>
          </w:p>
        </w:tc>
      </w:tr>
      <w:tr w:rsidR="001C1E48" w:rsidRPr="00C31CA4" w14:paraId="5AE69F2E"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08F1FD5D"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46919AA6" w14:textId="77777777" w:rsidR="001C1E48" w:rsidRPr="00C31CA4" w:rsidRDefault="001C1E48" w:rsidP="005F67C4">
            <w:pPr>
              <w:rPr>
                <w:rFonts w:ascii="Arial Narrow" w:hAnsi="Arial Narrow"/>
                <w:sz w:val="20"/>
                <w:szCs w:val="20"/>
              </w:rPr>
            </w:pPr>
            <w:r w:rsidRPr="00C31CA4">
              <w:rPr>
                <w:rFonts w:ascii="Arial Narrow" w:hAnsi="Arial Narrow"/>
                <w:b/>
                <w:bCs/>
                <w:sz w:val="20"/>
                <w:szCs w:val="20"/>
              </w:rPr>
              <w:t>Clinical criteria:</w:t>
            </w:r>
          </w:p>
        </w:tc>
      </w:tr>
      <w:tr w:rsidR="001C1E48" w:rsidRPr="00C31CA4" w14:paraId="37184D3F"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5C758F7C" w14:textId="15755776" w:rsidR="001C1E48" w:rsidRPr="00C31CA4" w:rsidRDefault="001C1E48" w:rsidP="005F67C4">
            <w:pPr>
              <w:jc w:val="center"/>
              <w:rPr>
                <w:rFonts w:ascii="Arial Narrow" w:hAnsi="Arial Narrow"/>
                <w:sz w:val="20"/>
                <w:szCs w:val="20"/>
              </w:rPr>
            </w:pPr>
          </w:p>
        </w:tc>
        <w:tc>
          <w:tcPr>
            <w:tcW w:w="4459" w:type="pct"/>
            <w:gridSpan w:val="6"/>
            <w:vAlign w:val="center"/>
          </w:tcPr>
          <w:p w14:paraId="250E77D8" w14:textId="77777777" w:rsidR="001C1E48" w:rsidRPr="00C31CA4" w:rsidRDefault="001C1E48" w:rsidP="005F67C4">
            <w:pPr>
              <w:rPr>
                <w:rFonts w:ascii="Arial Narrow" w:hAnsi="Arial Narrow"/>
                <w:sz w:val="20"/>
                <w:szCs w:val="20"/>
              </w:rPr>
            </w:pPr>
            <w:r w:rsidRPr="00C31CA4">
              <w:rPr>
                <w:rFonts w:ascii="Arial Narrow" w:hAnsi="Arial Narrow"/>
                <w:sz w:val="20"/>
                <w:szCs w:val="20"/>
              </w:rPr>
              <w:t xml:space="preserve">Patient must be considered ineligible for haemopoietic stem cell transplant </w:t>
            </w:r>
          </w:p>
        </w:tc>
      </w:tr>
      <w:tr w:rsidR="001C1E48" w:rsidRPr="00C31CA4" w14:paraId="366B0D24"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3A583112" w14:textId="51A916E5" w:rsidR="001C1E48" w:rsidRPr="00C31CA4" w:rsidRDefault="001C1E48" w:rsidP="005F67C4">
            <w:pPr>
              <w:jc w:val="center"/>
              <w:rPr>
                <w:rFonts w:ascii="Arial Narrow" w:hAnsi="Arial Narrow"/>
                <w:strike/>
                <w:sz w:val="20"/>
                <w:szCs w:val="20"/>
              </w:rPr>
            </w:pPr>
          </w:p>
        </w:tc>
        <w:tc>
          <w:tcPr>
            <w:tcW w:w="4459" w:type="pct"/>
            <w:gridSpan w:val="6"/>
            <w:vAlign w:val="center"/>
          </w:tcPr>
          <w:p w14:paraId="645F4871"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Clinical criteria:</w:t>
            </w:r>
          </w:p>
        </w:tc>
      </w:tr>
      <w:tr w:rsidR="001C1E48" w:rsidRPr="00C31CA4" w14:paraId="09C42C80"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43E3DBBF" w14:textId="5EE01E8A" w:rsidR="001C1E48" w:rsidRPr="00C31CA4" w:rsidRDefault="001C1E48" w:rsidP="005F67C4">
            <w:pPr>
              <w:jc w:val="center"/>
              <w:rPr>
                <w:rFonts w:ascii="Arial Narrow" w:hAnsi="Arial Narrow"/>
                <w:strike/>
                <w:sz w:val="20"/>
                <w:szCs w:val="20"/>
              </w:rPr>
            </w:pPr>
          </w:p>
        </w:tc>
        <w:tc>
          <w:tcPr>
            <w:tcW w:w="4459" w:type="pct"/>
            <w:gridSpan w:val="6"/>
            <w:vAlign w:val="center"/>
          </w:tcPr>
          <w:p w14:paraId="1771F4AC" w14:textId="77777777" w:rsidR="001C1E48" w:rsidRPr="00C31CA4" w:rsidRDefault="001C1E48" w:rsidP="005F67C4">
            <w:pPr>
              <w:rPr>
                <w:rFonts w:ascii="Arial Narrow" w:hAnsi="Arial Narrow"/>
                <w:b/>
                <w:bCs/>
                <w:sz w:val="20"/>
                <w:szCs w:val="20"/>
              </w:rPr>
            </w:pPr>
            <w:r w:rsidRPr="00C31CA4">
              <w:rPr>
                <w:rFonts w:ascii="Arial Narrow" w:hAnsi="Arial Narrow"/>
                <w:sz w:val="20"/>
                <w:szCs w:val="20"/>
              </w:rPr>
              <w:t>Patient must not receive more than 24 weeks of treatment under this restriction</w:t>
            </w:r>
          </w:p>
        </w:tc>
      </w:tr>
      <w:tr w:rsidR="001C1E48" w:rsidRPr="00C31CA4" w14:paraId="1E9F0DAC"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45EBDEF3" w14:textId="4895C376" w:rsidR="00AF7858" w:rsidRPr="00C31CA4" w:rsidRDefault="00AF7858" w:rsidP="005F67C4">
            <w:pPr>
              <w:jc w:val="center"/>
              <w:rPr>
                <w:rFonts w:ascii="Arial Narrow" w:hAnsi="Arial Narrow"/>
                <w:sz w:val="20"/>
                <w:szCs w:val="20"/>
              </w:rPr>
            </w:pPr>
          </w:p>
        </w:tc>
        <w:tc>
          <w:tcPr>
            <w:tcW w:w="4459" w:type="pct"/>
            <w:gridSpan w:val="6"/>
            <w:vAlign w:val="center"/>
          </w:tcPr>
          <w:p w14:paraId="04D4EFD1" w14:textId="5677DA2E" w:rsidR="001C1E48" w:rsidRPr="00C31CA4" w:rsidRDefault="001C1E48" w:rsidP="005F67C4">
            <w:pPr>
              <w:rPr>
                <w:rFonts w:ascii="Arial Narrow" w:hAnsi="Arial Narrow"/>
                <w:sz w:val="20"/>
                <w:szCs w:val="20"/>
              </w:rPr>
            </w:pPr>
            <w:r w:rsidRPr="00C31CA4">
              <w:rPr>
                <w:rFonts w:ascii="Arial Narrow" w:hAnsi="Arial Narrow"/>
                <w:b/>
                <w:bCs/>
                <w:sz w:val="20"/>
                <w:szCs w:val="20"/>
              </w:rPr>
              <w:t xml:space="preserve">Prescribing Instructions: </w:t>
            </w:r>
            <w:r w:rsidRPr="00C31CA4">
              <w:rPr>
                <w:rFonts w:ascii="Arial Narrow" w:hAnsi="Arial Narrow"/>
                <w:sz w:val="20"/>
                <w:szCs w:val="20"/>
              </w:rPr>
              <w:t>If the application is submitted through HPOS form upload or mail it must include:</w:t>
            </w:r>
          </w:p>
          <w:p w14:paraId="7800C8BD" w14:textId="77777777" w:rsidR="001C1E48" w:rsidRPr="00C31CA4" w:rsidRDefault="001C1E48" w:rsidP="005F67C4">
            <w:pPr>
              <w:rPr>
                <w:rFonts w:ascii="Arial Narrow" w:hAnsi="Arial Narrow"/>
                <w:sz w:val="20"/>
                <w:szCs w:val="20"/>
              </w:rPr>
            </w:pPr>
            <w:r w:rsidRPr="00C31CA4">
              <w:rPr>
                <w:rFonts w:ascii="Arial Narrow" w:hAnsi="Arial Narrow"/>
                <w:sz w:val="20"/>
                <w:szCs w:val="20"/>
              </w:rPr>
              <w:t xml:space="preserve">(1) a completed authority prescription form, </w:t>
            </w:r>
          </w:p>
          <w:p w14:paraId="5121F41E" w14:textId="5C4177DE" w:rsidR="001C1E48" w:rsidRPr="00C31CA4" w:rsidRDefault="001C1E48" w:rsidP="005F67C4">
            <w:pPr>
              <w:rPr>
                <w:rFonts w:ascii="Arial Narrow" w:hAnsi="Arial Narrow"/>
                <w:sz w:val="20"/>
                <w:szCs w:val="20"/>
              </w:rPr>
            </w:pPr>
            <w:r w:rsidRPr="00C31CA4">
              <w:rPr>
                <w:rFonts w:ascii="Arial Narrow" w:hAnsi="Arial Narrow"/>
                <w:sz w:val="20"/>
                <w:szCs w:val="20"/>
              </w:rPr>
              <w:lastRenderedPageBreak/>
              <w:t xml:space="preserve">(2) a completed authority application form relevant to the indication and treatment phase (the latest version is located on the website specified in the Administrative Advice) </w:t>
            </w:r>
          </w:p>
        </w:tc>
      </w:tr>
      <w:tr w:rsidR="001C1E48" w:rsidRPr="00C31CA4" w14:paraId="6935E99C"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1FEED165" w14:textId="34786C5F" w:rsidR="001C1E48" w:rsidRPr="00C31CA4" w:rsidRDefault="001C1E48" w:rsidP="005F67C4">
            <w:pPr>
              <w:jc w:val="center"/>
              <w:rPr>
                <w:rFonts w:ascii="Arial Narrow" w:hAnsi="Arial Narrow"/>
                <w:sz w:val="20"/>
                <w:szCs w:val="20"/>
              </w:rPr>
            </w:pPr>
          </w:p>
        </w:tc>
        <w:tc>
          <w:tcPr>
            <w:tcW w:w="4459" w:type="pct"/>
            <w:gridSpan w:val="6"/>
            <w:vAlign w:val="center"/>
          </w:tcPr>
          <w:p w14:paraId="27E3CCD6"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No increase in the maximum number of repeats may be authorised.</w:t>
            </w:r>
          </w:p>
        </w:tc>
      </w:tr>
      <w:tr w:rsidR="001C1E48" w:rsidRPr="00C31CA4" w14:paraId="2EB97868"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544FE488" w14:textId="0AE23E93" w:rsidR="001C1E48" w:rsidRPr="00C31CA4" w:rsidRDefault="001C1E48" w:rsidP="005F67C4">
            <w:pPr>
              <w:jc w:val="center"/>
              <w:rPr>
                <w:rFonts w:ascii="Arial Narrow" w:hAnsi="Arial Narrow"/>
                <w:sz w:val="20"/>
                <w:szCs w:val="20"/>
              </w:rPr>
            </w:pPr>
          </w:p>
        </w:tc>
        <w:tc>
          <w:tcPr>
            <w:tcW w:w="4459" w:type="pct"/>
            <w:gridSpan w:val="6"/>
            <w:vAlign w:val="center"/>
          </w:tcPr>
          <w:p w14:paraId="17FF0D9A"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Special Pricing Arrangements Apply.</w:t>
            </w:r>
          </w:p>
        </w:tc>
      </w:tr>
      <w:tr w:rsidR="00D458E3" w:rsidRPr="00C31CA4" w14:paraId="514D4421"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455E92EA" w14:textId="72DC7466" w:rsidR="00D458E3" w:rsidRPr="00C31CA4" w:rsidRDefault="00D458E3" w:rsidP="00D458E3">
            <w:pPr>
              <w:jc w:val="center"/>
              <w:rPr>
                <w:rFonts w:ascii="Arial Narrow" w:hAnsi="Arial Narrow"/>
                <w:sz w:val="20"/>
                <w:szCs w:val="20"/>
              </w:rPr>
            </w:pPr>
          </w:p>
        </w:tc>
        <w:tc>
          <w:tcPr>
            <w:tcW w:w="4459" w:type="pct"/>
            <w:gridSpan w:val="6"/>
            <w:vAlign w:val="center"/>
          </w:tcPr>
          <w:p w14:paraId="38395914" w14:textId="77777777" w:rsidR="00D458E3" w:rsidRPr="00C31CA4" w:rsidRDefault="00D458E3" w:rsidP="00D458E3">
            <w:pPr>
              <w:rPr>
                <w:rFonts w:ascii="Arial Narrow" w:hAnsi="Arial Narrow"/>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Any queries concerning the arrangements to prescribe may be directed to Services Australia on 1800 888 333. </w:t>
            </w:r>
          </w:p>
          <w:p w14:paraId="0B1B17A1"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 xml:space="preserve">Prescribing information (including Authority Application forms and other relevant documentation is applicable) is available on the Services Australia website at </w:t>
            </w:r>
            <w:hyperlink r:id="rId9" w:history="1">
              <w:r w:rsidRPr="00C31CA4">
                <w:rPr>
                  <w:rStyle w:val="Hyperlink"/>
                  <w:rFonts w:ascii="Arial Narrow" w:hAnsi="Arial Narrow"/>
                  <w:sz w:val="20"/>
                  <w:szCs w:val="20"/>
                </w:rPr>
                <w:t>www.servicesaustralia.gov.au</w:t>
              </w:r>
            </w:hyperlink>
          </w:p>
          <w:p w14:paraId="29663A48"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 xml:space="preserve">Applications for authorisation under this restriction should be made in real time using the Online PBS Authorities system (see </w:t>
            </w:r>
            <w:hyperlink r:id="rId10" w:history="1">
              <w:r w:rsidRPr="00C31CA4">
                <w:rPr>
                  <w:rStyle w:val="Hyperlink"/>
                  <w:rFonts w:ascii="Arial Narrow" w:hAnsi="Arial Narrow"/>
                  <w:sz w:val="20"/>
                  <w:szCs w:val="20"/>
                </w:rPr>
                <w:t>www.servicesaustralia.gov.au/hpos</w:t>
              </w:r>
            </w:hyperlink>
            <w:r w:rsidRPr="00C31CA4">
              <w:rPr>
                <w:rFonts w:ascii="Arial Narrow" w:hAnsi="Arial Narrow"/>
                <w:sz w:val="20"/>
                <w:szCs w:val="20"/>
              </w:rPr>
              <w:t>)</w:t>
            </w:r>
          </w:p>
          <w:p w14:paraId="51D697E0"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 xml:space="preserve">Alternatively, applications for authority to prescribe can be submitted online using the form upload facility in Health Professional Online Services (HPOS) </w:t>
            </w:r>
            <w:hyperlink r:id="rId11" w:history="1">
              <w:r w:rsidRPr="00C31CA4">
                <w:rPr>
                  <w:rStyle w:val="Hyperlink"/>
                  <w:rFonts w:ascii="Arial Narrow" w:hAnsi="Arial Narrow"/>
                  <w:sz w:val="20"/>
                  <w:szCs w:val="20"/>
                </w:rPr>
                <w:t>www.servicesaustralia.gov.au/hpos</w:t>
              </w:r>
            </w:hyperlink>
            <w:r w:rsidRPr="00C31CA4">
              <w:rPr>
                <w:rFonts w:ascii="Arial Narrow" w:hAnsi="Arial Narrow"/>
                <w:sz w:val="20"/>
                <w:szCs w:val="20"/>
              </w:rPr>
              <w:t xml:space="preserve"> </w:t>
            </w:r>
          </w:p>
          <w:p w14:paraId="308D3D4C"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Or mailed to:</w:t>
            </w:r>
          </w:p>
          <w:p w14:paraId="35756D0B"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Services Australia</w:t>
            </w:r>
          </w:p>
          <w:p w14:paraId="74E51011"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 xml:space="preserve">Complex Drugs </w:t>
            </w:r>
          </w:p>
          <w:p w14:paraId="583701CF" w14:textId="12A64A8C" w:rsidR="00D458E3" w:rsidRPr="00C31CA4" w:rsidRDefault="00D458E3" w:rsidP="00D458E3">
            <w:pPr>
              <w:rPr>
                <w:rFonts w:ascii="Arial Narrow" w:hAnsi="Arial Narrow"/>
                <w:b/>
                <w:bCs/>
                <w:sz w:val="20"/>
                <w:szCs w:val="20"/>
              </w:rPr>
            </w:pPr>
            <w:r w:rsidRPr="00C31CA4">
              <w:rPr>
                <w:rFonts w:ascii="Arial Narrow" w:hAnsi="Arial Narrow"/>
                <w:sz w:val="20"/>
                <w:szCs w:val="20"/>
              </w:rPr>
              <w:t xml:space="preserve">Reply Paid 9826 </w:t>
            </w:r>
          </w:p>
        </w:tc>
      </w:tr>
    </w:tbl>
    <w:p w14:paraId="103BC37F" w14:textId="3CE9D8EF" w:rsidR="001C1E48" w:rsidRPr="00C31CA4" w:rsidRDefault="001C1E48" w:rsidP="00B44C1C">
      <w:pPr>
        <w:spacing w:before="120" w:after="120"/>
        <w:rPr>
          <w:rFonts w:asciiTheme="minorHAnsi" w:hAnsiTheme="minorHAnsi" w:cstheme="minorHAnsi"/>
          <w:b/>
          <w:bCs/>
        </w:rPr>
      </w:pPr>
      <w:r w:rsidRPr="00C31CA4">
        <w:rPr>
          <w:rFonts w:asciiTheme="minorHAnsi" w:hAnsiTheme="minorHAnsi" w:cstheme="minorHAnsi"/>
          <w:b/>
          <w:bCs/>
        </w:rPr>
        <w:t>Second-line setting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2849"/>
        <w:gridCol w:w="869"/>
        <w:gridCol w:w="729"/>
        <w:gridCol w:w="1410"/>
        <w:gridCol w:w="588"/>
        <w:gridCol w:w="1713"/>
      </w:tblGrid>
      <w:tr w:rsidR="00BB7C95" w:rsidRPr="00C31CA4" w14:paraId="6F3965A1" w14:textId="77777777" w:rsidTr="00212569">
        <w:trPr>
          <w:trHeight w:val="284"/>
        </w:trPr>
        <w:tc>
          <w:tcPr>
            <w:tcW w:w="2056" w:type="pct"/>
            <w:gridSpan w:val="2"/>
          </w:tcPr>
          <w:p w14:paraId="5FC79BFA" w14:textId="77777777" w:rsidR="001C1E48" w:rsidRPr="00C31CA4" w:rsidRDefault="001C1E48" w:rsidP="005F67C4">
            <w:pPr>
              <w:keepNext/>
              <w:ind w:left="-57"/>
              <w:rPr>
                <w:rFonts w:ascii="Arial Narrow" w:hAnsi="Arial Narrow"/>
                <w:b/>
                <w:bCs/>
                <w:sz w:val="20"/>
                <w:szCs w:val="20"/>
              </w:rPr>
            </w:pPr>
            <w:r w:rsidRPr="00C31CA4">
              <w:rPr>
                <w:rFonts w:ascii="Arial Narrow" w:hAnsi="Arial Narrow"/>
                <w:b/>
                <w:bCs/>
                <w:sz w:val="20"/>
                <w:szCs w:val="20"/>
              </w:rPr>
              <w:t>MEDICINAL PRODUCT</w:t>
            </w:r>
          </w:p>
          <w:p w14:paraId="07B7B28C" w14:textId="77777777" w:rsidR="001C1E48" w:rsidRPr="00C31CA4" w:rsidRDefault="001C1E48" w:rsidP="005F67C4">
            <w:pPr>
              <w:keepNext/>
              <w:ind w:left="-57"/>
              <w:rPr>
                <w:rFonts w:ascii="Arial Narrow" w:hAnsi="Arial Narrow"/>
                <w:b/>
                <w:sz w:val="20"/>
                <w:szCs w:val="20"/>
              </w:rPr>
            </w:pPr>
            <w:r w:rsidRPr="00C31CA4">
              <w:rPr>
                <w:rFonts w:ascii="Arial Narrow" w:hAnsi="Arial Narrow"/>
                <w:b/>
                <w:bCs/>
                <w:sz w:val="20"/>
                <w:szCs w:val="20"/>
              </w:rPr>
              <w:t>medicinal product pack</w:t>
            </w:r>
          </w:p>
        </w:tc>
        <w:tc>
          <w:tcPr>
            <w:tcW w:w="482" w:type="pct"/>
          </w:tcPr>
          <w:p w14:paraId="2D49477A"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PBS item code</w:t>
            </w:r>
          </w:p>
        </w:tc>
        <w:tc>
          <w:tcPr>
            <w:tcW w:w="404" w:type="pct"/>
          </w:tcPr>
          <w:p w14:paraId="6F47EA03"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Max. qty packs</w:t>
            </w:r>
          </w:p>
        </w:tc>
        <w:tc>
          <w:tcPr>
            <w:tcW w:w="782" w:type="pct"/>
          </w:tcPr>
          <w:p w14:paraId="34E95500"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Max. qty units</w:t>
            </w:r>
          </w:p>
        </w:tc>
        <w:tc>
          <w:tcPr>
            <w:tcW w:w="326" w:type="pct"/>
          </w:tcPr>
          <w:p w14:paraId="766EA7A8"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№.of</w:t>
            </w:r>
          </w:p>
          <w:p w14:paraId="0E22BCE3"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Rpts</w:t>
            </w:r>
          </w:p>
        </w:tc>
        <w:tc>
          <w:tcPr>
            <w:tcW w:w="950" w:type="pct"/>
          </w:tcPr>
          <w:p w14:paraId="65B516D2" w14:textId="77777777" w:rsidR="001C1E48" w:rsidRPr="00C31CA4" w:rsidRDefault="001C1E48" w:rsidP="005F67C4">
            <w:pPr>
              <w:keepNext/>
              <w:rPr>
                <w:rFonts w:ascii="Arial Narrow" w:hAnsi="Arial Narrow"/>
                <w:b/>
                <w:sz w:val="20"/>
                <w:szCs w:val="20"/>
              </w:rPr>
            </w:pPr>
            <w:r w:rsidRPr="00C31CA4">
              <w:rPr>
                <w:rFonts w:ascii="Arial Narrow" w:hAnsi="Arial Narrow"/>
                <w:b/>
                <w:sz w:val="20"/>
                <w:szCs w:val="20"/>
              </w:rPr>
              <w:t>Available brands</w:t>
            </w:r>
          </w:p>
        </w:tc>
      </w:tr>
      <w:tr w:rsidR="001C1E48" w:rsidRPr="00C31CA4" w14:paraId="088C8A7C" w14:textId="77777777" w:rsidTr="005F67C4">
        <w:trPr>
          <w:trHeight w:val="284"/>
        </w:trPr>
        <w:tc>
          <w:tcPr>
            <w:tcW w:w="5000" w:type="pct"/>
            <w:gridSpan w:val="7"/>
          </w:tcPr>
          <w:p w14:paraId="07FCCE8C" w14:textId="77777777" w:rsidR="001C1E48" w:rsidRPr="00C31CA4" w:rsidRDefault="001C1E48" w:rsidP="005F67C4">
            <w:pPr>
              <w:keepNext/>
              <w:ind w:left="-57"/>
              <w:rPr>
                <w:rFonts w:ascii="Arial Narrow" w:hAnsi="Arial Narrow"/>
                <w:sz w:val="20"/>
                <w:szCs w:val="20"/>
              </w:rPr>
            </w:pPr>
            <w:r w:rsidRPr="00C31CA4">
              <w:rPr>
                <w:rFonts w:ascii="Arial Narrow" w:hAnsi="Arial Narrow"/>
                <w:sz w:val="20"/>
                <w:szCs w:val="20"/>
              </w:rPr>
              <w:t>ELTROMBOPAG</w:t>
            </w:r>
          </w:p>
        </w:tc>
      </w:tr>
      <w:tr w:rsidR="00BB7C95" w:rsidRPr="00C31CA4" w14:paraId="5499600B" w14:textId="77777777" w:rsidTr="00212569">
        <w:trPr>
          <w:trHeight w:val="284"/>
        </w:trPr>
        <w:tc>
          <w:tcPr>
            <w:tcW w:w="2056" w:type="pct"/>
            <w:gridSpan w:val="2"/>
          </w:tcPr>
          <w:p w14:paraId="12A95E50" w14:textId="77777777" w:rsidR="001C1E48" w:rsidRPr="00C31CA4" w:rsidRDefault="001C1E48" w:rsidP="005F67C4">
            <w:pPr>
              <w:ind w:hanging="109"/>
              <w:rPr>
                <w:rFonts w:ascii="Arial Narrow" w:hAnsi="Arial Narrow"/>
                <w:sz w:val="20"/>
                <w:szCs w:val="20"/>
              </w:rPr>
            </w:pPr>
            <w:r w:rsidRPr="00C31CA4">
              <w:rPr>
                <w:rFonts w:ascii="Arial Narrow" w:hAnsi="Arial Narrow"/>
                <w:sz w:val="20"/>
                <w:szCs w:val="20"/>
              </w:rPr>
              <w:t xml:space="preserve"> Eltrombopag 25mg tablet, 28</w:t>
            </w:r>
          </w:p>
        </w:tc>
        <w:tc>
          <w:tcPr>
            <w:tcW w:w="482" w:type="pct"/>
          </w:tcPr>
          <w:p w14:paraId="0693DD6F"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New</w:t>
            </w:r>
          </w:p>
        </w:tc>
        <w:tc>
          <w:tcPr>
            <w:tcW w:w="404" w:type="pct"/>
          </w:tcPr>
          <w:p w14:paraId="71A2B1E7"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3</w:t>
            </w:r>
          </w:p>
        </w:tc>
        <w:tc>
          <w:tcPr>
            <w:tcW w:w="782" w:type="pct"/>
          </w:tcPr>
          <w:p w14:paraId="098FEF2C"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84</w:t>
            </w:r>
          </w:p>
        </w:tc>
        <w:tc>
          <w:tcPr>
            <w:tcW w:w="326" w:type="pct"/>
          </w:tcPr>
          <w:p w14:paraId="71D70F06"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3</w:t>
            </w:r>
          </w:p>
        </w:tc>
        <w:tc>
          <w:tcPr>
            <w:tcW w:w="950" w:type="pct"/>
          </w:tcPr>
          <w:p w14:paraId="6268412E" w14:textId="77777777" w:rsidR="001C1E48" w:rsidRPr="00C31CA4" w:rsidRDefault="001C1E48" w:rsidP="005F67C4">
            <w:pPr>
              <w:keepNext/>
              <w:rPr>
                <w:rFonts w:ascii="Arial Narrow" w:hAnsi="Arial Narrow"/>
                <w:sz w:val="20"/>
                <w:szCs w:val="20"/>
              </w:rPr>
            </w:pPr>
            <w:r w:rsidRPr="00C31CA4">
              <w:rPr>
                <w:rFonts w:ascii="Arial Narrow" w:hAnsi="Arial Narrow"/>
                <w:sz w:val="20"/>
                <w:szCs w:val="20"/>
              </w:rPr>
              <w:t>Revolade</w:t>
            </w:r>
          </w:p>
        </w:tc>
      </w:tr>
      <w:tr w:rsidR="00BB7C95" w:rsidRPr="00C31CA4" w14:paraId="10F1BA5D" w14:textId="77777777" w:rsidTr="00212569">
        <w:trPr>
          <w:trHeight w:val="284"/>
        </w:trPr>
        <w:tc>
          <w:tcPr>
            <w:tcW w:w="2056" w:type="pct"/>
            <w:gridSpan w:val="2"/>
          </w:tcPr>
          <w:p w14:paraId="1B067A23" w14:textId="77777777" w:rsidR="001C1E48" w:rsidRPr="00C31CA4" w:rsidRDefault="001C1E48" w:rsidP="005F67C4">
            <w:pPr>
              <w:keepNext/>
              <w:ind w:left="-57"/>
              <w:rPr>
                <w:rFonts w:ascii="Arial Narrow" w:hAnsi="Arial Narrow"/>
                <w:sz w:val="20"/>
                <w:szCs w:val="20"/>
              </w:rPr>
            </w:pPr>
            <w:r w:rsidRPr="00C31CA4">
              <w:rPr>
                <w:rFonts w:ascii="Arial Narrow" w:hAnsi="Arial Narrow"/>
                <w:sz w:val="20"/>
                <w:szCs w:val="20"/>
              </w:rPr>
              <w:t>Eltrombopag 50mg tablet, 28</w:t>
            </w:r>
          </w:p>
        </w:tc>
        <w:tc>
          <w:tcPr>
            <w:tcW w:w="482" w:type="pct"/>
          </w:tcPr>
          <w:p w14:paraId="62885905"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New</w:t>
            </w:r>
          </w:p>
        </w:tc>
        <w:tc>
          <w:tcPr>
            <w:tcW w:w="404" w:type="pct"/>
          </w:tcPr>
          <w:p w14:paraId="23CBF986"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3</w:t>
            </w:r>
          </w:p>
        </w:tc>
        <w:tc>
          <w:tcPr>
            <w:tcW w:w="782" w:type="pct"/>
          </w:tcPr>
          <w:p w14:paraId="633041F3"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84</w:t>
            </w:r>
          </w:p>
        </w:tc>
        <w:tc>
          <w:tcPr>
            <w:tcW w:w="326" w:type="pct"/>
          </w:tcPr>
          <w:p w14:paraId="4D5EF0ED"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3</w:t>
            </w:r>
          </w:p>
        </w:tc>
        <w:tc>
          <w:tcPr>
            <w:tcW w:w="950" w:type="pct"/>
          </w:tcPr>
          <w:p w14:paraId="4E4D9248" w14:textId="77777777" w:rsidR="001C1E48" w:rsidRPr="00C31CA4" w:rsidRDefault="001C1E48" w:rsidP="005F67C4">
            <w:pPr>
              <w:keepNext/>
              <w:rPr>
                <w:rFonts w:ascii="Arial Narrow" w:hAnsi="Arial Narrow"/>
                <w:sz w:val="20"/>
                <w:szCs w:val="20"/>
              </w:rPr>
            </w:pPr>
            <w:r w:rsidRPr="00C31CA4">
              <w:rPr>
                <w:rFonts w:ascii="Arial Narrow" w:hAnsi="Arial Narrow"/>
                <w:sz w:val="20"/>
                <w:szCs w:val="20"/>
              </w:rPr>
              <w:t>Revolade</w:t>
            </w:r>
          </w:p>
        </w:tc>
      </w:tr>
      <w:tr w:rsidR="001C1E48" w:rsidRPr="00C31CA4" w14:paraId="70AEAD0C"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000" w:type="pct"/>
            <w:gridSpan w:val="7"/>
            <w:vAlign w:val="center"/>
          </w:tcPr>
          <w:p w14:paraId="24872BF9"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Restriction Summary/ Treatment of Concept</w:t>
            </w:r>
          </w:p>
        </w:tc>
      </w:tr>
      <w:tr w:rsidR="001C1E48" w:rsidRPr="00C31CA4" w14:paraId="351F4D97"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Merge w:val="restart"/>
          </w:tcPr>
          <w:p w14:paraId="78318B09" w14:textId="77777777" w:rsidR="001C1E48" w:rsidRPr="00C31CA4" w:rsidRDefault="001C1E48" w:rsidP="005F67C4">
            <w:pPr>
              <w:jc w:val="center"/>
              <w:rPr>
                <w:rFonts w:ascii="Arial Narrow" w:hAnsi="Arial Narrow"/>
                <w:b/>
                <w:bCs/>
                <w:sz w:val="20"/>
                <w:szCs w:val="20"/>
              </w:rPr>
            </w:pPr>
          </w:p>
        </w:tc>
        <w:tc>
          <w:tcPr>
            <w:tcW w:w="4524" w:type="pct"/>
            <w:gridSpan w:val="6"/>
          </w:tcPr>
          <w:p w14:paraId="1FAFC4D8" w14:textId="77777777" w:rsidR="001C1E48" w:rsidRPr="00C31CA4" w:rsidRDefault="001C1E48" w:rsidP="005F67C4">
            <w:pPr>
              <w:rPr>
                <w:rFonts w:ascii="Arial Narrow" w:hAnsi="Arial Narrow"/>
                <w:b/>
                <w:bCs/>
                <w:sz w:val="20"/>
                <w:szCs w:val="20"/>
              </w:rPr>
            </w:pPr>
            <w:r w:rsidRPr="00C31CA4">
              <w:rPr>
                <w:rFonts w:ascii="Arial Narrow" w:hAnsi="Arial Narrow"/>
                <w:b/>
                <w:sz w:val="20"/>
                <w:szCs w:val="20"/>
              </w:rPr>
              <w:t xml:space="preserve">Category / Program: </w:t>
            </w:r>
            <w:r w:rsidRPr="00C31CA4">
              <w:rPr>
                <w:rFonts w:ascii="Arial Narrow" w:hAnsi="Arial Narrow"/>
                <w:sz w:val="20"/>
                <w:szCs w:val="20"/>
              </w:rPr>
              <w:t xml:space="preserve">Section 100 – Highly Specialised Drugs Program  </w:t>
            </w:r>
          </w:p>
        </w:tc>
      </w:tr>
      <w:tr w:rsidR="001C1E48" w:rsidRPr="00C31CA4" w14:paraId="1D4C9E03"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Merge/>
          </w:tcPr>
          <w:p w14:paraId="0CF05966" w14:textId="77777777" w:rsidR="001C1E48" w:rsidRPr="00C31CA4" w:rsidRDefault="001C1E48" w:rsidP="005F67C4">
            <w:pPr>
              <w:jc w:val="center"/>
              <w:rPr>
                <w:rFonts w:ascii="Arial Narrow" w:hAnsi="Arial Narrow"/>
                <w:b/>
                <w:sz w:val="20"/>
                <w:szCs w:val="20"/>
              </w:rPr>
            </w:pPr>
          </w:p>
        </w:tc>
        <w:tc>
          <w:tcPr>
            <w:tcW w:w="4524" w:type="pct"/>
            <w:gridSpan w:val="6"/>
          </w:tcPr>
          <w:p w14:paraId="7BA252BA" w14:textId="77777777" w:rsidR="001C1E48" w:rsidRPr="00C31CA4" w:rsidRDefault="001C1E48" w:rsidP="005F67C4">
            <w:pPr>
              <w:rPr>
                <w:rFonts w:ascii="Arial Narrow" w:hAnsi="Arial Narrow"/>
                <w:b/>
                <w:sz w:val="20"/>
                <w:szCs w:val="20"/>
              </w:rPr>
            </w:pPr>
            <w:r w:rsidRPr="00C31CA4">
              <w:rPr>
                <w:rFonts w:ascii="Arial Narrow" w:hAnsi="Arial Narrow"/>
                <w:b/>
                <w:sz w:val="20"/>
                <w:szCs w:val="20"/>
              </w:rPr>
              <w:t>Prescriber type:</w:t>
            </w:r>
            <w:r w:rsidRPr="00C31CA4">
              <w:rPr>
                <w:rFonts w:ascii="Arial Narrow" w:hAnsi="Arial Narrow"/>
                <w:sz w:val="20"/>
                <w:szCs w:val="20"/>
              </w:rPr>
              <w:t xml:space="preserve"> </w:t>
            </w:r>
            <w:r w:rsidRPr="00C31CA4">
              <w:rPr>
                <w:rFonts w:ascii="Arial Narrow" w:hAnsi="Arial Narrow"/>
                <w:sz w:val="20"/>
                <w:szCs w:val="20"/>
              </w:rPr>
              <w:fldChar w:fldCharType="begin" w:fldLock="1">
                <w:ffData>
                  <w:name w:val=""/>
                  <w:enabled/>
                  <w:calcOnExit w:val="0"/>
                  <w:checkBox>
                    <w:sizeAuto/>
                    <w:default w:val="1"/>
                  </w:checkBox>
                </w:ffData>
              </w:fldChar>
            </w:r>
            <w:r w:rsidRPr="00C31CA4">
              <w:rPr>
                <w:rFonts w:ascii="Arial Narrow" w:hAnsi="Arial Narrow"/>
                <w:sz w:val="20"/>
                <w:szCs w:val="20"/>
              </w:rPr>
              <w:instrText xml:space="preserve"> FORMCHECKBOX </w:instrText>
            </w:r>
            <w:r w:rsidR="004A6237">
              <w:rPr>
                <w:rFonts w:ascii="Arial Narrow" w:hAnsi="Arial Narrow"/>
                <w:sz w:val="20"/>
                <w:szCs w:val="20"/>
              </w:rPr>
            </w:r>
            <w:r w:rsidR="004A6237">
              <w:rPr>
                <w:rFonts w:ascii="Arial Narrow" w:hAnsi="Arial Narrow"/>
                <w:sz w:val="20"/>
                <w:szCs w:val="20"/>
              </w:rPr>
              <w:fldChar w:fldCharType="separate"/>
            </w:r>
            <w:r w:rsidRPr="00C31CA4">
              <w:rPr>
                <w:rFonts w:ascii="Arial Narrow" w:hAnsi="Arial Narrow"/>
                <w:sz w:val="20"/>
                <w:szCs w:val="20"/>
              </w:rPr>
              <w:fldChar w:fldCharType="end"/>
            </w:r>
            <w:r w:rsidRPr="00C31CA4">
              <w:rPr>
                <w:rFonts w:ascii="Arial Narrow" w:hAnsi="Arial Narrow"/>
                <w:sz w:val="20"/>
                <w:szCs w:val="20"/>
              </w:rPr>
              <w:t xml:space="preserve">Medical Practitioners   </w:t>
            </w:r>
          </w:p>
        </w:tc>
      </w:tr>
      <w:tr w:rsidR="001C1E48" w:rsidRPr="00C31CA4" w14:paraId="05EE1ED3"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Merge/>
          </w:tcPr>
          <w:p w14:paraId="1F56970F" w14:textId="77777777" w:rsidR="001C1E48" w:rsidRPr="00C31CA4" w:rsidRDefault="001C1E48" w:rsidP="005F67C4">
            <w:pPr>
              <w:jc w:val="center"/>
              <w:rPr>
                <w:rFonts w:ascii="Arial Narrow" w:hAnsi="Arial Narrow"/>
                <w:b/>
                <w:sz w:val="20"/>
                <w:szCs w:val="20"/>
              </w:rPr>
            </w:pPr>
          </w:p>
        </w:tc>
        <w:tc>
          <w:tcPr>
            <w:tcW w:w="4524" w:type="pct"/>
            <w:gridSpan w:val="6"/>
          </w:tcPr>
          <w:p w14:paraId="57EDD63E" w14:textId="77777777" w:rsidR="001C1E48" w:rsidRPr="00C31CA4" w:rsidRDefault="001C1E48" w:rsidP="005F67C4">
            <w:pPr>
              <w:rPr>
                <w:rFonts w:ascii="Arial Narrow" w:eastAsia="Calibri" w:hAnsi="Arial Narrow"/>
                <w:sz w:val="20"/>
                <w:szCs w:val="20"/>
              </w:rPr>
            </w:pPr>
            <w:r w:rsidRPr="00C31CA4">
              <w:rPr>
                <w:rFonts w:ascii="Arial Narrow" w:hAnsi="Arial Narrow"/>
                <w:b/>
                <w:sz w:val="20"/>
                <w:szCs w:val="20"/>
              </w:rPr>
              <w:t xml:space="preserve">Restriction type: </w:t>
            </w:r>
          </w:p>
          <w:p w14:paraId="5A40E06A" w14:textId="1628D44D" w:rsidR="001C1E48" w:rsidRPr="00C31CA4" w:rsidRDefault="001C1E48" w:rsidP="005F67C4">
            <w:pPr>
              <w:rPr>
                <w:rFonts w:ascii="Arial Narrow" w:eastAsia="Calibri" w:hAnsi="Arial Narrow"/>
                <w:sz w:val="20"/>
                <w:szCs w:val="20"/>
              </w:rPr>
            </w:pPr>
            <w:r w:rsidRPr="00C31CA4">
              <w:rPr>
                <w:rFonts w:ascii="Arial Narrow" w:eastAsia="Calibri" w:hAnsi="Arial Narrow"/>
                <w:sz w:val="20"/>
                <w:szCs w:val="20"/>
              </w:rPr>
              <w:fldChar w:fldCharType="begin" w:fldLock="1">
                <w:ffData>
                  <w:name w:val=""/>
                  <w:enabled/>
                  <w:calcOnExit w:val="0"/>
                  <w:checkBox>
                    <w:sizeAuto/>
                    <w:default w:val="1"/>
                  </w:checkBox>
                </w:ffData>
              </w:fldChar>
            </w:r>
            <w:r w:rsidRPr="00C31CA4">
              <w:rPr>
                <w:rFonts w:ascii="Arial Narrow" w:eastAsia="Calibri" w:hAnsi="Arial Narrow"/>
                <w:sz w:val="20"/>
                <w:szCs w:val="20"/>
              </w:rPr>
              <w:instrText xml:space="preserve"> FORMCHECKBOX </w:instrText>
            </w:r>
            <w:r w:rsidR="004A6237">
              <w:rPr>
                <w:rFonts w:ascii="Arial Narrow" w:eastAsia="Calibri" w:hAnsi="Arial Narrow"/>
                <w:sz w:val="20"/>
                <w:szCs w:val="20"/>
              </w:rPr>
            </w:r>
            <w:r w:rsidR="004A6237">
              <w:rPr>
                <w:rFonts w:ascii="Arial Narrow" w:eastAsia="Calibri" w:hAnsi="Arial Narrow"/>
                <w:sz w:val="20"/>
                <w:szCs w:val="20"/>
              </w:rPr>
              <w:fldChar w:fldCharType="separate"/>
            </w:r>
            <w:r w:rsidRPr="00C31CA4">
              <w:rPr>
                <w:rFonts w:ascii="Arial Narrow" w:eastAsia="Calibri" w:hAnsi="Arial Narrow"/>
                <w:sz w:val="20"/>
                <w:szCs w:val="20"/>
              </w:rPr>
              <w:fldChar w:fldCharType="end"/>
            </w:r>
            <w:r w:rsidRPr="00C31CA4">
              <w:rPr>
                <w:rFonts w:ascii="Arial Narrow" w:eastAsia="Calibri" w:hAnsi="Arial Narrow"/>
                <w:sz w:val="20"/>
                <w:szCs w:val="20"/>
              </w:rPr>
              <w:t xml:space="preserve">Authority Required – </w:t>
            </w:r>
            <w:r w:rsidR="00D458E3" w:rsidRPr="00C31CA4">
              <w:rPr>
                <w:rFonts w:ascii="Arial Narrow" w:eastAsia="Calibri" w:hAnsi="Arial Narrow"/>
                <w:sz w:val="20"/>
                <w:szCs w:val="20"/>
              </w:rPr>
              <w:t>(in writing-legacy) – Postal/HPOS upload or Online PBS Authorities immediate assessment</w:t>
            </w:r>
          </w:p>
        </w:tc>
      </w:tr>
      <w:tr w:rsidR="001C1E48" w:rsidRPr="00C31CA4" w14:paraId="702AA807"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1B212FBD" w14:textId="77777777" w:rsidR="001C1E48" w:rsidRPr="00C31CA4" w:rsidRDefault="001C1E48" w:rsidP="005F67C4">
            <w:pPr>
              <w:jc w:val="center"/>
              <w:rPr>
                <w:rFonts w:ascii="Arial Narrow" w:hAnsi="Arial Narrow"/>
                <w:b/>
                <w:sz w:val="20"/>
                <w:szCs w:val="20"/>
              </w:rPr>
            </w:pPr>
          </w:p>
        </w:tc>
        <w:tc>
          <w:tcPr>
            <w:tcW w:w="4524" w:type="pct"/>
            <w:gridSpan w:val="6"/>
            <w:vAlign w:val="center"/>
          </w:tcPr>
          <w:p w14:paraId="63312A25" w14:textId="77777777" w:rsidR="001C1E48" w:rsidRPr="00C31CA4" w:rsidRDefault="001C1E48" w:rsidP="005F67C4">
            <w:pPr>
              <w:rPr>
                <w:rFonts w:ascii="Arial Narrow" w:hAnsi="Arial Narrow"/>
                <w:b/>
                <w:sz w:val="20"/>
                <w:szCs w:val="20"/>
              </w:rPr>
            </w:pPr>
            <w:r w:rsidRPr="00C31CA4">
              <w:rPr>
                <w:rFonts w:ascii="Arial Narrow" w:hAnsi="Arial Narrow"/>
                <w:b/>
                <w:bCs/>
                <w:sz w:val="20"/>
                <w:szCs w:val="20"/>
              </w:rPr>
              <w:t>Indication:</w:t>
            </w:r>
            <w:r w:rsidRPr="00C31CA4">
              <w:rPr>
                <w:rFonts w:ascii="Arial Narrow" w:hAnsi="Arial Narrow"/>
                <w:sz w:val="20"/>
                <w:szCs w:val="20"/>
              </w:rPr>
              <w:t xml:space="preserve"> Severe aplastic an</w:t>
            </w:r>
            <w:r w:rsidRPr="00C31CA4">
              <w:rPr>
                <w:rFonts w:ascii="Arial Narrow" w:hAnsi="Arial Narrow"/>
                <w:i/>
                <w:iCs/>
                <w:sz w:val="20"/>
                <w:szCs w:val="20"/>
              </w:rPr>
              <w:t>a</w:t>
            </w:r>
            <w:r w:rsidRPr="00C31CA4">
              <w:rPr>
                <w:rFonts w:ascii="Arial Narrow" w:hAnsi="Arial Narrow"/>
                <w:sz w:val="20"/>
                <w:szCs w:val="20"/>
              </w:rPr>
              <w:t>emia</w:t>
            </w:r>
          </w:p>
        </w:tc>
      </w:tr>
      <w:tr w:rsidR="001C1E48" w:rsidRPr="00C31CA4" w14:paraId="3B05E209"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2F7D0589" w14:textId="77777777" w:rsidR="001C1E48" w:rsidRPr="00C31CA4" w:rsidRDefault="001C1E48" w:rsidP="005F67C4">
            <w:pPr>
              <w:jc w:val="center"/>
              <w:rPr>
                <w:rFonts w:ascii="Arial Narrow" w:hAnsi="Arial Narrow"/>
                <w:sz w:val="20"/>
                <w:szCs w:val="20"/>
              </w:rPr>
            </w:pPr>
          </w:p>
        </w:tc>
        <w:tc>
          <w:tcPr>
            <w:tcW w:w="4524" w:type="pct"/>
            <w:gridSpan w:val="6"/>
            <w:vAlign w:val="center"/>
          </w:tcPr>
          <w:p w14:paraId="6A4A2F4F"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Treatment Phase:</w:t>
            </w:r>
            <w:r w:rsidRPr="00C31CA4">
              <w:rPr>
                <w:rFonts w:ascii="Arial Narrow" w:hAnsi="Arial Narrow"/>
                <w:sz w:val="20"/>
                <w:szCs w:val="20"/>
              </w:rPr>
              <w:t xml:space="preserve"> Initial treatment  </w:t>
            </w:r>
          </w:p>
        </w:tc>
      </w:tr>
      <w:tr w:rsidR="001C1E48" w:rsidRPr="00C31CA4" w14:paraId="5F1F5FD2"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6BBD422B" w14:textId="77777777" w:rsidR="001C1E48" w:rsidRPr="00C31CA4" w:rsidRDefault="001C1E48" w:rsidP="005F67C4">
            <w:pPr>
              <w:jc w:val="center"/>
              <w:rPr>
                <w:rFonts w:ascii="Arial Narrow" w:hAnsi="Arial Narrow"/>
                <w:sz w:val="20"/>
                <w:szCs w:val="20"/>
              </w:rPr>
            </w:pPr>
          </w:p>
        </w:tc>
        <w:tc>
          <w:tcPr>
            <w:tcW w:w="4524" w:type="pct"/>
            <w:gridSpan w:val="6"/>
            <w:vAlign w:val="center"/>
          </w:tcPr>
          <w:p w14:paraId="56A04FB9"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Clinical criteria:</w:t>
            </w:r>
          </w:p>
        </w:tc>
      </w:tr>
      <w:tr w:rsidR="001C1E48" w:rsidRPr="00C31CA4" w14:paraId="5AF2BF96"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51ABDF8B" w14:textId="0E6A71D5" w:rsidR="001C1E48" w:rsidRPr="00C31CA4" w:rsidRDefault="001C1E48" w:rsidP="005F67C4">
            <w:pPr>
              <w:jc w:val="center"/>
              <w:rPr>
                <w:rFonts w:ascii="Arial Narrow" w:hAnsi="Arial Narrow"/>
                <w:sz w:val="20"/>
                <w:szCs w:val="20"/>
              </w:rPr>
            </w:pPr>
          </w:p>
        </w:tc>
        <w:tc>
          <w:tcPr>
            <w:tcW w:w="4524" w:type="pct"/>
            <w:gridSpan w:val="6"/>
            <w:vAlign w:val="center"/>
          </w:tcPr>
          <w:p w14:paraId="49ABB2AF" w14:textId="77777777" w:rsidR="001C1E48" w:rsidRPr="00C31CA4" w:rsidRDefault="001C1E48" w:rsidP="005F67C4">
            <w:pPr>
              <w:rPr>
                <w:rFonts w:ascii="Arial Narrow" w:hAnsi="Arial Narrow"/>
                <w:b/>
                <w:bCs/>
                <w:sz w:val="20"/>
                <w:szCs w:val="20"/>
              </w:rPr>
            </w:pPr>
            <w:r w:rsidRPr="00C31CA4">
              <w:rPr>
                <w:rFonts w:ascii="Arial Narrow" w:hAnsi="Arial Narrow"/>
                <w:sz w:val="20"/>
                <w:szCs w:val="20"/>
              </w:rPr>
              <w:t>The condition must be severe aplastic an</w:t>
            </w:r>
            <w:r w:rsidRPr="00C31CA4">
              <w:rPr>
                <w:rFonts w:ascii="Arial Narrow" w:hAnsi="Arial Narrow"/>
                <w:i/>
                <w:iCs/>
                <w:sz w:val="20"/>
                <w:szCs w:val="20"/>
              </w:rPr>
              <w:t>a</w:t>
            </w:r>
            <w:r w:rsidRPr="00C31CA4">
              <w:rPr>
                <w:rFonts w:ascii="Arial Narrow" w:hAnsi="Arial Narrow"/>
                <w:sz w:val="20"/>
                <w:szCs w:val="20"/>
              </w:rPr>
              <w:t>emia</w:t>
            </w:r>
          </w:p>
        </w:tc>
      </w:tr>
      <w:tr w:rsidR="001C1E48" w:rsidRPr="00C31CA4" w14:paraId="36E8D48D"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2DACB96E" w14:textId="77777777" w:rsidR="001C1E48" w:rsidRPr="00C31CA4" w:rsidRDefault="001C1E48" w:rsidP="005F67C4">
            <w:pPr>
              <w:jc w:val="center"/>
              <w:rPr>
                <w:rFonts w:ascii="Arial Narrow" w:hAnsi="Arial Narrow"/>
                <w:sz w:val="20"/>
                <w:szCs w:val="20"/>
              </w:rPr>
            </w:pPr>
          </w:p>
        </w:tc>
        <w:tc>
          <w:tcPr>
            <w:tcW w:w="4524" w:type="pct"/>
            <w:gridSpan w:val="6"/>
            <w:vAlign w:val="center"/>
          </w:tcPr>
          <w:p w14:paraId="565285EE" w14:textId="77777777" w:rsidR="001C1E48" w:rsidRPr="00C31CA4" w:rsidRDefault="001C1E48" w:rsidP="005F67C4">
            <w:pPr>
              <w:rPr>
                <w:rFonts w:ascii="Arial Narrow" w:hAnsi="Arial Narrow"/>
                <w:sz w:val="20"/>
                <w:szCs w:val="20"/>
              </w:rPr>
            </w:pPr>
            <w:r w:rsidRPr="00C31CA4">
              <w:rPr>
                <w:rFonts w:ascii="Arial Narrow" w:hAnsi="Arial Narrow"/>
                <w:b/>
                <w:bCs/>
                <w:sz w:val="20"/>
                <w:szCs w:val="20"/>
              </w:rPr>
              <w:t>AND</w:t>
            </w:r>
          </w:p>
        </w:tc>
      </w:tr>
      <w:tr w:rsidR="001C1E48" w:rsidRPr="00C31CA4" w14:paraId="18D96C14"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1D2EFDF1" w14:textId="77777777" w:rsidR="001C1E48" w:rsidRPr="00C31CA4" w:rsidRDefault="001C1E48" w:rsidP="005F67C4">
            <w:pPr>
              <w:jc w:val="center"/>
              <w:rPr>
                <w:rFonts w:ascii="Arial Narrow" w:hAnsi="Arial Narrow"/>
                <w:b/>
                <w:bCs/>
                <w:sz w:val="20"/>
                <w:szCs w:val="20"/>
              </w:rPr>
            </w:pPr>
          </w:p>
        </w:tc>
        <w:tc>
          <w:tcPr>
            <w:tcW w:w="4524" w:type="pct"/>
            <w:gridSpan w:val="6"/>
            <w:vAlign w:val="center"/>
          </w:tcPr>
          <w:p w14:paraId="2ED0BC6D"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Clinical criteria:</w:t>
            </w:r>
          </w:p>
        </w:tc>
      </w:tr>
      <w:tr w:rsidR="001C1E48" w:rsidRPr="00C31CA4" w14:paraId="140FEB39"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681403DE" w14:textId="249DA6C3" w:rsidR="001C1E48" w:rsidRPr="00C31CA4" w:rsidRDefault="001C1E48" w:rsidP="005F67C4">
            <w:pPr>
              <w:jc w:val="center"/>
              <w:rPr>
                <w:rFonts w:ascii="Arial Narrow" w:hAnsi="Arial Narrow"/>
                <w:sz w:val="20"/>
                <w:szCs w:val="20"/>
              </w:rPr>
            </w:pPr>
          </w:p>
        </w:tc>
        <w:tc>
          <w:tcPr>
            <w:tcW w:w="4524" w:type="pct"/>
            <w:gridSpan w:val="6"/>
            <w:vAlign w:val="center"/>
          </w:tcPr>
          <w:p w14:paraId="62E55C39" w14:textId="141B2D19" w:rsidR="001C1E48" w:rsidRPr="00C31CA4" w:rsidRDefault="001C1E48" w:rsidP="005F67C4">
            <w:pPr>
              <w:rPr>
                <w:rFonts w:ascii="Arial Narrow" w:hAnsi="Arial Narrow"/>
                <w:sz w:val="20"/>
                <w:szCs w:val="20"/>
              </w:rPr>
            </w:pPr>
            <w:r w:rsidRPr="00C31CA4">
              <w:rPr>
                <w:rFonts w:ascii="Arial Narrow" w:hAnsi="Arial Narrow"/>
                <w:sz w:val="20"/>
                <w:szCs w:val="20"/>
              </w:rPr>
              <w:t xml:space="preserve">Patient must </w:t>
            </w:r>
            <w:r w:rsidR="00AF7858" w:rsidRPr="00C31CA4">
              <w:rPr>
                <w:rFonts w:ascii="Arial Narrow" w:hAnsi="Arial Narrow"/>
                <w:sz w:val="20"/>
                <w:szCs w:val="20"/>
              </w:rPr>
              <w:t xml:space="preserve">not </w:t>
            </w:r>
            <w:r w:rsidRPr="00C31CA4">
              <w:rPr>
                <w:rFonts w:ascii="Arial Narrow" w:hAnsi="Arial Narrow"/>
                <w:sz w:val="20"/>
                <w:szCs w:val="20"/>
              </w:rPr>
              <w:t>have achieve</w:t>
            </w:r>
            <w:r w:rsidR="00AF7858" w:rsidRPr="00C31CA4">
              <w:rPr>
                <w:rFonts w:ascii="Arial Narrow" w:hAnsi="Arial Narrow"/>
                <w:sz w:val="20"/>
                <w:szCs w:val="20"/>
              </w:rPr>
              <w:t>d</w:t>
            </w:r>
            <w:r w:rsidRPr="00C31CA4">
              <w:rPr>
                <w:rFonts w:ascii="Arial Narrow" w:hAnsi="Arial Narrow"/>
                <w:sz w:val="20"/>
                <w:szCs w:val="20"/>
              </w:rPr>
              <w:t xml:space="preserve"> an adequate response to prior immunosuppressive therapy including anti-thymocyte antibody and c</w:t>
            </w:r>
            <w:r w:rsidR="00D458E3" w:rsidRPr="00C31CA4">
              <w:rPr>
                <w:rFonts w:ascii="Arial Narrow" w:hAnsi="Arial Narrow"/>
                <w:sz w:val="20"/>
                <w:szCs w:val="20"/>
              </w:rPr>
              <w:t>i</w:t>
            </w:r>
            <w:r w:rsidRPr="00C31CA4">
              <w:rPr>
                <w:rFonts w:ascii="Arial Narrow" w:hAnsi="Arial Narrow"/>
                <w:sz w:val="20"/>
                <w:szCs w:val="20"/>
              </w:rPr>
              <w:t>closporin</w:t>
            </w:r>
            <w:r w:rsidR="00AF7858" w:rsidRPr="00C31CA4">
              <w:rPr>
                <w:rFonts w:ascii="Arial Narrow" w:hAnsi="Arial Narrow"/>
                <w:sz w:val="20"/>
                <w:szCs w:val="20"/>
              </w:rPr>
              <w:t>;</w:t>
            </w:r>
            <w:r w:rsidRPr="00C31CA4">
              <w:rPr>
                <w:rFonts w:ascii="Arial Narrow" w:hAnsi="Arial Narrow"/>
                <w:sz w:val="20"/>
                <w:szCs w:val="20"/>
              </w:rPr>
              <w:t xml:space="preserve"> OR</w:t>
            </w:r>
          </w:p>
        </w:tc>
      </w:tr>
      <w:tr w:rsidR="005D2EC3" w:rsidRPr="00C31CA4" w14:paraId="68D5D68A"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494D4671" w14:textId="4F134B06" w:rsidR="00AF7858" w:rsidRPr="00C31CA4" w:rsidRDefault="00AF7858" w:rsidP="005F67C4">
            <w:pPr>
              <w:jc w:val="center"/>
              <w:rPr>
                <w:rFonts w:ascii="Arial Narrow" w:hAnsi="Arial Narrow"/>
                <w:sz w:val="20"/>
                <w:szCs w:val="20"/>
              </w:rPr>
            </w:pPr>
          </w:p>
        </w:tc>
        <w:tc>
          <w:tcPr>
            <w:tcW w:w="4524" w:type="pct"/>
            <w:gridSpan w:val="6"/>
            <w:vAlign w:val="center"/>
          </w:tcPr>
          <w:p w14:paraId="34943159" w14:textId="565781CD" w:rsidR="00AF7858" w:rsidRPr="00C31CA4" w:rsidRDefault="00AF7858" w:rsidP="005F67C4">
            <w:pPr>
              <w:rPr>
                <w:rFonts w:ascii="Arial Narrow" w:hAnsi="Arial Narrow"/>
                <w:sz w:val="20"/>
                <w:szCs w:val="20"/>
              </w:rPr>
            </w:pPr>
            <w:r w:rsidRPr="00C31CA4">
              <w:rPr>
                <w:rFonts w:ascii="Arial Narrow" w:hAnsi="Arial Narrow"/>
                <w:sz w:val="20"/>
                <w:szCs w:val="20"/>
              </w:rPr>
              <w:t>Patient must have relapsed following prior immunosuppressive therapy including anti-thymocyte antibody and ciclosporin</w:t>
            </w:r>
          </w:p>
        </w:tc>
      </w:tr>
      <w:tr w:rsidR="001C1E48" w:rsidRPr="00C31CA4" w14:paraId="0C675CE8"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0D51645C" w14:textId="77777777" w:rsidR="001C1E48" w:rsidRPr="00C31CA4" w:rsidRDefault="001C1E48" w:rsidP="005F67C4">
            <w:pPr>
              <w:jc w:val="center"/>
              <w:rPr>
                <w:rFonts w:ascii="Arial Narrow" w:hAnsi="Arial Narrow"/>
                <w:b/>
                <w:bCs/>
                <w:sz w:val="20"/>
                <w:szCs w:val="20"/>
              </w:rPr>
            </w:pPr>
          </w:p>
        </w:tc>
        <w:tc>
          <w:tcPr>
            <w:tcW w:w="4524" w:type="pct"/>
            <w:gridSpan w:val="6"/>
            <w:vAlign w:val="center"/>
          </w:tcPr>
          <w:p w14:paraId="0683E150" w14:textId="77777777" w:rsidR="001C1E48" w:rsidRPr="00212569" w:rsidRDefault="001C1E48" w:rsidP="005F67C4">
            <w:pPr>
              <w:rPr>
                <w:rFonts w:ascii="Arial Narrow" w:hAnsi="Arial Narrow"/>
                <w:b/>
                <w:bCs/>
                <w:sz w:val="20"/>
                <w:szCs w:val="20"/>
              </w:rPr>
            </w:pPr>
            <w:r w:rsidRPr="00212569">
              <w:rPr>
                <w:rFonts w:ascii="Arial Narrow" w:hAnsi="Arial Narrow"/>
                <w:b/>
                <w:bCs/>
                <w:sz w:val="20"/>
                <w:szCs w:val="20"/>
              </w:rPr>
              <w:t>AND</w:t>
            </w:r>
          </w:p>
        </w:tc>
      </w:tr>
      <w:tr w:rsidR="001C1E48" w:rsidRPr="00C31CA4" w14:paraId="4656A25B"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7463F583" w14:textId="77777777" w:rsidR="001C1E48" w:rsidRPr="00C31CA4" w:rsidRDefault="001C1E48" w:rsidP="005F67C4">
            <w:pPr>
              <w:jc w:val="center"/>
              <w:rPr>
                <w:rFonts w:ascii="Arial Narrow" w:hAnsi="Arial Narrow"/>
                <w:b/>
                <w:bCs/>
                <w:sz w:val="20"/>
                <w:szCs w:val="20"/>
              </w:rPr>
            </w:pPr>
          </w:p>
        </w:tc>
        <w:tc>
          <w:tcPr>
            <w:tcW w:w="4524" w:type="pct"/>
            <w:gridSpan w:val="6"/>
            <w:vAlign w:val="center"/>
          </w:tcPr>
          <w:p w14:paraId="39CE9C80"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Clinical criteria:</w:t>
            </w:r>
          </w:p>
        </w:tc>
      </w:tr>
      <w:tr w:rsidR="001C1E48" w:rsidRPr="00C31CA4" w14:paraId="12EC88A3"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049F5E52" w14:textId="32320A42" w:rsidR="001C1E48" w:rsidRPr="00C31CA4" w:rsidRDefault="001C1E48" w:rsidP="005F67C4">
            <w:pPr>
              <w:jc w:val="center"/>
              <w:rPr>
                <w:rFonts w:ascii="Arial Narrow" w:hAnsi="Arial Narrow"/>
                <w:b/>
                <w:bCs/>
                <w:sz w:val="20"/>
                <w:szCs w:val="20"/>
              </w:rPr>
            </w:pPr>
          </w:p>
        </w:tc>
        <w:tc>
          <w:tcPr>
            <w:tcW w:w="4524" w:type="pct"/>
            <w:gridSpan w:val="6"/>
            <w:vAlign w:val="center"/>
          </w:tcPr>
          <w:p w14:paraId="70F21A6C" w14:textId="32839AC6" w:rsidR="001C1E48" w:rsidRPr="00C31CA4" w:rsidRDefault="001C1E48" w:rsidP="005F67C4">
            <w:pPr>
              <w:rPr>
                <w:rFonts w:ascii="Arial Narrow" w:hAnsi="Arial Narrow"/>
                <w:b/>
                <w:bCs/>
                <w:sz w:val="20"/>
                <w:szCs w:val="20"/>
              </w:rPr>
            </w:pPr>
            <w:r w:rsidRPr="00C31CA4">
              <w:rPr>
                <w:rFonts w:ascii="Arial Narrow" w:hAnsi="Arial Narrow"/>
                <w:sz w:val="20"/>
                <w:szCs w:val="20"/>
              </w:rPr>
              <w:t>Patient must not receive more than 16 weeks duration of treatment under this restriction.</w:t>
            </w:r>
          </w:p>
        </w:tc>
      </w:tr>
      <w:tr w:rsidR="001C1E48" w:rsidRPr="00C31CA4" w14:paraId="31BBC2F3"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1742A22B" w14:textId="23598467" w:rsidR="00AF7858" w:rsidRPr="00C31CA4" w:rsidRDefault="00AF7858" w:rsidP="005F67C4">
            <w:pPr>
              <w:jc w:val="center"/>
              <w:rPr>
                <w:rFonts w:ascii="Arial Narrow" w:hAnsi="Arial Narrow"/>
                <w:sz w:val="20"/>
                <w:szCs w:val="20"/>
              </w:rPr>
            </w:pPr>
          </w:p>
        </w:tc>
        <w:tc>
          <w:tcPr>
            <w:tcW w:w="4524" w:type="pct"/>
            <w:gridSpan w:val="6"/>
            <w:vAlign w:val="center"/>
          </w:tcPr>
          <w:p w14:paraId="72541400"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Prescribing Instructions:</w:t>
            </w:r>
          </w:p>
          <w:p w14:paraId="1E902FAD" w14:textId="77777777" w:rsidR="001C1E48" w:rsidRPr="00C31CA4" w:rsidRDefault="001C1E48" w:rsidP="005F67C4">
            <w:pPr>
              <w:rPr>
                <w:rFonts w:ascii="Arial Narrow" w:hAnsi="Arial Narrow"/>
                <w:sz w:val="20"/>
                <w:szCs w:val="20"/>
              </w:rPr>
            </w:pPr>
            <w:r w:rsidRPr="00C31CA4">
              <w:rPr>
                <w:rFonts w:ascii="Arial Narrow" w:hAnsi="Arial Narrow"/>
                <w:sz w:val="20"/>
                <w:szCs w:val="20"/>
              </w:rPr>
              <w:t>The authority application must be made via the online PBS Authorities (real time assessment), or in writing via HPOS form upload or mail and must include:</w:t>
            </w:r>
          </w:p>
          <w:p w14:paraId="1C81B413" w14:textId="2EA62F15" w:rsidR="001C1E48" w:rsidRPr="00C31CA4" w:rsidRDefault="001C1E48" w:rsidP="005F67C4">
            <w:pPr>
              <w:rPr>
                <w:rFonts w:ascii="Arial Narrow" w:hAnsi="Arial Narrow"/>
                <w:sz w:val="20"/>
                <w:szCs w:val="20"/>
              </w:rPr>
            </w:pPr>
            <w:r w:rsidRPr="00C31CA4">
              <w:rPr>
                <w:rFonts w:ascii="Arial Narrow" w:hAnsi="Arial Narrow"/>
                <w:sz w:val="20"/>
                <w:szCs w:val="20"/>
              </w:rPr>
              <w:t xml:space="preserve">(a) prior immunosuppressive therapy, including dates of treatment; </w:t>
            </w:r>
          </w:p>
          <w:p w14:paraId="36E60788" w14:textId="0C9AEDEC" w:rsidR="001C1E48" w:rsidRPr="00C31CA4" w:rsidRDefault="001C1E48" w:rsidP="005F67C4">
            <w:pPr>
              <w:rPr>
                <w:rFonts w:ascii="Arial Narrow" w:hAnsi="Arial Narrow"/>
                <w:b/>
                <w:bCs/>
                <w:sz w:val="20"/>
                <w:szCs w:val="20"/>
              </w:rPr>
            </w:pPr>
            <w:r w:rsidRPr="00C31CA4">
              <w:rPr>
                <w:rFonts w:ascii="Arial Narrow" w:hAnsi="Arial Narrow"/>
                <w:i/>
                <w:iCs/>
                <w:sz w:val="20"/>
                <w:szCs w:val="20"/>
              </w:rPr>
              <w:t xml:space="preserve"> </w:t>
            </w:r>
          </w:p>
        </w:tc>
      </w:tr>
      <w:tr w:rsidR="001C1E48" w:rsidRPr="00C31CA4" w14:paraId="23668DC1"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0B32B641" w14:textId="3C391D1D" w:rsidR="001C1E48" w:rsidRPr="00C31CA4" w:rsidRDefault="001C1E48" w:rsidP="005F67C4">
            <w:pPr>
              <w:jc w:val="center"/>
              <w:rPr>
                <w:rFonts w:ascii="Arial Narrow" w:hAnsi="Arial Narrow"/>
                <w:sz w:val="20"/>
                <w:szCs w:val="20"/>
              </w:rPr>
            </w:pPr>
          </w:p>
        </w:tc>
        <w:tc>
          <w:tcPr>
            <w:tcW w:w="4524" w:type="pct"/>
            <w:gridSpan w:val="6"/>
            <w:vAlign w:val="center"/>
          </w:tcPr>
          <w:p w14:paraId="33868427"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Prescribing Instructions:</w:t>
            </w:r>
          </w:p>
          <w:p w14:paraId="4A8889E9" w14:textId="77777777" w:rsidR="001C1E48" w:rsidRPr="00C31CA4" w:rsidRDefault="001C1E48" w:rsidP="005F67C4">
            <w:pPr>
              <w:rPr>
                <w:rFonts w:ascii="Arial Narrow" w:hAnsi="Arial Narrow"/>
                <w:sz w:val="20"/>
                <w:szCs w:val="20"/>
              </w:rPr>
            </w:pPr>
            <w:r w:rsidRPr="00C31CA4">
              <w:rPr>
                <w:rFonts w:ascii="Arial Narrow" w:hAnsi="Arial Narrow"/>
                <w:sz w:val="20"/>
                <w:szCs w:val="20"/>
              </w:rPr>
              <w:t>If the application is submitted through HPOS form upload or mail, it must include:</w:t>
            </w:r>
          </w:p>
          <w:p w14:paraId="731F7CE5" w14:textId="77777777" w:rsidR="001C1E48" w:rsidRPr="00C31CA4" w:rsidRDefault="001C1E48" w:rsidP="005F67C4">
            <w:pPr>
              <w:rPr>
                <w:rFonts w:ascii="Arial Narrow" w:hAnsi="Arial Narrow"/>
                <w:sz w:val="20"/>
                <w:szCs w:val="20"/>
              </w:rPr>
            </w:pPr>
            <w:r w:rsidRPr="00C31CA4">
              <w:rPr>
                <w:rFonts w:ascii="Arial Narrow" w:hAnsi="Arial Narrow"/>
                <w:sz w:val="20"/>
                <w:szCs w:val="20"/>
              </w:rPr>
              <w:t xml:space="preserve">(a) a completed authority prescription form </w:t>
            </w:r>
          </w:p>
          <w:p w14:paraId="1A074173" w14:textId="77777777" w:rsidR="001C1E48" w:rsidRPr="00C31CA4" w:rsidRDefault="001C1E48" w:rsidP="005F67C4">
            <w:pPr>
              <w:rPr>
                <w:rFonts w:ascii="Arial Narrow" w:hAnsi="Arial Narrow"/>
                <w:b/>
                <w:bCs/>
                <w:sz w:val="20"/>
                <w:szCs w:val="20"/>
              </w:rPr>
            </w:pPr>
            <w:r w:rsidRPr="00C31CA4">
              <w:rPr>
                <w:rFonts w:ascii="Arial Narrow" w:hAnsi="Arial Narrow"/>
                <w:sz w:val="20"/>
                <w:szCs w:val="20"/>
              </w:rPr>
              <w:t>(b) a completed authority application form relevant to the indication and treatment phase (the latest version is located on the website specified in the Administrative Advice).</w:t>
            </w:r>
            <w:r w:rsidRPr="00C31CA4">
              <w:rPr>
                <w:rFonts w:ascii="Arial Narrow" w:hAnsi="Arial Narrow"/>
                <w:i/>
                <w:iCs/>
                <w:sz w:val="20"/>
                <w:szCs w:val="20"/>
              </w:rPr>
              <w:t xml:space="preserve"> </w:t>
            </w:r>
          </w:p>
        </w:tc>
      </w:tr>
      <w:tr w:rsidR="001C1E48" w:rsidRPr="00C31CA4" w14:paraId="0C4A04EE"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3058E8B3" w14:textId="761EB620" w:rsidR="001C1E48" w:rsidRPr="00C31CA4" w:rsidRDefault="001C1E48" w:rsidP="005F67C4">
            <w:pPr>
              <w:jc w:val="center"/>
              <w:rPr>
                <w:rFonts w:ascii="Arial Narrow" w:hAnsi="Arial Narrow"/>
                <w:sz w:val="20"/>
                <w:szCs w:val="20"/>
              </w:rPr>
            </w:pPr>
          </w:p>
        </w:tc>
        <w:tc>
          <w:tcPr>
            <w:tcW w:w="4524" w:type="pct"/>
            <w:gridSpan w:val="6"/>
            <w:vAlign w:val="center"/>
          </w:tcPr>
          <w:p w14:paraId="5DE3EEB9" w14:textId="77777777" w:rsidR="001C1E48" w:rsidRPr="00C31CA4" w:rsidRDefault="001C1E48" w:rsidP="005F67C4">
            <w:pPr>
              <w:rPr>
                <w:rFonts w:ascii="Arial Narrow" w:hAnsi="Arial Narrow"/>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No increase in the maximum number of repeats may be authorised.</w:t>
            </w:r>
          </w:p>
        </w:tc>
      </w:tr>
      <w:tr w:rsidR="001C1E48" w:rsidRPr="00C31CA4" w14:paraId="3A2F8DAF"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0EABCA26" w14:textId="133DEC9A" w:rsidR="001C1E48" w:rsidRPr="00C31CA4" w:rsidRDefault="001C1E48" w:rsidP="005F67C4">
            <w:pPr>
              <w:jc w:val="center"/>
              <w:rPr>
                <w:rFonts w:ascii="Arial Narrow" w:hAnsi="Arial Narrow"/>
                <w:sz w:val="20"/>
                <w:szCs w:val="20"/>
              </w:rPr>
            </w:pPr>
          </w:p>
        </w:tc>
        <w:tc>
          <w:tcPr>
            <w:tcW w:w="4524" w:type="pct"/>
            <w:gridSpan w:val="6"/>
            <w:vAlign w:val="center"/>
          </w:tcPr>
          <w:p w14:paraId="6F76C34F" w14:textId="77777777" w:rsidR="001C1E48" w:rsidRPr="00C31CA4" w:rsidRDefault="001C1E48" w:rsidP="005F67C4">
            <w:pPr>
              <w:rPr>
                <w:rFonts w:ascii="Arial Narrow" w:hAnsi="Arial Narrow"/>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Special Pricing Arrangements Apply.</w:t>
            </w:r>
          </w:p>
        </w:tc>
      </w:tr>
      <w:tr w:rsidR="00D458E3" w:rsidRPr="00C31CA4" w14:paraId="16DABDCF" w14:textId="77777777" w:rsidTr="00212569">
        <w:tblPrEx>
          <w:tblCellMar>
            <w:top w:w="15" w:type="dxa"/>
            <w:left w:w="15" w:type="dxa"/>
            <w:bottom w:w="15" w:type="dxa"/>
            <w:right w:w="15" w:type="dxa"/>
          </w:tblCellMar>
          <w:tblLook w:val="04A0" w:firstRow="1" w:lastRow="0" w:firstColumn="1" w:lastColumn="0" w:noHBand="0" w:noVBand="1"/>
        </w:tblPrEx>
        <w:trPr>
          <w:trHeight w:val="284"/>
        </w:trPr>
        <w:tc>
          <w:tcPr>
            <w:tcW w:w="476" w:type="pct"/>
            <w:vAlign w:val="center"/>
          </w:tcPr>
          <w:p w14:paraId="447A2B09" w14:textId="306BF648" w:rsidR="00D458E3" w:rsidRPr="00C31CA4" w:rsidDel="00D458E3" w:rsidRDefault="00D458E3" w:rsidP="00D458E3">
            <w:pPr>
              <w:jc w:val="center"/>
              <w:rPr>
                <w:rFonts w:ascii="Arial Narrow" w:hAnsi="Arial Narrow"/>
                <w:sz w:val="20"/>
                <w:szCs w:val="20"/>
              </w:rPr>
            </w:pPr>
          </w:p>
        </w:tc>
        <w:tc>
          <w:tcPr>
            <w:tcW w:w="4524" w:type="pct"/>
            <w:gridSpan w:val="6"/>
            <w:vAlign w:val="center"/>
          </w:tcPr>
          <w:p w14:paraId="2FBB5F36" w14:textId="77777777" w:rsidR="00D458E3" w:rsidRPr="00C31CA4" w:rsidRDefault="00D458E3" w:rsidP="00D458E3">
            <w:pPr>
              <w:rPr>
                <w:rFonts w:ascii="Arial Narrow" w:hAnsi="Arial Narrow"/>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Any queries concerning the arrangements to prescribe may be directed to Services Australia on 1800 888 333. </w:t>
            </w:r>
          </w:p>
          <w:p w14:paraId="4240785A"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 xml:space="preserve">Prescribing information (including Authority Application forms and other relevant documentation is applicable) is available on the Services Australia website at </w:t>
            </w:r>
            <w:hyperlink r:id="rId12" w:history="1">
              <w:r w:rsidRPr="00C31CA4">
                <w:rPr>
                  <w:rStyle w:val="Hyperlink"/>
                  <w:rFonts w:ascii="Arial Narrow" w:hAnsi="Arial Narrow"/>
                  <w:sz w:val="20"/>
                  <w:szCs w:val="20"/>
                </w:rPr>
                <w:t>www.servicesaustralia.gov.au</w:t>
              </w:r>
            </w:hyperlink>
          </w:p>
          <w:p w14:paraId="3E55F774"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 xml:space="preserve">Applications for authorisation under this restriction should be made in real time using the Online PBS Authorities system (see </w:t>
            </w:r>
            <w:hyperlink r:id="rId13" w:history="1">
              <w:r w:rsidRPr="00C31CA4">
                <w:rPr>
                  <w:rStyle w:val="Hyperlink"/>
                  <w:rFonts w:ascii="Arial Narrow" w:hAnsi="Arial Narrow"/>
                  <w:sz w:val="20"/>
                  <w:szCs w:val="20"/>
                </w:rPr>
                <w:t>www.servicesaustralia.gov.au/hpos</w:t>
              </w:r>
            </w:hyperlink>
            <w:r w:rsidRPr="00C31CA4">
              <w:rPr>
                <w:rFonts w:ascii="Arial Narrow" w:hAnsi="Arial Narrow"/>
                <w:sz w:val="20"/>
                <w:szCs w:val="20"/>
              </w:rPr>
              <w:t>)</w:t>
            </w:r>
          </w:p>
          <w:p w14:paraId="0302E00E"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 xml:space="preserve">Alternatively, applications for authority to prescribe can be submitted online using the form upload facility in Health Professional Online Services (HPOS) </w:t>
            </w:r>
            <w:hyperlink r:id="rId14" w:history="1">
              <w:r w:rsidRPr="00C31CA4">
                <w:rPr>
                  <w:rStyle w:val="Hyperlink"/>
                  <w:rFonts w:ascii="Arial Narrow" w:hAnsi="Arial Narrow"/>
                  <w:sz w:val="20"/>
                  <w:szCs w:val="20"/>
                </w:rPr>
                <w:t>www.servicesaustralia.gov.au/hpos</w:t>
              </w:r>
            </w:hyperlink>
            <w:r w:rsidRPr="00C31CA4">
              <w:rPr>
                <w:rFonts w:ascii="Arial Narrow" w:hAnsi="Arial Narrow"/>
                <w:sz w:val="20"/>
                <w:szCs w:val="20"/>
              </w:rPr>
              <w:t xml:space="preserve"> </w:t>
            </w:r>
          </w:p>
          <w:p w14:paraId="205A346E"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Or mailed to:</w:t>
            </w:r>
          </w:p>
          <w:p w14:paraId="3F9A3468"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Services Australia</w:t>
            </w:r>
          </w:p>
          <w:p w14:paraId="19D95F76" w14:textId="77777777" w:rsidR="00D458E3" w:rsidRPr="00C31CA4" w:rsidRDefault="00D458E3" w:rsidP="00D458E3">
            <w:pPr>
              <w:rPr>
                <w:rFonts w:ascii="Arial Narrow" w:hAnsi="Arial Narrow"/>
                <w:sz w:val="20"/>
                <w:szCs w:val="20"/>
              </w:rPr>
            </w:pPr>
            <w:r w:rsidRPr="00C31CA4">
              <w:rPr>
                <w:rFonts w:ascii="Arial Narrow" w:hAnsi="Arial Narrow"/>
                <w:sz w:val="20"/>
                <w:szCs w:val="20"/>
              </w:rPr>
              <w:t xml:space="preserve">Complex Drugs </w:t>
            </w:r>
          </w:p>
          <w:p w14:paraId="1DD1DB67" w14:textId="432FF800" w:rsidR="00D458E3" w:rsidRPr="00C31CA4" w:rsidDel="00D458E3" w:rsidRDefault="00D458E3" w:rsidP="00D458E3">
            <w:pPr>
              <w:rPr>
                <w:rFonts w:ascii="Arial Narrow" w:hAnsi="Arial Narrow"/>
                <w:b/>
                <w:bCs/>
                <w:sz w:val="20"/>
                <w:szCs w:val="20"/>
              </w:rPr>
            </w:pPr>
            <w:r w:rsidRPr="00C31CA4">
              <w:rPr>
                <w:rFonts w:ascii="Arial Narrow" w:hAnsi="Arial Narrow"/>
                <w:sz w:val="20"/>
                <w:szCs w:val="20"/>
              </w:rPr>
              <w:t xml:space="preserve">Reply Paid 9826 </w:t>
            </w:r>
          </w:p>
        </w:tc>
      </w:tr>
    </w:tbl>
    <w:p w14:paraId="04140D77" w14:textId="77777777" w:rsidR="001C1E48" w:rsidRPr="00C31CA4" w:rsidRDefault="001C1E48" w:rsidP="00D92642">
      <w:pPr>
        <w:rPr>
          <w:rFonts w:asciiTheme="minorHAnsi" w:hAnsiTheme="minorHAnsi" w:cstheme="minorHAnsi"/>
          <w:iCs/>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67"/>
        <w:gridCol w:w="988"/>
        <w:gridCol w:w="846"/>
        <w:gridCol w:w="705"/>
        <w:gridCol w:w="705"/>
        <w:gridCol w:w="1830"/>
      </w:tblGrid>
      <w:tr w:rsidR="001C1E48" w:rsidRPr="00C31CA4" w14:paraId="5D122172" w14:textId="77777777" w:rsidTr="005F67C4">
        <w:trPr>
          <w:trHeight w:val="284"/>
        </w:trPr>
        <w:tc>
          <w:tcPr>
            <w:tcW w:w="2186" w:type="pct"/>
            <w:gridSpan w:val="2"/>
          </w:tcPr>
          <w:p w14:paraId="1055344C" w14:textId="77777777" w:rsidR="001C1E48" w:rsidRPr="00C31CA4" w:rsidRDefault="001C1E48" w:rsidP="005F67C4">
            <w:pPr>
              <w:keepNext/>
              <w:ind w:left="-57"/>
              <w:rPr>
                <w:rFonts w:ascii="Arial Narrow" w:hAnsi="Arial Narrow"/>
                <w:b/>
                <w:bCs/>
                <w:sz w:val="20"/>
                <w:szCs w:val="20"/>
              </w:rPr>
            </w:pPr>
            <w:r w:rsidRPr="00C31CA4">
              <w:rPr>
                <w:rFonts w:ascii="Arial Narrow" w:hAnsi="Arial Narrow"/>
                <w:b/>
                <w:bCs/>
                <w:sz w:val="20"/>
                <w:szCs w:val="20"/>
              </w:rPr>
              <w:t>MEDICINAL PRODUCT</w:t>
            </w:r>
          </w:p>
          <w:p w14:paraId="2FC40594" w14:textId="77777777" w:rsidR="001C1E48" w:rsidRPr="00C31CA4" w:rsidRDefault="001C1E48" w:rsidP="005F67C4">
            <w:pPr>
              <w:keepNext/>
              <w:ind w:left="-57"/>
              <w:rPr>
                <w:rFonts w:ascii="Arial Narrow" w:hAnsi="Arial Narrow"/>
                <w:b/>
                <w:sz w:val="20"/>
                <w:szCs w:val="20"/>
              </w:rPr>
            </w:pPr>
            <w:r w:rsidRPr="00C31CA4">
              <w:rPr>
                <w:rFonts w:ascii="Arial Narrow" w:hAnsi="Arial Narrow"/>
                <w:b/>
                <w:bCs/>
                <w:sz w:val="20"/>
                <w:szCs w:val="20"/>
              </w:rPr>
              <w:t>medicinal product pack</w:t>
            </w:r>
          </w:p>
        </w:tc>
        <w:tc>
          <w:tcPr>
            <w:tcW w:w="548" w:type="pct"/>
          </w:tcPr>
          <w:p w14:paraId="0E16BA90"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PBS item code</w:t>
            </w:r>
          </w:p>
        </w:tc>
        <w:tc>
          <w:tcPr>
            <w:tcW w:w="469" w:type="pct"/>
          </w:tcPr>
          <w:p w14:paraId="18FFD7D8"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Max. qty packs</w:t>
            </w:r>
          </w:p>
        </w:tc>
        <w:tc>
          <w:tcPr>
            <w:tcW w:w="391" w:type="pct"/>
          </w:tcPr>
          <w:p w14:paraId="2A082F6B"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Max. qty units</w:t>
            </w:r>
          </w:p>
        </w:tc>
        <w:tc>
          <w:tcPr>
            <w:tcW w:w="391" w:type="pct"/>
          </w:tcPr>
          <w:p w14:paraId="170FED52"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№.of</w:t>
            </w:r>
          </w:p>
          <w:p w14:paraId="59102746" w14:textId="77777777" w:rsidR="001C1E48" w:rsidRPr="00C31CA4" w:rsidRDefault="001C1E48" w:rsidP="005F67C4">
            <w:pPr>
              <w:keepNext/>
              <w:ind w:left="-108"/>
              <w:jc w:val="center"/>
              <w:rPr>
                <w:rFonts w:ascii="Arial Narrow" w:hAnsi="Arial Narrow"/>
                <w:b/>
                <w:sz w:val="20"/>
                <w:szCs w:val="20"/>
              </w:rPr>
            </w:pPr>
            <w:r w:rsidRPr="00C31CA4">
              <w:rPr>
                <w:rFonts w:ascii="Arial Narrow" w:hAnsi="Arial Narrow"/>
                <w:b/>
                <w:sz w:val="20"/>
                <w:szCs w:val="20"/>
              </w:rPr>
              <w:t>Rpts</w:t>
            </w:r>
          </w:p>
        </w:tc>
        <w:tc>
          <w:tcPr>
            <w:tcW w:w="1015" w:type="pct"/>
          </w:tcPr>
          <w:p w14:paraId="5BBF8304" w14:textId="77777777" w:rsidR="001C1E48" w:rsidRPr="00C31CA4" w:rsidRDefault="001C1E48" w:rsidP="005F67C4">
            <w:pPr>
              <w:keepNext/>
              <w:rPr>
                <w:rFonts w:ascii="Arial Narrow" w:hAnsi="Arial Narrow"/>
                <w:b/>
                <w:sz w:val="20"/>
                <w:szCs w:val="20"/>
              </w:rPr>
            </w:pPr>
            <w:r w:rsidRPr="00C31CA4">
              <w:rPr>
                <w:rFonts w:ascii="Arial Narrow" w:hAnsi="Arial Narrow"/>
                <w:b/>
                <w:sz w:val="20"/>
                <w:szCs w:val="20"/>
              </w:rPr>
              <w:t>Available brands</w:t>
            </w:r>
          </w:p>
        </w:tc>
      </w:tr>
      <w:tr w:rsidR="001C1E48" w:rsidRPr="00C31CA4" w14:paraId="7A8AD0F9" w14:textId="77777777" w:rsidTr="005F67C4">
        <w:trPr>
          <w:trHeight w:val="284"/>
        </w:trPr>
        <w:tc>
          <w:tcPr>
            <w:tcW w:w="5000" w:type="pct"/>
            <w:gridSpan w:val="7"/>
          </w:tcPr>
          <w:p w14:paraId="1B99E8F5" w14:textId="77777777" w:rsidR="001C1E48" w:rsidRPr="00C31CA4" w:rsidRDefault="001C1E48" w:rsidP="005F67C4">
            <w:pPr>
              <w:keepNext/>
              <w:ind w:left="-57"/>
              <w:rPr>
                <w:rFonts w:ascii="Arial Narrow" w:hAnsi="Arial Narrow"/>
                <w:sz w:val="20"/>
                <w:szCs w:val="20"/>
              </w:rPr>
            </w:pPr>
            <w:r w:rsidRPr="00C31CA4">
              <w:rPr>
                <w:rFonts w:ascii="Arial Narrow" w:hAnsi="Arial Narrow"/>
                <w:sz w:val="20"/>
                <w:szCs w:val="20"/>
              </w:rPr>
              <w:t>ELTROMBOPAG</w:t>
            </w:r>
          </w:p>
        </w:tc>
      </w:tr>
      <w:tr w:rsidR="001C1E48" w:rsidRPr="00C31CA4" w14:paraId="4336F51B" w14:textId="77777777" w:rsidTr="005F67C4">
        <w:trPr>
          <w:trHeight w:val="284"/>
        </w:trPr>
        <w:tc>
          <w:tcPr>
            <w:tcW w:w="2186" w:type="pct"/>
            <w:gridSpan w:val="2"/>
          </w:tcPr>
          <w:p w14:paraId="3A7FD5B8" w14:textId="77777777" w:rsidR="001C1E48" w:rsidRPr="00C31CA4" w:rsidRDefault="001C1E48" w:rsidP="005F67C4">
            <w:pPr>
              <w:ind w:hanging="109"/>
              <w:rPr>
                <w:rFonts w:ascii="Arial Narrow" w:hAnsi="Arial Narrow"/>
                <w:sz w:val="20"/>
                <w:szCs w:val="20"/>
              </w:rPr>
            </w:pPr>
            <w:r w:rsidRPr="00C31CA4">
              <w:rPr>
                <w:rFonts w:ascii="Arial Narrow" w:hAnsi="Arial Narrow"/>
                <w:sz w:val="20"/>
                <w:szCs w:val="20"/>
              </w:rPr>
              <w:t xml:space="preserve"> Eltrombopag 25mg tablet, 28</w:t>
            </w:r>
          </w:p>
        </w:tc>
        <w:tc>
          <w:tcPr>
            <w:tcW w:w="548" w:type="pct"/>
          </w:tcPr>
          <w:p w14:paraId="5536D806"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New</w:t>
            </w:r>
          </w:p>
        </w:tc>
        <w:tc>
          <w:tcPr>
            <w:tcW w:w="469" w:type="pct"/>
          </w:tcPr>
          <w:p w14:paraId="340A3266"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3</w:t>
            </w:r>
          </w:p>
        </w:tc>
        <w:tc>
          <w:tcPr>
            <w:tcW w:w="391" w:type="pct"/>
          </w:tcPr>
          <w:p w14:paraId="063C5331"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84</w:t>
            </w:r>
          </w:p>
        </w:tc>
        <w:tc>
          <w:tcPr>
            <w:tcW w:w="391" w:type="pct"/>
          </w:tcPr>
          <w:p w14:paraId="53503400"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5</w:t>
            </w:r>
          </w:p>
        </w:tc>
        <w:tc>
          <w:tcPr>
            <w:tcW w:w="1015" w:type="pct"/>
          </w:tcPr>
          <w:p w14:paraId="46E7BC7D" w14:textId="77777777" w:rsidR="001C1E48" w:rsidRPr="00C31CA4" w:rsidRDefault="001C1E48" w:rsidP="005F67C4">
            <w:pPr>
              <w:keepNext/>
              <w:rPr>
                <w:rFonts w:ascii="Arial Narrow" w:hAnsi="Arial Narrow"/>
                <w:sz w:val="20"/>
                <w:szCs w:val="20"/>
              </w:rPr>
            </w:pPr>
            <w:r w:rsidRPr="00C31CA4">
              <w:rPr>
                <w:rFonts w:ascii="Arial Narrow" w:hAnsi="Arial Narrow"/>
                <w:sz w:val="20"/>
                <w:szCs w:val="20"/>
              </w:rPr>
              <w:t>Revolade</w:t>
            </w:r>
          </w:p>
        </w:tc>
      </w:tr>
      <w:tr w:rsidR="001C1E48" w:rsidRPr="00C31CA4" w14:paraId="602D6847" w14:textId="77777777" w:rsidTr="005F67C4">
        <w:trPr>
          <w:trHeight w:val="284"/>
        </w:trPr>
        <w:tc>
          <w:tcPr>
            <w:tcW w:w="2186" w:type="pct"/>
            <w:gridSpan w:val="2"/>
          </w:tcPr>
          <w:p w14:paraId="2E65E3A7" w14:textId="77777777" w:rsidR="001C1E48" w:rsidRPr="00C31CA4" w:rsidRDefault="001C1E48" w:rsidP="005F67C4">
            <w:pPr>
              <w:keepNext/>
              <w:ind w:left="-57"/>
              <w:rPr>
                <w:rFonts w:ascii="Arial Narrow" w:hAnsi="Arial Narrow"/>
                <w:sz w:val="20"/>
                <w:szCs w:val="20"/>
              </w:rPr>
            </w:pPr>
            <w:r w:rsidRPr="00C31CA4">
              <w:rPr>
                <w:rFonts w:ascii="Arial Narrow" w:hAnsi="Arial Narrow"/>
                <w:sz w:val="20"/>
                <w:szCs w:val="20"/>
              </w:rPr>
              <w:t>Eltrombopag 50mg tablet, 28</w:t>
            </w:r>
          </w:p>
        </w:tc>
        <w:tc>
          <w:tcPr>
            <w:tcW w:w="548" w:type="pct"/>
          </w:tcPr>
          <w:p w14:paraId="15DB4527"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New</w:t>
            </w:r>
          </w:p>
        </w:tc>
        <w:tc>
          <w:tcPr>
            <w:tcW w:w="469" w:type="pct"/>
          </w:tcPr>
          <w:p w14:paraId="17F8A796"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3</w:t>
            </w:r>
          </w:p>
        </w:tc>
        <w:tc>
          <w:tcPr>
            <w:tcW w:w="391" w:type="pct"/>
          </w:tcPr>
          <w:p w14:paraId="3941E4BB"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84</w:t>
            </w:r>
          </w:p>
        </w:tc>
        <w:tc>
          <w:tcPr>
            <w:tcW w:w="391" w:type="pct"/>
          </w:tcPr>
          <w:p w14:paraId="2FF0BF76" w14:textId="77777777" w:rsidR="001C1E48" w:rsidRPr="00C31CA4" w:rsidRDefault="001C1E48" w:rsidP="005F67C4">
            <w:pPr>
              <w:keepNext/>
              <w:jc w:val="center"/>
              <w:rPr>
                <w:rFonts w:ascii="Arial Narrow" w:hAnsi="Arial Narrow"/>
                <w:sz w:val="20"/>
                <w:szCs w:val="20"/>
              </w:rPr>
            </w:pPr>
            <w:r w:rsidRPr="00C31CA4">
              <w:rPr>
                <w:rFonts w:ascii="Arial Narrow" w:hAnsi="Arial Narrow"/>
                <w:sz w:val="20"/>
                <w:szCs w:val="20"/>
              </w:rPr>
              <w:t>5</w:t>
            </w:r>
          </w:p>
        </w:tc>
        <w:tc>
          <w:tcPr>
            <w:tcW w:w="1015" w:type="pct"/>
          </w:tcPr>
          <w:p w14:paraId="41EDF06D" w14:textId="77777777" w:rsidR="001C1E48" w:rsidRPr="00C31CA4" w:rsidRDefault="001C1E48" w:rsidP="005F67C4">
            <w:pPr>
              <w:keepNext/>
              <w:rPr>
                <w:rFonts w:ascii="Arial Narrow" w:hAnsi="Arial Narrow"/>
                <w:sz w:val="20"/>
                <w:szCs w:val="20"/>
              </w:rPr>
            </w:pPr>
            <w:r w:rsidRPr="00C31CA4">
              <w:rPr>
                <w:rFonts w:ascii="Arial Narrow" w:hAnsi="Arial Narrow"/>
                <w:sz w:val="20"/>
                <w:szCs w:val="20"/>
              </w:rPr>
              <w:t>Revolade</w:t>
            </w:r>
          </w:p>
        </w:tc>
      </w:tr>
      <w:tr w:rsidR="001C1E48" w:rsidRPr="00C31CA4" w14:paraId="11EEFAEA"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000" w:type="pct"/>
            <w:gridSpan w:val="7"/>
            <w:vAlign w:val="center"/>
          </w:tcPr>
          <w:p w14:paraId="49064E19"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Restriction Summary/ Treatment of Concept:</w:t>
            </w:r>
          </w:p>
        </w:tc>
      </w:tr>
      <w:tr w:rsidR="001C1E48" w:rsidRPr="00C31CA4" w14:paraId="7F564684"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Merge w:val="restart"/>
          </w:tcPr>
          <w:p w14:paraId="66B666A6" w14:textId="5E44C9CF" w:rsidR="001C1E48" w:rsidRPr="00C31CA4" w:rsidRDefault="001C1E48" w:rsidP="005F67C4">
            <w:pPr>
              <w:jc w:val="center"/>
              <w:rPr>
                <w:rFonts w:ascii="Arial Narrow" w:hAnsi="Arial Narrow"/>
                <w:b/>
                <w:bCs/>
                <w:sz w:val="20"/>
                <w:szCs w:val="20"/>
              </w:rPr>
            </w:pPr>
          </w:p>
        </w:tc>
        <w:tc>
          <w:tcPr>
            <w:tcW w:w="4459" w:type="pct"/>
            <w:gridSpan w:val="6"/>
          </w:tcPr>
          <w:p w14:paraId="7E8CEC68" w14:textId="77777777" w:rsidR="001C1E48" w:rsidRPr="00C31CA4" w:rsidRDefault="001C1E48" w:rsidP="005F67C4">
            <w:pPr>
              <w:rPr>
                <w:rFonts w:ascii="Arial Narrow" w:hAnsi="Arial Narrow"/>
                <w:b/>
                <w:bCs/>
                <w:sz w:val="20"/>
                <w:szCs w:val="20"/>
              </w:rPr>
            </w:pPr>
            <w:r w:rsidRPr="00C31CA4">
              <w:rPr>
                <w:rFonts w:ascii="Arial Narrow" w:hAnsi="Arial Narrow"/>
                <w:b/>
                <w:sz w:val="20"/>
                <w:szCs w:val="20"/>
              </w:rPr>
              <w:t xml:space="preserve">Category / Program: </w:t>
            </w:r>
            <w:r w:rsidRPr="00C31CA4">
              <w:rPr>
                <w:rFonts w:ascii="Arial Narrow" w:hAnsi="Arial Narrow"/>
                <w:sz w:val="20"/>
                <w:szCs w:val="20"/>
              </w:rPr>
              <w:t xml:space="preserve">Section 100 – Highly Specialised Drugs Program  </w:t>
            </w:r>
          </w:p>
        </w:tc>
      </w:tr>
      <w:tr w:rsidR="001C1E48" w:rsidRPr="00C31CA4" w14:paraId="09917A28"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Merge/>
          </w:tcPr>
          <w:p w14:paraId="2BDC3628" w14:textId="77777777" w:rsidR="001C1E48" w:rsidRPr="00C31CA4" w:rsidRDefault="001C1E48" w:rsidP="005F67C4">
            <w:pPr>
              <w:jc w:val="center"/>
              <w:rPr>
                <w:rFonts w:ascii="Arial Narrow" w:hAnsi="Arial Narrow"/>
                <w:b/>
                <w:sz w:val="20"/>
                <w:szCs w:val="20"/>
              </w:rPr>
            </w:pPr>
          </w:p>
        </w:tc>
        <w:tc>
          <w:tcPr>
            <w:tcW w:w="4459" w:type="pct"/>
            <w:gridSpan w:val="6"/>
          </w:tcPr>
          <w:p w14:paraId="3A166E47" w14:textId="77777777" w:rsidR="001C1E48" w:rsidRPr="00C31CA4" w:rsidRDefault="001C1E48" w:rsidP="005F67C4">
            <w:pPr>
              <w:rPr>
                <w:rFonts w:ascii="Arial Narrow" w:hAnsi="Arial Narrow"/>
                <w:b/>
                <w:sz w:val="20"/>
                <w:szCs w:val="20"/>
              </w:rPr>
            </w:pPr>
            <w:r w:rsidRPr="00C31CA4">
              <w:rPr>
                <w:rFonts w:ascii="Arial Narrow" w:hAnsi="Arial Narrow"/>
                <w:b/>
                <w:sz w:val="20"/>
                <w:szCs w:val="20"/>
              </w:rPr>
              <w:t>Prescriber type:</w:t>
            </w:r>
            <w:r w:rsidRPr="00C31CA4">
              <w:rPr>
                <w:rFonts w:ascii="Arial Narrow" w:hAnsi="Arial Narrow"/>
                <w:sz w:val="20"/>
                <w:szCs w:val="20"/>
              </w:rPr>
              <w:t xml:space="preserve"> </w:t>
            </w:r>
            <w:r w:rsidRPr="00C31CA4">
              <w:rPr>
                <w:rFonts w:ascii="Arial Narrow" w:hAnsi="Arial Narrow"/>
                <w:sz w:val="20"/>
                <w:szCs w:val="20"/>
              </w:rPr>
              <w:fldChar w:fldCharType="begin" w:fldLock="1">
                <w:ffData>
                  <w:name w:val=""/>
                  <w:enabled/>
                  <w:calcOnExit w:val="0"/>
                  <w:checkBox>
                    <w:sizeAuto/>
                    <w:default w:val="1"/>
                  </w:checkBox>
                </w:ffData>
              </w:fldChar>
            </w:r>
            <w:r w:rsidRPr="00C31CA4">
              <w:rPr>
                <w:rFonts w:ascii="Arial Narrow" w:hAnsi="Arial Narrow"/>
                <w:sz w:val="20"/>
                <w:szCs w:val="20"/>
              </w:rPr>
              <w:instrText xml:space="preserve"> FORMCHECKBOX </w:instrText>
            </w:r>
            <w:r w:rsidR="004A6237">
              <w:rPr>
                <w:rFonts w:ascii="Arial Narrow" w:hAnsi="Arial Narrow"/>
                <w:sz w:val="20"/>
                <w:szCs w:val="20"/>
              </w:rPr>
            </w:r>
            <w:r w:rsidR="004A6237">
              <w:rPr>
                <w:rFonts w:ascii="Arial Narrow" w:hAnsi="Arial Narrow"/>
                <w:sz w:val="20"/>
                <w:szCs w:val="20"/>
              </w:rPr>
              <w:fldChar w:fldCharType="separate"/>
            </w:r>
            <w:r w:rsidRPr="00C31CA4">
              <w:rPr>
                <w:rFonts w:ascii="Arial Narrow" w:hAnsi="Arial Narrow"/>
                <w:sz w:val="20"/>
                <w:szCs w:val="20"/>
              </w:rPr>
              <w:fldChar w:fldCharType="end"/>
            </w:r>
            <w:r w:rsidRPr="00C31CA4">
              <w:rPr>
                <w:rFonts w:ascii="Arial Narrow" w:hAnsi="Arial Narrow"/>
                <w:sz w:val="20"/>
                <w:szCs w:val="20"/>
              </w:rPr>
              <w:t xml:space="preserve">Medical Practitioners   </w:t>
            </w:r>
          </w:p>
        </w:tc>
      </w:tr>
      <w:tr w:rsidR="001C1E48" w:rsidRPr="00C31CA4" w14:paraId="2DD04F68"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Merge/>
          </w:tcPr>
          <w:p w14:paraId="2D07F446" w14:textId="77777777" w:rsidR="001C1E48" w:rsidRPr="00C31CA4" w:rsidRDefault="001C1E48" w:rsidP="005F67C4">
            <w:pPr>
              <w:jc w:val="center"/>
              <w:rPr>
                <w:rFonts w:ascii="Arial Narrow" w:hAnsi="Arial Narrow"/>
                <w:b/>
                <w:sz w:val="20"/>
                <w:szCs w:val="20"/>
              </w:rPr>
            </w:pPr>
          </w:p>
        </w:tc>
        <w:tc>
          <w:tcPr>
            <w:tcW w:w="4459" w:type="pct"/>
            <w:gridSpan w:val="6"/>
          </w:tcPr>
          <w:p w14:paraId="2532ED8F" w14:textId="77777777" w:rsidR="001C1E48" w:rsidRPr="00C31CA4" w:rsidRDefault="001C1E48" w:rsidP="005F67C4">
            <w:pPr>
              <w:rPr>
                <w:rFonts w:ascii="Arial Narrow" w:hAnsi="Arial Narrow"/>
                <w:b/>
                <w:sz w:val="20"/>
                <w:szCs w:val="20"/>
              </w:rPr>
            </w:pPr>
            <w:r w:rsidRPr="00C31CA4">
              <w:rPr>
                <w:rFonts w:ascii="Arial Narrow" w:hAnsi="Arial Narrow"/>
                <w:b/>
                <w:sz w:val="20"/>
                <w:szCs w:val="20"/>
              </w:rPr>
              <w:t xml:space="preserve">Restriction type: </w:t>
            </w:r>
            <w:r w:rsidRPr="00C31CA4">
              <w:rPr>
                <w:rFonts w:ascii="Arial Narrow" w:eastAsia="Calibri" w:hAnsi="Arial Narrow"/>
                <w:sz w:val="20"/>
                <w:szCs w:val="20"/>
              </w:rPr>
              <w:fldChar w:fldCharType="begin" w:fldLock="1">
                <w:ffData>
                  <w:name w:val=""/>
                  <w:enabled/>
                  <w:calcOnExit w:val="0"/>
                  <w:checkBox>
                    <w:sizeAuto/>
                    <w:default w:val="1"/>
                  </w:checkBox>
                </w:ffData>
              </w:fldChar>
            </w:r>
            <w:r w:rsidRPr="00C31CA4">
              <w:rPr>
                <w:rFonts w:ascii="Arial Narrow" w:eastAsia="Calibri" w:hAnsi="Arial Narrow"/>
                <w:sz w:val="20"/>
                <w:szCs w:val="20"/>
              </w:rPr>
              <w:instrText xml:space="preserve"> FORMCHECKBOX </w:instrText>
            </w:r>
            <w:r w:rsidR="004A6237">
              <w:rPr>
                <w:rFonts w:ascii="Arial Narrow" w:eastAsia="Calibri" w:hAnsi="Arial Narrow"/>
                <w:sz w:val="20"/>
                <w:szCs w:val="20"/>
              </w:rPr>
            </w:r>
            <w:r w:rsidR="004A6237">
              <w:rPr>
                <w:rFonts w:ascii="Arial Narrow" w:eastAsia="Calibri" w:hAnsi="Arial Narrow"/>
                <w:sz w:val="20"/>
                <w:szCs w:val="20"/>
              </w:rPr>
              <w:fldChar w:fldCharType="separate"/>
            </w:r>
            <w:r w:rsidRPr="00C31CA4">
              <w:rPr>
                <w:rFonts w:ascii="Arial Narrow" w:eastAsia="Calibri" w:hAnsi="Arial Narrow"/>
                <w:sz w:val="20"/>
                <w:szCs w:val="20"/>
              </w:rPr>
              <w:fldChar w:fldCharType="end"/>
            </w:r>
            <w:r w:rsidRPr="00C31CA4">
              <w:rPr>
                <w:rFonts w:ascii="Arial Narrow" w:eastAsia="Calibri" w:hAnsi="Arial Narrow"/>
                <w:sz w:val="20"/>
                <w:szCs w:val="20"/>
              </w:rPr>
              <w:t>Authority Required –(Telephone/electronic)</w:t>
            </w:r>
          </w:p>
        </w:tc>
      </w:tr>
      <w:tr w:rsidR="001C1E48" w:rsidRPr="00C31CA4" w14:paraId="48324081"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2B83150F" w14:textId="0FFEE3AB" w:rsidR="001C1E48" w:rsidRPr="00C31CA4" w:rsidRDefault="001C1E48" w:rsidP="005F67C4">
            <w:pPr>
              <w:jc w:val="center"/>
              <w:rPr>
                <w:rFonts w:ascii="Arial Narrow" w:hAnsi="Arial Narrow"/>
                <w:bCs/>
                <w:sz w:val="20"/>
                <w:szCs w:val="20"/>
              </w:rPr>
            </w:pPr>
          </w:p>
        </w:tc>
        <w:tc>
          <w:tcPr>
            <w:tcW w:w="4459" w:type="pct"/>
            <w:gridSpan w:val="6"/>
            <w:vAlign w:val="center"/>
          </w:tcPr>
          <w:p w14:paraId="5ECBB6D7" w14:textId="77777777" w:rsidR="001C1E48" w:rsidRPr="00C31CA4" w:rsidRDefault="001C1E48" w:rsidP="005F67C4">
            <w:pPr>
              <w:rPr>
                <w:rFonts w:ascii="Arial Narrow" w:hAnsi="Arial Narrow"/>
                <w:b/>
                <w:sz w:val="20"/>
                <w:szCs w:val="20"/>
              </w:rPr>
            </w:pPr>
            <w:r w:rsidRPr="00C31CA4">
              <w:rPr>
                <w:rFonts w:ascii="Arial Narrow" w:hAnsi="Arial Narrow"/>
                <w:b/>
                <w:bCs/>
                <w:sz w:val="20"/>
                <w:szCs w:val="20"/>
              </w:rPr>
              <w:t>Indication:</w:t>
            </w:r>
            <w:r w:rsidRPr="00C31CA4">
              <w:rPr>
                <w:rFonts w:ascii="Arial Narrow" w:hAnsi="Arial Narrow"/>
                <w:sz w:val="20"/>
                <w:szCs w:val="20"/>
              </w:rPr>
              <w:t xml:space="preserve"> Severe aplastic an</w:t>
            </w:r>
            <w:r w:rsidRPr="00C31CA4">
              <w:rPr>
                <w:rFonts w:ascii="Arial Narrow" w:hAnsi="Arial Narrow"/>
                <w:i/>
                <w:iCs/>
                <w:sz w:val="20"/>
                <w:szCs w:val="20"/>
              </w:rPr>
              <w:t>a</w:t>
            </w:r>
            <w:r w:rsidRPr="00C31CA4">
              <w:rPr>
                <w:rFonts w:ascii="Arial Narrow" w:hAnsi="Arial Narrow"/>
                <w:sz w:val="20"/>
                <w:szCs w:val="20"/>
              </w:rPr>
              <w:t>emia</w:t>
            </w:r>
          </w:p>
        </w:tc>
      </w:tr>
      <w:tr w:rsidR="001C1E48" w:rsidRPr="00C31CA4" w14:paraId="29F47824"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4AE16C01"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44F945B8"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Treatment Phase:</w:t>
            </w:r>
            <w:r w:rsidRPr="00C31CA4">
              <w:rPr>
                <w:rFonts w:ascii="Arial Narrow" w:hAnsi="Arial Narrow"/>
                <w:sz w:val="20"/>
                <w:szCs w:val="20"/>
              </w:rPr>
              <w:t xml:space="preserve"> Continuing treatment  </w:t>
            </w:r>
          </w:p>
        </w:tc>
      </w:tr>
      <w:tr w:rsidR="001C1E48" w:rsidRPr="00C31CA4" w14:paraId="01523904"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22B1BDD1"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17CBD25F"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Clinical criteria:</w:t>
            </w:r>
          </w:p>
        </w:tc>
      </w:tr>
      <w:tr w:rsidR="001C1E48" w:rsidRPr="00C31CA4" w14:paraId="16BCFE5F"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4A621243" w14:textId="4070C5F4" w:rsidR="001C1E48" w:rsidRPr="00C31CA4" w:rsidRDefault="001C1E48" w:rsidP="005F67C4">
            <w:pPr>
              <w:jc w:val="center"/>
              <w:rPr>
                <w:rFonts w:ascii="Arial Narrow" w:hAnsi="Arial Narrow"/>
                <w:sz w:val="20"/>
                <w:szCs w:val="20"/>
              </w:rPr>
            </w:pPr>
          </w:p>
        </w:tc>
        <w:tc>
          <w:tcPr>
            <w:tcW w:w="4459" w:type="pct"/>
            <w:gridSpan w:val="6"/>
            <w:vAlign w:val="center"/>
          </w:tcPr>
          <w:p w14:paraId="2F637CF1" w14:textId="77777777" w:rsidR="001C1E48" w:rsidRPr="00C31CA4" w:rsidRDefault="001C1E48" w:rsidP="005F67C4">
            <w:pPr>
              <w:rPr>
                <w:rFonts w:ascii="Arial Narrow" w:hAnsi="Arial Narrow"/>
                <w:b/>
                <w:bCs/>
                <w:sz w:val="20"/>
                <w:szCs w:val="20"/>
              </w:rPr>
            </w:pPr>
            <w:r w:rsidRPr="00C31CA4">
              <w:rPr>
                <w:rFonts w:ascii="Arial Narrow" w:hAnsi="Arial Narrow"/>
                <w:sz w:val="20"/>
                <w:szCs w:val="20"/>
              </w:rPr>
              <w:t>The condition must be severe aplastic an</w:t>
            </w:r>
            <w:r w:rsidRPr="00C31CA4">
              <w:rPr>
                <w:rFonts w:ascii="Arial Narrow" w:hAnsi="Arial Narrow"/>
                <w:i/>
                <w:iCs/>
                <w:sz w:val="20"/>
                <w:szCs w:val="20"/>
              </w:rPr>
              <w:t>a</w:t>
            </w:r>
            <w:r w:rsidRPr="00C31CA4">
              <w:rPr>
                <w:rFonts w:ascii="Arial Narrow" w:hAnsi="Arial Narrow"/>
                <w:sz w:val="20"/>
                <w:szCs w:val="20"/>
              </w:rPr>
              <w:t>emia</w:t>
            </w:r>
          </w:p>
        </w:tc>
      </w:tr>
      <w:tr w:rsidR="001C1E48" w:rsidRPr="00C31CA4" w14:paraId="10F76F1F"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6B774DAA"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5AEB53B7" w14:textId="77777777" w:rsidR="001C1E48" w:rsidRPr="00C31CA4" w:rsidRDefault="001C1E48" w:rsidP="005F67C4">
            <w:pPr>
              <w:rPr>
                <w:rFonts w:ascii="Arial Narrow" w:hAnsi="Arial Narrow"/>
                <w:sz w:val="20"/>
                <w:szCs w:val="20"/>
              </w:rPr>
            </w:pPr>
            <w:r w:rsidRPr="00C31CA4">
              <w:rPr>
                <w:rFonts w:ascii="Arial Narrow" w:hAnsi="Arial Narrow"/>
                <w:b/>
                <w:bCs/>
                <w:sz w:val="20"/>
                <w:szCs w:val="20"/>
              </w:rPr>
              <w:t>AND</w:t>
            </w:r>
          </w:p>
        </w:tc>
      </w:tr>
      <w:tr w:rsidR="001C1E48" w:rsidRPr="00C31CA4" w14:paraId="3A27F325"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7F6EB15B"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5496D9A2"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Clinical criteria:</w:t>
            </w:r>
          </w:p>
        </w:tc>
      </w:tr>
      <w:tr w:rsidR="001C1E48" w:rsidRPr="00C31CA4" w14:paraId="0DA7A92B"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29A79D5F" w14:textId="4166E946" w:rsidR="001C1E48" w:rsidRPr="00C31CA4" w:rsidRDefault="001C1E48" w:rsidP="005F67C4">
            <w:pPr>
              <w:jc w:val="center"/>
              <w:rPr>
                <w:rFonts w:ascii="Arial Narrow" w:hAnsi="Arial Narrow"/>
                <w:sz w:val="20"/>
                <w:szCs w:val="20"/>
              </w:rPr>
            </w:pPr>
          </w:p>
        </w:tc>
        <w:tc>
          <w:tcPr>
            <w:tcW w:w="4459" w:type="pct"/>
            <w:gridSpan w:val="6"/>
            <w:vAlign w:val="center"/>
          </w:tcPr>
          <w:p w14:paraId="1E4D1191" w14:textId="77777777" w:rsidR="001C1E48" w:rsidRPr="00C31CA4" w:rsidRDefault="001C1E48" w:rsidP="005F67C4">
            <w:pPr>
              <w:rPr>
                <w:rFonts w:ascii="Arial Narrow" w:hAnsi="Arial Narrow"/>
                <w:b/>
                <w:bCs/>
                <w:sz w:val="20"/>
                <w:szCs w:val="20"/>
              </w:rPr>
            </w:pPr>
            <w:r w:rsidRPr="00C31CA4">
              <w:rPr>
                <w:rFonts w:ascii="Arial Narrow" w:hAnsi="Arial Narrow"/>
                <w:sz w:val="20"/>
                <w:szCs w:val="20"/>
              </w:rPr>
              <w:t>Patient must have previously received PBS-subsidised treatment with this drug for this condition under the initial treatment restriction</w:t>
            </w:r>
          </w:p>
        </w:tc>
      </w:tr>
      <w:tr w:rsidR="001C1E48" w:rsidRPr="00C31CA4" w14:paraId="298D5148"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741180A7"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5E81830C"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AND</w:t>
            </w:r>
          </w:p>
        </w:tc>
      </w:tr>
      <w:tr w:rsidR="001C1E48" w:rsidRPr="00C31CA4" w14:paraId="46AC3BF0"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2D73FC8B" w14:textId="77777777" w:rsidR="001C1E48" w:rsidRPr="00C31CA4" w:rsidRDefault="001C1E48" w:rsidP="005F67C4">
            <w:pPr>
              <w:jc w:val="center"/>
              <w:rPr>
                <w:rFonts w:ascii="Arial Narrow" w:hAnsi="Arial Narrow"/>
                <w:sz w:val="20"/>
                <w:szCs w:val="20"/>
              </w:rPr>
            </w:pPr>
          </w:p>
        </w:tc>
        <w:tc>
          <w:tcPr>
            <w:tcW w:w="4459" w:type="pct"/>
            <w:gridSpan w:val="6"/>
            <w:vAlign w:val="center"/>
          </w:tcPr>
          <w:p w14:paraId="55AC1B9D" w14:textId="77777777" w:rsidR="001C1E48" w:rsidRPr="00C31CA4" w:rsidRDefault="001C1E48" w:rsidP="005F67C4">
            <w:pPr>
              <w:rPr>
                <w:rFonts w:ascii="Arial Narrow" w:hAnsi="Arial Narrow"/>
                <w:b/>
                <w:bCs/>
                <w:sz w:val="20"/>
                <w:szCs w:val="20"/>
              </w:rPr>
            </w:pPr>
            <w:r w:rsidRPr="00C31CA4">
              <w:rPr>
                <w:rFonts w:ascii="Arial Narrow" w:hAnsi="Arial Narrow"/>
                <w:b/>
                <w:bCs/>
                <w:sz w:val="20"/>
                <w:szCs w:val="20"/>
              </w:rPr>
              <w:t>Clinical criteria:</w:t>
            </w:r>
          </w:p>
        </w:tc>
      </w:tr>
      <w:tr w:rsidR="001C1E48" w:rsidRPr="00C31CA4" w14:paraId="458F9B9F" w14:textId="77777777" w:rsidTr="00267418">
        <w:tblPrEx>
          <w:tblCellMar>
            <w:top w:w="15" w:type="dxa"/>
            <w:left w:w="15" w:type="dxa"/>
            <w:bottom w:w="15" w:type="dxa"/>
            <w:right w:w="15" w:type="dxa"/>
          </w:tblCellMar>
          <w:tblLook w:val="04A0" w:firstRow="1" w:lastRow="0" w:firstColumn="1" w:lastColumn="0" w:noHBand="0" w:noVBand="1"/>
        </w:tblPrEx>
        <w:trPr>
          <w:trHeight w:val="43"/>
        </w:trPr>
        <w:tc>
          <w:tcPr>
            <w:tcW w:w="541" w:type="pct"/>
            <w:vAlign w:val="center"/>
          </w:tcPr>
          <w:p w14:paraId="58844139" w14:textId="240FEEC9" w:rsidR="001C1E48" w:rsidRPr="003A4EC5" w:rsidRDefault="001C1E48" w:rsidP="005F67C4">
            <w:pPr>
              <w:jc w:val="center"/>
              <w:rPr>
                <w:rFonts w:ascii="Arial Narrow" w:hAnsi="Arial Narrow"/>
                <w:sz w:val="20"/>
                <w:szCs w:val="20"/>
              </w:rPr>
            </w:pPr>
          </w:p>
        </w:tc>
        <w:tc>
          <w:tcPr>
            <w:tcW w:w="4459" w:type="pct"/>
            <w:gridSpan w:val="6"/>
            <w:vAlign w:val="center"/>
          </w:tcPr>
          <w:p w14:paraId="64C71C25" w14:textId="6BE4D820" w:rsidR="001C1E48" w:rsidRPr="003A4EC5" w:rsidRDefault="001C1E48" w:rsidP="005F67C4">
            <w:pPr>
              <w:rPr>
                <w:rFonts w:ascii="Arial Narrow" w:hAnsi="Arial Narrow"/>
                <w:b/>
                <w:bCs/>
                <w:sz w:val="20"/>
                <w:szCs w:val="20"/>
              </w:rPr>
            </w:pPr>
            <w:r w:rsidRPr="003A4EC5">
              <w:rPr>
                <w:rFonts w:ascii="Arial Narrow" w:hAnsi="Arial Narrow"/>
                <w:sz w:val="20"/>
                <w:szCs w:val="20"/>
              </w:rPr>
              <w:t>Patient must have demonstrated a response to PBS-subsidised treatment with this drug</w:t>
            </w:r>
            <w:r w:rsidR="00267418" w:rsidRPr="003A4EC5">
              <w:rPr>
                <w:rFonts w:ascii="Arial Narrow" w:hAnsi="Arial Narrow"/>
                <w:sz w:val="20"/>
                <w:szCs w:val="20"/>
              </w:rPr>
              <w:t xml:space="preserve"> </w:t>
            </w:r>
          </w:p>
        </w:tc>
      </w:tr>
      <w:tr w:rsidR="001C1E48" w:rsidRPr="00C31CA4" w14:paraId="507A4D97"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4DB1FB66" w14:textId="12484C05" w:rsidR="001C1E48" w:rsidRPr="003A4EC5" w:rsidRDefault="001C1E48" w:rsidP="005F67C4">
            <w:pPr>
              <w:jc w:val="center"/>
              <w:rPr>
                <w:rFonts w:ascii="Arial Narrow" w:hAnsi="Arial Narrow"/>
                <w:b/>
                <w:bCs/>
                <w:sz w:val="20"/>
                <w:szCs w:val="20"/>
              </w:rPr>
            </w:pPr>
          </w:p>
        </w:tc>
        <w:tc>
          <w:tcPr>
            <w:tcW w:w="4459" w:type="pct"/>
            <w:gridSpan w:val="6"/>
            <w:vAlign w:val="center"/>
          </w:tcPr>
          <w:p w14:paraId="400665C0" w14:textId="77777777" w:rsidR="001C1E48" w:rsidRPr="003A4EC5" w:rsidRDefault="001C1E48" w:rsidP="005F67C4">
            <w:pPr>
              <w:rPr>
                <w:rFonts w:ascii="Arial Narrow" w:hAnsi="Arial Narrow"/>
                <w:b/>
                <w:bCs/>
                <w:sz w:val="20"/>
                <w:szCs w:val="20"/>
              </w:rPr>
            </w:pPr>
            <w:r w:rsidRPr="003A4EC5">
              <w:rPr>
                <w:rFonts w:ascii="Arial Narrow" w:hAnsi="Arial Narrow"/>
                <w:b/>
                <w:bCs/>
                <w:sz w:val="20"/>
                <w:szCs w:val="20"/>
              </w:rPr>
              <w:t xml:space="preserve">Prescribing Instructions: </w:t>
            </w:r>
            <w:r w:rsidRPr="003A4EC5">
              <w:rPr>
                <w:rFonts w:ascii="Arial Narrow" w:hAnsi="Arial Narrow"/>
                <w:sz w:val="20"/>
                <w:szCs w:val="20"/>
              </w:rPr>
              <w:t>Platelet, haemoglobin and neutrophil counts must be no more than 4 weeks old at the time of application and must be documented in the patient’s medical records</w:t>
            </w:r>
          </w:p>
        </w:tc>
      </w:tr>
      <w:tr w:rsidR="00267418" w:rsidRPr="00C31CA4" w14:paraId="3437BA1A" w14:textId="77777777" w:rsidTr="00781AC0">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0EBC9A61" w14:textId="7A991BBA" w:rsidR="00267418" w:rsidRPr="003A4EC5" w:rsidRDefault="00267418" w:rsidP="00781AC0">
            <w:pPr>
              <w:jc w:val="center"/>
              <w:rPr>
                <w:rFonts w:ascii="Arial Narrow" w:hAnsi="Arial Narrow"/>
                <w:sz w:val="20"/>
                <w:szCs w:val="20"/>
              </w:rPr>
            </w:pPr>
          </w:p>
        </w:tc>
        <w:tc>
          <w:tcPr>
            <w:tcW w:w="4459" w:type="pct"/>
            <w:gridSpan w:val="6"/>
            <w:vAlign w:val="center"/>
          </w:tcPr>
          <w:p w14:paraId="747B2B44" w14:textId="77E191DE" w:rsidR="00267418" w:rsidRPr="003A4EC5" w:rsidRDefault="00267418" w:rsidP="00781AC0">
            <w:pPr>
              <w:rPr>
                <w:rFonts w:ascii="Arial Narrow" w:hAnsi="Arial Narrow"/>
                <w:sz w:val="20"/>
                <w:szCs w:val="20"/>
              </w:rPr>
            </w:pPr>
            <w:r w:rsidRPr="003A4EC5">
              <w:rPr>
                <w:rFonts w:ascii="Arial Narrow" w:hAnsi="Arial Narrow"/>
                <w:b/>
                <w:bCs/>
                <w:sz w:val="20"/>
                <w:szCs w:val="20"/>
              </w:rPr>
              <w:t>Prescribing Instructions:</w:t>
            </w:r>
            <w:r w:rsidRPr="003A4EC5">
              <w:rPr>
                <w:rFonts w:ascii="Arial Narrow" w:hAnsi="Arial Narrow"/>
                <w:sz w:val="20"/>
                <w:szCs w:val="20"/>
              </w:rPr>
              <w:t xml:space="preserve"> </w:t>
            </w:r>
            <w:r w:rsidR="00344D73" w:rsidRPr="003A4EC5">
              <w:rPr>
                <w:rFonts w:ascii="Arial Narrow" w:hAnsi="Arial Narrow"/>
                <w:sz w:val="20"/>
                <w:szCs w:val="20"/>
              </w:rPr>
              <w:t>Once platelet count &gt; 50 x 10</w:t>
            </w:r>
            <w:r w:rsidR="00344D73" w:rsidRPr="003A4EC5">
              <w:rPr>
                <w:rFonts w:ascii="Arial Narrow" w:hAnsi="Arial Narrow"/>
                <w:sz w:val="20"/>
                <w:szCs w:val="20"/>
                <w:vertAlign w:val="superscript"/>
              </w:rPr>
              <w:t>9</w:t>
            </w:r>
            <w:r w:rsidR="00344D73" w:rsidRPr="003A4EC5">
              <w:rPr>
                <w:rFonts w:ascii="Arial Narrow" w:hAnsi="Arial Narrow"/>
                <w:sz w:val="20"/>
                <w:szCs w:val="20"/>
              </w:rPr>
              <w:t>/L, haemoglobin &gt; 100 g/L in the absence of red blood cell (RBC) transfusion, and absolute neutrophil (ANC) &gt; 1 x 10</w:t>
            </w:r>
            <w:r w:rsidR="00344D73" w:rsidRPr="003A4EC5">
              <w:rPr>
                <w:rFonts w:ascii="Arial Narrow" w:hAnsi="Arial Narrow"/>
                <w:sz w:val="20"/>
                <w:szCs w:val="20"/>
                <w:vertAlign w:val="superscript"/>
              </w:rPr>
              <w:t>9</w:t>
            </w:r>
            <w:r w:rsidR="00344D73" w:rsidRPr="003A4EC5">
              <w:rPr>
                <w:rFonts w:ascii="Arial Narrow" w:hAnsi="Arial Narrow"/>
                <w:sz w:val="20"/>
                <w:szCs w:val="20"/>
              </w:rPr>
              <w:t>/L for more than 8 weeks.</w:t>
            </w:r>
            <w:r w:rsidR="00AF7858" w:rsidRPr="003A4EC5">
              <w:rPr>
                <w:rFonts w:ascii="Arial Narrow" w:hAnsi="Arial Narrow"/>
                <w:sz w:val="20"/>
                <w:szCs w:val="20"/>
              </w:rPr>
              <w:t>, the dose of eltrombopag should be reduced as per the Product Information</w:t>
            </w:r>
          </w:p>
        </w:tc>
      </w:tr>
      <w:tr w:rsidR="0089502B" w:rsidRPr="00C31CA4" w14:paraId="1D602F78"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28C1E9CA" w14:textId="0E97FFFF" w:rsidR="00897FA1" w:rsidRPr="00C31CA4" w:rsidRDefault="00897FA1" w:rsidP="00212569">
            <w:pPr>
              <w:jc w:val="center"/>
              <w:rPr>
                <w:rFonts w:ascii="Arial Narrow" w:hAnsi="Arial Narrow"/>
                <w:sz w:val="20"/>
                <w:szCs w:val="20"/>
              </w:rPr>
            </w:pPr>
          </w:p>
        </w:tc>
        <w:tc>
          <w:tcPr>
            <w:tcW w:w="4459" w:type="pct"/>
            <w:gridSpan w:val="6"/>
            <w:vAlign w:val="center"/>
          </w:tcPr>
          <w:p w14:paraId="3232C5F2" w14:textId="0D39D9DF" w:rsidR="00897FA1" w:rsidRPr="00C31CA4" w:rsidRDefault="00897FA1" w:rsidP="00212569">
            <w:pPr>
              <w:rPr>
                <w:rFonts w:ascii="Arial Narrow" w:hAnsi="Arial Narrow"/>
                <w:b/>
                <w:bCs/>
                <w:sz w:val="20"/>
                <w:szCs w:val="20"/>
              </w:rPr>
            </w:pPr>
            <w:r>
              <w:rPr>
                <w:rFonts w:ascii="Arial Narrow" w:hAnsi="Arial Narrow"/>
                <w:b/>
                <w:bCs/>
                <w:sz w:val="20"/>
                <w:szCs w:val="20"/>
              </w:rPr>
              <w:t xml:space="preserve">Prescribing Instructions: </w:t>
            </w:r>
            <w:r w:rsidRPr="00897FA1">
              <w:rPr>
                <w:rFonts w:ascii="Arial Narrow" w:hAnsi="Arial Narrow"/>
                <w:sz w:val="20"/>
                <w:szCs w:val="20"/>
              </w:rPr>
              <w:t>For the purposes of this restriction, a response</w:t>
            </w:r>
            <w:r>
              <w:rPr>
                <w:rFonts w:ascii="Arial Narrow" w:hAnsi="Arial Narrow"/>
                <w:b/>
                <w:bCs/>
                <w:sz w:val="20"/>
                <w:szCs w:val="20"/>
              </w:rPr>
              <w:t xml:space="preserve"> </w:t>
            </w:r>
            <w:r w:rsidRPr="00897FA1">
              <w:rPr>
                <w:rFonts w:ascii="Arial Narrow" w:hAnsi="Arial Narrow"/>
                <w:sz w:val="20"/>
                <w:szCs w:val="20"/>
              </w:rPr>
              <w:t>is defined as no longer meeting the criteria for severe aplastic anaemia.</w:t>
            </w:r>
            <w:r>
              <w:rPr>
                <w:rFonts w:ascii="Arial Narrow" w:hAnsi="Arial Narrow"/>
                <w:b/>
                <w:bCs/>
                <w:sz w:val="20"/>
                <w:szCs w:val="20"/>
              </w:rPr>
              <w:t xml:space="preserve"> </w:t>
            </w:r>
          </w:p>
        </w:tc>
      </w:tr>
      <w:tr w:rsidR="00212569" w:rsidRPr="00C31CA4" w14:paraId="740F3E83"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7EFF87B2" w14:textId="5EC9AC73" w:rsidR="00212569" w:rsidRPr="00C31CA4" w:rsidRDefault="00212569" w:rsidP="00212569">
            <w:pPr>
              <w:jc w:val="center"/>
              <w:rPr>
                <w:rFonts w:ascii="Arial Narrow" w:hAnsi="Arial Narrow"/>
                <w:strike/>
                <w:sz w:val="20"/>
                <w:szCs w:val="20"/>
              </w:rPr>
            </w:pPr>
          </w:p>
        </w:tc>
        <w:tc>
          <w:tcPr>
            <w:tcW w:w="4459" w:type="pct"/>
            <w:gridSpan w:val="6"/>
            <w:vAlign w:val="center"/>
          </w:tcPr>
          <w:p w14:paraId="2C05C2CF" w14:textId="77777777" w:rsidR="00212569" w:rsidRPr="00C31CA4" w:rsidRDefault="00212569" w:rsidP="00212569">
            <w:pPr>
              <w:rPr>
                <w:rFonts w:ascii="Arial Narrow" w:hAnsi="Arial Narrow"/>
                <w:b/>
                <w:bCs/>
                <w:strike/>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No increase in the maximum number of repeats may be authorised.</w:t>
            </w:r>
          </w:p>
        </w:tc>
      </w:tr>
      <w:tr w:rsidR="00212569" w:rsidRPr="00C31CA4" w14:paraId="3CA985E7"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77C7BC31" w14:textId="77777777" w:rsidR="00212569" w:rsidRPr="00C31CA4" w:rsidRDefault="00212569" w:rsidP="00212569">
            <w:pPr>
              <w:jc w:val="center"/>
              <w:rPr>
                <w:rFonts w:ascii="Arial Narrow" w:hAnsi="Arial Narrow"/>
                <w:sz w:val="20"/>
                <w:szCs w:val="20"/>
              </w:rPr>
            </w:pPr>
          </w:p>
        </w:tc>
        <w:tc>
          <w:tcPr>
            <w:tcW w:w="4459" w:type="pct"/>
            <w:gridSpan w:val="6"/>
            <w:vAlign w:val="center"/>
          </w:tcPr>
          <w:p w14:paraId="448BA79A" w14:textId="77777777" w:rsidR="00212569" w:rsidRPr="00C31CA4" w:rsidRDefault="00212569" w:rsidP="00212569">
            <w:pPr>
              <w:rPr>
                <w:rFonts w:ascii="Arial Narrow" w:hAnsi="Arial Narrow"/>
                <w:b/>
                <w:bCs/>
                <w:sz w:val="20"/>
                <w:szCs w:val="20"/>
              </w:rPr>
            </w:pPr>
          </w:p>
        </w:tc>
      </w:tr>
      <w:tr w:rsidR="00212569" w:rsidRPr="00C31CA4" w14:paraId="63C0E104"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07DE1417" w14:textId="79E9979B" w:rsidR="00212569" w:rsidRPr="00C31CA4" w:rsidRDefault="00212569" w:rsidP="00212569">
            <w:pPr>
              <w:jc w:val="center"/>
              <w:rPr>
                <w:rFonts w:ascii="Arial Narrow" w:hAnsi="Arial Narrow"/>
                <w:strike/>
                <w:sz w:val="20"/>
                <w:szCs w:val="20"/>
              </w:rPr>
            </w:pPr>
          </w:p>
        </w:tc>
        <w:tc>
          <w:tcPr>
            <w:tcW w:w="4459" w:type="pct"/>
            <w:gridSpan w:val="6"/>
            <w:vAlign w:val="center"/>
          </w:tcPr>
          <w:p w14:paraId="6DB56A6E" w14:textId="77777777" w:rsidR="00212569" w:rsidRPr="00C31CA4" w:rsidRDefault="00212569" w:rsidP="00212569">
            <w:pPr>
              <w:rPr>
                <w:rFonts w:ascii="Arial Narrow" w:hAnsi="Arial Narrow"/>
                <w:b/>
                <w:bCs/>
                <w:strike/>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Special Pricing Arrangements Apply.</w:t>
            </w:r>
          </w:p>
        </w:tc>
      </w:tr>
      <w:tr w:rsidR="00212569" w:rsidRPr="00C31CA4" w14:paraId="759DD297" w14:textId="77777777" w:rsidTr="005F67C4">
        <w:tblPrEx>
          <w:tblCellMar>
            <w:top w:w="15" w:type="dxa"/>
            <w:left w:w="15" w:type="dxa"/>
            <w:bottom w:w="15" w:type="dxa"/>
            <w:right w:w="15" w:type="dxa"/>
          </w:tblCellMar>
          <w:tblLook w:val="04A0" w:firstRow="1" w:lastRow="0" w:firstColumn="1" w:lastColumn="0" w:noHBand="0" w:noVBand="1"/>
        </w:tblPrEx>
        <w:trPr>
          <w:trHeight w:val="284"/>
        </w:trPr>
        <w:tc>
          <w:tcPr>
            <w:tcW w:w="541" w:type="pct"/>
            <w:vAlign w:val="center"/>
          </w:tcPr>
          <w:p w14:paraId="065DF621" w14:textId="2F9C9F55" w:rsidR="00212569" w:rsidRPr="00C31CA4" w:rsidRDefault="00212569" w:rsidP="00212569">
            <w:pPr>
              <w:jc w:val="center"/>
              <w:rPr>
                <w:rFonts w:ascii="Arial Narrow" w:hAnsi="Arial Narrow"/>
                <w:sz w:val="20"/>
                <w:szCs w:val="20"/>
              </w:rPr>
            </w:pPr>
          </w:p>
        </w:tc>
        <w:tc>
          <w:tcPr>
            <w:tcW w:w="4459" w:type="pct"/>
            <w:gridSpan w:val="6"/>
            <w:vAlign w:val="center"/>
          </w:tcPr>
          <w:p w14:paraId="5DB7F779" w14:textId="77777777" w:rsidR="00212569" w:rsidRPr="00C31CA4" w:rsidRDefault="00212569" w:rsidP="00212569">
            <w:pPr>
              <w:rPr>
                <w:rFonts w:ascii="Arial Narrow" w:hAnsi="Arial Narrow"/>
                <w:sz w:val="20"/>
                <w:szCs w:val="20"/>
              </w:rPr>
            </w:pPr>
            <w:r w:rsidRPr="00C31CA4">
              <w:rPr>
                <w:rFonts w:ascii="Arial Narrow" w:hAnsi="Arial Narrow"/>
                <w:b/>
                <w:bCs/>
                <w:sz w:val="20"/>
                <w:szCs w:val="20"/>
              </w:rPr>
              <w:t>Administrative Advice:</w:t>
            </w:r>
            <w:r w:rsidRPr="00C31CA4">
              <w:rPr>
                <w:rFonts w:ascii="Arial Narrow" w:hAnsi="Arial Narrow"/>
                <w:sz w:val="20"/>
                <w:szCs w:val="20"/>
              </w:rPr>
              <w:t xml:space="preserve">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42A4F1CD" w14:textId="77777777" w:rsidR="001C1E48" w:rsidRPr="00C31CA4" w:rsidRDefault="001C1E48" w:rsidP="001C1E48"/>
    <w:p w14:paraId="36E00B1E" w14:textId="16084911" w:rsidR="003B6597" w:rsidRDefault="00FF14AC" w:rsidP="002B35AF">
      <w:pPr>
        <w:rPr>
          <w:rFonts w:asciiTheme="minorHAnsi" w:hAnsiTheme="minorHAnsi" w:cstheme="minorHAnsi"/>
          <w:b/>
          <w:i/>
        </w:rPr>
      </w:pPr>
      <w:r w:rsidRPr="00C31CA4">
        <w:rPr>
          <w:rFonts w:asciiTheme="minorHAnsi" w:hAnsiTheme="minorHAnsi" w:cstheme="minorHAnsi"/>
          <w:b/>
          <w:i/>
        </w:rPr>
        <w:t>This restriction may be subject to further review. Should there be any changes made to the restriction the Sponsor will be informed.</w:t>
      </w:r>
      <w:bookmarkEnd w:id="52"/>
      <w:bookmarkEnd w:id="53"/>
      <w:bookmarkEnd w:id="54"/>
      <w:bookmarkEnd w:id="55"/>
    </w:p>
    <w:p w14:paraId="61A62353" w14:textId="77777777" w:rsidR="003B6597" w:rsidRDefault="003B6597" w:rsidP="003B6597">
      <w:pPr>
        <w:pStyle w:val="COMH1numbered"/>
        <w:numPr>
          <w:ilvl w:val="0"/>
          <w:numId w:val="0"/>
        </w:numPr>
        <w:ind w:left="720" w:hanging="720"/>
        <w:rPr>
          <w:bCs/>
          <w:lang w:val="en-GB"/>
        </w:rPr>
      </w:pPr>
      <w:r w:rsidRPr="00C07617">
        <w:t>9</w:t>
      </w:r>
      <w:r w:rsidRPr="00C07617">
        <w:tab/>
        <w:t>Context for Decision</w:t>
      </w:r>
    </w:p>
    <w:p w14:paraId="3DA620FC" w14:textId="77777777" w:rsidR="003B6597" w:rsidRPr="00311EEF" w:rsidRDefault="003B6597" w:rsidP="003B6597">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94C4ABA" w14:textId="77777777" w:rsidR="003B6597" w:rsidRPr="00311EEF" w:rsidRDefault="003B6597" w:rsidP="003B6597">
      <w:pPr>
        <w:pStyle w:val="COMH1numbered"/>
        <w:numPr>
          <w:ilvl w:val="0"/>
          <w:numId w:val="0"/>
        </w:numPr>
        <w:ind w:left="720" w:hanging="720"/>
      </w:pPr>
      <w:r w:rsidRPr="00311EEF">
        <w:t>10</w:t>
      </w:r>
      <w:r>
        <w:tab/>
      </w:r>
      <w:r w:rsidRPr="00311EEF">
        <w:t>Sponsor’s Comment</w:t>
      </w:r>
    </w:p>
    <w:p w14:paraId="74D57724" w14:textId="77777777" w:rsidR="003B6597" w:rsidRPr="001179AC" w:rsidRDefault="003B6597" w:rsidP="003B6597">
      <w:pPr>
        <w:spacing w:after="120"/>
        <w:ind w:left="720"/>
        <w:rPr>
          <w:rFonts w:asciiTheme="minorHAnsi" w:hAnsiTheme="minorHAnsi"/>
          <w:bCs/>
        </w:rPr>
      </w:pPr>
      <w:r w:rsidRPr="00C07617">
        <w:rPr>
          <w:rFonts w:asciiTheme="minorHAnsi" w:hAnsiTheme="minorHAnsi"/>
          <w:bCs/>
        </w:rPr>
        <w:t>The sponsor had no comment.</w:t>
      </w:r>
    </w:p>
    <w:p w14:paraId="6A41B484" w14:textId="77777777" w:rsidR="003B6597" w:rsidRPr="002B35AF" w:rsidRDefault="003B6597" w:rsidP="002B35AF">
      <w:pPr>
        <w:rPr>
          <w:rFonts w:asciiTheme="minorHAnsi" w:hAnsiTheme="minorHAnsi" w:cstheme="minorHAnsi"/>
          <w:b/>
          <w:i/>
        </w:rPr>
      </w:pPr>
    </w:p>
    <w:sectPr w:rsidR="003B6597" w:rsidRPr="002B35AF" w:rsidSect="00251006">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DE66" w14:textId="77777777" w:rsidR="003F7454" w:rsidRDefault="003F7454" w:rsidP="00124A51">
      <w:r>
        <w:separator/>
      </w:r>
    </w:p>
    <w:p w14:paraId="4FD0C3B9" w14:textId="77777777" w:rsidR="003F7454" w:rsidRDefault="003F7454"/>
  </w:endnote>
  <w:endnote w:type="continuationSeparator" w:id="0">
    <w:p w14:paraId="47F3CF38" w14:textId="77777777" w:rsidR="003F7454" w:rsidRDefault="003F7454" w:rsidP="00124A51">
      <w:r>
        <w:continuationSeparator/>
      </w:r>
    </w:p>
    <w:p w14:paraId="6F617214" w14:textId="77777777" w:rsidR="003F7454" w:rsidRDefault="003F7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QmskhgGillSans-Italic">
    <w:altName w:val="Calibri"/>
    <w:panose1 w:val="00000000000000000000"/>
    <w:charset w:val="00"/>
    <w:family w:val="auto"/>
    <w:notTrueType/>
    <w:pitch w:val="default"/>
    <w:sig w:usb0="00000003" w:usb1="00000000" w:usb2="00000000" w:usb3="00000000" w:csb0="00000001" w:csb1="00000000"/>
  </w:font>
  <w:font w:name="QlsybwGillSans">
    <w:altName w:val="Calibri"/>
    <w:panose1 w:val="00000000000000000000"/>
    <w:charset w:val="00"/>
    <w:family w:val="auto"/>
    <w:notTrueType/>
    <w:pitch w:val="default"/>
    <w:sig w:usb0="00000003" w:usb1="00000000" w:usb2="00000000" w:usb3="00000000" w:csb0="00000001" w:csb1="00000000"/>
  </w:font>
  <w:font w:name="VhwxjnGill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A4C0" w14:textId="77777777" w:rsidR="003012C1" w:rsidRDefault="00301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626E522C" w:rsidR="00D843F2" w:rsidRPr="00D92642" w:rsidRDefault="004A6237"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D843F2" w:rsidRPr="00D92642">
          <w:rPr>
            <w:b/>
            <w:bCs/>
          </w:rPr>
          <w:fldChar w:fldCharType="begin"/>
        </w:r>
        <w:r w:rsidR="00D843F2" w:rsidRPr="00D92642">
          <w:rPr>
            <w:b/>
            <w:bCs/>
          </w:rPr>
          <w:instrText xml:space="preserve"> PAGE   \* MERGEFORMAT </w:instrText>
        </w:r>
        <w:r w:rsidR="00D843F2" w:rsidRPr="00D92642">
          <w:rPr>
            <w:b/>
            <w:bCs/>
          </w:rPr>
          <w:fldChar w:fldCharType="separate"/>
        </w:r>
        <w:r w:rsidR="00D843F2" w:rsidRPr="00D92642">
          <w:rPr>
            <w:b/>
            <w:bCs/>
            <w:noProof/>
          </w:rPr>
          <w:t>2</w:t>
        </w:r>
        <w:r w:rsidR="00D843F2" w:rsidRPr="00D92642">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E159" w14:textId="77777777" w:rsidR="003012C1" w:rsidRDefault="00301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0B01" w14:textId="77777777" w:rsidR="003F7454" w:rsidRDefault="003F7454" w:rsidP="00124A51">
      <w:r>
        <w:separator/>
      </w:r>
    </w:p>
    <w:p w14:paraId="18B7C5A9" w14:textId="77777777" w:rsidR="003F7454" w:rsidRDefault="003F7454"/>
  </w:footnote>
  <w:footnote w:type="continuationSeparator" w:id="0">
    <w:p w14:paraId="2E43BBAD" w14:textId="77777777" w:rsidR="003F7454" w:rsidRDefault="003F7454" w:rsidP="00124A51">
      <w:r>
        <w:continuationSeparator/>
      </w:r>
    </w:p>
    <w:p w14:paraId="7783B42F" w14:textId="77777777" w:rsidR="003F7454" w:rsidRDefault="003F7454"/>
  </w:footnote>
  <w:footnote w:id="1">
    <w:p w14:paraId="073291FF" w14:textId="03412DA1" w:rsidR="00827DFF" w:rsidRDefault="00827DFF" w:rsidP="00827DFF">
      <w:pPr>
        <w:pStyle w:val="FootnoteText"/>
      </w:pPr>
      <w:r>
        <w:rPr>
          <w:rStyle w:val="FootnoteReference"/>
        </w:rPr>
        <w:footnoteRef/>
      </w:r>
      <w:r>
        <w:t xml:space="preserve"> Rabbit anti-thymocyte globulin is available, but hATG was found in a randomised controlled trial </w:t>
      </w:r>
      <w:r w:rsidR="00F96189">
        <w:t xml:space="preserve">(Scheinberg 2011) </w:t>
      </w:r>
      <w:r>
        <w:t xml:space="preserve">to be superior, and it is therefore the standard of care. </w:t>
      </w:r>
    </w:p>
  </w:footnote>
  <w:footnote w:id="2">
    <w:p w14:paraId="2588E0FA" w14:textId="0EA099DE" w:rsidR="00E930B5" w:rsidRDefault="00E930B5">
      <w:pPr>
        <w:pStyle w:val="FootnoteText"/>
      </w:pPr>
      <w:r>
        <w:rPr>
          <w:rStyle w:val="FootnoteReference"/>
        </w:rPr>
        <w:footnoteRef/>
      </w:r>
      <w:r>
        <w:t xml:space="preserve"> </w:t>
      </w:r>
      <w:hyperlink r:id="rId1" w:history="1">
        <w:r w:rsidRPr="00A96088">
          <w:rPr>
            <w:rStyle w:val="Hyperlink"/>
          </w:rPr>
          <w:t>https://www.tga.gov.au/sites/default/files/auspar-eltrombopag-160330.pdf</w:t>
        </w:r>
      </w:hyperlink>
      <w:r w:rsidR="008523C0">
        <w:rPr>
          <w:rStyle w:val="Hyperlink"/>
        </w:rPr>
        <w:t>,</w:t>
      </w:r>
      <w:r>
        <w:t xml:space="preserve"> accessed 25 July, 2023.</w:t>
      </w:r>
    </w:p>
  </w:footnote>
  <w:footnote w:id="3">
    <w:p w14:paraId="029527BD" w14:textId="3A0D5564" w:rsidR="008523C0" w:rsidRDefault="008523C0">
      <w:pPr>
        <w:pStyle w:val="FootnoteText"/>
      </w:pPr>
      <w:r>
        <w:rPr>
          <w:rStyle w:val="FootnoteReference"/>
        </w:rPr>
        <w:footnoteRef/>
      </w:r>
      <w:r>
        <w:t xml:space="preserve"> </w:t>
      </w:r>
      <w:hyperlink r:id="rId2" w:history="1">
        <w:r w:rsidRPr="00FC3B17">
          <w:rPr>
            <w:rStyle w:val="Hyperlink"/>
          </w:rPr>
          <w:t>https://www.tga.gov.au/resources/prescription-medicines-registrations/revolade-novartis-pharmaceuticals-australia-pty-ltd</w:t>
        </w:r>
      </w:hyperlink>
      <w:r>
        <w:t>, accessed 5 September 2023</w:t>
      </w:r>
    </w:p>
  </w:footnote>
  <w:footnote w:id="4">
    <w:p w14:paraId="04A0205C" w14:textId="3C800017" w:rsidR="001A4F08" w:rsidRDefault="001A4F08">
      <w:pPr>
        <w:pStyle w:val="FootnoteText"/>
      </w:pPr>
      <w:r>
        <w:rPr>
          <w:rStyle w:val="FootnoteReference"/>
        </w:rPr>
        <w:footnoteRef/>
      </w:r>
      <w:r>
        <w:t xml:space="preserve"> </w:t>
      </w:r>
      <w:r w:rsidRPr="001A4F08">
        <w:t>https://www.pbs.gov.au/info/industry/listing/elements/pbac-meetings/psd/2022-05/eltrombopag-and-romiplostim-eltrombopag-tablet-25-mg-50mg-as-olamine-tablet</w:t>
      </w:r>
    </w:p>
  </w:footnote>
  <w:footnote w:id="5">
    <w:p w14:paraId="57927CCE" w14:textId="7B3C96F0" w:rsidR="00D06148" w:rsidRDefault="00D06148">
      <w:pPr>
        <w:pStyle w:val="FootnoteText"/>
      </w:pPr>
      <w:r>
        <w:rPr>
          <w:rStyle w:val="FootnoteReference"/>
        </w:rPr>
        <w:footnoteRef/>
      </w:r>
      <w:r>
        <w:t xml:space="preserve"> </w:t>
      </w:r>
      <w:r w:rsidRPr="00A87613">
        <w:rPr>
          <w:lang w:val="en-GB"/>
        </w:rPr>
        <w:t>Rosenfeld</w:t>
      </w:r>
      <w:r>
        <w:rPr>
          <w:lang w:val="en-GB"/>
        </w:rPr>
        <w:t xml:space="preserve"> SJ</w:t>
      </w:r>
      <w:r w:rsidRPr="00A87613">
        <w:rPr>
          <w:lang w:val="en-GB"/>
        </w:rPr>
        <w:t>, Kimball</w:t>
      </w:r>
      <w:r>
        <w:rPr>
          <w:lang w:val="en-GB"/>
        </w:rPr>
        <w:t xml:space="preserve"> J</w:t>
      </w:r>
      <w:r w:rsidRPr="00A87613">
        <w:rPr>
          <w:lang w:val="en-GB"/>
        </w:rPr>
        <w:t>, Vining</w:t>
      </w:r>
      <w:r>
        <w:rPr>
          <w:lang w:val="en-GB"/>
        </w:rPr>
        <w:t xml:space="preserve"> D</w:t>
      </w:r>
      <w:r w:rsidRPr="00A87613">
        <w:rPr>
          <w:lang w:val="en-GB"/>
        </w:rPr>
        <w:t>, Young</w:t>
      </w:r>
      <w:r>
        <w:rPr>
          <w:lang w:val="en-GB"/>
        </w:rPr>
        <w:t xml:space="preserve"> NS</w:t>
      </w:r>
      <w:r w:rsidRPr="00A87613">
        <w:rPr>
          <w:lang w:val="en-GB"/>
        </w:rPr>
        <w:t xml:space="preserve">. </w:t>
      </w:r>
      <w:r w:rsidRPr="00A87613">
        <w:t xml:space="preserve">Intensive </w:t>
      </w:r>
      <w:r>
        <w:t>i</w:t>
      </w:r>
      <w:r w:rsidRPr="00A87613">
        <w:t xml:space="preserve">mmunosuppression </w:t>
      </w:r>
      <w:r>
        <w:t>w</w:t>
      </w:r>
      <w:r w:rsidRPr="00A87613">
        <w:t xml:space="preserve">ith </w:t>
      </w:r>
      <w:r>
        <w:t>a</w:t>
      </w:r>
      <w:r w:rsidRPr="00A87613">
        <w:t xml:space="preserve">ntithymocyte </w:t>
      </w:r>
      <w:r>
        <w:t>g</w:t>
      </w:r>
      <w:r w:rsidRPr="00A87613">
        <w:t xml:space="preserve">lobulin and </w:t>
      </w:r>
      <w:r>
        <w:t>c</w:t>
      </w:r>
      <w:r w:rsidRPr="00A87613">
        <w:t xml:space="preserve">yclosporine as </w:t>
      </w:r>
      <w:r>
        <w:t>t</w:t>
      </w:r>
      <w:r w:rsidRPr="00A87613">
        <w:t xml:space="preserve">reatment for </w:t>
      </w:r>
      <w:r>
        <w:t>s</w:t>
      </w:r>
      <w:r w:rsidRPr="00A87613">
        <w:t xml:space="preserve">evere </w:t>
      </w:r>
      <w:r>
        <w:t>ac</w:t>
      </w:r>
      <w:r w:rsidRPr="00A87613">
        <w:t xml:space="preserve">quired </w:t>
      </w:r>
      <w:r>
        <w:t>a</w:t>
      </w:r>
      <w:r w:rsidRPr="00A87613">
        <w:t xml:space="preserve">plastic </w:t>
      </w:r>
      <w:r>
        <w:t>a</w:t>
      </w:r>
      <w:r w:rsidRPr="00A87613">
        <w:t>nemia</w:t>
      </w:r>
      <w:r>
        <w:rPr>
          <w:b/>
          <w:bCs/>
        </w:rPr>
        <w:t xml:space="preserve">. </w:t>
      </w:r>
      <w:r w:rsidRPr="00A87613">
        <w:rPr>
          <w:i/>
          <w:iCs/>
          <w:lang w:val="en-GB"/>
        </w:rPr>
        <w:t>Blood</w:t>
      </w:r>
      <w:r>
        <w:rPr>
          <w:i/>
          <w:iCs/>
          <w:lang w:val="en-GB"/>
        </w:rPr>
        <w:t xml:space="preserve"> 1995; </w:t>
      </w:r>
      <w:r w:rsidRPr="00A87613">
        <w:rPr>
          <w:lang w:val="en-GB"/>
        </w:rPr>
        <w:t>85</w:t>
      </w:r>
      <w:r>
        <w:rPr>
          <w:lang w:val="en-GB"/>
        </w:rPr>
        <w:t>:</w:t>
      </w:r>
      <w:r w:rsidRPr="00A87613">
        <w:rPr>
          <w:lang w:val="en-GB"/>
        </w:rPr>
        <w:t>3058-3065</w:t>
      </w:r>
    </w:p>
  </w:footnote>
  <w:footnote w:id="6">
    <w:p w14:paraId="17BBEB9A" w14:textId="77777777" w:rsidR="009A5662" w:rsidRPr="00A70F14" w:rsidRDefault="009A5662" w:rsidP="005406E3">
      <w:pPr>
        <w:autoSpaceDE w:val="0"/>
        <w:autoSpaceDN w:val="0"/>
        <w:adjustRightInd w:val="0"/>
        <w:jc w:val="left"/>
        <w:rPr>
          <w:rFonts w:asciiTheme="minorHAnsi" w:hAnsiTheme="minorHAnsi" w:cstheme="minorHAnsi"/>
          <w:sz w:val="16"/>
          <w:szCs w:val="16"/>
        </w:rPr>
      </w:pPr>
      <w:r>
        <w:rPr>
          <w:rStyle w:val="FootnoteReference"/>
        </w:rPr>
        <w:footnoteRef/>
      </w:r>
      <w:r>
        <w:t xml:space="preserve"> </w:t>
      </w:r>
      <w:r w:rsidRPr="00A70F14">
        <w:rPr>
          <w:rFonts w:asciiTheme="minorHAnsi" w:hAnsiTheme="minorHAnsi" w:cstheme="minorHAnsi"/>
          <w:sz w:val="16"/>
          <w:szCs w:val="16"/>
        </w:rPr>
        <w:t>Lengline E, Drenou B, Peterlin P, et al. Nationwide survey on the use of eltrombopag in patients with severe aplastic anemia: a report on behalf of the French Reference Center for Aplastic Anemia. Haematologica. 2018;103(2):212-220</w:t>
      </w:r>
    </w:p>
  </w:footnote>
  <w:footnote w:id="7">
    <w:p w14:paraId="1F4A2D51" w14:textId="77777777" w:rsidR="009A5662" w:rsidRPr="001246EF" w:rsidRDefault="009A5662" w:rsidP="005406E3">
      <w:pPr>
        <w:autoSpaceDE w:val="0"/>
        <w:autoSpaceDN w:val="0"/>
        <w:adjustRightInd w:val="0"/>
        <w:jc w:val="left"/>
        <w:rPr>
          <w:rFonts w:asciiTheme="minorHAnsi" w:hAnsiTheme="minorHAnsi" w:cstheme="minorHAnsi"/>
          <w:sz w:val="16"/>
          <w:szCs w:val="16"/>
        </w:rPr>
      </w:pPr>
      <w:r w:rsidRPr="00A70F14">
        <w:rPr>
          <w:rStyle w:val="FootnoteReference"/>
        </w:rPr>
        <w:footnoteRef/>
      </w:r>
      <w:r w:rsidRPr="00A70F14">
        <w:t xml:space="preserve"> </w:t>
      </w:r>
      <w:r w:rsidRPr="00A70F14">
        <w:rPr>
          <w:rFonts w:asciiTheme="minorHAnsi" w:hAnsiTheme="minorHAnsi" w:cstheme="minorHAnsi"/>
          <w:sz w:val="16"/>
          <w:szCs w:val="16"/>
        </w:rPr>
        <w:t>Thomson A, Farmer S, Hofmann A, Isbister J, Shander A. Patient blood management - a new paradigm for transfusion medicine? ISBT Sci Ser. 2009;4(n2):423-435.</w:t>
      </w:r>
    </w:p>
  </w:footnote>
  <w:footnote w:id="8">
    <w:p w14:paraId="409F1132" w14:textId="53E835BA" w:rsidR="005406E3" w:rsidRPr="00A70F14" w:rsidRDefault="005406E3">
      <w:pPr>
        <w:pStyle w:val="FootnoteText"/>
      </w:pPr>
      <w:r w:rsidRPr="00A70F14">
        <w:rPr>
          <w:rStyle w:val="FootnoteReference"/>
        </w:rPr>
        <w:footnoteRef/>
      </w:r>
      <w:r w:rsidRPr="00A70F14">
        <w:t xml:space="preserve"> </w:t>
      </w:r>
      <w:r w:rsidRPr="00A70F14">
        <w:rPr>
          <w:rFonts w:ascii="Arial Narrow" w:hAnsi="Arial Narrow"/>
          <w:sz w:val="16"/>
          <w:szCs w:val="16"/>
        </w:rPr>
        <w:t xml:space="preserve">Szende A, Schaefer C, Goss TF et al. Valuation of transfusion-free living in MDS: results of health utility interview with patients. </w:t>
      </w:r>
      <w:r w:rsidRPr="00A70F14">
        <w:rPr>
          <w:rFonts w:ascii="Arial Narrow" w:hAnsi="Arial Narrow" w:cs="QmskhgGillSans-Italic"/>
          <w:sz w:val="16"/>
          <w:szCs w:val="16"/>
        </w:rPr>
        <w:t xml:space="preserve">Health and Quality of Life Outcomes </w:t>
      </w:r>
      <w:r w:rsidRPr="00A70F14">
        <w:rPr>
          <w:rFonts w:ascii="Arial Narrow" w:hAnsi="Arial Narrow" w:cs="QlsybwGillSans"/>
          <w:sz w:val="16"/>
          <w:szCs w:val="16"/>
        </w:rPr>
        <w:t xml:space="preserve">2009, </w:t>
      </w:r>
      <w:r w:rsidRPr="00A70F14">
        <w:rPr>
          <w:rFonts w:ascii="Arial Narrow" w:hAnsi="Arial Narrow" w:cs="VhwxjnGillSans-Bold"/>
          <w:sz w:val="16"/>
          <w:szCs w:val="16"/>
        </w:rPr>
        <w:t>7</w:t>
      </w:r>
      <w:r w:rsidRPr="00A70F14">
        <w:rPr>
          <w:rFonts w:ascii="Arial Narrow" w:hAnsi="Arial Narrow" w:cs="QlsybwGillSans"/>
          <w:sz w:val="16"/>
          <w:szCs w:val="16"/>
        </w:rPr>
        <w:t>:81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CB3A" w14:textId="77777777" w:rsidR="003012C1" w:rsidRDefault="00301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5A3A8A8D" w:rsidR="00D843F2" w:rsidRPr="00195452" w:rsidRDefault="00325332" w:rsidP="00D822E2">
    <w:pPr>
      <w:pStyle w:val="Header"/>
      <w:rPr>
        <w:rFonts w:asciiTheme="minorHAnsi" w:hAnsiTheme="minorHAnsi"/>
        <w:i/>
        <w:color w:val="808080"/>
      </w:rPr>
    </w:pPr>
    <w:r>
      <w:rPr>
        <w:rFonts w:asciiTheme="minorHAnsi" w:hAnsiTheme="minorHAnsi"/>
        <w:i/>
        <w:color w:val="808080"/>
      </w:rPr>
      <w:t>Public Summary Document</w:t>
    </w:r>
    <w:r w:rsidR="00AD3C95">
      <w:rPr>
        <w:rFonts w:asciiTheme="minorHAnsi" w:hAnsiTheme="minorHAnsi"/>
        <w:i/>
        <w:color w:val="808080"/>
      </w:rPr>
      <w:t xml:space="preserve"> - </w:t>
    </w:r>
    <w:r w:rsidR="00B27CBB">
      <w:rPr>
        <w:rFonts w:asciiTheme="minorHAnsi" w:hAnsiTheme="minorHAnsi"/>
        <w:i/>
        <w:color w:val="808080"/>
      </w:rPr>
      <w:t>November 2023</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DD97" w14:textId="77777777" w:rsidR="003012C1" w:rsidRDefault="00301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E24A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3737"/>
    <w:multiLevelType w:val="hybridMultilevel"/>
    <w:tmpl w:val="F76A40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267C8F"/>
    <w:multiLevelType w:val="hybridMultilevel"/>
    <w:tmpl w:val="967468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1E09DF"/>
    <w:multiLevelType w:val="hybridMultilevel"/>
    <w:tmpl w:val="C06203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F17DF7"/>
    <w:multiLevelType w:val="hybridMultilevel"/>
    <w:tmpl w:val="A35A6774"/>
    <w:lvl w:ilvl="0" w:tplc="6D56043E">
      <w:start w:val="1"/>
      <w:numFmt w:val="bullet"/>
      <w:lvlText w:val="•"/>
      <w:lvlJc w:val="left"/>
      <w:pPr>
        <w:tabs>
          <w:tab w:val="num" w:pos="720"/>
        </w:tabs>
        <w:ind w:left="720" w:hanging="360"/>
      </w:pPr>
      <w:rPr>
        <w:rFonts w:ascii="Arial" w:hAnsi="Arial" w:hint="default"/>
      </w:rPr>
    </w:lvl>
    <w:lvl w:ilvl="1" w:tplc="FE86F310">
      <w:numFmt w:val="bullet"/>
      <w:lvlText w:val="•"/>
      <w:lvlJc w:val="left"/>
      <w:pPr>
        <w:tabs>
          <w:tab w:val="num" w:pos="1440"/>
        </w:tabs>
        <w:ind w:left="1440" w:hanging="360"/>
      </w:pPr>
      <w:rPr>
        <w:rFonts w:ascii="Arial" w:hAnsi="Arial" w:hint="default"/>
      </w:rPr>
    </w:lvl>
    <w:lvl w:ilvl="2" w:tplc="64A0D1FC" w:tentative="1">
      <w:start w:val="1"/>
      <w:numFmt w:val="bullet"/>
      <w:lvlText w:val="•"/>
      <w:lvlJc w:val="left"/>
      <w:pPr>
        <w:tabs>
          <w:tab w:val="num" w:pos="2160"/>
        </w:tabs>
        <w:ind w:left="2160" w:hanging="360"/>
      </w:pPr>
      <w:rPr>
        <w:rFonts w:ascii="Arial" w:hAnsi="Arial" w:hint="default"/>
      </w:rPr>
    </w:lvl>
    <w:lvl w:ilvl="3" w:tplc="66460760" w:tentative="1">
      <w:start w:val="1"/>
      <w:numFmt w:val="bullet"/>
      <w:lvlText w:val="•"/>
      <w:lvlJc w:val="left"/>
      <w:pPr>
        <w:tabs>
          <w:tab w:val="num" w:pos="2880"/>
        </w:tabs>
        <w:ind w:left="2880" w:hanging="360"/>
      </w:pPr>
      <w:rPr>
        <w:rFonts w:ascii="Arial" w:hAnsi="Arial" w:hint="default"/>
      </w:rPr>
    </w:lvl>
    <w:lvl w:ilvl="4" w:tplc="61E61684" w:tentative="1">
      <w:start w:val="1"/>
      <w:numFmt w:val="bullet"/>
      <w:lvlText w:val="•"/>
      <w:lvlJc w:val="left"/>
      <w:pPr>
        <w:tabs>
          <w:tab w:val="num" w:pos="3600"/>
        </w:tabs>
        <w:ind w:left="3600" w:hanging="360"/>
      </w:pPr>
      <w:rPr>
        <w:rFonts w:ascii="Arial" w:hAnsi="Arial" w:hint="default"/>
      </w:rPr>
    </w:lvl>
    <w:lvl w:ilvl="5" w:tplc="368886CC" w:tentative="1">
      <w:start w:val="1"/>
      <w:numFmt w:val="bullet"/>
      <w:lvlText w:val="•"/>
      <w:lvlJc w:val="left"/>
      <w:pPr>
        <w:tabs>
          <w:tab w:val="num" w:pos="4320"/>
        </w:tabs>
        <w:ind w:left="4320" w:hanging="360"/>
      </w:pPr>
      <w:rPr>
        <w:rFonts w:ascii="Arial" w:hAnsi="Arial" w:hint="default"/>
      </w:rPr>
    </w:lvl>
    <w:lvl w:ilvl="6" w:tplc="B6348D9C" w:tentative="1">
      <w:start w:val="1"/>
      <w:numFmt w:val="bullet"/>
      <w:lvlText w:val="•"/>
      <w:lvlJc w:val="left"/>
      <w:pPr>
        <w:tabs>
          <w:tab w:val="num" w:pos="5040"/>
        </w:tabs>
        <w:ind w:left="5040" w:hanging="360"/>
      </w:pPr>
      <w:rPr>
        <w:rFonts w:ascii="Arial" w:hAnsi="Arial" w:hint="default"/>
      </w:rPr>
    </w:lvl>
    <w:lvl w:ilvl="7" w:tplc="39027B2C" w:tentative="1">
      <w:start w:val="1"/>
      <w:numFmt w:val="bullet"/>
      <w:lvlText w:val="•"/>
      <w:lvlJc w:val="left"/>
      <w:pPr>
        <w:tabs>
          <w:tab w:val="num" w:pos="5760"/>
        </w:tabs>
        <w:ind w:left="5760" w:hanging="360"/>
      </w:pPr>
      <w:rPr>
        <w:rFonts w:ascii="Arial" w:hAnsi="Arial" w:hint="default"/>
      </w:rPr>
    </w:lvl>
    <w:lvl w:ilvl="8" w:tplc="A880D0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23735"/>
    <w:multiLevelType w:val="hybridMultilevel"/>
    <w:tmpl w:val="6D8E607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5593CF6"/>
    <w:multiLevelType w:val="hybridMultilevel"/>
    <w:tmpl w:val="D70A24DE"/>
    <w:lvl w:ilvl="0" w:tplc="0C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177A5C"/>
    <w:multiLevelType w:val="hybridMultilevel"/>
    <w:tmpl w:val="B6C2AED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30864D08"/>
    <w:multiLevelType w:val="multilevel"/>
    <w:tmpl w:val="DAAC8FE4"/>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454239"/>
    <w:multiLevelType w:val="multilevel"/>
    <w:tmpl w:val="2952A19E"/>
    <w:styleLink w:val="CurrentList1"/>
    <w:lvl w:ilvl="0">
      <w:start w:val="1"/>
      <w:numFmt w:val="bullet"/>
      <w:lvlText w:val=""/>
      <w:lvlJc w:val="left"/>
      <w:pPr>
        <w:ind w:left="720" w:hanging="360"/>
      </w:pPr>
      <w:rPr>
        <w:rFonts w:ascii="Symbol" w:hAnsi="Symbol" w:hint="default"/>
      </w:rPr>
    </w:lvl>
    <w:lvl w:ilvl="1">
      <w:numFmt w:val="bullet"/>
      <w:lvlText w:val="-"/>
      <w:lvlJc w:val="left"/>
      <w:pPr>
        <w:ind w:left="1460" w:hanging="380"/>
      </w:pPr>
      <w:rPr>
        <w:rFonts w:ascii="Calibri" w:eastAsia="Times New Roman"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E035EE"/>
    <w:multiLevelType w:val="hybridMultilevel"/>
    <w:tmpl w:val="431869C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FD6254CE"/>
    <w:lvl w:ilvl="0" w:tplc="EE8C21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63296"/>
    <w:multiLevelType w:val="hybridMultilevel"/>
    <w:tmpl w:val="17C68EC2"/>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6625459"/>
    <w:multiLevelType w:val="hybridMultilevel"/>
    <w:tmpl w:val="456CB6C8"/>
    <w:lvl w:ilvl="0" w:tplc="BD04FD0C">
      <w:start w:val="1"/>
      <w:numFmt w:val="bullet"/>
      <w:lvlText w:val="•"/>
      <w:lvlJc w:val="left"/>
      <w:pPr>
        <w:tabs>
          <w:tab w:val="num" w:pos="720"/>
        </w:tabs>
        <w:ind w:left="720" w:hanging="360"/>
      </w:pPr>
      <w:rPr>
        <w:rFonts w:ascii="Arial" w:hAnsi="Arial" w:hint="default"/>
      </w:rPr>
    </w:lvl>
    <w:lvl w:ilvl="1" w:tplc="4FA0FC8A">
      <w:numFmt w:val="bullet"/>
      <w:lvlText w:val="•"/>
      <w:lvlJc w:val="left"/>
      <w:pPr>
        <w:tabs>
          <w:tab w:val="num" w:pos="1440"/>
        </w:tabs>
        <w:ind w:left="1440" w:hanging="360"/>
      </w:pPr>
      <w:rPr>
        <w:rFonts w:ascii="Arial" w:hAnsi="Arial" w:hint="default"/>
      </w:rPr>
    </w:lvl>
    <w:lvl w:ilvl="2" w:tplc="D48EC54A" w:tentative="1">
      <w:start w:val="1"/>
      <w:numFmt w:val="bullet"/>
      <w:lvlText w:val="•"/>
      <w:lvlJc w:val="left"/>
      <w:pPr>
        <w:tabs>
          <w:tab w:val="num" w:pos="2160"/>
        </w:tabs>
        <w:ind w:left="2160" w:hanging="360"/>
      </w:pPr>
      <w:rPr>
        <w:rFonts w:ascii="Arial" w:hAnsi="Arial" w:hint="default"/>
      </w:rPr>
    </w:lvl>
    <w:lvl w:ilvl="3" w:tplc="27BA609E" w:tentative="1">
      <w:start w:val="1"/>
      <w:numFmt w:val="bullet"/>
      <w:lvlText w:val="•"/>
      <w:lvlJc w:val="left"/>
      <w:pPr>
        <w:tabs>
          <w:tab w:val="num" w:pos="2880"/>
        </w:tabs>
        <w:ind w:left="2880" w:hanging="360"/>
      </w:pPr>
      <w:rPr>
        <w:rFonts w:ascii="Arial" w:hAnsi="Arial" w:hint="default"/>
      </w:rPr>
    </w:lvl>
    <w:lvl w:ilvl="4" w:tplc="2B04B69C" w:tentative="1">
      <w:start w:val="1"/>
      <w:numFmt w:val="bullet"/>
      <w:lvlText w:val="•"/>
      <w:lvlJc w:val="left"/>
      <w:pPr>
        <w:tabs>
          <w:tab w:val="num" w:pos="3600"/>
        </w:tabs>
        <w:ind w:left="3600" w:hanging="360"/>
      </w:pPr>
      <w:rPr>
        <w:rFonts w:ascii="Arial" w:hAnsi="Arial" w:hint="default"/>
      </w:rPr>
    </w:lvl>
    <w:lvl w:ilvl="5" w:tplc="2266EF8C" w:tentative="1">
      <w:start w:val="1"/>
      <w:numFmt w:val="bullet"/>
      <w:lvlText w:val="•"/>
      <w:lvlJc w:val="left"/>
      <w:pPr>
        <w:tabs>
          <w:tab w:val="num" w:pos="4320"/>
        </w:tabs>
        <w:ind w:left="4320" w:hanging="360"/>
      </w:pPr>
      <w:rPr>
        <w:rFonts w:ascii="Arial" w:hAnsi="Arial" w:hint="default"/>
      </w:rPr>
    </w:lvl>
    <w:lvl w:ilvl="6" w:tplc="7C3C8922" w:tentative="1">
      <w:start w:val="1"/>
      <w:numFmt w:val="bullet"/>
      <w:lvlText w:val="•"/>
      <w:lvlJc w:val="left"/>
      <w:pPr>
        <w:tabs>
          <w:tab w:val="num" w:pos="5040"/>
        </w:tabs>
        <w:ind w:left="5040" w:hanging="360"/>
      </w:pPr>
      <w:rPr>
        <w:rFonts w:ascii="Arial" w:hAnsi="Arial" w:hint="default"/>
      </w:rPr>
    </w:lvl>
    <w:lvl w:ilvl="7" w:tplc="44BE8B50" w:tentative="1">
      <w:start w:val="1"/>
      <w:numFmt w:val="bullet"/>
      <w:lvlText w:val="•"/>
      <w:lvlJc w:val="left"/>
      <w:pPr>
        <w:tabs>
          <w:tab w:val="num" w:pos="5760"/>
        </w:tabs>
        <w:ind w:left="5760" w:hanging="360"/>
      </w:pPr>
      <w:rPr>
        <w:rFonts w:ascii="Arial" w:hAnsi="Arial" w:hint="default"/>
      </w:rPr>
    </w:lvl>
    <w:lvl w:ilvl="8" w:tplc="277C2C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4D033C"/>
    <w:multiLevelType w:val="multilevel"/>
    <w:tmpl w:val="F7CABDE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145"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1225AD"/>
    <w:multiLevelType w:val="hybridMultilevel"/>
    <w:tmpl w:val="04881712"/>
    <w:lvl w:ilvl="0" w:tplc="6B96E536">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4502DD"/>
    <w:multiLevelType w:val="hybridMultilevel"/>
    <w:tmpl w:val="FC66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0664697">
    <w:abstractNumId w:val="17"/>
  </w:num>
  <w:num w:numId="2" w16cid:durableId="1959330737">
    <w:abstractNumId w:val="12"/>
  </w:num>
  <w:num w:numId="3" w16cid:durableId="961110903">
    <w:abstractNumId w:val="13"/>
  </w:num>
  <w:num w:numId="4" w16cid:durableId="1352875222">
    <w:abstractNumId w:val="0"/>
  </w:num>
  <w:num w:numId="5" w16cid:durableId="66920948">
    <w:abstractNumId w:val="15"/>
  </w:num>
  <w:num w:numId="6" w16cid:durableId="469900448">
    <w:abstractNumId w:val="10"/>
  </w:num>
  <w:num w:numId="7" w16cid:durableId="1233588774">
    <w:abstractNumId w:val="2"/>
  </w:num>
  <w:num w:numId="8" w16cid:durableId="1672610011">
    <w:abstractNumId w:val="1"/>
  </w:num>
  <w:num w:numId="9" w16cid:durableId="1847791055">
    <w:abstractNumId w:val="8"/>
  </w:num>
  <w:num w:numId="10" w16cid:durableId="125441495">
    <w:abstractNumId w:val="5"/>
  </w:num>
  <w:num w:numId="11" w16cid:durableId="1446265552">
    <w:abstractNumId w:val="4"/>
  </w:num>
  <w:num w:numId="12" w16cid:durableId="1023752153">
    <w:abstractNumId w:val="11"/>
  </w:num>
  <w:num w:numId="13" w16cid:durableId="250358199">
    <w:abstractNumId w:val="14"/>
  </w:num>
  <w:num w:numId="14" w16cid:durableId="1509523336">
    <w:abstractNumId w:val="16"/>
  </w:num>
  <w:num w:numId="15" w16cid:durableId="1971281665">
    <w:abstractNumId w:val="19"/>
  </w:num>
  <w:num w:numId="16" w16cid:durableId="549658896">
    <w:abstractNumId w:val="17"/>
  </w:num>
  <w:num w:numId="17" w16cid:durableId="62416495">
    <w:abstractNumId w:val="18"/>
  </w:num>
  <w:num w:numId="18" w16cid:durableId="1712535214">
    <w:abstractNumId w:val="7"/>
  </w:num>
  <w:num w:numId="19" w16cid:durableId="415831584">
    <w:abstractNumId w:val="3"/>
  </w:num>
  <w:num w:numId="20" w16cid:durableId="1336877920">
    <w:abstractNumId w:val="6"/>
  </w:num>
  <w:num w:numId="21" w16cid:durableId="127995076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D89"/>
    <w:rsid w:val="00003499"/>
    <w:rsid w:val="000039B7"/>
    <w:rsid w:val="000056B9"/>
    <w:rsid w:val="00005F74"/>
    <w:rsid w:val="0000639A"/>
    <w:rsid w:val="0001199D"/>
    <w:rsid w:val="00013247"/>
    <w:rsid w:val="00013B68"/>
    <w:rsid w:val="0001513C"/>
    <w:rsid w:val="00015886"/>
    <w:rsid w:val="000162EF"/>
    <w:rsid w:val="00016396"/>
    <w:rsid w:val="000207C9"/>
    <w:rsid w:val="0002225F"/>
    <w:rsid w:val="00023763"/>
    <w:rsid w:val="00023DD8"/>
    <w:rsid w:val="00023F6D"/>
    <w:rsid w:val="00024E50"/>
    <w:rsid w:val="00024EB5"/>
    <w:rsid w:val="000255E1"/>
    <w:rsid w:val="000274B8"/>
    <w:rsid w:val="00033863"/>
    <w:rsid w:val="00033A6F"/>
    <w:rsid w:val="00035DC0"/>
    <w:rsid w:val="00036829"/>
    <w:rsid w:val="00040895"/>
    <w:rsid w:val="000410A0"/>
    <w:rsid w:val="00041906"/>
    <w:rsid w:val="00041D20"/>
    <w:rsid w:val="000435EE"/>
    <w:rsid w:val="00043C37"/>
    <w:rsid w:val="00043EFC"/>
    <w:rsid w:val="00045017"/>
    <w:rsid w:val="00045A2B"/>
    <w:rsid w:val="0004698F"/>
    <w:rsid w:val="00046D64"/>
    <w:rsid w:val="0004756A"/>
    <w:rsid w:val="000508C2"/>
    <w:rsid w:val="000511CB"/>
    <w:rsid w:val="000539D0"/>
    <w:rsid w:val="00054621"/>
    <w:rsid w:val="000546D7"/>
    <w:rsid w:val="00054A8D"/>
    <w:rsid w:val="00054DC2"/>
    <w:rsid w:val="00056ECF"/>
    <w:rsid w:val="000604DF"/>
    <w:rsid w:val="00061607"/>
    <w:rsid w:val="00062324"/>
    <w:rsid w:val="00062FBC"/>
    <w:rsid w:val="000635EC"/>
    <w:rsid w:val="000653B5"/>
    <w:rsid w:val="00066360"/>
    <w:rsid w:val="000667B9"/>
    <w:rsid w:val="00066AF8"/>
    <w:rsid w:val="00071248"/>
    <w:rsid w:val="0007198D"/>
    <w:rsid w:val="00071EAE"/>
    <w:rsid w:val="000720B9"/>
    <w:rsid w:val="000737F7"/>
    <w:rsid w:val="00073E8A"/>
    <w:rsid w:val="00074DBF"/>
    <w:rsid w:val="0007672F"/>
    <w:rsid w:val="00076B54"/>
    <w:rsid w:val="00076D63"/>
    <w:rsid w:val="000774F0"/>
    <w:rsid w:val="000800FB"/>
    <w:rsid w:val="000802A7"/>
    <w:rsid w:val="00080909"/>
    <w:rsid w:val="000812CA"/>
    <w:rsid w:val="00081E63"/>
    <w:rsid w:val="0008258D"/>
    <w:rsid w:val="00083D01"/>
    <w:rsid w:val="00083E99"/>
    <w:rsid w:val="000846FE"/>
    <w:rsid w:val="00084FA8"/>
    <w:rsid w:val="000856C5"/>
    <w:rsid w:val="00085C31"/>
    <w:rsid w:val="00086D7A"/>
    <w:rsid w:val="000902D9"/>
    <w:rsid w:val="0009089E"/>
    <w:rsid w:val="00090C3D"/>
    <w:rsid w:val="00090C7E"/>
    <w:rsid w:val="000911AC"/>
    <w:rsid w:val="00092600"/>
    <w:rsid w:val="0009262B"/>
    <w:rsid w:val="00093310"/>
    <w:rsid w:val="0009445C"/>
    <w:rsid w:val="00095200"/>
    <w:rsid w:val="00095FE5"/>
    <w:rsid w:val="00096284"/>
    <w:rsid w:val="000A0FCF"/>
    <w:rsid w:val="000A19E6"/>
    <w:rsid w:val="000A1BC0"/>
    <w:rsid w:val="000A2F9E"/>
    <w:rsid w:val="000A3E47"/>
    <w:rsid w:val="000A522B"/>
    <w:rsid w:val="000A6039"/>
    <w:rsid w:val="000A731E"/>
    <w:rsid w:val="000A7453"/>
    <w:rsid w:val="000A7D08"/>
    <w:rsid w:val="000B0121"/>
    <w:rsid w:val="000B0670"/>
    <w:rsid w:val="000B0E75"/>
    <w:rsid w:val="000B2D64"/>
    <w:rsid w:val="000B2DCB"/>
    <w:rsid w:val="000B5CE0"/>
    <w:rsid w:val="000B647B"/>
    <w:rsid w:val="000B6CAC"/>
    <w:rsid w:val="000B7612"/>
    <w:rsid w:val="000B78AE"/>
    <w:rsid w:val="000C3DF9"/>
    <w:rsid w:val="000C4611"/>
    <w:rsid w:val="000C4896"/>
    <w:rsid w:val="000C4CF2"/>
    <w:rsid w:val="000C661C"/>
    <w:rsid w:val="000C6713"/>
    <w:rsid w:val="000C7A0E"/>
    <w:rsid w:val="000D1BFC"/>
    <w:rsid w:val="000D1D07"/>
    <w:rsid w:val="000D1D5D"/>
    <w:rsid w:val="000D26C2"/>
    <w:rsid w:val="000D281A"/>
    <w:rsid w:val="000D2848"/>
    <w:rsid w:val="000D2A1A"/>
    <w:rsid w:val="000D326A"/>
    <w:rsid w:val="000D51FB"/>
    <w:rsid w:val="000D698B"/>
    <w:rsid w:val="000E040F"/>
    <w:rsid w:val="000E0640"/>
    <w:rsid w:val="000E135D"/>
    <w:rsid w:val="000E4265"/>
    <w:rsid w:val="000E60AD"/>
    <w:rsid w:val="000E67B5"/>
    <w:rsid w:val="000F00BA"/>
    <w:rsid w:val="000F0DDF"/>
    <w:rsid w:val="000F30B0"/>
    <w:rsid w:val="000F316A"/>
    <w:rsid w:val="000F3BF8"/>
    <w:rsid w:val="000F3C74"/>
    <w:rsid w:val="000F3D14"/>
    <w:rsid w:val="000F4BB8"/>
    <w:rsid w:val="000F4FA9"/>
    <w:rsid w:val="000F53FB"/>
    <w:rsid w:val="000F7127"/>
    <w:rsid w:val="000F797F"/>
    <w:rsid w:val="000F7A9E"/>
    <w:rsid w:val="000F7B54"/>
    <w:rsid w:val="001000B3"/>
    <w:rsid w:val="00100F8A"/>
    <w:rsid w:val="0010452E"/>
    <w:rsid w:val="00104B39"/>
    <w:rsid w:val="00104EFD"/>
    <w:rsid w:val="00105AE2"/>
    <w:rsid w:val="001060C6"/>
    <w:rsid w:val="00106B68"/>
    <w:rsid w:val="00106B80"/>
    <w:rsid w:val="0011032E"/>
    <w:rsid w:val="00111500"/>
    <w:rsid w:val="00111FF3"/>
    <w:rsid w:val="001123D6"/>
    <w:rsid w:val="001128AF"/>
    <w:rsid w:val="0011348B"/>
    <w:rsid w:val="00115982"/>
    <w:rsid w:val="00116828"/>
    <w:rsid w:val="00116C53"/>
    <w:rsid w:val="00121799"/>
    <w:rsid w:val="00121AF1"/>
    <w:rsid w:val="001222FC"/>
    <w:rsid w:val="00123902"/>
    <w:rsid w:val="00123FF7"/>
    <w:rsid w:val="001246EF"/>
    <w:rsid w:val="00124A51"/>
    <w:rsid w:val="00124C0D"/>
    <w:rsid w:val="0012512D"/>
    <w:rsid w:val="00126621"/>
    <w:rsid w:val="00126B1D"/>
    <w:rsid w:val="001301E9"/>
    <w:rsid w:val="00130508"/>
    <w:rsid w:val="00131D82"/>
    <w:rsid w:val="00132B22"/>
    <w:rsid w:val="00133D36"/>
    <w:rsid w:val="0013564F"/>
    <w:rsid w:val="0013575D"/>
    <w:rsid w:val="00137645"/>
    <w:rsid w:val="0014015A"/>
    <w:rsid w:val="00140E99"/>
    <w:rsid w:val="001434D3"/>
    <w:rsid w:val="00143F67"/>
    <w:rsid w:val="00145234"/>
    <w:rsid w:val="00145540"/>
    <w:rsid w:val="001456B0"/>
    <w:rsid w:val="00151230"/>
    <w:rsid w:val="001547AB"/>
    <w:rsid w:val="00156F8F"/>
    <w:rsid w:val="00157130"/>
    <w:rsid w:val="001576B1"/>
    <w:rsid w:val="0016047B"/>
    <w:rsid w:val="00160A4C"/>
    <w:rsid w:val="00162913"/>
    <w:rsid w:val="00163B34"/>
    <w:rsid w:val="00163EFF"/>
    <w:rsid w:val="00163F66"/>
    <w:rsid w:val="0016478E"/>
    <w:rsid w:val="00165EC4"/>
    <w:rsid w:val="001661FB"/>
    <w:rsid w:val="001671A0"/>
    <w:rsid w:val="0016767F"/>
    <w:rsid w:val="001726D2"/>
    <w:rsid w:val="00173565"/>
    <w:rsid w:val="00173B07"/>
    <w:rsid w:val="001751FA"/>
    <w:rsid w:val="0018155F"/>
    <w:rsid w:val="00181C10"/>
    <w:rsid w:val="00181D9C"/>
    <w:rsid w:val="001837FF"/>
    <w:rsid w:val="00183A64"/>
    <w:rsid w:val="001848C4"/>
    <w:rsid w:val="00184B0E"/>
    <w:rsid w:val="00185B7A"/>
    <w:rsid w:val="0018752F"/>
    <w:rsid w:val="00187A90"/>
    <w:rsid w:val="00193838"/>
    <w:rsid w:val="00194AD8"/>
    <w:rsid w:val="00195222"/>
    <w:rsid w:val="00195452"/>
    <w:rsid w:val="001968A7"/>
    <w:rsid w:val="001975D8"/>
    <w:rsid w:val="001A178E"/>
    <w:rsid w:val="001A25B2"/>
    <w:rsid w:val="001A41A5"/>
    <w:rsid w:val="001A43FA"/>
    <w:rsid w:val="001A4414"/>
    <w:rsid w:val="001A47C5"/>
    <w:rsid w:val="001A4F08"/>
    <w:rsid w:val="001A59FB"/>
    <w:rsid w:val="001A5E9E"/>
    <w:rsid w:val="001A6354"/>
    <w:rsid w:val="001A6366"/>
    <w:rsid w:val="001A7AE8"/>
    <w:rsid w:val="001A7B91"/>
    <w:rsid w:val="001B1374"/>
    <w:rsid w:val="001B204E"/>
    <w:rsid w:val="001B2372"/>
    <w:rsid w:val="001B3443"/>
    <w:rsid w:val="001B37A6"/>
    <w:rsid w:val="001B3C50"/>
    <w:rsid w:val="001B4D20"/>
    <w:rsid w:val="001B6F0F"/>
    <w:rsid w:val="001B7B29"/>
    <w:rsid w:val="001B7F84"/>
    <w:rsid w:val="001C138D"/>
    <w:rsid w:val="001C1586"/>
    <w:rsid w:val="001C16B3"/>
    <w:rsid w:val="001C1E48"/>
    <w:rsid w:val="001C2375"/>
    <w:rsid w:val="001C2A9B"/>
    <w:rsid w:val="001C3374"/>
    <w:rsid w:val="001C3DD6"/>
    <w:rsid w:val="001C4299"/>
    <w:rsid w:val="001C4874"/>
    <w:rsid w:val="001C5F94"/>
    <w:rsid w:val="001C6E08"/>
    <w:rsid w:val="001C6E66"/>
    <w:rsid w:val="001C6E97"/>
    <w:rsid w:val="001C7AB3"/>
    <w:rsid w:val="001D02F3"/>
    <w:rsid w:val="001D1100"/>
    <w:rsid w:val="001D1391"/>
    <w:rsid w:val="001D25D7"/>
    <w:rsid w:val="001D29D6"/>
    <w:rsid w:val="001D3131"/>
    <w:rsid w:val="001D50B2"/>
    <w:rsid w:val="001D7055"/>
    <w:rsid w:val="001D71F4"/>
    <w:rsid w:val="001D7645"/>
    <w:rsid w:val="001D7D6F"/>
    <w:rsid w:val="001E1E86"/>
    <w:rsid w:val="001E238E"/>
    <w:rsid w:val="001E2483"/>
    <w:rsid w:val="001E2B1E"/>
    <w:rsid w:val="001E2CFF"/>
    <w:rsid w:val="001E2F24"/>
    <w:rsid w:val="001E30D4"/>
    <w:rsid w:val="001E34DF"/>
    <w:rsid w:val="001E359E"/>
    <w:rsid w:val="001E3D36"/>
    <w:rsid w:val="001E3D92"/>
    <w:rsid w:val="001E52EB"/>
    <w:rsid w:val="001E61D2"/>
    <w:rsid w:val="001E6385"/>
    <w:rsid w:val="001E740C"/>
    <w:rsid w:val="001E78E5"/>
    <w:rsid w:val="001F1235"/>
    <w:rsid w:val="001F1CB3"/>
    <w:rsid w:val="001F2E5C"/>
    <w:rsid w:val="001F38B5"/>
    <w:rsid w:val="001F3F19"/>
    <w:rsid w:val="001F4081"/>
    <w:rsid w:val="001F5E80"/>
    <w:rsid w:val="001F7361"/>
    <w:rsid w:val="002011B0"/>
    <w:rsid w:val="00201328"/>
    <w:rsid w:val="00203181"/>
    <w:rsid w:val="00203783"/>
    <w:rsid w:val="0020385F"/>
    <w:rsid w:val="00206080"/>
    <w:rsid w:val="002068A0"/>
    <w:rsid w:val="00207021"/>
    <w:rsid w:val="0020732F"/>
    <w:rsid w:val="00207D00"/>
    <w:rsid w:val="002105C1"/>
    <w:rsid w:val="002116FD"/>
    <w:rsid w:val="00212569"/>
    <w:rsid w:val="00212B37"/>
    <w:rsid w:val="00213C83"/>
    <w:rsid w:val="00213EF5"/>
    <w:rsid w:val="00215680"/>
    <w:rsid w:val="00216447"/>
    <w:rsid w:val="00216BF5"/>
    <w:rsid w:val="00223778"/>
    <w:rsid w:val="00223B49"/>
    <w:rsid w:val="00223D5A"/>
    <w:rsid w:val="00224DD4"/>
    <w:rsid w:val="00225B8E"/>
    <w:rsid w:val="00227397"/>
    <w:rsid w:val="002278A0"/>
    <w:rsid w:val="002309CC"/>
    <w:rsid w:val="00231BA9"/>
    <w:rsid w:val="0023209F"/>
    <w:rsid w:val="00232F8A"/>
    <w:rsid w:val="00233C01"/>
    <w:rsid w:val="0023413C"/>
    <w:rsid w:val="002346F0"/>
    <w:rsid w:val="0023629D"/>
    <w:rsid w:val="00237255"/>
    <w:rsid w:val="002378D1"/>
    <w:rsid w:val="00237AB9"/>
    <w:rsid w:val="002424AF"/>
    <w:rsid w:val="00242D46"/>
    <w:rsid w:val="002439DC"/>
    <w:rsid w:val="002441D2"/>
    <w:rsid w:val="00244DC8"/>
    <w:rsid w:val="002458BA"/>
    <w:rsid w:val="00245CE9"/>
    <w:rsid w:val="0024636C"/>
    <w:rsid w:val="00247925"/>
    <w:rsid w:val="00250846"/>
    <w:rsid w:val="00251006"/>
    <w:rsid w:val="002510FB"/>
    <w:rsid w:val="002524D5"/>
    <w:rsid w:val="00253B1D"/>
    <w:rsid w:val="00254DCF"/>
    <w:rsid w:val="0025534B"/>
    <w:rsid w:val="00255B08"/>
    <w:rsid w:val="00255BB7"/>
    <w:rsid w:val="00257541"/>
    <w:rsid w:val="00257A39"/>
    <w:rsid w:val="00257AC4"/>
    <w:rsid w:val="00257BBE"/>
    <w:rsid w:val="00261EEF"/>
    <w:rsid w:val="00262A1A"/>
    <w:rsid w:val="00262A87"/>
    <w:rsid w:val="00264D26"/>
    <w:rsid w:val="00267418"/>
    <w:rsid w:val="00267642"/>
    <w:rsid w:val="00267AEA"/>
    <w:rsid w:val="002700E6"/>
    <w:rsid w:val="00270AD4"/>
    <w:rsid w:val="002726D9"/>
    <w:rsid w:val="0027294B"/>
    <w:rsid w:val="00272CFA"/>
    <w:rsid w:val="00273EB4"/>
    <w:rsid w:val="00273EEE"/>
    <w:rsid w:val="002743A9"/>
    <w:rsid w:val="00274682"/>
    <w:rsid w:val="00274E6A"/>
    <w:rsid w:val="00275158"/>
    <w:rsid w:val="00275C5A"/>
    <w:rsid w:val="00275EF3"/>
    <w:rsid w:val="0027693E"/>
    <w:rsid w:val="00277800"/>
    <w:rsid w:val="00281014"/>
    <w:rsid w:val="00282FBB"/>
    <w:rsid w:val="002831D0"/>
    <w:rsid w:val="002846D2"/>
    <w:rsid w:val="00285BCE"/>
    <w:rsid w:val="0028665D"/>
    <w:rsid w:val="00286D63"/>
    <w:rsid w:val="00287768"/>
    <w:rsid w:val="00287C52"/>
    <w:rsid w:val="0029127D"/>
    <w:rsid w:val="002945D0"/>
    <w:rsid w:val="002947E0"/>
    <w:rsid w:val="00296B37"/>
    <w:rsid w:val="00297D15"/>
    <w:rsid w:val="002A14AB"/>
    <w:rsid w:val="002A2ADE"/>
    <w:rsid w:val="002A2E08"/>
    <w:rsid w:val="002A2F50"/>
    <w:rsid w:val="002A4EF2"/>
    <w:rsid w:val="002A5274"/>
    <w:rsid w:val="002A5BDF"/>
    <w:rsid w:val="002A7943"/>
    <w:rsid w:val="002B05A1"/>
    <w:rsid w:val="002B09A4"/>
    <w:rsid w:val="002B1C1F"/>
    <w:rsid w:val="002B35AF"/>
    <w:rsid w:val="002B432F"/>
    <w:rsid w:val="002B5F00"/>
    <w:rsid w:val="002B62B3"/>
    <w:rsid w:val="002B6754"/>
    <w:rsid w:val="002B6850"/>
    <w:rsid w:val="002B6CCE"/>
    <w:rsid w:val="002C0D93"/>
    <w:rsid w:val="002C230D"/>
    <w:rsid w:val="002C2510"/>
    <w:rsid w:val="002C2619"/>
    <w:rsid w:val="002C2775"/>
    <w:rsid w:val="002C27C1"/>
    <w:rsid w:val="002C36E3"/>
    <w:rsid w:val="002C3E6B"/>
    <w:rsid w:val="002C4BA7"/>
    <w:rsid w:val="002C5099"/>
    <w:rsid w:val="002C5889"/>
    <w:rsid w:val="002C685F"/>
    <w:rsid w:val="002C71CE"/>
    <w:rsid w:val="002C73DC"/>
    <w:rsid w:val="002C76E9"/>
    <w:rsid w:val="002D08F8"/>
    <w:rsid w:val="002D1B88"/>
    <w:rsid w:val="002D2F7C"/>
    <w:rsid w:val="002D30E6"/>
    <w:rsid w:val="002D3A7E"/>
    <w:rsid w:val="002D5639"/>
    <w:rsid w:val="002D577C"/>
    <w:rsid w:val="002D7832"/>
    <w:rsid w:val="002E1071"/>
    <w:rsid w:val="002E15B9"/>
    <w:rsid w:val="002E1D40"/>
    <w:rsid w:val="002E2158"/>
    <w:rsid w:val="002E4492"/>
    <w:rsid w:val="002E4F02"/>
    <w:rsid w:val="002E71F1"/>
    <w:rsid w:val="002E7722"/>
    <w:rsid w:val="002F07BA"/>
    <w:rsid w:val="002F0DA9"/>
    <w:rsid w:val="002F1014"/>
    <w:rsid w:val="002F1E3B"/>
    <w:rsid w:val="002F221F"/>
    <w:rsid w:val="002F25EB"/>
    <w:rsid w:val="002F3671"/>
    <w:rsid w:val="002F643C"/>
    <w:rsid w:val="002F71C0"/>
    <w:rsid w:val="002F74F1"/>
    <w:rsid w:val="00300F0D"/>
    <w:rsid w:val="00301017"/>
    <w:rsid w:val="003012C1"/>
    <w:rsid w:val="0030155F"/>
    <w:rsid w:val="003057DA"/>
    <w:rsid w:val="0030587B"/>
    <w:rsid w:val="00306D98"/>
    <w:rsid w:val="0030786C"/>
    <w:rsid w:val="0031031A"/>
    <w:rsid w:val="00310981"/>
    <w:rsid w:val="00311D9B"/>
    <w:rsid w:val="003124D9"/>
    <w:rsid w:val="00312594"/>
    <w:rsid w:val="00312ACF"/>
    <w:rsid w:val="00312AF8"/>
    <w:rsid w:val="00315498"/>
    <w:rsid w:val="00315787"/>
    <w:rsid w:val="00316474"/>
    <w:rsid w:val="00317E5D"/>
    <w:rsid w:val="003211EE"/>
    <w:rsid w:val="0032199F"/>
    <w:rsid w:val="00322107"/>
    <w:rsid w:val="00322355"/>
    <w:rsid w:val="00322846"/>
    <w:rsid w:val="00325332"/>
    <w:rsid w:val="00326DA7"/>
    <w:rsid w:val="003270E4"/>
    <w:rsid w:val="00330988"/>
    <w:rsid w:val="00330B4C"/>
    <w:rsid w:val="00330DAA"/>
    <w:rsid w:val="00330F5C"/>
    <w:rsid w:val="00333704"/>
    <w:rsid w:val="00334859"/>
    <w:rsid w:val="00334D94"/>
    <w:rsid w:val="003366C9"/>
    <w:rsid w:val="003371B0"/>
    <w:rsid w:val="00337CC8"/>
    <w:rsid w:val="00340DF1"/>
    <w:rsid w:val="00340EC7"/>
    <w:rsid w:val="003414C1"/>
    <w:rsid w:val="003421A5"/>
    <w:rsid w:val="00342442"/>
    <w:rsid w:val="00342C67"/>
    <w:rsid w:val="00343559"/>
    <w:rsid w:val="00344D73"/>
    <w:rsid w:val="003517F9"/>
    <w:rsid w:val="00351BA9"/>
    <w:rsid w:val="00351D4D"/>
    <w:rsid w:val="00353464"/>
    <w:rsid w:val="00354544"/>
    <w:rsid w:val="00354F64"/>
    <w:rsid w:val="0035620E"/>
    <w:rsid w:val="003564F9"/>
    <w:rsid w:val="003568C9"/>
    <w:rsid w:val="003575BE"/>
    <w:rsid w:val="00360345"/>
    <w:rsid w:val="00360DF2"/>
    <w:rsid w:val="003615E8"/>
    <w:rsid w:val="00361A05"/>
    <w:rsid w:val="003624C4"/>
    <w:rsid w:val="003633E5"/>
    <w:rsid w:val="00363B00"/>
    <w:rsid w:val="00363B6C"/>
    <w:rsid w:val="003654AC"/>
    <w:rsid w:val="00370B52"/>
    <w:rsid w:val="003710CF"/>
    <w:rsid w:val="003730CD"/>
    <w:rsid w:val="0037358A"/>
    <w:rsid w:val="00374B2C"/>
    <w:rsid w:val="00374C0C"/>
    <w:rsid w:val="003750F6"/>
    <w:rsid w:val="00375A0E"/>
    <w:rsid w:val="003760FC"/>
    <w:rsid w:val="003770FB"/>
    <w:rsid w:val="003829BE"/>
    <w:rsid w:val="0038365C"/>
    <w:rsid w:val="0038369B"/>
    <w:rsid w:val="00383B78"/>
    <w:rsid w:val="00385A9D"/>
    <w:rsid w:val="00387121"/>
    <w:rsid w:val="003902B1"/>
    <w:rsid w:val="0039179C"/>
    <w:rsid w:val="00392316"/>
    <w:rsid w:val="003945F4"/>
    <w:rsid w:val="00396896"/>
    <w:rsid w:val="00396FD0"/>
    <w:rsid w:val="003970ED"/>
    <w:rsid w:val="00397E8B"/>
    <w:rsid w:val="003A15FE"/>
    <w:rsid w:val="003A1A7A"/>
    <w:rsid w:val="003A2392"/>
    <w:rsid w:val="003A2831"/>
    <w:rsid w:val="003A28DF"/>
    <w:rsid w:val="003A3CB6"/>
    <w:rsid w:val="003A3ED1"/>
    <w:rsid w:val="003A44DB"/>
    <w:rsid w:val="003A4C14"/>
    <w:rsid w:val="003A4EC5"/>
    <w:rsid w:val="003A56F2"/>
    <w:rsid w:val="003B1117"/>
    <w:rsid w:val="003B25E3"/>
    <w:rsid w:val="003B3971"/>
    <w:rsid w:val="003B55D1"/>
    <w:rsid w:val="003B59BC"/>
    <w:rsid w:val="003B5B61"/>
    <w:rsid w:val="003B5E59"/>
    <w:rsid w:val="003B6597"/>
    <w:rsid w:val="003C049F"/>
    <w:rsid w:val="003C1654"/>
    <w:rsid w:val="003C183B"/>
    <w:rsid w:val="003C5542"/>
    <w:rsid w:val="003C571A"/>
    <w:rsid w:val="003C7C15"/>
    <w:rsid w:val="003C7D19"/>
    <w:rsid w:val="003C7D2F"/>
    <w:rsid w:val="003D0C5A"/>
    <w:rsid w:val="003D1828"/>
    <w:rsid w:val="003D1DE4"/>
    <w:rsid w:val="003D1E9A"/>
    <w:rsid w:val="003D2422"/>
    <w:rsid w:val="003D28DC"/>
    <w:rsid w:val="003D39A1"/>
    <w:rsid w:val="003D3FBF"/>
    <w:rsid w:val="003D4A30"/>
    <w:rsid w:val="003D4D2F"/>
    <w:rsid w:val="003D7452"/>
    <w:rsid w:val="003D79BB"/>
    <w:rsid w:val="003D7C98"/>
    <w:rsid w:val="003D7D9D"/>
    <w:rsid w:val="003E0543"/>
    <w:rsid w:val="003E1788"/>
    <w:rsid w:val="003E1BA9"/>
    <w:rsid w:val="003E2495"/>
    <w:rsid w:val="003E2FF9"/>
    <w:rsid w:val="003E5603"/>
    <w:rsid w:val="003E749E"/>
    <w:rsid w:val="003F2806"/>
    <w:rsid w:val="003F4156"/>
    <w:rsid w:val="003F47B1"/>
    <w:rsid w:val="003F5ADF"/>
    <w:rsid w:val="003F7454"/>
    <w:rsid w:val="003F7EBC"/>
    <w:rsid w:val="004000AF"/>
    <w:rsid w:val="00400B29"/>
    <w:rsid w:val="004017D4"/>
    <w:rsid w:val="00402790"/>
    <w:rsid w:val="00402812"/>
    <w:rsid w:val="00402C90"/>
    <w:rsid w:val="00403651"/>
    <w:rsid w:val="00403738"/>
    <w:rsid w:val="004044FC"/>
    <w:rsid w:val="00404ACF"/>
    <w:rsid w:val="00404DD3"/>
    <w:rsid w:val="0040504B"/>
    <w:rsid w:val="004059F4"/>
    <w:rsid w:val="0040661D"/>
    <w:rsid w:val="00407FE5"/>
    <w:rsid w:val="004101B0"/>
    <w:rsid w:val="00410326"/>
    <w:rsid w:val="00410708"/>
    <w:rsid w:val="00410EC7"/>
    <w:rsid w:val="00411B39"/>
    <w:rsid w:val="00411E11"/>
    <w:rsid w:val="004127A7"/>
    <w:rsid w:val="00412859"/>
    <w:rsid w:val="00413A1E"/>
    <w:rsid w:val="00414476"/>
    <w:rsid w:val="00414C2E"/>
    <w:rsid w:val="004151CF"/>
    <w:rsid w:val="00415A2E"/>
    <w:rsid w:val="00415F9C"/>
    <w:rsid w:val="00416364"/>
    <w:rsid w:val="0042047F"/>
    <w:rsid w:val="00420978"/>
    <w:rsid w:val="00420AA6"/>
    <w:rsid w:val="00420B9F"/>
    <w:rsid w:val="0042192C"/>
    <w:rsid w:val="00422260"/>
    <w:rsid w:val="0042413F"/>
    <w:rsid w:val="004319F8"/>
    <w:rsid w:val="00431E55"/>
    <w:rsid w:val="004321F6"/>
    <w:rsid w:val="0043223D"/>
    <w:rsid w:val="00433044"/>
    <w:rsid w:val="00433A15"/>
    <w:rsid w:val="00434088"/>
    <w:rsid w:val="004375B9"/>
    <w:rsid w:val="00440FB7"/>
    <w:rsid w:val="004428D0"/>
    <w:rsid w:val="00442DBB"/>
    <w:rsid w:val="00444185"/>
    <w:rsid w:val="004443A7"/>
    <w:rsid w:val="0044442C"/>
    <w:rsid w:val="00445941"/>
    <w:rsid w:val="00445A8A"/>
    <w:rsid w:val="004464EB"/>
    <w:rsid w:val="00447D26"/>
    <w:rsid w:val="00447DFC"/>
    <w:rsid w:val="00454171"/>
    <w:rsid w:val="00455D45"/>
    <w:rsid w:val="004566E2"/>
    <w:rsid w:val="00456CC7"/>
    <w:rsid w:val="00456D7A"/>
    <w:rsid w:val="004601C9"/>
    <w:rsid w:val="00464595"/>
    <w:rsid w:val="004658B5"/>
    <w:rsid w:val="00467E3E"/>
    <w:rsid w:val="00471EA5"/>
    <w:rsid w:val="00472A79"/>
    <w:rsid w:val="00473F19"/>
    <w:rsid w:val="00475E22"/>
    <w:rsid w:val="00480560"/>
    <w:rsid w:val="0048088E"/>
    <w:rsid w:val="00480F2B"/>
    <w:rsid w:val="00482720"/>
    <w:rsid w:val="00482EB9"/>
    <w:rsid w:val="004835E7"/>
    <w:rsid w:val="00483E12"/>
    <w:rsid w:val="0048454B"/>
    <w:rsid w:val="00484EBA"/>
    <w:rsid w:val="0048554F"/>
    <w:rsid w:val="004859E1"/>
    <w:rsid w:val="00485E14"/>
    <w:rsid w:val="004867E2"/>
    <w:rsid w:val="00490B17"/>
    <w:rsid w:val="00491B3A"/>
    <w:rsid w:val="00491DA4"/>
    <w:rsid w:val="004929FF"/>
    <w:rsid w:val="00492CFD"/>
    <w:rsid w:val="00494207"/>
    <w:rsid w:val="00494DD5"/>
    <w:rsid w:val="004962D2"/>
    <w:rsid w:val="004A0DA1"/>
    <w:rsid w:val="004A13D6"/>
    <w:rsid w:val="004A3799"/>
    <w:rsid w:val="004A52E9"/>
    <w:rsid w:val="004A6040"/>
    <w:rsid w:val="004A6237"/>
    <w:rsid w:val="004A6597"/>
    <w:rsid w:val="004A7848"/>
    <w:rsid w:val="004A793B"/>
    <w:rsid w:val="004B0617"/>
    <w:rsid w:val="004B1CB4"/>
    <w:rsid w:val="004B2F18"/>
    <w:rsid w:val="004B33B7"/>
    <w:rsid w:val="004B3DDB"/>
    <w:rsid w:val="004B44FD"/>
    <w:rsid w:val="004B5CFC"/>
    <w:rsid w:val="004B6F79"/>
    <w:rsid w:val="004B774D"/>
    <w:rsid w:val="004C2AC2"/>
    <w:rsid w:val="004C2DB4"/>
    <w:rsid w:val="004C4AED"/>
    <w:rsid w:val="004D2C2D"/>
    <w:rsid w:val="004D69B5"/>
    <w:rsid w:val="004D7227"/>
    <w:rsid w:val="004D7B5E"/>
    <w:rsid w:val="004E0E7F"/>
    <w:rsid w:val="004E0EB8"/>
    <w:rsid w:val="004E0FD6"/>
    <w:rsid w:val="004E18E9"/>
    <w:rsid w:val="004E2ADC"/>
    <w:rsid w:val="004E321E"/>
    <w:rsid w:val="004E3791"/>
    <w:rsid w:val="004E43B2"/>
    <w:rsid w:val="004E4DE4"/>
    <w:rsid w:val="004F0776"/>
    <w:rsid w:val="004F1732"/>
    <w:rsid w:val="004F1D02"/>
    <w:rsid w:val="004F2679"/>
    <w:rsid w:val="004F2F21"/>
    <w:rsid w:val="004F3DE5"/>
    <w:rsid w:val="004F56F1"/>
    <w:rsid w:val="004F5C9F"/>
    <w:rsid w:val="004F6913"/>
    <w:rsid w:val="004F7865"/>
    <w:rsid w:val="005006BA"/>
    <w:rsid w:val="0050174E"/>
    <w:rsid w:val="00501854"/>
    <w:rsid w:val="00501C1B"/>
    <w:rsid w:val="0050219B"/>
    <w:rsid w:val="00503F17"/>
    <w:rsid w:val="00503F3A"/>
    <w:rsid w:val="00506928"/>
    <w:rsid w:val="005077EF"/>
    <w:rsid w:val="00507FAF"/>
    <w:rsid w:val="00510121"/>
    <w:rsid w:val="005107C4"/>
    <w:rsid w:val="00511AD5"/>
    <w:rsid w:val="00511DC7"/>
    <w:rsid w:val="0051209E"/>
    <w:rsid w:val="005142C5"/>
    <w:rsid w:val="005145A4"/>
    <w:rsid w:val="0051501B"/>
    <w:rsid w:val="005152B5"/>
    <w:rsid w:val="00515886"/>
    <w:rsid w:val="0052111C"/>
    <w:rsid w:val="0052123C"/>
    <w:rsid w:val="00521319"/>
    <w:rsid w:val="0052195B"/>
    <w:rsid w:val="00522515"/>
    <w:rsid w:val="00522BC8"/>
    <w:rsid w:val="00523C28"/>
    <w:rsid w:val="00525CE7"/>
    <w:rsid w:val="0052662E"/>
    <w:rsid w:val="00527012"/>
    <w:rsid w:val="00527EAF"/>
    <w:rsid w:val="00530D72"/>
    <w:rsid w:val="00530DC0"/>
    <w:rsid w:val="0053176B"/>
    <w:rsid w:val="00532A48"/>
    <w:rsid w:val="005341B3"/>
    <w:rsid w:val="005350F7"/>
    <w:rsid w:val="00535E34"/>
    <w:rsid w:val="00536F42"/>
    <w:rsid w:val="00537182"/>
    <w:rsid w:val="0054042C"/>
    <w:rsid w:val="005406E3"/>
    <w:rsid w:val="00540B85"/>
    <w:rsid w:val="00541EDD"/>
    <w:rsid w:val="00542203"/>
    <w:rsid w:val="00542743"/>
    <w:rsid w:val="00542C2D"/>
    <w:rsid w:val="005478BD"/>
    <w:rsid w:val="005479E3"/>
    <w:rsid w:val="00550FA1"/>
    <w:rsid w:val="00551985"/>
    <w:rsid w:val="00551F79"/>
    <w:rsid w:val="005527CE"/>
    <w:rsid w:val="00552AFA"/>
    <w:rsid w:val="00552BD3"/>
    <w:rsid w:val="005532A0"/>
    <w:rsid w:val="0055354B"/>
    <w:rsid w:val="00555109"/>
    <w:rsid w:val="00556B13"/>
    <w:rsid w:val="00556B35"/>
    <w:rsid w:val="0055741A"/>
    <w:rsid w:val="00557ECC"/>
    <w:rsid w:val="005611B7"/>
    <w:rsid w:val="005616F1"/>
    <w:rsid w:val="005618D4"/>
    <w:rsid w:val="00562A4E"/>
    <w:rsid w:val="00562EDC"/>
    <w:rsid w:val="005638C4"/>
    <w:rsid w:val="00563FD9"/>
    <w:rsid w:val="0056404B"/>
    <w:rsid w:val="00564867"/>
    <w:rsid w:val="00564EE3"/>
    <w:rsid w:val="00565C79"/>
    <w:rsid w:val="00565DF0"/>
    <w:rsid w:val="0056696F"/>
    <w:rsid w:val="00567D1C"/>
    <w:rsid w:val="005704DE"/>
    <w:rsid w:val="00572269"/>
    <w:rsid w:val="0057244A"/>
    <w:rsid w:val="00572F26"/>
    <w:rsid w:val="005750C5"/>
    <w:rsid w:val="005752DE"/>
    <w:rsid w:val="005753E0"/>
    <w:rsid w:val="00575D60"/>
    <w:rsid w:val="00575D8D"/>
    <w:rsid w:val="00576972"/>
    <w:rsid w:val="00576ECE"/>
    <w:rsid w:val="00577248"/>
    <w:rsid w:val="00582A83"/>
    <w:rsid w:val="00583699"/>
    <w:rsid w:val="00585CDD"/>
    <w:rsid w:val="00587058"/>
    <w:rsid w:val="00591957"/>
    <w:rsid w:val="00592A15"/>
    <w:rsid w:val="00593BE9"/>
    <w:rsid w:val="005957F9"/>
    <w:rsid w:val="00596887"/>
    <w:rsid w:val="00597BF9"/>
    <w:rsid w:val="005A0C11"/>
    <w:rsid w:val="005A309A"/>
    <w:rsid w:val="005A373D"/>
    <w:rsid w:val="005A704C"/>
    <w:rsid w:val="005B0B58"/>
    <w:rsid w:val="005B0D3A"/>
    <w:rsid w:val="005B2100"/>
    <w:rsid w:val="005B4875"/>
    <w:rsid w:val="005B4E53"/>
    <w:rsid w:val="005B5857"/>
    <w:rsid w:val="005B718D"/>
    <w:rsid w:val="005C19C4"/>
    <w:rsid w:val="005C1B83"/>
    <w:rsid w:val="005C25FF"/>
    <w:rsid w:val="005C2D55"/>
    <w:rsid w:val="005C346B"/>
    <w:rsid w:val="005C5ABC"/>
    <w:rsid w:val="005D044D"/>
    <w:rsid w:val="005D0880"/>
    <w:rsid w:val="005D0ABD"/>
    <w:rsid w:val="005D18AD"/>
    <w:rsid w:val="005D26B4"/>
    <w:rsid w:val="005D2764"/>
    <w:rsid w:val="005D2EC3"/>
    <w:rsid w:val="005D37F5"/>
    <w:rsid w:val="005D576B"/>
    <w:rsid w:val="005E1995"/>
    <w:rsid w:val="005E6CBC"/>
    <w:rsid w:val="005E72FF"/>
    <w:rsid w:val="005E73C0"/>
    <w:rsid w:val="005F0728"/>
    <w:rsid w:val="005F07ED"/>
    <w:rsid w:val="005F2706"/>
    <w:rsid w:val="005F3EFA"/>
    <w:rsid w:val="005F6A8F"/>
    <w:rsid w:val="005F6BB7"/>
    <w:rsid w:val="005F7588"/>
    <w:rsid w:val="005F7CE8"/>
    <w:rsid w:val="00603DB9"/>
    <w:rsid w:val="00605E90"/>
    <w:rsid w:val="00606FBA"/>
    <w:rsid w:val="00607669"/>
    <w:rsid w:val="006076F4"/>
    <w:rsid w:val="00607AFD"/>
    <w:rsid w:val="00611B12"/>
    <w:rsid w:val="00612F97"/>
    <w:rsid w:val="0061345D"/>
    <w:rsid w:val="0061549B"/>
    <w:rsid w:val="00616802"/>
    <w:rsid w:val="006174DE"/>
    <w:rsid w:val="006174F3"/>
    <w:rsid w:val="00617E12"/>
    <w:rsid w:val="00617F8E"/>
    <w:rsid w:val="00620C25"/>
    <w:rsid w:val="00621477"/>
    <w:rsid w:val="00621ADA"/>
    <w:rsid w:val="00623222"/>
    <w:rsid w:val="00623F7B"/>
    <w:rsid w:val="00624BD4"/>
    <w:rsid w:val="00625123"/>
    <w:rsid w:val="006255F7"/>
    <w:rsid w:val="006274B7"/>
    <w:rsid w:val="006277DC"/>
    <w:rsid w:val="0063158F"/>
    <w:rsid w:val="00631D6B"/>
    <w:rsid w:val="00632183"/>
    <w:rsid w:val="006330A1"/>
    <w:rsid w:val="00633650"/>
    <w:rsid w:val="0063479F"/>
    <w:rsid w:val="006353F0"/>
    <w:rsid w:val="006357B5"/>
    <w:rsid w:val="006364A1"/>
    <w:rsid w:val="0063678E"/>
    <w:rsid w:val="00637BFD"/>
    <w:rsid w:val="00637C5C"/>
    <w:rsid w:val="00641C4E"/>
    <w:rsid w:val="00641FB3"/>
    <w:rsid w:val="006441FA"/>
    <w:rsid w:val="0064434C"/>
    <w:rsid w:val="00646D3B"/>
    <w:rsid w:val="006471CC"/>
    <w:rsid w:val="006472FE"/>
    <w:rsid w:val="00647A29"/>
    <w:rsid w:val="0065079F"/>
    <w:rsid w:val="00651FA6"/>
    <w:rsid w:val="00652A28"/>
    <w:rsid w:val="00653502"/>
    <w:rsid w:val="00653520"/>
    <w:rsid w:val="0065379F"/>
    <w:rsid w:val="00653CA9"/>
    <w:rsid w:val="006554CE"/>
    <w:rsid w:val="00655546"/>
    <w:rsid w:val="00655BCE"/>
    <w:rsid w:val="00656188"/>
    <w:rsid w:val="0065715A"/>
    <w:rsid w:val="006610F1"/>
    <w:rsid w:val="00661626"/>
    <w:rsid w:val="00661C6B"/>
    <w:rsid w:val="00662D12"/>
    <w:rsid w:val="00662D3E"/>
    <w:rsid w:val="006645D7"/>
    <w:rsid w:val="0066580E"/>
    <w:rsid w:val="00667BE3"/>
    <w:rsid w:val="00671004"/>
    <w:rsid w:val="00672646"/>
    <w:rsid w:val="00674E42"/>
    <w:rsid w:val="00676563"/>
    <w:rsid w:val="00677783"/>
    <w:rsid w:val="00681035"/>
    <w:rsid w:val="006813F8"/>
    <w:rsid w:val="00682112"/>
    <w:rsid w:val="00682BA6"/>
    <w:rsid w:val="00683274"/>
    <w:rsid w:val="00686286"/>
    <w:rsid w:val="00686791"/>
    <w:rsid w:val="00686957"/>
    <w:rsid w:val="0068707D"/>
    <w:rsid w:val="006872BA"/>
    <w:rsid w:val="00690795"/>
    <w:rsid w:val="00690961"/>
    <w:rsid w:val="0069143F"/>
    <w:rsid w:val="00691648"/>
    <w:rsid w:val="006917D7"/>
    <w:rsid w:val="0069434C"/>
    <w:rsid w:val="00694DBE"/>
    <w:rsid w:val="00694F44"/>
    <w:rsid w:val="00696AA1"/>
    <w:rsid w:val="00696EF9"/>
    <w:rsid w:val="00696F51"/>
    <w:rsid w:val="006979A5"/>
    <w:rsid w:val="00697B92"/>
    <w:rsid w:val="006A016F"/>
    <w:rsid w:val="006A0CA9"/>
    <w:rsid w:val="006A0DF7"/>
    <w:rsid w:val="006A4321"/>
    <w:rsid w:val="006A43D9"/>
    <w:rsid w:val="006A4419"/>
    <w:rsid w:val="006A64F4"/>
    <w:rsid w:val="006A6B99"/>
    <w:rsid w:val="006A7690"/>
    <w:rsid w:val="006A7E5F"/>
    <w:rsid w:val="006B103A"/>
    <w:rsid w:val="006B261B"/>
    <w:rsid w:val="006B2C90"/>
    <w:rsid w:val="006B35E6"/>
    <w:rsid w:val="006B465A"/>
    <w:rsid w:val="006B5063"/>
    <w:rsid w:val="006B5B82"/>
    <w:rsid w:val="006B5DD1"/>
    <w:rsid w:val="006B6DD0"/>
    <w:rsid w:val="006B77C2"/>
    <w:rsid w:val="006C007A"/>
    <w:rsid w:val="006C0399"/>
    <w:rsid w:val="006C2A8E"/>
    <w:rsid w:val="006C2B5B"/>
    <w:rsid w:val="006C3255"/>
    <w:rsid w:val="006C3F26"/>
    <w:rsid w:val="006C73BA"/>
    <w:rsid w:val="006D0D17"/>
    <w:rsid w:val="006D12F9"/>
    <w:rsid w:val="006D3C7D"/>
    <w:rsid w:val="006D4659"/>
    <w:rsid w:val="006D5D5F"/>
    <w:rsid w:val="006D68FB"/>
    <w:rsid w:val="006D7FD7"/>
    <w:rsid w:val="006E015C"/>
    <w:rsid w:val="006E2868"/>
    <w:rsid w:val="006E74E9"/>
    <w:rsid w:val="006F306C"/>
    <w:rsid w:val="006F63A5"/>
    <w:rsid w:val="006F6A57"/>
    <w:rsid w:val="0070142B"/>
    <w:rsid w:val="0070276E"/>
    <w:rsid w:val="00702B83"/>
    <w:rsid w:val="00702D6A"/>
    <w:rsid w:val="00702F8F"/>
    <w:rsid w:val="00707780"/>
    <w:rsid w:val="007079FC"/>
    <w:rsid w:val="007117A7"/>
    <w:rsid w:val="0071192E"/>
    <w:rsid w:val="00711977"/>
    <w:rsid w:val="00711A36"/>
    <w:rsid w:val="007120C4"/>
    <w:rsid w:val="007125D3"/>
    <w:rsid w:val="007135DC"/>
    <w:rsid w:val="007135EA"/>
    <w:rsid w:val="00714C26"/>
    <w:rsid w:val="0071529C"/>
    <w:rsid w:val="00716E59"/>
    <w:rsid w:val="0071704D"/>
    <w:rsid w:val="007170DA"/>
    <w:rsid w:val="007172AD"/>
    <w:rsid w:val="00717546"/>
    <w:rsid w:val="00720801"/>
    <w:rsid w:val="0072218C"/>
    <w:rsid w:val="00722B1B"/>
    <w:rsid w:val="00723B50"/>
    <w:rsid w:val="00723FA1"/>
    <w:rsid w:val="0072416F"/>
    <w:rsid w:val="00727C94"/>
    <w:rsid w:val="00730F0D"/>
    <w:rsid w:val="00731B0A"/>
    <w:rsid w:val="00731EAE"/>
    <w:rsid w:val="00732129"/>
    <w:rsid w:val="00733073"/>
    <w:rsid w:val="00735033"/>
    <w:rsid w:val="00735328"/>
    <w:rsid w:val="00735569"/>
    <w:rsid w:val="0073685B"/>
    <w:rsid w:val="00741D12"/>
    <w:rsid w:val="00744967"/>
    <w:rsid w:val="007449BF"/>
    <w:rsid w:val="00745FF3"/>
    <w:rsid w:val="007463FE"/>
    <w:rsid w:val="00746BC0"/>
    <w:rsid w:val="007510B4"/>
    <w:rsid w:val="00752142"/>
    <w:rsid w:val="007523F9"/>
    <w:rsid w:val="0075357E"/>
    <w:rsid w:val="00753B29"/>
    <w:rsid w:val="00754E6A"/>
    <w:rsid w:val="007573E8"/>
    <w:rsid w:val="007574C6"/>
    <w:rsid w:val="00760C4E"/>
    <w:rsid w:val="00760F9E"/>
    <w:rsid w:val="007616E6"/>
    <w:rsid w:val="007627BE"/>
    <w:rsid w:val="00762AD2"/>
    <w:rsid w:val="00764F03"/>
    <w:rsid w:val="0076583B"/>
    <w:rsid w:val="00765B1A"/>
    <w:rsid w:val="00765DC1"/>
    <w:rsid w:val="007768C0"/>
    <w:rsid w:val="00777335"/>
    <w:rsid w:val="00780A49"/>
    <w:rsid w:val="007843F2"/>
    <w:rsid w:val="007846FA"/>
    <w:rsid w:val="00785396"/>
    <w:rsid w:val="00785A9F"/>
    <w:rsid w:val="007918E4"/>
    <w:rsid w:val="007925DF"/>
    <w:rsid w:val="00794981"/>
    <w:rsid w:val="00794D48"/>
    <w:rsid w:val="00795FCD"/>
    <w:rsid w:val="0079773B"/>
    <w:rsid w:val="00797AAE"/>
    <w:rsid w:val="007A08AA"/>
    <w:rsid w:val="007A0A12"/>
    <w:rsid w:val="007A10B7"/>
    <w:rsid w:val="007A132D"/>
    <w:rsid w:val="007A1345"/>
    <w:rsid w:val="007A2A68"/>
    <w:rsid w:val="007A2DDB"/>
    <w:rsid w:val="007A37CC"/>
    <w:rsid w:val="007A4119"/>
    <w:rsid w:val="007A5B15"/>
    <w:rsid w:val="007A61CF"/>
    <w:rsid w:val="007A6700"/>
    <w:rsid w:val="007A6C6D"/>
    <w:rsid w:val="007A70BA"/>
    <w:rsid w:val="007A75CB"/>
    <w:rsid w:val="007B0D68"/>
    <w:rsid w:val="007B1310"/>
    <w:rsid w:val="007B1F15"/>
    <w:rsid w:val="007B251D"/>
    <w:rsid w:val="007B3533"/>
    <w:rsid w:val="007B3E3A"/>
    <w:rsid w:val="007B46EF"/>
    <w:rsid w:val="007B4F58"/>
    <w:rsid w:val="007B528D"/>
    <w:rsid w:val="007B63CA"/>
    <w:rsid w:val="007B72F9"/>
    <w:rsid w:val="007B77D1"/>
    <w:rsid w:val="007C07C7"/>
    <w:rsid w:val="007C0BF9"/>
    <w:rsid w:val="007C1CD9"/>
    <w:rsid w:val="007C32EF"/>
    <w:rsid w:val="007C361D"/>
    <w:rsid w:val="007C4B84"/>
    <w:rsid w:val="007C70FF"/>
    <w:rsid w:val="007C7C25"/>
    <w:rsid w:val="007D004F"/>
    <w:rsid w:val="007D035F"/>
    <w:rsid w:val="007D06B2"/>
    <w:rsid w:val="007D0B38"/>
    <w:rsid w:val="007D1C9E"/>
    <w:rsid w:val="007D1F58"/>
    <w:rsid w:val="007D5440"/>
    <w:rsid w:val="007D69EB"/>
    <w:rsid w:val="007D7D40"/>
    <w:rsid w:val="007E128F"/>
    <w:rsid w:val="007E3242"/>
    <w:rsid w:val="007F1017"/>
    <w:rsid w:val="007F1064"/>
    <w:rsid w:val="007F2766"/>
    <w:rsid w:val="007F2B15"/>
    <w:rsid w:val="007F3DCD"/>
    <w:rsid w:val="007F4A3F"/>
    <w:rsid w:val="007F4A61"/>
    <w:rsid w:val="007F5255"/>
    <w:rsid w:val="007F56CC"/>
    <w:rsid w:val="007F61C2"/>
    <w:rsid w:val="007F6305"/>
    <w:rsid w:val="00801B0D"/>
    <w:rsid w:val="00801F09"/>
    <w:rsid w:val="0080254A"/>
    <w:rsid w:val="00805142"/>
    <w:rsid w:val="00805FCE"/>
    <w:rsid w:val="00807A8B"/>
    <w:rsid w:val="0081094C"/>
    <w:rsid w:val="00811383"/>
    <w:rsid w:val="00811B9B"/>
    <w:rsid w:val="00812149"/>
    <w:rsid w:val="00812CAC"/>
    <w:rsid w:val="0081421C"/>
    <w:rsid w:val="00816361"/>
    <w:rsid w:val="008166EF"/>
    <w:rsid w:val="00816CD3"/>
    <w:rsid w:val="00816FEF"/>
    <w:rsid w:val="00820A8C"/>
    <w:rsid w:val="008215FB"/>
    <w:rsid w:val="008220CC"/>
    <w:rsid w:val="00823174"/>
    <w:rsid w:val="00824492"/>
    <w:rsid w:val="0082504A"/>
    <w:rsid w:val="00825751"/>
    <w:rsid w:val="008264EB"/>
    <w:rsid w:val="00826862"/>
    <w:rsid w:val="008268CE"/>
    <w:rsid w:val="00826BB1"/>
    <w:rsid w:val="00827C23"/>
    <w:rsid w:val="00827DFF"/>
    <w:rsid w:val="00831D1D"/>
    <w:rsid w:val="008323CB"/>
    <w:rsid w:val="00832A58"/>
    <w:rsid w:val="00833B05"/>
    <w:rsid w:val="008362B4"/>
    <w:rsid w:val="00840CA2"/>
    <w:rsid w:val="00841E95"/>
    <w:rsid w:val="0084374F"/>
    <w:rsid w:val="00844A22"/>
    <w:rsid w:val="00847703"/>
    <w:rsid w:val="00847DF5"/>
    <w:rsid w:val="008523C0"/>
    <w:rsid w:val="0085309D"/>
    <w:rsid w:val="00855757"/>
    <w:rsid w:val="00856897"/>
    <w:rsid w:val="008568AD"/>
    <w:rsid w:val="00856E0C"/>
    <w:rsid w:val="00856E9A"/>
    <w:rsid w:val="0086075D"/>
    <w:rsid w:val="00862502"/>
    <w:rsid w:val="00862CC1"/>
    <w:rsid w:val="008642A7"/>
    <w:rsid w:val="008660C7"/>
    <w:rsid w:val="008660D4"/>
    <w:rsid w:val="008667EB"/>
    <w:rsid w:val="00871FA9"/>
    <w:rsid w:val="008728D9"/>
    <w:rsid w:val="008728E9"/>
    <w:rsid w:val="00872A9C"/>
    <w:rsid w:val="00874BB6"/>
    <w:rsid w:val="00875260"/>
    <w:rsid w:val="00875B1C"/>
    <w:rsid w:val="00875B5C"/>
    <w:rsid w:val="00882874"/>
    <w:rsid w:val="00882E3C"/>
    <w:rsid w:val="0088308A"/>
    <w:rsid w:val="00883787"/>
    <w:rsid w:val="00883E1D"/>
    <w:rsid w:val="00884543"/>
    <w:rsid w:val="008855E4"/>
    <w:rsid w:val="00886CD2"/>
    <w:rsid w:val="008875E6"/>
    <w:rsid w:val="00890B8A"/>
    <w:rsid w:val="00891941"/>
    <w:rsid w:val="00891E6F"/>
    <w:rsid w:val="0089275D"/>
    <w:rsid w:val="00892A36"/>
    <w:rsid w:val="00893239"/>
    <w:rsid w:val="0089324D"/>
    <w:rsid w:val="00894489"/>
    <w:rsid w:val="00894CD6"/>
    <w:rsid w:val="0089502B"/>
    <w:rsid w:val="00895CA5"/>
    <w:rsid w:val="008963A5"/>
    <w:rsid w:val="00896D5D"/>
    <w:rsid w:val="00897FA1"/>
    <w:rsid w:val="008A0850"/>
    <w:rsid w:val="008A0C78"/>
    <w:rsid w:val="008A11CA"/>
    <w:rsid w:val="008A3158"/>
    <w:rsid w:val="008A3363"/>
    <w:rsid w:val="008A3371"/>
    <w:rsid w:val="008A3C3E"/>
    <w:rsid w:val="008A5850"/>
    <w:rsid w:val="008A79DE"/>
    <w:rsid w:val="008B1757"/>
    <w:rsid w:val="008B1C33"/>
    <w:rsid w:val="008B3486"/>
    <w:rsid w:val="008B3F17"/>
    <w:rsid w:val="008B457B"/>
    <w:rsid w:val="008B4B6F"/>
    <w:rsid w:val="008B594E"/>
    <w:rsid w:val="008B7992"/>
    <w:rsid w:val="008B7D7E"/>
    <w:rsid w:val="008C5610"/>
    <w:rsid w:val="008C5739"/>
    <w:rsid w:val="008C7282"/>
    <w:rsid w:val="008C7ECB"/>
    <w:rsid w:val="008D1DF1"/>
    <w:rsid w:val="008D29D6"/>
    <w:rsid w:val="008D3B86"/>
    <w:rsid w:val="008D43FD"/>
    <w:rsid w:val="008D4755"/>
    <w:rsid w:val="008D4C3D"/>
    <w:rsid w:val="008D63AA"/>
    <w:rsid w:val="008D743C"/>
    <w:rsid w:val="008E0D3C"/>
    <w:rsid w:val="008E1B9E"/>
    <w:rsid w:val="008E1EC9"/>
    <w:rsid w:val="008E3F79"/>
    <w:rsid w:val="008E55AB"/>
    <w:rsid w:val="008F0C19"/>
    <w:rsid w:val="008F120A"/>
    <w:rsid w:val="008F27E0"/>
    <w:rsid w:val="008F48EB"/>
    <w:rsid w:val="008F4F0B"/>
    <w:rsid w:val="008F5EB9"/>
    <w:rsid w:val="009046C4"/>
    <w:rsid w:val="00904821"/>
    <w:rsid w:val="009062A5"/>
    <w:rsid w:val="00907699"/>
    <w:rsid w:val="00907C1B"/>
    <w:rsid w:val="0091060B"/>
    <w:rsid w:val="00910DB1"/>
    <w:rsid w:val="00910FA7"/>
    <w:rsid w:val="00911272"/>
    <w:rsid w:val="00911339"/>
    <w:rsid w:val="009122EA"/>
    <w:rsid w:val="00912613"/>
    <w:rsid w:val="009135D6"/>
    <w:rsid w:val="00914C77"/>
    <w:rsid w:val="00920A53"/>
    <w:rsid w:val="00920FA3"/>
    <w:rsid w:val="00921ACB"/>
    <w:rsid w:val="00921B40"/>
    <w:rsid w:val="00921B58"/>
    <w:rsid w:val="00922A76"/>
    <w:rsid w:val="0092369B"/>
    <w:rsid w:val="00924B95"/>
    <w:rsid w:val="00927441"/>
    <w:rsid w:val="00931063"/>
    <w:rsid w:val="0093253D"/>
    <w:rsid w:val="00934093"/>
    <w:rsid w:val="00934988"/>
    <w:rsid w:val="00934FF3"/>
    <w:rsid w:val="00936E68"/>
    <w:rsid w:val="00937089"/>
    <w:rsid w:val="00940648"/>
    <w:rsid w:val="009448E1"/>
    <w:rsid w:val="00944F8A"/>
    <w:rsid w:val="00945E20"/>
    <w:rsid w:val="009510A2"/>
    <w:rsid w:val="00953257"/>
    <w:rsid w:val="0095367D"/>
    <w:rsid w:val="009538DE"/>
    <w:rsid w:val="0095474C"/>
    <w:rsid w:val="00957207"/>
    <w:rsid w:val="00957D92"/>
    <w:rsid w:val="009611D0"/>
    <w:rsid w:val="00962CB9"/>
    <w:rsid w:val="00964312"/>
    <w:rsid w:val="00964857"/>
    <w:rsid w:val="00965568"/>
    <w:rsid w:val="00965B8A"/>
    <w:rsid w:val="0097071F"/>
    <w:rsid w:val="00970DE3"/>
    <w:rsid w:val="009717AC"/>
    <w:rsid w:val="009720BB"/>
    <w:rsid w:val="009722A2"/>
    <w:rsid w:val="009751C1"/>
    <w:rsid w:val="00975796"/>
    <w:rsid w:val="00975C39"/>
    <w:rsid w:val="00975D38"/>
    <w:rsid w:val="009811F1"/>
    <w:rsid w:val="009812C5"/>
    <w:rsid w:val="00983E57"/>
    <w:rsid w:val="00985073"/>
    <w:rsid w:val="00985DE2"/>
    <w:rsid w:val="009862C0"/>
    <w:rsid w:val="0098675D"/>
    <w:rsid w:val="00987BA4"/>
    <w:rsid w:val="00990A22"/>
    <w:rsid w:val="009926E0"/>
    <w:rsid w:val="0099451E"/>
    <w:rsid w:val="00996B1A"/>
    <w:rsid w:val="009A0FFA"/>
    <w:rsid w:val="009A18F6"/>
    <w:rsid w:val="009A2DCC"/>
    <w:rsid w:val="009A3046"/>
    <w:rsid w:val="009A3582"/>
    <w:rsid w:val="009A4518"/>
    <w:rsid w:val="009A52AD"/>
    <w:rsid w:val="009A5662"/>
    <w:rsid w:val="009A5822"/>
    <w:rsid w:val="009A5ABC"/>
    <w:rsid w:val="009A6886"/>
    <w:rsid w:val="009A7DD4"/>
    <w:rsid w:val="009A7F10"/>
    <w:rsid w:val="009B3E26"/>
    <w:rsid w:val="009B6497"/>
    <w:rsid w:val="009C1271"/>
    <w:rsid w:val="009C3706"/>
    <w:rsid w:val="009C3A3A"/>
    <w:rsid w:val="009C5647"/>
    <w:rsid w:val="009C61E0"/>
    <w:rsid w:val="009C6CEA"/>
    <w:rsid w:val="009C7345"/>
    <w:rsid w:val="009C77A9"/>
    <w:rsid w:val="009C7B85"/>
    <w:rsid w:val="009D0254"/>
    <w:rsid w:val="009D15F0"/>
    <w:rsid w:val="009D1A64"/>
    <w:rsid w:val="009D4E53"/>
    <w:rsid w:val="009D4FAB"/>
    <w:rsid w:val="009D5B91"/>
    <w:rsid w:val="009D792E"/>
    <w:rsid w:val="009D796D"/>
    <w:rsid w:val="009E0DFE"/>
    <w:rsid w:val="009E31F6"/>
    <w:rsid w:val="009E3BC7"/>
    <w:rsid w:val="009E4C07"/>
    <w:rsid w:val="009E5748"/>
    <w:rsid w:val="009E6A67"/>
    <w:rsid w:val="009E777F"/>
    <w:rsid w:val="009F057E"/>
    <w:rsid w:val="009F4CE5"/>
    <w:rsid w:val="009F6120"/>
    <w:rsid w:val="00A00D76"/>
    <w:rsid w:val="00A01184"/>
    <w:rsid w:val="00A01449"/>
    <w:rsid w:val="00A01B97"/>
    <w:rsid w:val="00A037C2"/>
    <w:rsid w:val="00A03D43"/>
    <w:rsid w:val="00A04380"/>
    <w:rsid w:val="00A04786"/>
    <w:rsid w:val="00A05472"/>
    <w:rsid w:val="00A05C32"/>
    <w:rsid w:val="00A0653F"/>
    <w:rsid w:val="00A06F62"/>
    <w:rsid w:val="00A07377"/>
    <w:rsid w:val="00A07C38"/>
    <w:rsid w:val="00A11CD0"/>
    <w:rsid w:val="00A13948"/>
    <w:rsid w:val="00A1555B"/>
    <w:rsid w:val="00A155C5"/>
    <w:rsid w:val="00A15A07"/>
    <w:rsid w:val="00A16AD8"/>
    <w:rsid w:val="00A2021E"/>
    <w:rsid w:val="00A2040D"/>
    <w:rsid w:val="00A211D2"/>
    <w:rsid w:val="00A21C95"/>
    <w:rsid w:val="00A21CF3"/>
    <w:rsid w:val="00A228E4"/>
    <w:rsid w:val="00A22D16"/>
    <w:rsid w:val="00A23461"/>
    <w:rsid w:val="00A24813"/>
    <w:rsid w:val="00A254B2"/>
    <w:rsid w:val="00A25A3C"/>
    <w:rsid w:val="00A25F7D"/>
    <w:rsid w:val="00A27AEC"/>
    <w:rsid w:val="00A30937"/>
    <w:rsid w:val="00A3197E"/>
    <w:rsid w:val="00A320DB"/>
    <w:rsid w:val="00A35C31"/>
    <w:rsid w:val="00A35D16"/>
    <w:rsid w:val="00A37BCD"/>
    <w:rsid w:val="00A405ED"/>
    <w:rsid w:val="00A40684"/>
    <w:rsid w:val="00A40818"/>
    <w:rsid w:val="00A4098D"/>
    <w:rsid w:val="00A41689"/>
    <w:rsid w:val="00A416A5"/>
    <w:rsid w:val="00A42592"/>
    <w:rsid w:val="00A43C59"/>
    <w:rsid w:val="00A44B92"/>
    <w:rsid w:val="00A470CB"/>
    <w:rsid w:val="00A50ECD"/>
    <w:rsid w:val="00A518F3"/>
    <w:rsid w:val="00A51DFB"/>
    <w:rsid w:val="00A52729"/>
    <w:rsid w:val="00A53675"/>
    <w:rsid w:val="00A545C4"/>
    <w:rsid w:val="00A54F3D"/>
    <w:rsid w:val="00A55B56"/>
    <w:rsid w:val="00A564D7"/>
    <w:rsid w:val="00A56B6A"/>
    <w:rsid w:val="00A578DC"/>
    <w:rsid w:val="00A603EE"/>
    <w:rsid w:val="00A60965"/>
    <w:rsid w:val="00A62BDA"/>
    <w:rsid w:val="00A640E2"/>
    <w:rsid w:val="00A6420B"/>
    <w:rsid w:val="00A64D65"/>
    <w:rsid w:val="00A64ECD"/>
    <w:rsid w:val="00A65ACC"/>
    <w:rsid w:val="00A65DA0"/>
    <w:rsid w:val="00A6612B"/>
    <w:rsid w:val="00A6725B"/>
    <w:rsid w:val="00A70605"/>
    <w:rsid w:val="00A70F14"/>
    <w:rsid w:val="00A73134"/>
    <w:rsid w:val="00A7365A"/>
    <w:rsid w:val="00A73C23"/>
    <w:rsid w:val="00A74718"/>
    <w:rsid w:val="00A76001"/>
    <w:rsid w:val="00A777B2"/>
    <w:rsid w:val="00A777EE"/>
    <w:rsid w:val="00A81E0A"/>
    <w:rsid w:val="00A825D4"/>
    <w:rsid w:val="00A828F6"/>
    <w:rsid w:val="00A82B73"/>
    <w:rsid w:val="00A838FA"/>
    <w:rsid w:val="00A83EBA"/>
    <w:rsid w:val="00A86DF4"/>
    <w:rsid w:val="00A86E8B"/>
    <w:rsid w:val="00A87164"/>
    <w:rsid w:val="00A871A9"/>
    <w:rsid w:val="00A87613"/>
    <w:rsid w:val="00A87E05"/>
    <w:rsid w:val="00A90251"/>
    <w:rsid w:val="00A90C37"/>
    <w:rsid w:val="00A92E56"/>
    <w:rsid w:val="00A93072"/>
    <w:rsid w:val="00A938BD"/>
    <w:rsid w:val="00A93953"/>
    <w:rsid w:val="00A959D8"/>
    <w:rsid w:val="00A97B91"/>
    <w:rsid w:val="00AA113D"/>
    <w:rsid w:val="00AA3889"/>
    <w:rsid w:val="00AA6BD5"/>
    <w:rsid w:val="00AA6BD8"/>
    <w:rsid w:val="00AA6C7D"/>
    <w:rsid w:val="00AA77E2"/>
    <w:rsid w:val="00AA7FD6"/>
    <w:rsid w:val="00AB042A"/>
    <w:rsid w:val="00AB1193"/>
    <w:rsid w:val="00AB11AD"/>
    <w:rsid w:val="00AB19EF"/>
    <w:rsid w:val="00AB2495"/>
    <w:rsid w:val="00AB2D34"/>
    <w:rsid w:val="00AB3430"/>
    <w:rsid w:val="00AB3491"/>
    <w:rsid w:val="00AB37B9"/>
    <w:rsid w:val="00AB398E"/>
    <w:rsid w:val="00AB4AD1"/>
    <w:rsid w:val="00AB5E07"/>
    <w:rsid w:val="00AB7CFA"/>
    <w:rsid w:val="00AC29A7"/>
    <w:rsid w:val="00AC3D36"/>
    <w:rsid w:val="00AC5B42"/>
    <w:rsid w:val="00AC5B48"/>
    <w:rsid w:val="00AD0284"/>
    <w:rsid w:val="00AD1450"/>
    <w:rsid w:val="00AD15E8"/>
    <w:rsid w:val="00AD356D"/>
    <w:rsid w:val="00AD3C95"/>
    <w:rsid w:val="00AD3F31"/>
    <w:rsid w:val="00AD62F2"/>
    <w:rsid w:val="00AD6483"/>
    <w:rsid w:val="00AD6502"/>
    <w:rsid w:val="00AE0695"/>
    <w:rsid w:val="00AE3E7E"/>
    <w:rsid w:val="00AE49EF"/>
    <w:rsid w:val="00AE648E"/>
    <w:rsid w:val="00AE7E53"/>
    <w:rsid w:val="00AF1315"/>
    <w:rsid w:val="00AF19BF"/>
    <w:rsid w:val="00AF2DC3"/>
    <w:rsid w:val="00AF4354"/>
    <w:rsid w:val="00AF4752"/>
    <w:rsid w:val="00AF50E0"/>
    <w:rsid w:val="00AF7858"/>
    <w:rsid w:val="00B033E5"/>
    <w:rsid w:val="00B03A63"/>
    <w:rsid w:val="00B05770"/>
    <w:rsid w:val="00B05DBA"/>
    <w:rsid w:val="00B064F5"/>
    <w:rsid w:val="00B0734F"/>
    <w:rsid w:val="00B1120B"/>
    <w:rsid w:val="00B129A4"/>
    <w:rsid w:val="00B15089"/>
    <w:rsid w:val="00B201A4"/>
    <w:rsid w:val="00B201D1"/>
    <w:rsid w:val="00B20444"/>
    <w:rsid w:val="00B210F4"/>
    <w:rsid w:val="00B213A6"/>
    <w:rsid w:val="00B219B4"/>
    <w:rsid w:val="00B235B0"/>
    <w:rsid w:val="00B24656"/>
    <w:rsid w:val="00B24DF6"/>
    <w:rsid w:val="00B25538"/>
    <w:rsid w:val="00B25D82"/>
    <w:rsid w:val="00B26AF7"/>
    <w:rsid w:val="00B27A61"/>
    <w:rsid w:val="00B27CBB"/>
    <w:rsid w:val="00B31B44"/>
    <w:rsid w:val="00B33D68"/>
    <w:rsid w:val="00B34FE2"/>
    <w:rsid w:val="00B35166"/>
    <w:rsid w:val="00B357BE"/>
    <w:rsid w:val="00B357D8"/>
    <w:rsid w:val="00B35A8E"/>
    <w:rsid w:val="00B360F4"/>
    <w:rsid w:val="00B36A00"/>
    <w:rsid w:val="00B371B9"/>
    <w:rsid w:val="00B3792B"/>
    <w:rsid w:val="00B37BFC"/>
    <w:rsid w:val="00B40358"/>
    <w:rsid w:val="00B40D78"/>
    <w:rsid w:val="00B41614"/>
    <w:rsid w:val="00B41FCB"/>
    <w:rsid w:val="00B42851"/>
    <w:rsid w:val="00B42F80"/>
    <w:rsid w:val="00B435CB"/>
    <w:rsid w:val="00B44C1C"/>
    <w:rsid w:val="00B4585E"/>
    <w:rsid w:val="00B465EC"/>
    <w:rsid w:val="00B47507"/>
    <w:rsid w:val="00B505C8"/>
    <w:rsid w:val="00B50DB8"/>
    <w:rsid w:val="00B53654"/>
    <w:rsid w:val="00B53905"/>
    <w:rsid w:val="00B53FCB"/>
    <w:rsid w:val="00B546DB"/>
    <w:rsid w:val="00B54B5B"/>
    <w:rsid w:val="00B5562E"/>
    <w:rsid w:val="00B55862"/>
    <w:rsid w:val="00B55D65"/>
    <w:rsid w:val="00B56305"/>
    <w:rsid w:val="00B57000"/>
    <w:rsid w:val="00B601FF"/>
    <w:rsid w:val="00B60939"/>
    <w:rsid w:val="00B60AFD"/>
    <w:rsid w:val="00B62715"/>
    <w:rsid w:val="00B64148"/>
    <w:rsid w:val="00B65611"/>
    <w:rsid w:val="00B70E8E"/>
    <w:rsid w:val="00B718EF"/>
    <w:rsid w:val="00B72D10"/>
    <w:rsid w:val="00B72E38"/>
    <w:rsid w:val="00B73202"/>
    <w:rsid w:val="00B7471A"/>
    <w:rsid w:val="00B76C92"/>
    <w:rsid w:val="00B8040C"/>
    <w:rsid w:val="00B80EFD"/>
    <w:rsid w:val="00B818A4"/>
    <w:rsid w:val="00B834F7"/>
    <w:rsid w:val="00B83739"/>
    <w:rsid w:val="00B83C3C"/>
    <w:rsid w:val="00B84117"/>
    <w:rsid w:val="00B858F0"/>
    <w:rsid w:val="00B85AA2"/>
    <w:rsid w:val="00B8649C"/>
    <w:rsid w:val="00B8695D"/>
    <w:rsid w:val="00B86A33"/>
    <w:rsid w:val="00B87E06"/>
    <w:rsid w:val="00B87F0A"/>
    <w:rsid w:val="00B91F9B"/>
    <w:rsid w:val="00B929B0"/>
    <w:rsid w:val="00B92D0B"/>
    <w:rsid w:val="00B931BD"/>
    <w:rsid w:val="00B94334"/>
    <w:rsid w:val="00B94945"/>
    <w:rsid w:val="00B94DD6"/>
    <w:rsid w:val="00B96A87"/>
    <w:rsid w:val="00B97706"/>
    <w:rsid w:val="00BA039F"/>
    <w:rsid w:val="00BA0ACA"/>
    <w:rsid w:val="00BA1E55"/>
    <w:rsid w:val="00BA322D"/>
    <w:rsid w:val="00BA37CA"/>
    <w:rsid w:val="00BA3F04"/>
    <w:rsid w:val="00BA50CE"/>
    <w:rsid w:val="00BA5149"/>
    <w:rsid w:val="00BA5300"/>
    <w:rsid w:val="00BA63FA"/>
    <w:rsid w:val="00BB00B3"/>
    <w:rsid w:val="00BB0BDD"/>
    <w:rsid w:val="00BB176C"/>
    <w:rsid w:val="00BB23A4"/>
    <w:rsid w:val="00BB2A73"/>
    <w:rsid w:val="00BB3A45"/>
    <w:rsid w:val="00BB4286"/>
    <w:rsid w:val="00BB4ACC"/>
    <w:rsid w:val="00BB4EAA"/>
    <w:rsid w:val="00BB53D3"/>
    <w:rsid w:val="00BB703E"/>
    <w:rsid w:val="00BB722E"/>
    <w:rsid w:val="00BB732D"/>
    <w:rsid w:val="00BB7405"/>
    <w:rsid w:val="00BB7C95"/>
    <w:rsid w:val="00BC3631"/>
    <w:rsid w:val="00BC3890"/>
    <w:rsid w:val="00BC49A7"/>
    <w:rsid w:val="00BC5705"/>
    <w:rsid w:val="00BC591F"/>
    <w:rsid w:val="00BC7D6D"/>
    <w:rsid w:val="00BD2108"/>
    <w:rsid w:val="00BD4AD7"/>
    <w:rsid w:val="00BD5FE6"/>
    <w:rsid w:val="00BD68A3"/>
    <w:rsid w:val="00BD6938"/>
    <w:rsid w:val="00BD6CF3"/>
    <w:rsid w:val="00BD7F72"/>
    <w:rsid w:val="00BE04E8"/>
    <w:rsid w:val="00BE0ECA"/>
    <w:rsid w:val="00BE2180"/>
    <w:rsid w:val="00BE21F2"/>
    <w:rsid w:val="00BE406B"/>
    <w:rsid w:val="00BE4275"/>
    <w:rsid w:val="00BE4BD2"/>
    <w:rsid w:val="00BE62FA"/>
    <w:rsid w:val="00BE7592"/>
    <w:rsid w:val="00BE784A"/>
    <w:rsid w:val="00BF06AE"/>
    <w:rsid w:val="00BF0F95"/>
    <w:rsid w:val="00BF2433"/>
    <w:rsid w:val="00BF2E6E"/>
    <w:rsid w:val="00BF61C9"/>
    <w:rsid w:val="00BF6C94"/>
    <w:rsid w:val="00C00424"/>
    <w:rsid w:val="00C00BB0"/>
    <w:rsid w:val="00C0146A"/>
    <w:rsid w:val="00C04DA2"/>
    <w:rsid w:val="00C1039C"/>
    <w:rsid w:val="00C1075B"/>
    <w:rsid w:val="00C1179F"/>
    <w:rsid w:val="00C127B9"/>
    <w:rsid w:val="00C128FA"/>
    <w:rsid w:val="00C12C14"/>
    <w:rsid w:val="00C15F04"/>
    <w:rsid w:val="00C179B3"/>
    <w:rsid w:val="00C17E3F"/>
    <w:rsid w:val="00C200AA"/>
    <w:rsid w:val="00C21002"/>
    <w:rsid w:val="00C237ED"/>
    <w:rsid w:val="00C243B5"/>
    <w:rsid w:val="00C245A8"/>
    <w:rsid w:val="00C24632"/>
    <w:rsid w:val="00C25418"/>
    <w:rsid w:val="00C25BF0"/>
    <w:rsid w:val="00C25D9C"/>
    <w:rsid w:val="00C26E71"/>
    <w:rsid w:val="00C2778B"/>
    <w:rsid w:val="00C27C9E"/>
    <w:rsid w:val="00C30179"/>
    <w:rsid w:val="00C31649"/>
    <w:rsid w:val="00C318AD"/>
    <w:rsid w:val="00C31CA4"/>
    <w:rsid w:val="00C3434C"/>
    <w:rsid w:val="00C37EB7"/>
    <w:rsid w:val="00C40385"/>
    <w:rsid w:val="00C4154B"/>
    <w:rsid w:val="00C41748"/>
    <w:rsid w:val="00C41768"/>
    <w:rsid w:val="00C4301B"/>
    <w:rsid w:val="00C43173"/>
    <w:rsid w:val="00C4364D"/>
    <w:rsid w:val="00C4721F"/>
    <w:rsid w:val="00C475AA"/>
    <w:rsid w:val="00C504B6"/>
    <w:rsid w:val="00C527C7"/>
    <w:rsid w:val="00C534A0"/>
    <w:rsid w:val="00C53C98"/>
    <w:rsid w:val="00C549FD"/>
    <w:rsid w:val="00C5604F"/>
    <w:rsid w:val="00C56FCF"/>
    <w:rsid w:val="00C57B6C"/>
    <w:rsid w:val="00C61A59"/>
    <w:rsid w:val="00C628A6"/>
    <w:rsid w:val="00C62906"/>
    <w:rsid w:val="00C64070"/>
    <w:rsid w:val="00C64344"/>
    <w:rsid w:val="00C65108"/>
    <w:rsid w:val="00C65576"/>
    <w:rsid w:val="00C66165"/>
    <w:rsid w:val="00C67A65"/>
    <w:rsid w:val="00C7060A"/>
    <w:rsid w:val="00C7151A"/>
    <w:rsid w:val="00C717E3"/>
    <w:rsid w:val="00C71F60"/>
    <w:rsid w:val="00C72241"/>
    <w:rsid w:val="00C750C8"/>
    <w:rsid w:val="00C7560F"/>
    <w:rsid w:val="00C80A0E"/>
    <w:rsid w:val="00C81B0F"/>
    <w:rsid w:val="00C8213F"/>
    <w:rsid w:val="00C82385"/>
    <w:rsid w:val="00C8303F"/>
    <w:rsid w:val="00C84458"/>
    <w:rsid w:val="00C84C10"/>
    <w:rsid w:val="00C85154"/>
    <w:rsid w:val="00C85A24"/>
    <w:rsid w:val="00C85A70"/>
    <w:rsid w:val="00C8797A"/>
    <w:rsid w:val="00C900B8"/>
    <w:rsid w:val="00C90197"/>
    <w:rsid w:val="00C90C71"/>
    <w:rsid w:val="00C90EA0"/>
    <w:rsid w:val="00C91FD1"/>
    <w:rsid w:val="00C931CF"/>
    <w:rsid w:val="00C938CF"/>
    <w:rsid w:val="00C94053"/>
    <w:rsid w:val="00C95331"/>
    <w:rsid w:val="00C9624D"/>
    <w:rsid w:val="00C9630C"/>
    <w:rsid w:val="00C969DA"/>
    <w:rsid w:val="00C971F0"/>
    <w:rsid w:val="00CA2C77"/>
    <w:rsid w:val="00CA2D66"/>
    <w:rsid w:val="00CA444F"/>
    <w:rsid w:val="00CA5245"/>
    <w:rsid w:val="00CA71F4"/>
    <w:rsid w:val="00CA7B09"/>
    <w:rsid w:val="00CA7C80"/>
    <w:rsid w:val="00CB12A5"/>
    <w:rsid w:val="00CB1CAC"/>
    <w:rsid w:val="00CB2F2A"/>
    <w:rsid w:val="00CB3493"/>
    <w:rsid w:val="00CB39DB"/>
    <w:rsid w:val="00CB5B1A"/>
    <w:rsid w:val="00CB6373"/>
    <w:rsid w:val="00CB637D"/>
    <w:rsid w:val="00CB6B22"/>
    <w:rsid w:val="00CB7048"/>
    <w:rsid w:val="00CB7D91"/>
    <w:rsid w:val="00CB7F5F"/>
    <w:rsid w:val="00CC09B0"/>
    <w:rsid w:val="00CC0F06"/>
    <w:rsid w:val="00CC1B39"/>
    <w:rsid w:val="00CC1BFA"/>
    <w:rsid w:val="00CC2B38"/>
    <w:rsid w:val="00CC2E9F"/>
    <w:rsid w:val="00CC35EA"/>
    <w:rsid w:val="00CC3848"/>
    <w:rsid w:val="00CC3B14"/>
    <w:rsid w:val="00CC57D2"/>
    <w:rsid w:val="00CC6D5E"/>
    <w:rsid w:val="00CD0200"/>
    <w:rsid w:val="00CD0882"/>
    <w:rsid w:val="00CD3F77"/>
    <w:rsid w:val="00CD6ADC"/>
    <w:rsid w:val="00CD7193"/>
    <w:rsid w:val="00CD77F3"/>
    <w:rsid w:val="00CE1F3B"/>
    <w:rsid w:val="00CE37B5"/>
    <w:rsid w:val="00CE38C8"/>
    <w:rsid w:val="00CE3E40"/>
    <w:rsid w:val="00CE524F"/>
    <w:rsid w:val="00CE58CC"/>
    <w:rsid w:val="00CE6274"/>
    <w:rsid w:val="00CE77B6"/>
    <w:rsid w:val="00CF2B8D"/>
    <w:rsid w:val="00CF3A1B"/>
    <w:rsid w:val="00CF456B"/>
    <w:rsid w:val="00CF529B"/>
    <w:rsid w:val="00CF5A22"/>
    <w:rsid w:val="00CF6013"/>
    <w:rsid w:val="00CF61EF"/>
    <w:rsid w:val="00CF71B9"/>
    <w:rsid w:val="00CF79F6"/>
    <w:rsid w:val="00CF7AE9"/>
    <w:rsid w:val="00D00BD7"/>
    <w:rsid w:val="00D0262E"/>
    <w:rsid w:val="00D0304D"/>
    <w:rsid w:val="00D031D4"/>
    <w:rsid w:val="00D03679"/>
    <w:rsid w:val="00D036D3"/>
    <w:rsid w:val="00D04112"/>
    <w:rsid w:val="00D0583B"/>
    <w:rsid w:val="00D05BD5"/>
    <w:rsid w:val="00D05D51"/>
    <w:rsid w:val="00D05E3D"/>
    <w:rsid w:val="00D060BA"/>
    <w:rsid w:val="00D06139"/>
    <w:rsid w:val="00D06148"/>
    <w:rsid w:val="00D07D01"/>
    <w:rsid w:val="00D10753"/>
    <w:rsid w:val="00D110BD"/>
    <w:rsid w:val="00D11268"/>
    <w:rsid w:val="00D11E26"/>
    <w:rsid w:val="00D13675"/>
    <w:rsid w:val="00D13A44"/>
    <w:rsid w:val="00D141E1"/>
    <w:rsid w:val="00D15314"/>
    <w:rsid w:val="00D15B48"/>
    <w:rsid w:val="00D16571"/>
    <w:rsid w:val="00D17D6C"/>
    <w:rsid w:val="00D2155B"/>
    <w:rsid w:val="00D22F83"/>
    <w:rsid w:val="00D23D11"/>
    <w:rsid w:val="00D244B6"/>
    <w:rsid w:val="00D25496"/>
    <w:rsid w:val="00D2754D"/>
    <w:rsid w:val="00D278B7"/>
    <w:rsid w:val="00D27B27"/>
    <w:rsid w:val="00D30D5B"/>
    <w:rsid w:val="00D3142E"/>
    <w:rsid w:val="00D31A88"/>
    <w:rsid w:val="00D33BE9"/>
    <w:rsid w:val="00D33F93"/>
    <w:rsid w:val="00D35148"/>
    <w:rsid w:val="00D357FF"/>
    <w:rsid w:val="00D424C7"/>
    <w:rsid w:val="00D42DA8"/>
    <w:rsid w:val="00D43B2A"/>
    <w:rsid w:val="00D43CF1"/>
    <w:rsid w:val="00D43D83"/>
    <w:rsid w:val="00D4548C"/>
    <w:rsid w:val="00D458E3"/>
    <w:rsid w:val="00D47575"/>
    <w:rsid w:val="00D50091"/>
    <w:rsid w:val="00D5243B"/>
    <w:rsid w:val="00D533EC"/>
    <w:rsid w:val="00D55DEC"/>
    <w:rsid w:val="00D56A95"/>
    <w:rsid w:val="00D57674"/>
    <w:rsid w:val="00D6076E"/>
    <w:rsid w:val="00D60D4C"/>
    <w:rsid w:val="00D6122B"/>
    <w:rsid w:val="00D61C90"/>
    <w:rsid w:val="00D633F2"/>
    <w:rsid w:val="00D63708"/>
    <w:rsid w:val="00D64324"/>
    <w:rsid w:val="00D649E0"/>
    <w:rsid w:val="00D66C25"/>
    <w:rsid w:val="00D70923"/>
    <w:rsid w:val="00D70F16"/>
    <w:rsid w:val="00D70F29"/>
    <w:rsid w:val="00D72617"/>
    <w:rsid w:val="00D72F57"/>
    <w:rsid w:val="00D73613"/>
    <w:rsid w:val="00D74DAC"/>
    <w:rsid w:val="00D75677"/>
    <w:rsid w:val="00D76A44"/>
    <w:rsid w:val="00D803E4"/>
    <w:rsid w:val="00D815EF"/>
    <w:rsid w:val="00D81949"/>
    <w:rsid w:val="00D81F26"/>
    <w:rsid w:val="00D822E2"/>
    <w:rsid w:val="00D843F2"/>
    <w:rsid w:val="00D86231"/>
    <w:rsid w:val="00D86422"/>
    <w:rsid w:val="00D8757E"/>
    <w:rsid w:val="00D912AB"/>
    <w:rsid w:val="00D91923"/>
    <w:rsid w:val="00D91AC1"/>
    <w:rsid w:val="00D92642"/>
    <w:rsid w:val="00D93753"/>
    <w:rsid w:val="00D95BBB"/>
    <w:rsid w:val="00DA14BE"/>
    <w:rsid w:val="00DA3167"/>
    <w:rsid w:val="00DA34A2"/>
    <w:rsid w:val="00DA4933"/>
    <w:rsid w:val="00DA4DC3"/>
    <w:rsid w:val="00DA74F4"/>
    <w:rsid w:val="00DA77A5"/>
    <w:rsid w:val="00DB0636"/>
    <w:rsid w:val="00DB0E36"/>
    <w:rsid w:val="00DB3DBF"/>
    <w:rsid w:val="00DB4070"/>
    <w:rsid w:val="00DB484F"/>
    <w:rsid w:val="00DB4C8F"/>
    <w:rsid w:val="00DC04F6"/>
    <w:rsid w:val="00DC0690"/>
    <w:rsid w:val="00DC1D65"/>
    <w:rsid w:val="00DC2C11"/>
    <w:rsid w:val="00DC33BB"/>
    <w:rsid w:val="00DC3C57"/>
    <w:rsid w:val="00DC3D64"/>
    <w:rsid w:val="00DC5501"/>
    <w:rsid w:val="00DC5DE4"/>
    <w:rsid w:val="00DC7154"/>
    <w:rsid w:val="00DC7C99"/>
    <w:rsid w:val="00DC7E8A"/>
    <w:rsid w:val="00DD0F78"/>
    <w:rsid w:val="00DD273C"/>
    <w:rsid w:val="00DD3F28"/>
    <w:rsid w:val="00DD4446"/>
    <w:rsid w:val="00DD4537"/>
    <w:rsid w:val="00DD4E15"/>
    <w:rsid w:val="00DD6E6D"/>
    <w:rsid w:val="00DE2304"/>
    <w:rsid w:val="00DE2A76"/>
    <w:rsid w:val="00DE2AE4"/>
    <w:rsid w:val="00DE3138"/>
    <w:rsid w:val="00DE37F8"/>
    <w:rsid w:val="00DE4273"/>
    <w:rsid w:val="00DE4FCB"/>
    <w:rsid w:val="00DE5D07"/>
    <w:rsid w:val="00DE6089"/>
    <w:rsid w:val="00DE66B5"/>
    <w:rsid w:val="00DE72A7"/>
    <w:rsid w:val="00DE7832"/>
    <w:rsid w:val="00DF075E"/>
    <w:rsid w:val="00DF18FC"/>
    <w:rsid w:val="00DF2895"/>
    <w:rsid w:val="00DF5D2B"/>
    <w:rsid w:val="00DF6341"/>
    <w:rsid w:val="00DF67A1"/>
    <w:rsid w:val="00DF7EE8"/>
    <w:rsid w:val="00E00E8E"/>
    <w:rsid w:val="00E05630"/>
    <w:rsid w:val="00E06DBB"/>
    <w:rsid w:val="00E0783B"/>
    <w:rsid w:val="00E10149"/>
    <w:rsid w:val="00E1089C"/>
    <w:rsid w:val="00E11340"/>
    <w:rsid w:val="00E122A1"/>
    <w:rsid w:val="00E12C00"/>
    <w:rsid w:val="00E12E6B"/>
    <w:rsid w:val="00E13B26"/>
    <w:rsid w:val="00E15A3E"/>
    <w:rsid w:val="00E15F06"/>
    <w:rsid w:val="00E16372"/>
    <w:rsid w:val="00E1661E"/>
    <w:rsid w:val="00E16AD8"/>
    <w:rsid w:val="00E17FFA"/>
    <w:rsid w:val="00E206E8"/>
    <w:rsid w:val="00E20E4D"/>
    <w:rsid w:val="00E20ED6"/>
    <w:rsid w:val="00E21358"/>
    <w:rsid w:val="00E2249B"/>
    <w:rsid w:val="00E22A0D"/>
    <w:rsid w:val="00E244F6"/>
    <w:rsid w:val="00E258DB"/>
    <w:rsid w:val="00E2668B"/>
    <w:rsid w:val="00E26E1C"/>
    <w:rsid w:val="00E2771E"/>
    <w:rsid w:val="00E30DA3"/>
    <w:rsid w:val="00E311EF"/>
    <w:rsid w:val="00E32180"/>
    <w:rsid w:val="00E33A76"/>
    <w:rsid w:val="00E34948"/>
    <w:rsid w:val="00E3600B"/>
    <w:rsid w:val="00E36979"/>
    <w:rsid w:val="00E37569"/>
    <w:rsid w:val="00E401B2"/>
    <w:rsid w:val="00E41E30"/>
    <w:rsid w:val="00E427E6"/>
    <w:rsid w:val="00E42F73"/>
    <w:rsid w:val="00E43D70"/>
    <w:rsid w:val="00E43E21"/>
    <w:rsid w:val="00E45D22"/>
    <w:rsid w:val="00E45E6E"/>
    <w:rsid w:val="00E466F3"/>
    <w:rsid w:val="00E46B37"/>
    <w:rsid w:val="00E47B2C"/>
    <w:rsid w:val="00E50A4B"/>
    <w:rsid w:val="00E51560"/>
    <w:rsid w:val="00E51821"/>
    <w:rsid w:val="00E53FC8"/>
    <w:rsid w:val="00E54347"/>
    <w:rsid w:val="00E55424"/>
    <w:rsid w:val="00E55915"/>
    <w:rsid w:val="00E55BB5"/>
    <w:rsid w:val="00E56338"/>
    <w:rsid w:val="00E611DF"/>
    <w:rsid w:val="00E6211F"/>
    <w:rsid w:val="00E62408"/>
    <w:rsid w:val="00E653CD"/>
    <w:rsid w:val="00E65E79"/>
    <w:rsid w:val="00E66BA2"/>
    <w:rsid w:val="00E66CD2"/>
    <w:rsid w:val="00E67416"/>
    <w:rsid w:val="00E67BEA"/>
    <w:rsid w:val="00E71130"/>
    <w:rsid w:val="00E718B6"/>
    <w:rsid w:val="00E723BA"/>
    <w:rsid w:val="00E73581"/>
    <w:rsid w:val="00E808F8"/>
    <w:rsid w:val="00E81626"/>
    <w:rsid w:val="00E82FDE"/>
    <w:rsid w:val="00E833F7"/>
    <w:rsid w:val="00E83BDF"/>
    <w:rsid w:val="00E85B92"/>
    <w:rsid w:val="00E86FCC"/>
    <w:rsid w:val="00E87A1D"/>
    <w:rsid w:val="00E9094A"/>
    <w:rsid w:val="00E91469"/>
    <w:rsid w:val="00E91D35"/>
    <w:rsid w:val="00E926A5"/>
    <w:rsid w:val="00E930B5"/>
    <w:rsid w:val="00E962CC"/>
    <w:rsid w:val="00E96BF8"/>
    <w:rsid w:val="00E97735"/>
    <w:rsid w:val="00E97ECF"/>
    <w:rsid w:val="00EA03FD"/>
    <w:rsid w:val="00EA17C3"/>
    <w:rsid w:val="00EA29D5"/>
    <w:rsid w:val="00EA2CAA"/>
    <w:rsid w:val="00EA32DE"/>
    <w:rsid w:val="00EA3864"/>
    <w:rsid w:val="00EA3EF7"/>
    <w:rsid w:val="00EA5053"/>
    <w:rsid w:val="00EA53FA"/>
    <w:rsid w:val="00EA6502"/>
    <w:rsid w:val="00EA7F1C"/>
    <w:rsid w:val="00EB026A"/>
    <w:rsid w:val="00EB15B6"/>
    <w:rsid w:val="00EB1790"/>
    <w:rsid w:val="00EB3D06"/>
    <w:rsid w:val="00EB4916"/>
    <w:rsid w:val="00EC00C9"/>
    <w:rsid w:val="00EC0DD9"/>
    <w:rsid w:val="00EC2649"/>
    <w:rsid w:val="00EC31ED"/>
    <w:rsid w:val="00EC52D0"/>
    <w:rsid w:val="00EC5836"/>
    <w:rsid w:val="00EC688C"/>
    <w:rsid w:val="00ED12E3"/>
    <w:rsid w:val="00ED16EA"/>
    <w:rsid w:val="00ED4B04"/>
    <w:rsid w:val="00ED57EA"/>
    <w:rsid w:val="00ED5BD4"/>
    <w:rsid w:val="00EE07D3"/>
    <w:rsid w:val="00EE1996"/>
    <w:rsid w:val="00EE1C01"/>
    <w:rsid w:val="00EE22AF"/>
    <w:rsid w:val="00EE5EB2"/>
    <w:rsid w:val="00EE6110"/>
    <w:rsid w:val="00EF0171"/>
    <w:rsid w:val="00EF01AE"/>
    <w:rsid w:val="00EF1B25"/>
    <w:rsid w:val="00EF1DA0"/>
    <w:rsid w:val="00EF4747"/>
    <w:rsid w:val="00EF478A"/>
    <w:rsid w:val="00EF4BF8"/>
    <w:rsid w:val="00EF7372"/>
    <w:rsid w:val="00EF7569"/>
    <w:rsid w:val="00F02253"/>
    <w:rsid w:val="00F02288"/>
    <w:rsid w:val="00F0267C"/>
    <w:rsid w:val="00F03C2E"/>
    <w:rsid w:val="00F04A66"/>
    <w:rsid w:val="00F04B4B"/>
    <w:rsid w:val="00F0516C"/>
    <w:rsid w:val="00F05357"/>
    <w:rsid w:val="00F05E97"/>
    <w:rsid w:val="00F067A2"/>
    <w:rsid w:val="00F06C38"/>
    <w:rsid w:val="00F0718C"/>
    <w:rsid w:val="00F07B9E"/>
    <w:rsid w:val="00F1116F"/>
    <w:rsid w:val="00F125D5"/>
    <w:rsid w:val="00F1263A"/>
    <w:rsid w:val="00F139C5"/>
    <w:rsid w:val="00F143D7"/>
    <w:rsid w:val="00F15B77"/>
    <w:rsid w:val="00F1769B"/>
    <w:rsid w:val="00F21236"/>
    <w:rsid w:val="00F239DF"/>
    <w:rsid w:val="00F24236"/>
    <w:rsid w:val="00F243CE"/>
    <w:rsid w:val="00F24837"/>
    <w:rsid w:val="00F2575F"/>
    <w:rsid w:val="00F27565"/>
    <w:rsid w:val="00F3008C"/>
    <w:rsid w:val="00F310D4"/>
    <w:rsid w:val="00F316C2"/>
    <w:rsid w:val="00F31D5A"/>
    <w:rsid w:val="00F33975"/>
    <w:rsid w:val="00F33DE9"/>
    <w:rsid w:val="00F35246"/>
    <w:rsid w:val="00F357E5"/>
    <w:rsid w:val="00F35E6D"/>
    <w:rsid w:val="00F3619A"/>
    <w:rsid w:val="00F40819"/>
    <w:rsid w:val="00F40AAA"/>
    <w:rsid w:val="00F40BA7"/>
    <w:rsid w:val="00F40F9D"/>
    <w:rsid w:val="00F41ACD"/>
    <w:rsid w:val="00F46CB6"/>
    <w:rsid w:val="00F4756D"/>
    <w:rsid w:val="00F47DE8"/>
    <w:rsid w:val="00F50E24"/>
    <w:rsid w:val="00F519AC"/>
    <w:rsid w:val="00F5297A"/>
    <w:rsid w:val="00F542C1"/>
    <w:rsid w:val="00F550E3"/>
    <w:rsid w:val="00F55CC5"/>
    <w:rsid w:val="00F55E73"/>
    <w:rsid w:val="00F55EDA"/>
    <w:rsid w:val="00F56461"/>
    <w:rsid w:val="00F56C80"/>
    <w:rsid w:val="00F57988"/>
    <w:rsid w:val="00F57E4F"/>
    <w:rsid w:val="00F60092"/>
    <w:rsid w:val="00F61C18"/>
    <w:rsid w:val="00F61C6B"/>
    <w:rsid w:val="00F61DDB"/>
    <w:rsid w:val="00F62C9E"/>
    <w:rsid w:val="00F65CF1"/>
    <w:rsid w:val="00F65F4B"/>
    <w:rsid w:val="00F665F3"/>
    <w:rsid w:val="00F66787"/>
    <w:rsid w:val="00F67A69"/>
    <w:rsid w:val="00F70BFF"/>
    <w:rsid w:val="00F70C9D"/>
    <w:rsid w:val="00F72339"/>
    <w:rsid w:val="00F723E2"/>
    <w:rsid w:val="00F73E08"/>
    <w:rsid w:val="00F74718"/>
    <w:rsid w:val="00F74CD9"/>
    <w:rsid w:val="00F768E5"/>
    <w:rsid w:val="00F80A7B"/>
    <w:rsid w:val="00F80E5D"/>
    <w:rsid w:val="00F81E78"/>
    <w:rsid w:val="00F83916"/>
    <w:rsid w:val="00F83FC7"/>
    <w:rsid w:val="00F84A81"/>
    <w:rsid w:val="00F851CB"/>
    <w:rsid w:val="00F851CE"/>
    <w:rsid w:val="00F85E3C"/>
    <w:rsid w:val="00F85F57"/>
    <w:rsid w:val="00F874BC"/>
    <w:rsid w:val="00F91219"/>
    <w:rsid w:val="00F91578"/>
    <w:rsid w:val="00F92444"/>
    <w:rsid w:val="00F926DF"/>
    <w:rsid w:val="00F9393E"/>
    <w:rsid w:val="00F95355"/>
    <w:rsid w:val="00F96189"/>
    <w:rsid w:val="00F96F2F"/>
    <w:rsid w:val="00F96FD0"/>
    <w:rsid w:val="00F97255"/>
    <w:rsid w:val="00F9792E"/>
    <w:rsid w:val="00F97A78"/>
    <w:rsid w:val="00FA0B20"/>
    <w:rsid w:val="00FA1254"/>
    <w:rsid w:val="00FA13D2"/>
    <w:rsid w:val="00FA24E7"/>
    <w:rsid w:val="00FA2D71"/>
    <w:rsid w:val="00FA3AA6"/>
    <w:rsid w:val="00FA5413"/>
    <w:rsid w:val="00FA5EE6"/>
    <w:rsid w:val="00FA6F94"/>
    <w:rsid w:val="00FA7956"/>
    <w:rsid w:val="00FB0824"/>
    <w:rsid w:val="00FB0FD7"/>
    <w:rsid w:val="00FB2553"/>
    <w:rsid w:val="00FB275E"/>
    <w:rsid w:val="00FB2FCB"/>
    <w:rsid w:val="00FB4C9C"/>
    <w:rsid w:val="00FB6BD7"/>
    <w:rsid w:val="00FB744A"/>
    <w:rsid w:val="00FB7C55"/>
    <w:rsid w:val="00FC1074"/>
    <w:rsid w:val="00FC1884"/>
    <w:rsid w:val="00FC2389"/>
    <w:rsid w:val="00FC32CD"/>
    <w:rsid w:val="00FC371D"/>
    <w:rsid w:val="00FC488E"/>
    <w:rsid w:val="00FC50FE"/>
    <w:rsid w:val="00FC5F0B"/>
    <w:rsid w:val="00FD08A5"/>
    <w:rsid w:val="00FD2100"/>
    <w:rsid w:val="00FD436C"/>
    <w:rsid w:val="00FD446D"/>
    <w:rsid w:val="00FD453E"/>
    <w:rsid w:val="00FD4F2C"/>
    <w:rsid w:val="00FD5D9E"/>
    <w:rsid w:val="00FD6394"/>
    <w:rsid w:val="00FE014E"/>
    <w:rsid w:val="00FE09F1"/>
    <w:rsid w:val="00FE0E6C"/>
    <w:rsid w:val="00FE1950"/>
    <w:rsid w:val="00FE1CDC"/>
    <w:rsid w:val="00FE2AE1"/>
    <w:rsid w:val="00FE3230"/>
    <w:rsid w:val="00FE3312"/>
    <w:rsid w:val="00FE4E1F"/>
    <w:rsid w:val="00FE67A6"/>
    <w:rsid w:val="00FE70C3"/>
    <w:rsid w:val="00FF14AC"/>
    <w:rsid w:val="00FF1A8B"/>
    <w:rsid w:val="00FF2AD9"/>
    <w:rsid w:val="00FF359F"/>
    <w:rsid w:val="00FF3767"/>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E4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next w:val="ListBullet"/>
    <w:link w:val="ListParagraphChar"/>
    <w:uiPriority w:val="34"/>
    <w:qFormat/>
    <w:rsid w:val="00D92642"/>
    <w:pPr>
      <w:numPr>
        <w:numId w:val="3"/>
      </w:numPr>
      <w:spacing w:after="120"/>
      <w:ind w:left="1134"/>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D9264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Tabellengitternetz 9pt,Dossier tab"/>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70B5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ExecSumBodyText"/>
    <w:link w:val="3-BodyTextChar"/>
    <w:qFormat/>
    <w:rsid w:val="008B3F17"/>
    <w:pPr>
      <w:numPr>
        <w:ilvl w:val="1"/>
        <w:numId w:val="1"/>
      </w:numPr>
      <w:ind w:left="709" w:hanging="709"/>
    </w:pPr>
  </w:style>
  <w:style w:type="character" w:customStyle="1" w:styleId="3-BodyTextChar">
    <w:name w:val="3-Body Text Char"/>
    <w:basedOn w:val="ListParagraphChar"/>
    <w:link w:val="3-BodyText"/>
    <w:rsid w:val="008B3F17"/>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1C16B3"/>
    <w:rPr>
      <w:rFonts w:cs="Times New Roman"/>
      <w:sz w:val="20"/>
      <w:szCs w:val="20"/>
      <w:lang w:eastAsia="en-GB"/>
    </w:rPr>
  </w:style>
  <w:style w:type="character" w:customStyle="1" w:styleId="FootnoteTextChar">
    <w:name w:val="Footnote Text Char"/>
    <w:basedOn w:val="DefaultParagraphFont"/>
    <w:link w:val="FootnoteText"/>
    <w:semiHidden/>
    <w:rsid w:val="001C16B3"/>
    <w:rPr>
      <w:rFonts w:ascii="Calibri" w:hAnsi="Calibri"/>
      <w:lang w:eastAsia="en-GB"/>
    </w:rPr>
  </w:style>
  <w:style w:type="character" w:styleId="FootnoteReference">
    <w:name w:val="footnote reference"/>
    <w:basedOn w:val="DefaultParagraphFont"/>
    <w:semiHidden/>
    <w:unhideWhenUsed/>
    <w:rsid w:val="001C16B3"/>
    <w:rPr>
      <w:vertAlign w:val="superscript"/>
    </w:rPr>
  </w:style>
  <w:style w:type="table" w:customStyle="1" w:styleId="Summarybox2">
    <w:name w:val="Summary box2"/>
    <w:basedOn w:val="TableNormal"/>
    <w:uiPriority w:val="59"/>
    <w:rsid w:val="001C16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2322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23222"/>
    <w:rPr>
      <w:rFonts w:ascii="Arial Narrow" w:hAnsi="Arial Narrow"/>
      <w:lang w:eastAsia="en-US"/>
    </w:rPr>
  </w:style>
  <w:style w:type="paragraph" w:customStyle="1" w:styleId="PbacTableHeading">
    <w:name w:val="Pbac Table Heading"/>
    <w:basedOn w:val="PBACTableText"/>
    <w:rsid w:val="00623222"/>
    <w:pPr>
      <w:spacing w:before="0" w:after="80"/>
    </w:pPr>
    <w:rPr>
      <w:rFonts w:eastAsiaTheme="minorHAnsi" w:cs="Arial"/>
      <w:b/>
    </w:rPr>
  </w:style>
  <w:style w:type="character" w:styleId="UnresolvedMention">
    <w:name w:val="Unresolved Mention"/>
    <w:basedOn w:val="DefaultParagraphFont"/>
    <w:uiPriority w:val="99"/>
    <w:semiHidden/>
    <w:unhideWhenUsed/>
    <w:rsid w:val="00E56338"/>
    <w:rPr>
      <w:color w:val="605E5C"/>
      <w:shd w:val="clear" w:color="auto" w:fill="E1DFDD"/>
    </w:rPr>
  </w:style>
  <w:style w:type="paragraph" w:styleId="EndnoteText">
    <w:name w:val="endnote text"/>
    <w:basedOn w:val="Normal"/>
    <w:link w:val="EndnoteTextChar"/>
    <w:uiPriority w:val="99"/>
    <w:unhideWhenUsed/>
    <w:rsid w:val="00CA7C80"/>
    <w:pPr>
      <w:jc w:val="left"/>
    </w:pPr>
    <w:rPr>
      <w:rFonts w:ascii="Times New Roman" w:hAnsi="Times New Roman" w:cs="Times New Roman"/>
      <w:color w:val="080808"/>
      <w:lang w:val="en-US" w:eastAsia="en-US"/>
    </w:rPr>
  </w:style>
  <w:style w:type="character" w:customStyle="1" w:styleId="EndnoteTextChar">
    <w:name w:val="Endnote Text Char"/>
    <w:basedOn w:val="DefaultParagraphFont"/>
    <w:link w:val="EndnoteText"/>
    <w:uiPriority w:val="99"/>
    <w:rsid w:val="00CA7C80"/>
    <w:rPr>
      <w:color w:val="080808"/>
      <w:sz w:val="24"/>
      <w:szCs w:val="24"/>
      <w:lang w:val="en-US" w:eastAsia="en-US"/>
    </w:rPr>
  </w:style>
  <w:style w:type="character" w:styleId="EndnoteReference">
    <w:name w:val="endnote reference"/>
    <w:basedOn w:val="DefaultParagraphFont"/>
    <w:uiPriority w:val="99"/>
    <w:semiHidden/>
    <w:unhideWhenUsed/>
    <w:rsid w:val="00CA7C80"/>
    <w:rPr>
      <w:vertAlign w:val="superscript"/>
    </w:rPr>
  </w:style>
  <w:style w:type="paragraph" w:customStyle="1" w:styleId="TableLeft">
    <w:name w:val="Table Left"/>
    <w:basedOn w:val="Normal"/>
    <w:link w:val="TableLeftChar"/>
    <w:uiPriority w:val="5"/>
    <w:qFormat/>
    <w:rsid w:val="001848C4"/>
    <w:pPr>
      <w:jc w:val="left"/>
    </w:pPr>
    <w:rPr>
      <w:rFonts w:ascii="Arial Narrow" w:eastAsiaTheme="majorEastAsia" w:hAnsi="Arial Narrow" w:cstheme="majorBidi"/>
      <w:sz w:val="20"/>
      <w:szCs w:val="22"/>
      <w:lang w:eastAsia="en-US"/>
    </w:rPr>
  </w:style>
  <w:style w:type="character" w:customStyle="1" w:styleId="TableLeftChar">
    <w:name w:val="Table Left Char"/>
    <w:basedOn w:val="DefaultParagraphFont"/>
    <w:link w:val="TableLeft"/>
    <w:uiPriority w:val="5"/>
    <w:rsid w:val="001848C4"/>
    <w:rPr>
      <w:rFonts w:ascii="Arial Narrow" w:eastAsiaTheme="majorEastAsia" w:hAnsi="Arial Narrow" w:cstheme="majorBidi"/>
      <w:szCs w:val="22"/>
      <w:lang w:eastAsia="en-US"/>
    </w:rPr>
  </w:style>
  <w:style w:type="numbering" w:customStyle="1" w:styleId="CurrentList1">
    <w:name w:val="Current List1"/>
    <w:uiPriority w:val="99"/>
    <w:rsid w:val="00662D12"/>
    <w:pPr>
      <w:numPr>
        <w:numId w:val="6"/>
      </w:numPr>
    </w:pPr>
  </w:style>
  <w:style w:type="paragraph" w:customStyle="1" w:styleId="3-SubsectionHeading">
    <w:name w:val="3-Subsection Heading"/>
    <w:basedOn w:val="Heading2"/>
    <w:next w:val="Normal"/>
    <w:link w:val="3-SubsectionHeadingChar"/>
    <w:qFormat/>
    <w:rsid w:val="00780A4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80A49"/>
    <w:rPr>
      <w:rFonts w:asciiTheme="minorHAnsi" w:eastAsiaTheme="majorEastAsia" w:hAnsiTheme="minorHAnsi" w:cstheme="majorBidi"/>
      <w:b/>
      <w:i/>
      <w:snapToGrid/>
      <w:spacing w:val="5"/>
      <w:kern w:val="28"/>
      <w:sz w:val="28"/>
      <w:szCs w:val="36"/>
      <w:lang w:eastAsia="en-US"/>
    </w:rPr>
  </w:style>
  <w:style w:type="paragraph" w:customStyle="1" w:styleId="Numberbullet2">
    <w:name w:val="Number bullet 2"/>
    <w:basedOn w:val="ListBullet2"/>
    <w:qFormat/>
    <w:rsid w:val="003B6597"/>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3B6597"/>
    <w:pPr>
      <w:numPr>
        <w:ilvl w:val="2"/>
        <w:numId w:val="20"/>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3B6597"/>
    <w:pPr>
      <w:numPr>
        <w:numId w:val="20"/>
      </w:numPr>
    </w:pPr>
  </w:style>
  <w:style w:type="paragraph" w:customStyle="1" w:styleId="COMH1numbered">
    <w:name w:val="COM H1 numbered"/>
    <w:next w:val="Normal"/>
    <w:link w:val="COMH1numberedChar"/>
    <w:qFormat/>
    <w:rsid w:val="003B6597"/>
    <w:pPr>
      <w:keepNext/>
      <w:numPr>
        <w:numId w:val="20"/>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3B6597"/>
    <w:rPr>
      <w:rFonts w:asciiTheme="minorHAnsi" w:hAnsiTheme="minorHAnsi" w:cs="Arial"/>
      <w:b/>
      <w:snapToGrid w:val="0"/>
      <w:sz w:val="32"/>
      <w:szCs w:val="32"/>
    </w:rPr>
  </w:style>
  <w:style w:type="paragraph" w:styleId="ListBullet2">
    <w:name w:val="List Bullet 2"/>
    <w:basedOn w:val="Normal"/>
    <w:semiHidden/>
    <w:unhideWhenUsed/>
    <w:rsid w:val="003B6597"/>
    <w:pPr>
      <w:ind w:left="425" w:hanging="425"/>
      <w:contextualSpacing/>
    </w:pPr>
  </w:style>
  <w:style w:type="paragraph" w:styleId="ListBullet3">
    <w:name w:val="List Bullet 3"/>
    <w:basedOn w:val="Normal"/>
    <w:semiHidden/>
    <w:unhideWhenUsed/>
    <w:rsid w:val="003B6597"/>
    <w:pPr>
      <w:numPr>
        <w:numId w:val="21"/>
      </w:numPr>
      <w:contextualSpacing/>
    </w:pPr>
  </w:style>
  <w:style w:type="paragraph" w:customStyle="1" w:styleId="pf0">
    <w:name w:val="pf0"/>
    <w:basedOn w:val="Normal"/>
    <w:rsid w:val="00F3008C"/>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F3008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500">
      <w:bodyDiv w:val="1"/>
      <w:marLeft w:val="0"/>
      <w:marRight w:val="0"/>
      <w:marTop w:val="0"/>
      <w:marBottom w:val="0"/>
      <w:divBdr>
        <w:top w:val="none" w:sz="0" w:space="0" w:color="auto"/>
        <w:left w:val="none" w:sz="0" w:space="0" w:color="auto"/>
        <w:bottom w:val="none" w:sz="0" w:space="0" w:color="auto"/>
        <w:right w:val="none" w:sz="0" w:space="0" w:color="auto"/>
      </w:divBdr>
      <w:divsChild>
        <w:div w:id="135270438">
          <w:marLeft w:val="0"/>
          <w:marRight w:val="0"/>
          <w:marTop w:val="0"/>
          <w:marBottom w:val="0"/>
          <w:divBdr>
            <w:top w:val="none" w:sz="0" w:space="0" w:color="auto"/>
            <w:left w:val="none" w:sz="0" w:space="0" w:color="auto"/>
            <w:bottom w:val="none" w:sz="0" w:space="0" w:color="auto"/>
            <w:right w:val="none" w:sz="0" w:space="0" w:color="auto"/>
          </w:divBdr>
          <w:divsChild>
            <w:div w:id="1502545433">
              <w:marLeft w:val="0"/>
              <w:marRight w:val="0"/>
              <w:marTop w:val="0"/>
              <w:marBottom w:val="0"/>
              <w:divBdr>
                <w:top w:val="none" w:sz="0" w:space="0" w:color="auto"/>
                <w:left w:val="none" w:sz="0" w:space="0" w:color="auto"/>
                <w:bottom w:val="none" w:sz="0" w:space="0" w:color="auto"/>
                <w:right w:val="none" w:sz="0" w:space="0" w:color="auto"/>
              </w:divBdr>
              <w:divsChild>
                <w:div w:id="503939046">
                  <w:marLeft w:val="0"/>
                  <w:marRight w:val="0"/>
                  <w:marTop w:val="0"/>
                  <w:marBottom w:val="0"/>
                  <w:divBdr>
                    <w:top w:val="none" w:sz="0" w:space="0" w:color="auto"/>
                    <w:left w:val="none" w:sz="0" w:space="0" w:color="auto"/>
                    <w:bottom w:val="none" w:sz="0" w:space="0" w:color="auto"/>
                    <w:right w:val="none" w:sz="0" w:space="0" w:color="auto"/>
                  </w:divBdr>
                  <w:divsChild>
                    <w:div w:id="19603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3973">
      <w:bodyDiv w:val="1"/>
      <w:marLeft w:val="0"/>
      <w:marRight w:val="0"/>
      <w:marTop w:val="0"/>
      <w:marBottom w:val="0"/>
      <w:divBdr>
        <w:top w:val="none" w:sz="0" w:space="0" w:color="auto"/>
        <w:left w:val="none" w:sz="0" w:space="0" w:color="auto"/>
        <w:bottom w:val="none" w:sz="0" w:space="0" w:color="auto"/>
        <w:right w:val="none" w:sz="0" w:space="0" w:color="auto"/>
      </w:divBdr>
      <w:divsChild>
        <w:div w:id="1934700454">
          <w:marLeft w:val="360"/>
          <w:marRight w:val="0"/>
          <w:marTop w:val="200"/>
          <w:marBottom w:val="0"/>
          <w:divBdr>
            <w:top w:val="none" w:sz="0" w:space="0" w:color="auto"/>
            <w:left w:val="none" w:sz="0" w:space="0" w:color="auto"/>
            <w:bottom w:val="none" w:sz="0" w:space="0" w:color="auto"/>
            <w:right w:val="none" w:sz="0" w:space="0" w:color="auto"/>
          </w:divBdr>
        </w:div>
      </w:divsChild>
    </w:div>
    <w:div w:id="5658918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0701533">
      <w:bodyDiv w:val="1"/>
      <w:marLeft w:val="0"/>
      <w:marRight w:val="0"/>
      <w:marTop w:val="0"/>
      <w:marBottom w:val="0"/>
      <w:divBdr>
        <w:top w:val="none" w:sz="0" w:space="0" w:color="auto"/>
        <w:left w:val="none" w:sz="0" w:space="0" w:color="auto"/>
        <w:bottom w:val="none" w:sz="0" w:space="0" w:color="auto"/>
        <w:right w:val="none" w:sz="0" w:space="0" w:color="auto"/>
      </w:divBdr>
    </w:div>
    <w:div w:id="177699314">
      <w:bodyDiv w:val="1"/>
      <w:marLeft w:val="0"/>
      <w:marRight w:val="0"/>
      <w:marTop w:val="0"/>
      <w:marBottom w:val="0"/>
      <w:divBdr>
        <w:top w:val="none" w:sz="0" w:space="0" w:color="auto"/>
        <w:left w:val="none" w:sz="0" w:space="0" w:color="auto"/>
        <w:bottom w:val="none" w:sz="0" w:space="0" w:color="auto"/>
        <w:right w:val="none" w:sz="0" w:space="0" w:color="auto"/>
      </w:divBdr>
      <w:divsChild>
        <w:div w:id="947274430">
          <w:marLeft w:val="0"/>
          <w:marRight w:val="0"/>
          <w:marTop w:val="0"/>
          <w:marBottom w:val="0"/>
          <w:divBdr>
            <w:top w:val="none" w:sz="0" w:space="0" w:color="auto"/>
            <w:left w:val="none" w:sz="0" w:space="0" w:color="auto"/>
            <w:bottom w:val="none" w:sz="0" w:space="0" w:color="auto"/>
            <w:right w:val="none" w:sz="0" w:space="0" w:color="auto"/>
          </w:divBdr>
          <w:divsChild>
            <w:div w:id="1334920658">
              <w:marLeft w:val="0"/>
              <w:marRight w:val="0"/>
              <w:marTop w:val="0"/>
              <w:marBottom w:val="0"/>
              <w:divBdr>
                <w:top w:val="none" w:sz="0" w:space="0" w:color="auto"/>
                <w:left w:val="none" w:sz="0" w:space="0" w:color="auto"/>
                <w:bottom w:val="none" w:sz="0" w:space="0" w:color="auto"/>
                <w:right w:val="none" w:sz="0" w:space="0" w:color="auto"/>
              </w:divBdr>
              <w:divsChild>
                <w:div w:id="20832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0492">
      <w:bodyDiv w:val="1"/>
      <w:marLeft w:val="0"/>
      <w:marRight w:val="0"/>
      <w:marTop w:val="0"/>
      <w:marBottom w:val="0"/>
      <w:divBdr>
        <w:top w:val="none" w:sz="0" w:space="0" w:color="auto"/>
        <w:left w:val="none" w:sz="0" w:space="0" w:color="auto"/>
        <w:bottom w:val="none" w:sz="0" w:space="0" w:color="auto"/>
        <w:right w:val="none" w:sz="0" w:space="0" w:color="auto"/>
      </w:divBdr>
      <w:divsChild>
        <w:div w:id="418521474">
          <w:marLeft w:val="0"/>
          <w:marRight w:val="0"/>
          <w:marTop w:val="0"/>
          <w:marBottom w:val="0"/>
          <w:divBdr>
            <w:top w:val="none" w:sz="0" w:space="0" w:color="auto"/>
            <w:left w:val="none" w:sz="0" w:space="0" w:color="auto"/>
            <w:bottom w:val="none" w:sz="0" w:space="0" w:color="auto"/>
            <w:right w:val="none" w:sz="0" w:space="0" w:color="auto"/>
          </w:divBdr>
          <w:divsChild>
            <w:div w:id="1722052570">
              <w:marLeft w:val="0"/>
              <w:marRight w:val="0"/>
              <w:marTop w:val="0"/>
              <w:marBottom w:val="0"/>
              <w:divBdr>
                <w:top w:val="none" w:sz="0" w:space="0" w:color="auto"/>
                <w:left w:val="none" w:sz="0" w:space="0" w:color="auto"/>
                <w:bottom w:val="none" w:sz="0" w:space="0" w:color="auto"/>
                <w:right w:val="none" w:sz="0" w:space="0" w:color="auto"/>
              </w:divBdr>
              <w:divsChild>
                <w:div w:id="7225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1529">
      <w:bodyDiv w:val="1"/>
      <w:marLeft w:val="0"/>
      <w:marRight w:val="0"/>
      <w:marTop w:val="0"/>
      <w:marBottom w:val="0"/>
      <w:divBdr>
        <w:top w:val="none" w:sz="0" w:space="0" w:color="auto"/>
        <w:left w:val="none" w:sz="0" w:space="0" w:color="auto"/>
        <w:bottom w:val="none" w:sz="0" w:space="0" w:color="auto"/>
        <w:right w:val="none" w:sz="0" w:space="0" w:color="auto"/>
      </w:divBdr>
      <w:divsChild>
        <w:div w:id="880827892">
          <w:marLeft w:val="0"/>
          <w:marRight w:val="0"/>
          <w:marTop w:val="0"/>
          <w:marBottom w:val="0"/>
          <w:divBdr>
            <w:top w:val="none" w:sz="0" w:space="0" w:color="auto"/>
            <w:left w:val="none" w:sz="0" w:space="0" w:color="auto"/>
            <w:bottom w:val="none" w:sz="0" w:space="0" w:color="auto"/>
            <w:right w:val="none" w:sz="0" w:space="0" w:color="auto"/>
          </w:divBdr>
          <w:divsChild>
            <w:div w:id="432171610">
              <w:marLeft w:val="0"/>
              <w:marRight w:val="0"/>
              <w:marTop w:val="0"/>
              <w:marBottom w:val="0"/>
              <w:divBdr>
                <w:top w:val="none" w:sz="0" w:space="0" w:color="auto"/>
                <w:left w:val="none" w:sz="0" w:space="0" w:color="auto"/>
                <w:bottom w:val="none" w:sz="0" w:space="0" w:color="auto"/>
                <w:right w:val="none" w:sz="0" w:space="0" w:color="auto"/>
              </w:divBdr>
              <w:divsChild>
                <w:div w:id="18603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7246">
      <w:bodyDiv w:val="1"/>
      <w:marLeft w:val="0"/>
      <w:marRight w:val="0"/>
      <w:marTop w:val="0"/>
      <w:marBottom w:val="0"/>
      <w:divBdr>
        <w:top w:val="none" w:sz="0" w:space="0" w:color="auto"/>
        <w:left w:val="none" w:sz="0" w:space="0" w:color="auto"/>
        <w:bottom w:val="none" w:sz="0" w:space="0" w:color="auto"/>
        <w:right w:val="none" w:sz="0" w:space="0" w:color="auto"/>
      </w:divBdr>
      <w:divsChild>
        <w:div w:id="1233854823">
          <w:marLeft w:val="0"/>
          <w:marRight w:val="0"/>
          <w:marTop w:val="0"/>
          <w:marBottom w:val="0"/>
          <w:divBdr>
            <w:top w:val="none" w:sz="0" w:space="0" w:color="auto"/>
            <w:left w:val="none" w:sz="0" w:space="0" w:color="auto"/>
            <w:bottom w:val="none" w:sz="0" w:space="0" w:color="auto"/>
            <w:right w:val="none" w:sz="0" w:space="0" w:color="auto"/>
          </w:divBdr>
          <w:divsChild>
            <w:div w:id="1564442428">
              <w:marLeft w:val="0"/>
              <w:marRight w:val="0"/>
              <w:marTop w:val="0"/>
              <w:marBottom w:val="0"/>
              <w:divBdr>
                <w:top w:val="none" w:sz="0" w:space="0" w:color="auto"/>
                <w:left w:val="none" w:sz="0" w:space="0" w:color="auto"/>
                <w:bottom w:val="none" w:sz="0" w:space="0" w:color="auto"/>
                <w:right w:val="none" w:sz="0" w:space="0" w:color="auto"/>
              </w:divBdr>
              <w:divsChild>
                <w:div w:id="1756975849">
                  <w:marLeft w:val="0"/>
                  <w:marRight w:val="0"/>
                  <w:marTop w:val="0"/>
                  <w:marBottom w:val="0"/>
                  <w:divBdr>
                    <w:top w:val="none" w:sz="0" w:space="0" w:color="auto"/>
                    <w:left w:val="none" w:sz="0" w:space="0" w:color="auto"/>
                    <w:bottom w:val="none" w:sz="0" w:space="0" w:color="auto"/>
                    <w:right w:val="none" w:sz="0" w:space="0" w:color="auto"/>
                  </w:divBdr>
                  <w:divsChild>
                    <w:div w:id="12621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71709">
      <w:bodyDiv w:val="1"/>
      <w:marLeft w:val="0"/>
      <w:marRight w:val="0"/>
      <w:marTop w:val="0"/>
      <w:marBottom w:val="0"/>
      <w:divBdr>
        <w:top w:val="none" w:sz="0" w:space="0" w:color="auto"/>
        <w:left w:val="none" w:sz="0" w:space="0" w:color="auto"/>
        <w:bottom w:val="none" w:sz="0" w:space="0" w:color="auto"/>
        <w:right w:val="none" w:sz="0" w:space="0" w:color="auto"/>
      </w:divBdr>
      <w:divsChild>
        <w:div w:id="807671883">
          <w:marLeft w:val="0"/>
          <w:marRight w:val="0"/>
          <w:marTop w:val="0"/>
          <w:marBottom w:val="0"/>
          <w:divBdr>
            <w:top w:val="none" w:sz="0" w:space="0" w:color="auto"/>
            <w:left w:val="none" w:sz="0" w:space="0" w:color="auto"/>
            <w:bottom w:val="none" w:sz="0" w:space="0" w:color="auto"/>
            <w:right w:val="none" w:sz="0" w:space="0" w:color="auto"/>
          </w:divBdr>
          <w:divsChild>
            <w:div w:id="211845107">
              <w:marLeft w:val="0"/>
              <w:marRight w:val="0"/>
              <w:marTop w:val="0"/>
              <w:marBottom w:val="0"/>
              <w:divBdr>
                <w:top w:val="none" w:sz="0" w:space="0" w:color="auto"/>
                <w:left w:val="none" w:sz="0" w:space="0" w:color="auto"/>
                <w:bottom w:val="none" w:sz="0" w:space="0" w:color="auto"/>
                <w:right w:val="none" w:sz="0" w:space="0" w:color="auto"/>
              </w:divBdr>
              <w:divsChild>
                <w:div w:id="2105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08206">
      <w:bodyDiv w:val="1"/>
      <w:marLeft w:val="0"/>
      <w:marRight w:val="0"/>
      <w:marTop w:val="0"/>
      <w:marBottom w:val="0"/>
      <w:divBdr>
        <w:top w:val="none" w:sz="0" w:space="0" w:color="auto"/>
        <w:left w:val="none" w:sz="0" w:space="0" w:color="auto"/>
        <w:bottom w:val="none" w:sz="0" w:space="0" w:color="auto"/>
        <w:right w:val="none" w:sz="0" w:space="0" w:color="auto"/>
      </w:divBdr>
      <w:divsChild>
        <w:div w:id="2005205616">
          <w:marLeft w:val="0"/>
          <w:marRight w:val="0"/>
          <w:marTop w:val="0"/>
          <w:marBottom w:val="0"/>
          <w:divBdr>
            <w:top w:val="none" w:sz="0" w:space="0" w:color="auto"/>
            <w:left w:val="none" w:sz="0" w:space="0" w:color="auto"/>
            <w:bottom w:val="none" w:sz="0" w:space="0" w:color="auto"/>
            <w:right w:val="none" w:sz="0" w:space="0" w:color="auto"/>
          </w:divBdr>
          <w:divsChild>
            <w:div w:id="1142040855">
              <w:marLeft w:val="0"/>
              <w:marRight w:val="0"/>
              <w:marTop w:val="0"/>
              <w:marBottom w:val="0"/>
              <w:divBdr>
                <w:top w:val="none" w:sz="0" w:space="0" w:color="auto"/>
                <w:left w:val="none" w:sz="0" w:space="0" w:color="auto"/>
                <w:bottom w:val="none" w:sz="0" w:space="0" w:color="auto"/>
                <w:right w:val="none" w:sz="0" w:space="0" w:color="auto"/>
              </w:divBdr>
              <w:divsChild>
                <w:div w:id="1682585926">
                  <w:marLeft w:val="0"/>
                  <w:marRight w:val="0"/>
                  <w:marTop w:val="0"/>
                  <w:marBottom w:val="0"/>
                  <w:divBdr>
                    <w:top w:val="none" w:sz="0" w:space="0" w:color="auto"/>
                    <w:left w:val="none" w:sz="0" w:space="0" w:color="auto"/>
                    <w:bottom w:val="none" w:sz="0" w:space="0" w:color="auto"/>
                    <w:right w:val="none" w:sz="0" w:space="0" w:color="auto"/>
                  </w:divBdr>
                  <w:divsChild>
                    <w:div w:id="9108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2750">
      <w:bodyDiv w:val="1"/>
      <w:marLeft w:val="0"/>
      <w:marRight w:val="0"/>
      <w:marTop w:val="0"/>
      <w:marBottom w:val="0"/>
      <w:divBdr>
        <w:top w:val="none" w:sz="0" w:space="0" w:color="auto"/>
        <w:left w:val="none" w:sz="0" w:space="0" w:color="auto"/>
        <w:bottom w:val="none" w:sz="0" w:space="0" w:color="auto"/>
        <w:right w:val="none" w:sz="0" w:space="0" w:color="auto"/>
      </w:divBdr>
      <w:divsChild>
        <w:div w:id="850801534">
          <w:marLeft w:val="0"/>
          <w:marRight w:val="0"/>
          <w:marTop w:val="0"/>
          <w:marBottom w:val="0"/>
          <w:divBdr>
            <w:top w:val="none" w:sz="0" w:space="0" w:color="auto"/>
            <w:left w:val="none" w:sz="0" w:space="0" w:color="auto"/>
            <w:bottom w:val="none" w:sz="0" w:space="0" w:color="auto"/>
            <w:right w:val="none" w:sz="0" w:space="0" w:color="auto"/>
          </w:divBdr>
          <w:divsChild>
            <w:div w:id="918833418">
              <w:marLeft w:val="0"/>
              <w:marRight w:val="0"/>
              <w:marTop w:val="0"/>
              <w:marBottom w:val="0"/>
              <w:divBdr>
                <w:top w:val="none" w:sz="0" w:space="0" w:color="auto"/>
                <w:left w:val="none" w:sz="0" w:space="0" w:color="auto"/>
                <w:bottom w:val="none" w:sz="0" w:space="0" w:color="auto"/>
                <w:right w:val="none" w:sz="0" w:space="0" w:color="auto"/>
              </w:divBdr>
              <w:divsChild>
                <w:div w:id="1634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711">
      <w:bodyDiv w:val="1"/>
      <w:marLeft w:val="0"/>
      <w:marRight w:val="0"/>
      <w:marTop w:val="0"/>
      <w:marBottom w:val="0"/>
      <w:divBdr>
        <w:top w:val="none" w:sz="0" w:space="0" w:color="auto"/>
        <w:left w:val="none" w:sz="0" w:space="0" w:color="auto"/>
        <w:bottom w:val="none" w:sz="0" w:space="0" w:color="auto"/>
        <w:right w:val="none" w:sz="0" w:space="0" w:color="auto"/>
      </w:divBdr>
      <w:divsChild>
        <w:div w:id="1300644188">
          <w:marLeft w:val="0"/>
          <w:marRight w:val="0"/>
          <w:marTop w:val="0"/>
          <w:marBottom w:val="0"/>
          <w:divBdr>
            <w:top w:val="none" w:sz="0" w:space="0" w:color="auto"/>
            <w:left w:val="none" w:sz="0" w:space="0" w:color="auto"/>
            <w:bottom w:val="none" w:sz="0" w:space="0" w:color="auto"/>
            <w:right w:val="none" w:sz="0" w:space="0" w:color="auto"/>
          </w:divBdr>
          <w:divsChild>
            <w:div w:id="557670285">
              <w:marLeft w:val="0"/>
              <w:marRight w:val="0"/>
              <w:marTop w:val="0"/>
              <w:marBottom w:val="0"/>
              <w:divBdr>
                <w:top w:val="none" w:sz="0" w:space="0" w:color="auto"/>
                <w:left w:val="none" w:sz="0" w:space="0" w:color="auto"/>
                <w:bottom w:val="none" w:sz="0" w:space="0" w:color="auto"/>
                <w:right w:val="none" w:sz="0" w:space="0" w:color="auto"/>
              </w:divBdr>
              <w:divsChild>
                <w:div w:id="1033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1588720">
      <w:bodyDiv w:val="1"/>
      <w:marLeft w:val="0"/>
      <w:marRight w:val="0"/>
      <w:marTop w:val="0"/>
      <w:marBottom w:val="0"/>
      <w:divBdr>
        <w:top w:val="none" w:sz="0" w:space="0" w:color="auto"/>
        <w:left w:val="none" w:sz="0" w:space="0" w:color="auto"/>
        <w:bottom w:val="none" w:sz="0" w:space="0" w:color="auto"/>
        <w:right w:val="none" w:sz="0" w:space="0" w:color="auto"/>
      </w:divBdr>
      <w:divsChild>
        <w:div w:id="823857457">
          <w:marLeft w:val="0"/>
          <w:marRight w:val="0"/>
          <w:marTop w:val="0"/>
          <w:marBottom w:val="0"/>
          <w:divBdr>
            <w:top w:val="none" w:sz="0" w:space="0" w:color="auto"/>
            <w:left w:val="none" w:sz="0" w:space="0" w:color="auto"/>
            <w:bottom w:val="none" w:sz="0" w:space="0" w:color="auto"/>
            <w:right w:val="none" w:sz="0" w:space="0" w:color="auto"/>
          </w:divBdr>
          <w:divsChild>
            <w:div w:id="1671565705">
              <w:marLeft w:val="0"/>
              <w:marRight w:val="0"/>
              <w:marTop w:val="0"/>
              <w:marBottom w:val="0"/>
              <w:divBdr>
                <w:top w:val="none" w:sz="0" w:space="0" w:color="auto"/>
                <w:left w:val="none" w:sz="0" w:space="0" w:color="auto"/>
                <w:bottom w:val="none" w:sz="0" w:space="0" w:color="auto"/>
                <w:right w:val="none" w:sz="0" w:space="0" w:color="auto"/>
              </w:divBdr>
              <w:divsChild>
                <w:div w:id="4944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70627">
      <w:bodyDiv w:val="1"/>
      <w:marLeft w:val="0"/>
      <w:marRight w:val="0"/>
      <w:marTop w:val="0"/>
      <w:marBottom w:val="0"/>
      <w:divBdr>
        <w:top w:val="none" w:sz="0" w:space="0" w:color="auto"/>
        <w:left w:val="none" w:sz="0" w:space="0" w:color="auto"/>
        <w:bottom w:val="none" w:sz="0" w:space="0" w:color="auto"/>
        <w:right w:val="none" w:sz="0" w:space="0" w:color="auto"/>
      </w:divBdr>
      <w:divsChild>
        <w:div w:id="355274203">
          <w:marLeft w:val="446"/>
          <w:marRight w:val="0"/>
          <w:marTop w:val="0"/>
          <w:marBottom w:val="0"/>
          <w:divBdr>
            <w:top w:val="none" w:sz="0" w:space="0" w:color="auto"/>
            <w:left w:val="none" w:sz="0" w:space="0" w:color="auto"/>
            <w:bottom w:val="none" w:sz="0" w:space="0" w:color="auto"/>
            <w:right w:val="none" w:sz="0" w:space="0" w:color="auto"/>
          </w:divBdr>
        </w:div>
        <w:div w:id="26177907">
          <w:marLeft w:val="1166"/>
          <w:marRight w:val="0"/>
          <w:marTop w:val="0"/>
          <w:marBottom w:val="0"/>
          <w:divBdr>
            <w:top w:val="none" w:sz="0" w:space="0" w:color="auto"/>
            <w:left w:val="none" w:sz="0" w:space="0" w:color="auto"/>
            <w:bottom w:val="none" w:sz="0" w:space="0" w:color="auto"/>
            <w:right w:val="none" w:sz="0" w:space="0" w:color="auto"/>
          </w:divBdr>
        </w:div>
        <w:div w:id="904026959">
          <w:marLeft w:val="1166"/>
          <w:marRight w:val="0"/>
          <w:marTop w:val="0"/>
          <w:marBottom w:val="0"/>
          <w:divBdr>
            <w:top w:val="none" w:sz="0" w:space="0" w:color="auto"/>
            <w:left w:val="none" w:sz="0" w:space="0" w:color="auto"/>
            <w:bottom w:val="none" w:sz="0" w:space="0" w:color="auto"/>
            <w:right w:val="none" w:sz="0" w:space="0" w:color="auto"/>
          </w:divBdr>
        </w:div>
      </w:divsChild>
    </w:div>
    <w:div w:id="390270078">
      <w:bodyDiv w:val="1"/>
      <w:marLeft w:val="0"/>
      <w:marRight w:val="0"/>
      <w:marTop w:val="0"/>
      <w:marBottom w:val="0"/>
      <w:divBdr>
        <w:top w:val="none" w:sz="0" w:space="0" w:color="auto"/>
        <w:left w:val="none" w:sz="0" w:space="0" w:color="auto"/>
        <w:bottom w:val="none" w:sz="0" w:space="0" w:color="auto"/>
        <w:right w:val="none" w:sz="0" w:space="0" w:color="auto"/>
      </w:divBdr>
      <w:divsChild>
        <w:div w:id="1379428693">
          <w:marLeft w:val="0"/>
          <w:marRight w:val="0"/>
          <w:marTop w:val="0"/>
          <w:marBottom w:val="0"/>
          <w:divBdr>
            <w:top w:val="none" w:sz="0" w:space="0" w:color="auto"/>
            <w:left w:val="none" w:sz="0" w:space="0" w:color="auto"/>
            <w:bottom w:val="none" w:sz="0" w:space="0" w:color="auto"/>
            <w:right w:val="none" w:sz="0" w:space="0" w:color="auto"/>
          </w:divBdr>
          <w:divsChild>
            <w:div w:id="1329598244">
              <w:marLeft w:val="0"/>
              <w:marRight w:val="0"/>
              <w:marTop w:val="0"/>
              <w:marBottom w:val="0"/>
              <w:divBdr>
                <w:top w:val="none" w:sz="0" w:space="0" w:color="auto"/>
                <w:left w:val="none" w:sz="0" w:space="0" w:color="auto"/>
                <w:bottom w:val="none" w:sz="0" w:space="0" w:color="auto"/>
                <w:right w:val="none" w:sz="0" w:space="0" w:color="auto"/>
              </w:divBdr>
              <w:divsChild>
                <w:div w:id="9123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7709">
      <w:bodyDiv w:val="1"/>
      <w:marLeft w:val="0"/>
      <w:marRight w:val="0"/>
      <w:marTop w:val="0"/>
      <w:marBottom w:val="0"/>
      <w:divBdr>
        <w:top w:val="none" w:sz="0" w:space="0" w:color="auto"/>
        <w:left w:val="none" w:sz="0" w:space="0" w:color="auto"/>
        <w:bottom w:val="none" w:sz="0" w:space="0" w:color="auto"/>
        <w:right w:val="none" w:sz="0" w:space="0" w:color="auto"/>
      </w:divBdr>
    </w:div>
    <w:div w:id="442843696">
      <w:bodyDiv w:val="1"/>
      <w:marLeft w:val="0"/>
      <w:marRight w:val="0"/>
      <w:marTop w:val="0"/>
      <w:marBottom w:val="0"/>
      <w:divBdr>
        <w:top w:val="none" w:sz="0" w:space="0" w:color="auto"/>
        <w:left w:val="none" w:sz="0" w:space="0" w:color="auto"/>
        <w:bottom w:val="none" w:sz="0" w:space="0" w:color="auto"/>
        <w:right w:val="none" w:sz="0" w:space="0" w:color="auto"/>
      </w:divBdr>
      <w:divsChild>
        <w:div w:id="1675300976">
          <w:marLeft w:val="0"/>
          <w:marRight w:val="0"/>
          <w:marTop w:val="0"/>
          <w:marBottom w:val="0"/>
          <w:divBdr>
            <w:top w:val="none" w:sz="0" w:space="0" w:color="auto"/>
            <w:left w:val="none" w:sz="0" w:space="0" w:color="auto"/>
            <w:bottom w:val="none" w:sz="0" w:space="0" w:color="auto"/>
            <w:right w:val="none" w:sz="0" w:space="0" w:color="auto"/>
          </w:divBdr>
          <w:divsChild>
            <w:div w:id="770508519">
              <w:marLeft w:val="0"/>
              <w:marRight w:val="0"/>
              <w:marTop w:val="0"/>
              <w:marBottom w:val="0"/>
              <w:divBdr>
                <w:top w:val="none" w:sz="0" w:space="0" w:color="auto"/>
                <w:left w:val="none" w:sz="0" w:space="0" w:color="auto"/>
                <w:bottom w:val="none" w:sz="0" w:space="0" w:color="auto"/>
                <w:right w:val="none" w:sz="0" w:space="0" w:color="auto"/>
              </w:divBdr>
              <w:divsChild>
                <w:div w:id="408967986">
                  <w:marLeft w:val="0"/>
                  <w:marRight w:val="0"/>
                  <w:marTop w:val="0"/>
                  <w:marBottom w:val="0"/>
                  <w:divBdr>
                    <w:top w:val="none" w:sz="0" w:space="0" w:color="auto"/>
                    <w:left w:val="none" w:sz="0" w:space="0" w:color="auto"/>
                    <w:bottom w:val="none" w:sz="0" w:space="0" w:color="auto"/>
                    <w:right w:val="none" w:sz="0" w:space="0" w:color="auto"/>
                  </w:divBdr>
                  <w:divsChild>
                    <w:div w:id="12957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08090">
      <w:bodyDiv w:val="1"/>
      <w:marLeft w:val="0"/>
      <w:marRight w:val="0"/>
      <w:marTop w:val="0"/>
      <w:marBottom w:val="0"/>
      <w:divBdr>
        <w:top w:val="none" w:sz="0" w:space="0" w:color="auto"/>
        <w:left w:val="none" w:sz="0" w:space="0" w:color="auto"/>
        <w:bottom w:val="none" w:sz="0" w:space="0" w:color="auto"/>
        <w:right w:val="none" w:sz="0" w:space="0" w:color="auto"/>
      </w:divBdr>
      <w:divsChild>
        <w:div w:id="568154235">
          <w:marLeft w:val="0"/>
          <w:marRight w:val="0"/>
          <w:marTop w:val="0"/>
          <w:marBottom w:val="0"/>
          <w:divBdr>
            <w:top w:val="none" w:sz="0" w:space="0" w:color="auto"/>
            <w:left w:val="none" w:sz="0" w:space="0" w:color="auto"/>
            <w:bottom w:val="none" w:sz="0" w:space="0" w:color="auto"/>
            <w:right w:val="none" w:sz="0" w:space="0" w:color="auto"/>
          </w:divBdr>
          <w:divsChild>
            <w:div w:id="1672293904">
              <w:marLeft w:val="0"/>
              <w:marRight w:val="0"/>
              <w:marTop w:val="0"/>
              <w:marBottom w:val="0"/>
              <w:divBdr>
                <w:top w:val="none" w:sz="0" w:space="0" w:color="auto"/>
                <w:left w:val="none" w:sz="0" w:space="0" w:color="auto"/>
                <w:bottom w:val="none" w:sz="0" w:space="0" w:color="auto"/>
                <w:right w:val="none" w:sz="0" w:space="0" w:color="auto"/>
              </w:divBdr>
              <w:divsChild>
                <w:div w:id="10062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19970">
      <w:bodyDiv w:val="1"/>
      <w:marLeft w:val="0"/>
      <w:marRight w:val="0"/>
      <w:marTop w:val="0"/>
      <w:marBottom w:val="0"/>
      <w:divBdr>
        <w:top w:val="none" w:sz="0" w:space="0" w:color="auto"/>
        <w:left w:val="none" w:sz="0" w:space="0" w:color="auto"/>
        <w:bottom w:val="none" w:sz="0" w:space="0" w:color="auto"/>
        <w:right w:val="none" w:sz="0" w:space="0" w:color="auto"/>
      </w:divBdr>
      <w:divsChild>
        <w:div w:id="1224491645">
          <w:marLeft w:val="547"/>
          <w:marRight w:val="0"/>
          <w:marTop w:val="200"/>
          <w:marBottom w:val="0"/>
          <w:divBdr>
            <w:top w:val="none" w:sz="0" w:space="0" w:color="auto"/>
            <w:left w:val="none" w:sz="0" w:space="0" w:color="auto"/>
            <w:bottom w:val="none" w:sz="0" w:space="0" w:color="auto"/>
            <w:right w:val="none" w:sz="0" w:space="0" w:color="auto"/>
          </w:divBdr>
        </w:div>
        <w:div w:id="670641149">
          <w:marLeft w:val="547"/>
          <w:marRight w:val="0"/>
          <w:marTop w:val="200"/>
          <w:marBottom w:val="0"/>
          <w:divBdr>
            <w:top w:val="none" w:sz="0" w:space="0" w:color="auto"/>
            <w:left w:val="none" w:sz="0" w:space="0" w:color="auto"/>
            <w:bottom w:val="none" w:sz="0" w:space="0" w:color="auto"/>
            <w:right w:val="none" w:sz="0" w:space="0" w:color="auto"/>
          </w:divBdr>
        </w:div>
        <w:div w:id="1322350195">
          <w:marLeft w:val="547"/>
          <w:marRight w:val="0"/>
          <w:marTop w:val="200"/>
          <w:marBottom w:val="0"/>
          <w:divBdr>
            <w:top w:val="none" w:sz="0" w:space="0" w:color="auto"/>
            <w:left w:val="none" w:sz="0" w:space="0" w:color="auto"/>
            <w:bottom w:val="none" w:sz="0" w:space="0" w:color="auto"/>
            <w:right w:val="none" w:sz="0" w:space="0" w:color="auto"/>
          </w:divBdr>
        </w:div>
        <w:div w:id="2127847011">
          <w:marLeft w:val="547"/>
          <w:marRight w:val="0"/>
          <w:marTop w:val="200"/>
          <w:marBottom w:val="0"/>
          <w:divBdr>
            <w:top w:val="none" w:sz="0" w:space="0" w:color="auto"/>
            <w:left w:val="none" w:sz="0" w:space="0" w:color="auto"/>
            <w:bottom w:val="none" w:sz="0" w:space="0" w:color="auto"/>
            <w:right w:val="none" w:sz="0" w:space="0" w:color="auto"/>
          </w:divBdr>
        </w:div>
      </w:divsChild>
    </w:div>
    <w:div w:id="535120701">
      <w:bodyDiv w:val="1"/>
      <w:marLeft w:val="0"/>
      <w:marRight w:val="0"/>
      <w:marTop w:val="0"/>
      <w:marBottom w:val="0"/>
      <w:divBdr>
        <w:top w:val="none" w:sz="0" w:space="0" w:color="auto"/>
        <w:left w:val="none" w:sz="0" w:space="0" w:color="auto"/>
        <w:bottom w:val="none" w:sz="0" w:space="0" w:color="auto"/>
        <w:right w:val="none" w:sz="0" w:space="0" w:color="auto"/>
      </w:divBdr>
      <w:divsChild>
        <w:div w:id="267155902">
          <w:marLeft w:val="0"/>
          <w:marRight w:val="0"/>
          <w:marTop w:val="0"/>
          <w:marBottom w:val="0"/>
          <w:divBdr>
            <w:top w:val="none" w:sz="0" w:space="0" w:color="auto"/>
            <w:left w:val="none" w:sz="0" w:space="0" w:color="auto"/>
            <w:bottom w:val="none" w:sz="0" w:space="0" w:color="auto"/>
            <w:right w:val="none" w:sz="0" w:space="0" w:color="auto"/>
          </w:divBdr>
          <w:divsChild>
            <w:div w:id="1171019135">
              <w:marLeft w:val="0"/>
              <w:marRight w:val="0"/>
              <w:marTop w:val="0"/>
              <w:marBottom w:val="0"/>
              <w:divBdr>
                <w:top w:val="none" w:sz="0" w:space="0" w:color="auto"/>
                <w:left w:val="none" w:sz="0" w:space="0" w:color="auto"/>
                <w:bottom w:val="none" w:sz="0" w:space="0" w:color="auto"/>
                <w:right w:val="none" w:sz="0" w:space="0" w:color="auto"/>
              </w:divBdr>
              <w:divsChild>
                <w:div w:id="959190560">
                  <w:marLeft w:val="0"/>
                  <w:marRight w:val="0"/>
                  <w:marTop w:val="0"/>
                  <w:marBottom w:val="0"/>
                  <w:divBdr>
                    <w:top w:val="none" w:sz="0" w:space="0" w:color="auto"/>
                    <w:left w:val="none" w:sz="0" w:space="0" w:color="auto"/>
                    <w:bottom w:val="none" w:sz="0" w:space="0" w:color="auto"/>
                    <w:right w:val="none" w:sz="0" w:space="0" w:color="auto"/>
                  </w:divBdr>
                  <w:divsChild>
                    <w:div w:id="20729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07707">
      <w:bodyDiv w:val="1"/>
      <w:marLeft w:val="0"/>
      <w:marRight w:val="0"/>
      <w:marTop w:val="0"/>
      <w:marBottom w:val="0"/>
      <w:divBdr>
        <w:top w:val="none" w:sz="0" w:space="0" w:color="auto"/>
        <w:left w:val="none" w:sz="0" w:space="0" w:color="auto"/>
        <w:bottom w:val="none" w:sz="0" w:space="0" w:color="auto"/>
        <w:right w:val="none" w:sz="0" w:space="0" w:color="auto"/>
      </w:divBdr>
    </w:div>
    <w:div w:id="644941615">
      <w:bodyDiv w:val="1"/>
      <w:marLeft w:val="0"/>
      <w:marRight w:val="0"/>
      <w:marTop w:val="0"/>
      <w:marBottom w:val="0"/>
      <w:divBdr>
        <w:top w:val="none" w:sz="0" w:space="0" w:color="auto"/>
        <w:left w:val="none" w:sz="0" w:space="0" w:color="auto"/>
        <w:bottom w:val="none" w:sz="0" w:space="0" w:color="auto"/>
        <w:right w:val="none" w:sz="0" w:space="0" w:color="auto"/>
      </w:divBdr>
      <w:divsChild>
        <w:div w:id="90472081">
          <w:marLeft w:val="0"/>
          <w:marRight w:val="0"/>
          <w:marTop w:val="0"/>
          <w:marBottom w:val="0"/>
          <w:divBdr>
            <w:top w:val="none" w:sz="0" w:space="0" w:color="auto"/>
            <w:left w:val="none" w:sz="0" w:space="0" w:color="auto"/>
            <w:bottom w:val="none" w:sz="0" w:space="0" w:color="auto"/>
            <w:right w:val="none" w:sz="0" w:space="0" w:color="auto"/>
          </w:divBdr>
          <w:divsChild>
            <w:div w:id="1221095665">
              <w:marLeft w:val="0"/>
              <w:marRight w:val="0"/>
              <w:marTop w:val="0"/>
              <w:marBottom w:val="0"/>
              <w:divBdr>
                <w:top w:val="none" w:sz="0" w:space="0" w:color="auto"/>
                <w:left w:val="none" w:sz="0" w:space="0" w:color="auto"/>
                <w:bottom w:val="none" w:sz="0" w:space="0" w:color="auto"/>
                <w:right w:val="none" w:sz="0" w:space="0" w:color="auto"/>
              </w:divBdr>
              <w:divsChild>
                <w:div w:id="6426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25018">
      <w:bodyDiv w:val="1"/>
      <w:marLeft w:val="0"/>
      <w:marRight w:val="0"/>
      <w:marTop w:val="0"/>
      <w:marBottom w:val="0"/>
      <w:divBdr>
        <w:top w:val="none" w:sz="0" w:space="0" w:color="auto"/>
        <w:left w:val="none" w:sz="0" w:space="0" w:color="auto"/>
        <w:bottom w:val="none" w:sz="0" w:space="0" w:color="auto"/>
        <w:right w:val="none" w:sz="0" w:space="0" w:color="auto"/>
      </w:divBdr>
      <w:divsChild>
        <w:div w:id="1727101802">
          <w:marLeft w:val="0"/>
          <w:marRight w:val="0"/>
          <w:marTop w:val="0"/>
          <w:marBottom w:val="0"/>
          <w:divBdr>
            <w:top w:val="none" w:sz="0" w:space="0" w:color="auto"/>
            <w:left w:val="none" w:sz="0" w:space="0" w:color="auto"/>
            <w:bottom w:val="none" w:sz="0" w:space="0" w:color="auto"/>
            <w:right w:val="none" w:sz="0" w:space="0" w:color="auto"/>
          </w:divBdr>
          <w:divsChild>
            <w:div w:id="652372645">
              <w:marLeft w:val="0"/>
              <w:marRight w:val="0"/>
              <w:marTop w:val="0"/>
              <w:marBottom w:val="0"/>
              <w:divBdr>
                <w:top w:val="none" w:sz="0" w:space="0" w:color="auto"/>
                <w:left w:val="none" w:sz="0" w:space="0" w:color="auto"/>
                <w:bottom w:val="none" w:sz="0" w:space="0" w:color="auto"/>
                <w:right w:val="none" w:sz="0" w:space="0" w:color="auto"/>
              </w:divBdr>
              <w:divsChild>
                <w:div w:id="19767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5193801">
      <w:bodyDiv w:val="1"/>
      <w:marLeft w:val="0"/>
      <w:marRight w:val="0"/>
      <w:marTop w:val="0"/>
      <w:marBottom w:val="0"/>
      <w:divBdr>
        <w:top w:val="none" w:sz="0" w:space="0" w:color="auto"/>
        <w:left w:val="none" w:sz="0" w:space="0" w:color="auto"/>
        <w:bottom w:val="none" w:sz="0" w:space="0" w:color="auto"/>
        <w:right w:val="none" w:sz="0" w:space="0" w:color="auto"/>
      </w:divBdr>
      <w:divsChild>
        <w:div w:id="1382555887">
          <w:marLeft w:val="360"/>
          <w:marRight w:val="0"/>
          <w:marTop w:val="200"/>
          <w:marBottom w:val="0"/>
          <w:divBdr>
            <w:top w:val="none" w:sz="0" w:space="0" w:color="auto"/>
            <w:left w:val="none" w:sz="0" w:space="0" w:color="auto"/>
            <w:bottom w:val="none" w:sz="0" w:space="0" w:color="auto"/>
            <w:right w:val="none" w:sz="0" w:space="0" w:color="auto"/>
          </w:divBdr>
        </w:div>
        <w:div w:id="913973956">
          <w:marLeft w:val="360"/>
          <w:marRight w:val="0"/>
          <w:marTop w:val="200"/>
          <w:marBottom w:val="0"/>
          <w:divBdr>
            <w:top w:val="none" w:sz="0" w:space="0" w:color="auto"/>
            <w:left w:val="none" w:sz="0" w:space="0" w:color="auto"/>
            <w:bottom w:val="none" w:sz="0" w:space="0" w:color="auto"/>
            <w:right w:val="none" w:sz="0" w:space="0" w:color="auto"/>
          </w:divBdr>
        </w:div>
        <w:div w:id="864442905">
          <w:marLeft w:val="360"/>
          <w:marRight w:val="0"/>
          <w:marTop w:val="200"/>
          <w:marBottom w:val="0"/>
          <w:divBdr>
            <w:top w:val="none" w:sz="0" w:space="0" w:color="auto"/>
            <w:left w:val="none" w:sz="0" w:space="0" w:color="auto"/>
            <w:bottom w:val="none" w:sz="0" w:space="0" w:color="auto"/>
            <w:right w:val="none" w:sz="0" w:space="0" w:color="auto"/>
          </w:divBdr>
        </w:div>
        <w:div w:id="1392578816">
          <w:marLeft w:val="360"/>
          <w:marRight w:val="0"/>
          <w:marTop w:val="200"/>
          <w:marBottom w:val="0"/>
          <w:divBdr>
            <w:top w:val="none" w:sz="0" w:space="0" w:color="auto"/>
            <w:left w:val="none" w:sz="0" w:space="0" w:color="auto"/>
            <w:bottom w:val="none" w:sz="0" w:space="0" w:color="auto"/>
            <w:right w:val="none" w:sz="0" w:space="0" w:color="auto"/>
          </w:divBdr>
        </w:div>
        <w:div w:id="2035614051">
          <w:marLeft w:val="360"/>
          <w:marRight w:val="0"/>
          <w:marTop w:val="200"/>
          <w:marBottom w:val="0"/>
          <w:divBdr>
            <w:top w:val="none" w:sz="0" w:space="0" w:color="auto"/>
            <w:left w:val="none" w:sz="0" w:space="0" w:color="auto"/>
            <w:bottom w:val="none" w:sz="0" w:space="0" w:color="auto"/>
            <w:right w:val="none" w:sz="0" w:space="0" w:color="auto"/>
          </w:divBdr>
        </w:div>
      </w:divsChild>
    </w:div>
    <w:div w:id="976758013">
      <w:bodyDiv w:val="1"/>
      <w:marLeft w:val="0"/>
      <w:marRight w:val="0"/>
      <w:marTop w:val="0"/>
      <w:marBottom w:val="0"/>
      <w:divBdr>
        <w:top w:val="none" w:sz="0" w:space="0" w:color="auto"/>
        <w:left w:val="none" w:sz="0" w:space="0" w:color="auto"/>
        <w:bottom w:val="none" w:sz="0" w:space="0" w:color="auto"/>
        <w:right w:val="none" w:sz="0" w:space="0" w:color="auto"/>
      </w:divBdr>
    </w:div>
    <w:div w:id="1046954873">
      <w:bodyDiv w:val="1"/>
      <w:marLeft w:val="0"/>
      <w:marRight w:val="0"/>
      <w:marTop w:val="0"/>
      <w:marBottom w:val="0"/>
      <w:divBdr>
        <w:top w:val="none" w:sz="0" w:space="0" w:color="auto"/>
        <w:left w:val="none" w:sz="0" w:space="0" w:color="auto"/>
        <w:bottom w:val="none" w:sz="0" w:space="0" w:color="auto"/>
        <w:right w:val="none" w:sz="0" w:space="0" w:color="auto"/>
      </w:divBdr>
      <w:divsChild>
        <w:div w:id="485511192">
          <w:marLeft w:val="0"/>
          <w:marRight w:val="0"/>
          <w:marTop w:val="0"/>
          <w:marBottom w:val="0"/>
          <w:divBdr>
            <w:top w:val="none" w:sz="0" w:space="0" w:color="auto"/>
            <w:left w:val="none" w:sz="0" w:space="0" w:color="auto"/>
            <w:bottom w:val="none" w:sz="0" w:space="0" w:color="auto"/>
            <w:right w:val="none" w:sz="0" w:space="0" w:color="auto"/>
          </w:divBdr>
          <w:divsChild>
            <w:div w:id="1099642140">
              <w:marLeft w:val="0"/>
              <w:marRight w:val="0"/>
              <w:marTop w:val="0"/>
              <w:marBottom w:val="0"/>
              <w:divBdr>
                <w:top w:val="none" w:sz="0" w:space="0" w:color="auto"/>
                <w:left w:val="none" w:sz="0" w:space="0" w:color="auto"/>
                <w:bottom w:val="none" w:sz="0" w:space="0" w:color="auto"/>
                <w:right w:val="none" w:sz="0" w:space="0" w:color="auto"/>
              </w:divBdr>
              <w:divsChild>
                <w:div w:id="6789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3632">
      <w:bodyDiv w:val="1"/>
      <w:marLeft w:val="0"/>
      <w:marRight w:val="0"/>
      <w:marTop w:val="0"/>
      <w:marBottom w:val="0"/>
      <w:divBdr>
        <w:top w:val="none" w:sz="0" w:space="0" w:color="auto"/>
        <w:left w:val="none" w:sz="0" w:space="0" w:color="auto"/>
        <w:bottom w:val="none" w:sz="0" w:space="0" w:color="auto"/>
        <w:right w:val="none" w:sz="0" w:space="0" w:color="auto"/>
      </w:divBdr>
      <w:divsChild>
        <w:div w:id="558135139">
          <w:marLeft w:val="0"/>
          <w:marRight w:val="0"/>
          <w:marTop w:val="0"/>
          <w:marBottom w:val="0"/>
          <w:divBdr>
            <w:top w:val="none" w:sz="0" w:space="0" w:color="auto"/>
            <w:left w:val="none" w:sz="0" w:space="0" w:color="auto"/>
            <w:bottom w:val="none" w:sz="0" w:space="0" w:color="auto"/>
            <w:right w:val="none" w:sz="0" w:space="0" w:color="auto"/>
          </w:divBdr>
          <w:divsChild>
            <w:div w:id="1693994227">
              <w:marLeft w:val="0"/>
              <w:marRight w:val="0"/>
              <w:marTop w:val="0"/>
              <w:marBottom w:val="0"/>
              <w:divBdr>
                <w:top w:val="none" w:sz="0" w:space="0" w:color="auto"/>
                <w:left w:val="none" w:sz="0" w:space="0" w:color="auto"/>
                <w:bottom w:val="none" w:sz="0" w:space="0" w:color="auto"/>
                <w:right w:val="none" w:sz="0" w:space="0" w:color="auto"/>
              </w:divBdr>
              <w:divsChild>
                <w:div w:id="1346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1895443">
      <w:bodyDiv w:val="1"/>
      <w:marLeft w:val="0"/>
      <w:marRight w:val="0"/>
      <w:marTop w:val="0"/>
      <w:marBottom w:val="0"/>
      <w:divBdr>
        <w:top w:val="none" w:sz="0" w:space="0" w:color="auto"/>
        <w:left w:val="none" w:sz="0" w:space="0" w:color="auto"/>
        <w:bottom w:val="none" w:sz="0" w:space="0" w:color="auto"/>
        <w:right w:val="none" w:sz="0" w:space="0" w:color="auto"/>
      </w:divBdr>
      <w:divsChild>
        <w:div w:id="99186685">
          <w:marLeft w:val="0"/>
          <w:marRight w:val="0"/>
          <w:marTop w:val="0"/>
          <w:marBottom w:val="0"/>
          <w:divBdr>
            <w:top w:val="none" w:sz="0" w:space="0" w:color="auto"/>
            <w:left w:val="none" w:sz="0" w:space="0" w:color="auto"/>
            <w:bottom w:val="none" w:sz="0" w:space="0" w:color="auto"/>
            <w:right w:val="none" w:sz="0" w:space="0" w:color="auto"/>
          </w:divBdr>
          <w:divsChild>
            <w:div w:id="666598465">
              <w:marLeft w:val="0"/>
              <w:marRight w:val="0"/>
              <w:marTop w:val="0"/>
              <w:marBottom w:val="0"/>
              <w:divBdr>
                <w:top w:val="none" w:sz="0" w:space="0" w:color="auto"/>
                <w:left w:val="none" w:sz="0" w:space="0" w:color="auto"/>
                <w:bottom w:val="none" w:sz="0" w:space="0" w:color="auto"/>
                <w:right w:val="none" w:sz="0" w:space="0" w:color="auto"/>
              </w:divBdr>
              <w:divsChild>
                <w:div w:id="19989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6629">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3828638">
      <w:bodyDiv w:val="1"/>
      <w:marLeft w:val="0"/>
      <w:marRight w:val="0"/>
      <w:marTop w:val="0"/>
      <w:marBottom w:val="0"/>
      <w:divBdr>
        <w:top w:val="none" w:sz="0" w:space="0" w:color="auto"/>
        <w:left w:val="none" w:sz="0" w:space="0" w:color="auto"/>
        <w:bottom w:val="none" w:sz="0" w:space="0" w:color="auto"/>
        <w:right w:val="none" w:sz="0" w:space="0" w:color="auto"/>
      </w:divBdr>
      <w:divsChild>
        <w:div w:id="222301444">
          <w:marLeft w:val="0"/>
          <w:marRight w:val="0"/>
          <w:marTop w:val="0"/>
          <w:marBottom w:val="0"/>
          <w:divBdr>
            <w:top w:val="none" w:sz="0" w:space="0" w:color="auto"/>
            <w:left w:val="none" w:sz="0" w:space="0" w:color="auto"/>
            <w:bottom w:val="none" w:sz="0" w:space="0" w:color="auto"/>
            <w:right w:val="none" w:sz="0" w:space="0" w:color="auto"/>
          </w:divBdr>
          <w:divsChild>
            <w:div w:id="2056196151">
              <w:marLeft w:val="0"/>
              <w:marRight w:val="0"/>
              <w:marTop w:val="0"/>
              <w:marBottom w:val="0"/>
              <w:divBdr>
                <w:top w:val="none" w:sz="0" w:space="0" w:color="auto"/>
                <w:left w:val="none" w:sz="0" w:space="0" w:color="auto"/>
                <w:bottom w:val="none" w:sz="0" w:space="0" w:color="auto"/>
                <w:right w:val="none" w:sz="0" w:space="0" w:color="auto"/>
              </w:divBdr>
              <w:divsChild>
                <w:div w:id="7886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9416">
      <w:bodyDiv w:val="1"/>
      <w:marLeft w:val="0"/>
      <w:marRight w:val="0"/>
      <w:marTop w:val="0"/>
      <w:marBottom w:val="0"/>
      <w:divBdr>
        <w:top w:val="none" w:sz="0" w:space="0" w:color="auto"/>
        <w:left w:val="none" w:sz="0" w:space="0" w:color="auto"/>
        <w:bottom w:val="none" w:sz="0" w:space="0" w:color="auto"/>
        <w:right w:val="none" w:sz="0" w:space="0" w:color="auto"/>
      </w:divBdr>
      <w:divsChild>
        <w:div w:id="179202941">
          <w:marLeft w:val="0"/>
          <w:marRight w:val="0"/>
          <w:marTop w:val="0"/>
          <w:marBottom w:val="0"/>
          <w:divBdr>
            <w:top w:val="none" w:sz="0" w:space="0" w:color="auto"/>
            <w:left w:val="none" w:sz="0" w:space="0" w:color="auto"/>
            <w:bottom w:val="none" w:sz="0" w:space="0" w:color="auto"/>
            <w:right w:val="none" w:sz="0" w:space="0" w:color="auto"/>
          </w:divBdr>
          <w:divsChild>
            <w:div w:id="321617172">
              <w:marLeft w:val="0"/>
              <w:marRight w:val="0"/>
              <w:marTop w:val="0"/>
              <w:marBottom w:val="0"/>
              <w:divBdr>
                <w:top w:val="none" w:sz="0" w:space="0" w:color="auto"/>
                <w:left w:val="none" w:sz="0" w:space="0" w:color="auto"/>
                <w:bottom w:val="none" w:sz="0" w:space="0" w:color="auto"/>
                <w:right w:val="none" w:sz="0" w:space="0" w:color="auto"/>
              </w:divBdr>
              <w:divsChild>
                <w:div w:id="329869540">
                  <w:marLeft w:val="0"/>
                  <w:marRight w:val="0"/>
                  <w:marTop w:val="0"/>
                  <w:marBottom w:val="0"/>
                  <w:divBdr>
                    <w:top w:val="none" w:sz="0" w:space="0" w:color="auto"/>
                    <w:left w:val="none" w:sz="0" w:space="0" w:color="auto"/>
                    <w:bottom w:val="none" w:sz="0" w:space="0" w:color="auto"/>
                    <w:right w:val="none" w:sz="0" w:space="0" w:color="auto"/>
                  </w:divBdr>
                  <w:divsChild>
                    <w:div w:id="12024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949852">
      <w:bodyDiv w:val="1"/>
      <w:marLeft w:val="0"/>
      <w:marRight w:val="0"/>
      <w:marTop w:val="0"/>
      <w:marBottom w:val="0"/>
      <w:divBdr>
        <w:top w:val="none" w:sz="0" w:space="0" w:color="auto"/>
        <w:left w:val="none" w:sz="0" w:space="0" w:color="auto"/>
        <w:bottom w:val="none" w:sz="0" w:space="0" w:color="auto"/>
        <w:right w:val="none" w:sz="0" w:space="0" w:color="auto"/>
      </w:divBdr>
      <w:divsChild>
        <w:div w:id="1852449710">
          <w:marLeft w:val="0"/>
          <w:marRight w:val="0"/>
          <w:marTop w:val="0"/>
          <w:marBottom w:val="0"/>
          <w:divBdr>
            <w:top w:val="none" w:sz="0" w:space="0" w:color="auto"/>
            <w:left w:val="none" w:sz="0" w:space="0" w:color="auto"/>
            <w:bottom w:val="none" w:sz="0" w:space="0" w:color="auto"/>
            <w:right w:val="none" w:sz="0" w:space="0" w:color="auto"/>
          </w:divBdr>
          <w:divsChild>
            <w:div w:id="1019428224">
              <w:marLeft w:val="0"/>
              <w:marRight w:val="0"/>
              <w:marTop w:val="0"/>
              <w:marBottom w:val="0"/>
              <w:divBdr>
                <w:top w:val="none" w:sz="0" w:space="0" w:color="auto"/>
                <w:left w:val="none" w:sz="0" w:space="0" w:color="auto"/>
                <w:bottom w:val="none" w:sz="0" w:space="0" w:color="auto"/>
                <w:right w:val="none" w:sz="0" w:space="0" w:color="auto"/>
              </w:divBdr>
              <w:divsChild>
                <w:div w:id="1919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5792">
      <w:bodyDiv w:val="1"/>
      <w:marLeft w:val="0"/>
      <w:marRight w:val="0"/>
      <w:marTop w:val="0"/>
      <w:marBottom w:val="0"/>
      <w:divBdr>
        <w:top w:val="none" w:sz="0" w:space="0" w:color="auto"/>
        <w:left w:val="none" w:sz="0" w:space="0" w:color="auto"/>
        <w:bottom w:val="none" w:sz="0" w:space="0" w:color="auto"/>
        <w:right w:val="none" w:sz="0" w:space="0" w:color="auto"/>
      </w:divBdr>
      <w:divsChild>
        <w:div w:id="748574344">
          <w:marLeft w:val="0"/>
          <w:marRight w:val="0"/>
          <w:marTop w:val="0"/>
          <w:marBottom w:val="0"/>
          <w:divBdr>
            <w:top w:val="none" w:sz="0" w:space="0" w:color="auto"/>
            <w:left w:val="none" w:sz="0" w:space="0" w:color="auto"/>
            <w:bottom w:val="none" w:sz="0" w:space="0" w:color="auto"/>
            <w:right w:val="none" w:sz="0" w:space="0" w:color="auto"/>
          </w:divBdr>
          <w:divsChild>
            <w:div w:id="2118796290">
              <w:marLeft w:val="0"/>
              <w:marRight w:val="0"/>
              <w:marTop w:val="0"/>
              <w:marBottom w:val="0"/>
              <w:divBdr>
                <w:top w:val="none" w:sz="0" w:space="0" w:color="auto"/>
                <w:left w:val="none" w:sz="0" w:space="0" w:color="auto"/>
                <w:bottom w:val="none" w:sz="0" w:space="0" w:color="auto"/>
                <w:right w:val="none" w:sz="0" w:space="0" w:color="auto"/>
              </w:divBdr>
              <w:divsChild>
                <w:div w:id="518010653">
                  <w:marLeft w:val="0"/>
                  <w:marRight w:val="0"/>
                  <w:marTop w:val="0"/>
                  <w:marBottom w:val="0"/>
                  <w:divBdr>
                    <w:top w:val="none" w:sz="0" w:space="0" w:color="auto"/>
                    <w:left w:val="none" w:sz="0" w:space="0" w:color="auto"/>
                    <w:bottom w:val="none" w:sz="0" w:space="0" w:color="auto"/>
                    <w:right w:val="none" w:sz="0" w:space="0" w:color="auto"/>
                  </w:divBdr>
                  <w:divsChild>
                    <w:div w:id="11225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25">
      <w:bodyDiv w:val="1"/>
      <w:marLeft w:val="0"/>
      <w:marRight w:val="0"/>
      <w:marTop w:val="0"/>
      <w:marBottom w:val="0"/>
      <w:divBdr>
        <w:top w:val="none" w:sz="0" w:space="0" w:color="auto"/>
        <w:left w:val="none" w:sz="0" w:space="0" w:color="auto"/>
        <w:bottom w:val="none" w:sz="0" w:space="0" w:color="auto"/>
        <w:right w:val="none" w:sz="0" w:space="0" w:color="auto"/>
      </w:divBdr>
      <w:divsChild>
        <w:div w:id="1424912637">
          <w:marLeft w:val="0"/>
          <w:marRight w:val="0"/>
          <w:marTop w:val="0"/>
          <w:marBottom w:val="0"/>
          <w:divBdr>
            <w:top w:val="none" w:sz="0" w:space="0" w:color="auto"/>
            <w:left w:val="none" w:sz="0" w:space="0" w:color="auto"/>
            <w:bottom w:val="none" w:sz="0" w:space="0" w:color="auto"/>
            <w:right w:val="none" w:sz="0" w:space="0" w:color="auto"/>
          </w:divBdr>
          <w:divsChild>
            <w:div w:id="658774036">
              <w:marLeft w:val="0"/>
              <w:marRight w:val="0"/>
              <w:marTop w:val="0"/>
              <w:marBottom w:val="0"/>
              <w:divBdr>
                <w:top w:val="none" w:sz="0" w:space="0" w:color="auto"/>
                <w:left w:val="none" w:sz="0" w:space="0" w:color="auto"/>
                <w:bottom w:val="none" w:sz="0" w:space="0" w:color="auto"/>
                <w:right w:val="none" w:sz="0" w:space="0" w:color="auto"/>
              </w:divBdr>
              <w:divsChild>
                <w:div w:id="1200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8384">
      <w:bodyDiv w:val="1"/>
      <w:marLeft w:val="0"/>
      <w:marRight w:val="0"/>
      <w:marTop w:val="0"/>
      <w:marBottom w:val="0"/>
      <w:divBdr>
        <w:top w:val="none" w:sz="0" w:space="0" w:color="auto"/>
        <w:left w:val="none" w:sz="0" w:space="0" w:color="auto"/>
        <w:bottom w:val="none" w:sz="0" w:space="0" w:color="auto"/>
        <w:right w:val="none" w:sz="0" w:space="0" w:color="auto"/>
      </w:divBdr>
    </w:div>
    <w:div w:id="1414163271">
      <w:bodyDiv w:val="1"/>
      <w:marLeft w:val="0"/>
      <w:marRight w:val="0"/>
      <w:marTop w:val="0"/>
      <w:marBottom w:val="0"/>
      <w:divBdr>
        <w:top w:val="none" w:sz="0" w:space="0" w:color="auto"/>
        <w:left w:val="none" w:sz="0" w:space="0" w:color="auto"/>
        <w:bottom w:val="none" w:sz="0" w:space="0" w:color="auto"/>
        <w:right w:val="none" w:sz="0" w:space="0" w:color="auto"/>
      </w:divBdr>
    </w:div>
    <w:div w:id="1475610409">
      <w:bodyDiv w:val="1"/>
      <w:marLeft w:val="0"/>
      <w:marRight w:val="0"/>
      <w:marTop w:val="0"/>
      <w:marBottom w:val="0"/>
      <w:divBdr>
        <w:top w:val="none" w:sz="0" w:space="0" w:color="auto"/>
        <w:left w:val="none" w:sz="0" w:space="0" w:color="auto"/>
        <w:bottom w:val="none" w:sz="0" w:space="0" w:color="auto"/>
        <w:right w:val="none" w:sz="0" w:space="0" w:color="auto"/>
      </w:divBdr>
      <w:divsChild>
        <w:div w:id="2127649043">
          <w:marLeft w:val="0"/>
          <w:marRight w:val="0"/>
          <w:marTop w:val="0"/>
          <w:marBottom w:val="0"/>
          <w:divBdr>
            <w:top w:val="none" w:sz="0" w:space="0" w:color="auto"/>
            <w:left w:val="none" w:sz="0" w:space="0" w:color="auto"/>
            <w:bottom w:val="none" w:sz="0" w:space="0" w:color="auto"/>
            <w:right w:val="none" w:sz="0" w:space="0" w:color="auto"/>
          </w:divBdr>
          <w:divsChild>
            <w:div w:id="1977098722">
              <w:marLeft w:val="0"/>
              <w:marRight w:val="0"/>
              <w:marTop w:val="0"/>
              <w:marBottom w:val="0"/>
              <w:divBdr>
                <w:top w:val="none" w:sz="0" w:space="0" w:color="auto"/>
                <w:left w:val="none" w:sz="0" w:space="0" w:color="auto"/>
                <w:bottom w:val="none" w:sz="0" w:space="0" w:color="auto"/>
                <w:right w:val="none" w:sz="0" w:space="0" w:color="auto"/>
              </w:divBdr>
              <w:divsChild>
                <w:div w:id="795685701">
                  <w:marLeft w:val="0"/>
                  <w:marRight w:val="0"/>
                  <w:marTop w:val="0"/>
                  <w:marBottom w:val="0"/>
                  <w:divBdr>
                    <w:top w:val="none" w:sz="0" w:space="0" w:color="auto"/>
                    <w:left w:val="none" w:sz="0" w:space="0" w:color="auto"/>
                    <w:bottom w:val="none" w:sz="0" w:space="0" w:color="auto"/>
                    <w:right w:val="none" w:sz="0" w:space="0" w:color="auto"/>
                  </w:divBdr>
                  <w:divsChild>
                    <w:div w:id="19377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82068">
      <w:bodyDiv w:val="1"/>
      <w:marLeft w:val="0"/>
      <w:marRight w:val="0"/>
      <w:marTop w:val="0"/>
      <w:marBottom w:val="0"/>
      <w:divBdr>
        <w:top w:val="none" w:sz="0" w:space="0" w:color="auto"/>
        <w:left w:val="none" w:sz="0" w:space="0" w:color="auto"/>
        <w:bottom w:val="none" w:sz="0" w:space="0" w:color="auto"/>
        <w:right w:val="none" w:sz="0" w:space="0" w:color="auto"/>
      </w:divBdr>
      <w:divsChild>
        <w:div w:id="1322197567">
          <w:marLeft w:val="446"/>
          <w:marRight w:val="0"/>
          <w:marTop w:val="0"/>
          <w:marBottom w:val="0"/>
          <w:divBdr>
            <w:top w:val="none" w:sz="0" w:space="0" w:color="auto"/>
            <w:left w:val="none" w:sz="0" w:space="0" w:color="auto"/>
            <w:bottom w:val="none" w:sz="0" w:space="0" w:color="auto"/>
            <w:right w:val="none" w:sz="0" w:space="0" w:color="auto"/>
          </w:divBdr>
        </w:div>
      </w:divsChild>
    </w:div>
    <w:div w:id="1512253272">
      <w:bodyDiv w:val="1"/>
      <w:marLeft w:val="0"/>
      <w:marRight w:val="0"/>
      <w:marTop w:val="0"/>
      <w:marBottom w:val="0"/>
      <w:divBdr>
        <w:top w:val="none" w:sz="0" w:space="0" w:color="auto"/>
        <w:left w:val="none" w:sz="0" w:space="0" w:color="auto"/>
        <w:bottom w:val="none" w:sz="0" w:space="0" w:color="auto"/>
        <w:right w:val="none" w:sz="0" w:space="0" w:color="auto"/>
      </w:divBdr>
      <w:divsChild>
        <w:div w:id="279146333">
          <w:marLeft w:val="0"/>
          <w:marRight w:val="0"/>
          <w:marTop w:val="0"/>
          <w:marBottom w:val="0"/>
          <w:divBdr>
            <w:top w:val="none" w:sz="0" w:space="0" w:color="auto"/>
            <w:left w:val="none" w:sz="0" w:space="0" w:color="auto"/>
            <w:bottom w:val="none" w:sz="0" w:space="0" w:color="auto"/>
            <w:right w:val="none" w:sz="0" w:space="0" w:color="auto"/>
          </w:divBdr>
          <w:divsChild>
            <w:div w:id="392510959">
              <w:marLeft w:val="0"/>
              <w:marRight w:val="0"/>
              <w:marTop w:val="0"/>
              <w:marBottom w:val="0"/>
              <w:divBdr>
                <w:top w:val="none" w:sz="0" w:space="0" w:color="auto"/>
                <w:left w:val="none" w:sz="0" w:space="0" w:color="auto"/>
                <w:bottom w:val="none" w:sz="0" w:space="0" w:color="auto"/>
                <w:right w:val="none" w:sz="0" w:space="0" w:color="auto"/>
              </w:divBdr>
              <w:divsChild>
                <w:div w:id="491484579">
                  <w:marLeft w:val="0"/>
                  <w:marRight w:val="0"/>
                  <w:marTop w:val="0"/>
                  <w:marBottom w:val="0"/>
                  <w:divBdr>
                    <w:top w:val="none" w:sz="0" w:space="0" w:color="auto"/>
                    <w:left w:val="none" w:sz="0" w:space="0" w:color="auto"/>
                    <w:bottom w:val="none" w:sz="0" w:space="0" w:color="auto"/>
                    <w:right w:val="none" w:sz="0" w:space="0" w:color="auto"/>
                  </w:divBdr>
                  <w:divsChild>
                    <w:div w:id="15042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6719">
      <w:bodyDiv w:val="1"/>
      <w:marLeft w:val="0"/>
      <w:marRight w:val="0"/>
      <w:marTop w:val="0"/>
      <w:marBottom w:val="0"/>
      <w:divBdr>
        <w:top w:val="none" w:sz="0" w:space="0" w:color="auto"/>
        <w:left w:val="none" w:sz="0" w:space="0" w:color="auto"/>
        <w:bottom w:val="none" w:sz="0" w:space="0" w:color="auto"/>
        <w:right w:val="none" w:sz="0" w:space="0" w:color="auto"/>
      </w:divBdr>
      <w:divsChild>
        <w:div w:id="2100715766">
          <w:marLeft w:val="0"/>
          <w:marRight w:val="0"/>
          <w:marTop w:val="0"/>
          <w:marBottom w:val="0"/>
          <w:divBdr>
            <w:top w:val="none" w:sz="0" w:space="0" w:color="auto"/>
            <w:left w:val="none" w:sz="0" w:space="0" w:color="auto"/>
            <w:bottom w:val="none" w:sz="0" w:space="0" w:color="auto"/>
            <w:right w:val="none" w:sz="0" w:space="0" w:color="auto"/>
          </w:divBdr>
          <w:divsChild>
            <w:div w:id="1896234532">
              <w:marLeft w:val="0"/>
              <w:marRight w:val="0"/>
              <w:marTop w:val="0"/>
              <w:marBottom w:val="0"/>
              <w:divBdr>
                <w:top w:val="none" w:sz="0" w:space="0" w:color="auto"/>
                <w:left w:val="none" w:sz="0" w:space="0" w:color="auto"/>
                <w:bottom w:val="none" w:sz="0" w:space="0" w:color="auto"/>
                <w:right w:val="none" w:sz="0" w:space="0" w:color="auto"/>
              </w:divBdr>
              <w:divsChild>
                <w:div w:id="65492470">
                  <w:marLeft w:val="0"/>
                  <w:marRight w:val="0"/>
                  <w:marTop w:val="0"/>
                  <w:marBottom w:val="0"/>
                  <w:divBdr>
                    <w:top w:val="none" w:sz="0" w:space="0" w:color="auto"/>
                    <w:left w:val="none" w:sz="0" w:space="0" w:color="auto"/>
                    <w:bottom w:val="none" w:sz="0" w:space="0" w:color="auto"/>
                    <w:right w:val="none" w:sz="0" w:space="0" w:color="auto"/>
                  </w:divBdr>
                  <w:divsChild>
                    <w:div w:id="10948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17659">
      <w:bodyDiv w:val="1"/>
      <w:marLeft w:val="0"/>
      <w:marRight w:val="0"/>
      <w:marTop w:val="0"/>
      <w:marBottom w:val="0"/>
      <w:divBdr>
        <w:top w:val="none" w:sz="0" w:space="0" w:color="auto"/>
        <w:left w:val="none" w:sz="0" w:space="0" w:color="auto"/>
        <w:bottom w:val="none" w:sz="0" w:space="0" w:color="auto"/>
        <w:right w:val="none" w:sz="0" w:space="0" w:color="auto"/>
      </w:divBdr>
      <w:divsChild>
        <w:div w:id="1717463117">
          <w:marLeft w:val="0"/>
          <w:marRight w:val="0"/>
          <w:marTop w:val="0"/>
          <w:marBottom w:val="0"/>
          <w:divBdr>
            <w:top w:val="none" w:sz="0" w:space="0" w:color="auto"/>
            <w:left w:val="none" w:sz="0" w:space="0" w:color="auto"/>
            <w:bottom w:val="none" w:sz="0" w:space="0" w:color="auto"/>
            <w:right w:val="none" w:sz="0" w:space="0" w:color="auto"/>
          </w:divBdr>
          <w:divsChild>
            <w:div w:id="1861817154">
              <w:marLeft w:val="0"/>
              <w:marRight w:val="0"/>
              <w:marTop w:val="0"/>
              <w:marBottom w:val="0"/>
              <w:divBdr>
                <w:top w:val="none" w:sz="0" w:space="0" w:color="auto"/>
                <w:left w:val="none" w:sz="0" w:space="0" w:color="auto"/>
                <w:bottom w:val="none" w:sz="0" w:space="0" w:color="auto"/>
                <w:right w:val="none" w:sz="0" w:space="0" w:color="auto"/>
              </w:divBdr>
              <w:divsChild>
                <w:div w:id="1424496911">
                  <w:marLeft w:val="0"/>
                  <w:marRight w:val="0"/>
                  <w:marTop w:val="0"/>
                  <w:marBottom w:val="0"/>
                  <w:divBdr>
                    <w:top w:val="none" w:sz="0" w:space="0" w:color="auto"/>
                    <w:left w:val="none" w:sz="0" w:space="0" w:color="auto"/>
                    <w:bottom w:val="none" w:sz="0" w:space="0" w:color="auto"/>
                    <w:right w:val="none" w:sz="0" w:space="0" w:color="auto"/>
                  </w:divBdr>
                  <w:divsChild>
                    <w:div w:id="19978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89312">
      <w:bodyDiv w:val="1"/>
      <w:marLeft w:val="0"/>
      <w:marRight w:val="0"/>
      <w:marTop w:val="0"/>
      <w:marBottom w:val="0"/>
      <w:divBdr>
        <w:top w:val="none" w:sz="0" w:space="0" w:color="auto"/>
        <w:left w:val="none" w:sz="0" w:space="0" w:color="auto"/>
        <w:bottom w:val="none" w:sz="0" w:space="0" w:color="auto"/>
        <w:right w:val="none" w:sz="0" w:space="0" w:color="auto"/>
      </w:divBdr>
      <w:divsChild>
        <w:div w:id="970289623">
          <w:marLeft w:val="0"/>
          <w:marRight w:val="0"/>
          <w:marTop w:val="0"/>
          <w:marBottom w:val="0"/>
          <w:divBdr>
            <w:top w:val="none" w:sz="0" w:space="0" w:color="auto"/>
            <w:left w:val="none" w:sz="0" w:space="0" w:color="auto"/>
            <w:bottom w:val="none" w:sz="0" w:space="0" w:color="auto"/>
            <w:right w:val="none" w:sz="0" w:space="0" w:color="auto"/>
          </w:divBdr>
          <w:divsChild>
            <w:div w:id="362293773">
              <w:marLeft w:val="0"/>
              <w:marRight w:val="0"/>
              <w:marTop w:val="0"/>
              <w:marBottom w:val="0"/>
              <w:divBdr>
                <w:top w:val="none" w:sz="0" w:space="0" w:color="auto"/>
                <w:left w:val="none" w:sz="0" w:space="0" w:color="auto"/>
                <w:bottom w:val="none" w:sz="0" w:space="0" w:color="auto"/>
                <w:right w:val="none" w:sz="0" w:space="0" w:color="auto"/>
              </w:divBdr>
              <w:divsChild>
                <w:div w:id="372000680">
                  <w:marLeft w:val="0"/>
                  <w:marRight w:val="0"/>
                  <w:marTop w:val="0"/>
                  <w:marBottom w:val="0"/>
                  <w:divBdr>
                    <w:top w:val="none" w:sz="0" w:space="0" w:color="auto"/>
                    <w:left w:val="none" w:sz="0" w:space="0" w:color="auto"/>
                    <w:bottom w:val="none" w:sz="0" w:space="0" w:color="auto"/>
                    <w:right w:val="none" w:sz="0" w:space="0" w:color="auto"/>
                  </w:divBdr>
                  <w:divsChild>
                    <w:div w:id="7117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01255">
      <w:bodyDiv w:val="1"/>
      <w:marLeft w:val="0"/>
      <w:marRight w:val="0"/>
      <w:marTop w:val="0"/>
      <w:marBottom w:val="0"/>
      <w:divBdr>
        <w:top w:val="none" w:sz="0" w:space="0" w:color="auto"/>
        <w:left w:val="none" w:sz="0" w:space="0" w:color="auto"/>
        <w:bottom w:val="none" w:sz="0" w:space="0" w:color="auto"/>
        <w:right w:val="none" w:sz="0" w:space="0" w:color="auto"/>
      </w:divBdr>
      <w:divsChild>
        <w:div w:id="984433581">
          <w:marLeft w:val="0"/>
          <w:marRight w:val="0"/>
          <w:marTop w:val="0"/>
          <w:marBottom w:val="0"/>
          <w:divBdr>
            <w:top w:val="none" w:sz="0" w:space="0" w:color="auto"/>
            <w:left w:val="none" w:sz="0" w:space="0" w:color="auto"/>
            <w:bottom w:val="none" w:sz="0" w:space="0" w:color="auto"/>
            <w:right w:val="none" w:sz="0" w:space="0" w:color="auto"/>
          </w:divBdr>
          <w:divsChild>
            <w:div w:id="1505165857">
              <w:marLeft w:val="0"/>
              <w:marRight w:val="0"/>
              <w:marTop w:val="0"/>
              <w:marBottom w:val="0"/>
              <w:divBdr>
                <w:top w:val="none" w:sz="0" w:space="0" w:color="auto"/>
                <w:left w:val="none" w:sz="0" w:space="0" w:color="auto"/>
                <w:bottom w:val="none" w:sz="0" w:space="0" w:color="auto"/>
                <w:right w:val="none" w:sz="0" w:space="0" w:color="auto"/>
              </w:divBdr>
              <w:divsChild>
                <w:div w:id="1058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37265">
      <w:bodyDiv w:val="1"/>
      <w:marLeft w:val="0"/>
      <w:marRight w:val="0"/>
      <w:marTop w:val="0"/>
      <w:marBottom w:val="0"/>
      <w:divBdr>
        <w:top w:val="none" w:sz="0" w:space="0" w:color="auto"/>
        <w:left w:val="none" w:sz="0" w:space="0" w:color="auto"/>
        <w:bottom w:val="none" w:sz="0" w:space="0" w:color="auto"/>
        <w:right w:val="none" w:sz="0" w:space="0" w:color="auto"/>
      </w:divBdr>
      <w:divsChild>
        <w:div w:id="1496802907">
          <w:marLeft w:val="0"/>
          <w:marRight w:val="0"/>
          <w:marTop w:val="0"/>
          <w:marBottom w:val="0"/>
          <w:divBdr>
            <w:top w:val="none" w:sz="0" w:space="0" w:color="auto"/>
            <w:left w:val="none" w:sz="0" w:space="0" w:color="auto"/>
            <w:bottom w:val="none" w:sz="0" w:space="0" w:color="auto"/>
            <w:right w:val="none" w:sz="0" w:space="0" w:color="auto"/>
          </w:divBdr>
          <w:divsChild>
            <w:div w:id="129056568">
              <w:marLeft w:val="0"/>
              <w:marRight w:val="0"/>
              <w:marTop w:val="0"/>
              <w:marBottom w:val="0"/>
              <w:divBdr>
                <w:top w:val="none" w:sz="0" w:space="0" w:color="auto"/>
                <w:left w:val="none" w:sz="0" w:space="0" w:color="auto"/>
                <w:bottom w:val="none" w:sz="0" w:space="0" w:color="auto"/>
                <w:right w:val="none" w:sz="0" w:space="0" w:color="auto"/>
              </w:divBdr>
              <w:divsChild>
                <w:div w:id="1410270358">
                  <w:marLeft w:val="0"/>
                  <w:marRight w:val="0"/>
                  <w:marTop w:val="0"/>
                  <w:marBottom w:val="0"/>
                  <w:divBdr>
                    <w:top w:val="none" w:sz="0" w:space="0" w:color="auto"/>
                    <w:left w:val="none" w:sz="0" w:space="0" w:color="auto"/>
                    <w:bottom w:val="none" w:sz="0" w:space="0" w:color="auto"/>
                    <w:right w:val="none" w:sz="0" w:space="0" w:color="auto"/>
                  </w:divBdr>
                  <w:divsChild>
                    <w:div w:id="17188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5005">
      <w:bodyDiv w:val="1"/>
      <w:marLeft w:val="0"/>
      <w:marRight w:val="0"/>
      <w:marTop w:val="0"/>
      <w:marBottom w:val="0"/>
      <w:divBdr>
        <w:top w:val="none" w:sz="0" w:space="0" w:color="auto"/>
        <w:left w:val="none" w:sz="0" w:space="0" w:color="auto"/>
        <w:bottom w:val="none" w:sz="0" w:space="0" w:color="auto"/>
        <w:right w:val="none" w:sz="0" w:space="0" w:color="auto"/>
      </w:divBdr>
      <w:divsChild>
        <w:div w:id="720054501">
          <w:marLeft w:val="0"/>
          <w:marRight w:val="0"/>
          <w:marTop w:val="0"/>
          <w:marBottom w:val="0"/>
          <w:divBdr>
            <w:top w:val="none" w:sz="0" w:space="0" w:color="auto"/>
            <w:left w:val="none" w:sz="0" w:space="0" w:color="auto"/>
            <w:bottom w:val="none" w:sz="0" w:space="0" w:color="auto"/>
            <w:right w:val="none" w:sz="0" w:space="0" w:color="auto"/>
          </w:divBdr>
          <w:divsChild>
            <w:div w:id="200629712">
              <w:marLeft w:val="0"/>
              <w:marRight w:val="0"/>
              <w:marTop w:val="0"/>
              <w:marBottom w:val="0"/>
              <w:divBdr>
                <w:top w:val="none" w:sz="0" w:space="0" w:color="auto"/>
                <w:left w:val="none" w:sz="0" w:space="0" w:color="auto"/>
                <w:bottom w:val="none" w:sz="0" w:space="0" w:color="auto"/>
                <w:right w:val="none" w:sz="0" w:space="0" w:color="auto"/>
              </w:divBdr>
              <w:divsChild>
                <w:div w:id="16337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413">
      <w:bodyDiv w:val="1"/>
      <w:marLeft w:val="0"/>
      <w:marRight w:val="0"/>
      <w:marTop w:val="0"/>
      <w:marBottom w:val="0"/>
      <w:divBdr>
        <w:top w:val="none" w:sz="0" w:space="0" w:color="auto"/>
        <w:left w:val="none" w:sz="0" w:space="0" w:color="auto"/>
        <w:bottom w:val="none" w:sz="0" w:space="0" w:color="auto"/>
        <w:right w:val="none" w:sz="0" w:space="0" w:color="auto"/>
      </w:divBdr>
      <w:divsChild>
        <w:div w:id="607079722">
          <w:marLeft w:val="0"/>
          <w:marRight w:val="0"/>
          <w:marTop w:val="0"/>
          <w:marBottom w:val="0"/>
          <w:divBdr>
            <w:top w:val="none" w:sz="0" w:space="0" w:color="auto"/>
            <w:left w:val="none" w:sz="0" w:space="0" w:color="auto"/>
            <w:bottom w:val="none" w:sz="0" w:space="0" w:color="auto"/>
            <w:right w:val="none" w:sz="0" w:space="0" w:color="auto"/>
          </w:divBdr>
          <w:divsChild>
            <w:div w:id="2115050162">
              <w:marLeft w:val="0"/>
              <w:marRight w:val="0"/>
              <w:marTop w:val="0"/>
              <w:marBottom w:val="0"/>
              <w:divBdr>
                <w:top w:val="none" w:sz="0" w:space="0" w:color="auto"/>
                <w:left w:val="none" w:sz="0" w:space="0" w:color="auto"/>
                <w:bottom w:val="none" w:sz="0" w:space="0" w:color="auto"/>
                <w:right w:val="none" w:sz="0" w:space="0" w:color="auto"/>
              </w:divBdr>
              <w:divsChild>
                <w:div w:id="3718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769">
      <w:bodyDiv w:val="1"/>
      <w:marLeft w:val="0"/>
      <w:marRight w:val="0"/>
      <w:marTop w:val="0"/>
      <w:marBottom w:val="0"/>
      <w:divBdr>
        <w:top w:val="none" w:sz="0" w:space="0" w:color="auto"/>
        <w:left w:val="none" w:sz="0" w:space="0" w:color="auto"/>
        <w:bottom w:val="none" w:sz="0" w:space="0" w:color="auto"/>
        <w:right w:val="none" w:sz="0" w:space="0" w:color="auto"/>
      </w:divBdr>
      <w:divsChild>
        <w:div w:id="700859023">
          <w:marLeft w:val="0"/>
          <w:marRight w:val="0"/>
          <w:marTop w:val="0"/>
          <w:marBottom w:val="0"/>
          <w:divBdr>
            <w:top w:val="none" w:sz="0" w:space="0" w:color="auto"/>
            <w:left w:val="none" w:sz="0" w:space="0" w:color="auto"/>
            <w:bottom w:val="none" w:sz="0" w:space="0" w:color="auto"/>
            <w:right w:val="none" w:sz="0" w:space="0" w:color="auto"/>
          </w:divBdr>
          <w:divsChild>
            <w:div w:id="766199110">
              <w:marLeft w:val="0"/>
              <w:marRight w:val="0"/>
              <w:marTop w:val="0"/>
              <w:marBottom w:val="0"/>
              <w:divBdr>
                <w:top w:val="none" w:sz="0" w:space="0" w:color="auto"/>
                <w:left w:val="none" w:sz="0" w:space="0" w:color="auto"/>
                <w:bottom w:val="none" w:sz="0" w:space="0" w:color="auto"/>
                <w:right w:val="none" w:sz="0" w:space="0" w:color="auto"/>
              </w:divBdr>
              <w:divsChild>
                <w:div w:id="1130783772">
                  <w:marLeft w:val="0"/>
                  <w:marRight w:val="0"/>
                  <w:marTop w:val="0"/>
                  <w:marBottom w:val="0"/>
                  <w:divBdr>
                    <w:top w:val="none" w:sz="0" w:space="0" w:color="auto"/>
                    <w:left w:val="none" w:sz="0" w:space="0" w:color="auto"/>
                    <w:bottom w:val="none" w:sz="0" w:space="0" w:color="auto"/>
                    <w:right w:val="none" w:sz="0" w:space="0" w:color="auto"/>
                  </w:divBdr>
                  <w:divsChild>
                    <w:div w:id="11847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18496">
      <w:bodyDiv w:val="1"/>
      <w:marLeft w:val="0"/>
      <w:marRight w:val="0"/>
      <w:marTop w:val="0"/>
      <w:marBottom w:val="0"/>
      <w:divBdr>
        <w:top w:val="none" w:sz="0" w:space="0" w:color="auto"/>
        <w:left w:val="none" w:sz="0" w:space="0" w:color="auto"/>
        <w:bottom w:val="none" w:sz="0" w:space="0" w:color="auto"/>
        <w:right w:val="none" w:sz="0" w:space="0" w:color="auto"/>
      </w:divBdr>
      <w:divsChild>
        <w:div w:id="351348912">
          <w:marLeft w:val="0"/>
          <w:marRight w:val="0"/>
          <w:marTop w:val="0"/>
          <w:marBottom w:val="0"/>
          <w:divBdr>
            <w:top w:val="none" w:sz="0" w:space="0" w:color="auto"/>
            <w:left w:val="none" w:sz="0" w:space="0" w:color="auto"/>
            <w:bottom w:val="none" w:sz="0" w:space="0" w:color="auto"/>
            <w:right w:val="none" w:sz="0" w:space="0" w:color="auto"/>
          </w:divBdr>
          <w:divsChild>
            <w:div w:id="784081509">
              <w:marLeft w:val="0"/>
              <w:marRight w:val="0"/>
              <w:marTop w:val="0"/>
              <w:marBottom w:val="0"/>
              <w:divBdr>
                <w:top w:val="none" w:sz="0" w:space="0" w:color="auto"/>
                <w:left w:val="none" w:sz="0" w:space="0" w:color="auto"/>
                <w:bottom w:val="none" w:sz="0" w:space="0" w:color="auto"/>
                <w:right w:val="none" w:sz="0" w:space="0" w:color="auto"/>
              </w:divBdr>
              <w:divsChild>
                <w:div w:id="866675490">
                  <w:marLeft w:val="0"/>
                  <w:marRight w:val="0"/>
                  <w:marTop w:val="0"/>
                  <w:marBottom w:val="0"/>
                  <w:divBdr>
                    <w:top w:val="none" w:sz="0" w:space="0" w:color="auto"/>
                    <w:left w:val="none" w:sz="0" w:space="0" w:color="auto"/>
                    <w:bottom w:val="none" w:sz="0" w:space="0" w:color="auto"/>
                    <w:right w:val="none" w:sz="0" w:space="0" w:color="auto"/>
                  </w:divBdr>
                  <w:divsChild>
                    <w:div w:id="13331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3228">
      <w:bodyDiv w:val="1"/>
      <w:marLeft w:val="0"/>
      <w:marRight w:val="0"/>
      <w:marTop w:val="0"/>
      <w:marBottom w:val="0"/>
      <w:divBdr>
        <w:top w:val="none" w:sz="0" w:space="0" w:color="auto"/>
        <w:left w:val="none" w:sz="0" w:space="0" w:color="auto"/>
        <w:bottom w:val="none" w:sz="0" w:space="0" w:color="auto"/>
        <w:right w:val="none" w:sz="0" w:space="0" w:color="auto"/>
      </w:divBdr>
      <w:divsChild>
        <w:div w:id="1594435630">
          <w:marLeft w:val="0"/>
          <w:marRight w:val="0"/>
          <w:marTop w:val="0"/>
          <w:marBottom w:val="0"/>
          <w:divBdr>
            <w:top w:val="none" w:sz="0" w:space="0" w:color="auto"/>
            <w:left w:val="none" w:sz="0" w:space="0" w:color="auto"/>
            <w:bottom w:val="none" w:sz="0" w:space="0" w:color="auto"/>
            <w:right w:val="none" w:sz="0" w:space="0" w:color="auto"/>
          </w:divBdr>
          <w:divsChild>
            <w:div w:id="795567887">
              <w:marLeft w:val="0"/>
              <w:marRight w:val="0"/>
              <w:marTop w:val="0"/>
              <w:marBottom w:val="0"/>
              <w:divBdr>
                <w:top w:val="none" w:sz="0" w:space="0" w:color="auto"/>
                <w:left w:val="none" w:sz="0" w:space="0" w:color="auto"/>
                <w:bottom w:val="none" w:sz="0" w:space="0" w:color="auto"/>
                <w:right w:val="none" w:sz="0" w:space="0" w:color="auto"/>
              </w:divBdr>
              <w:divsChild>
                <w:div w:id="4599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476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3944819">
      <w:bodyDiv w:val="1"/>
      <w:marLeft w:val="0"/>
      <w:marRight w:val="0"/>
      <w:marTop w:val="0"/>
      <w:marBottom w:val="0"/>
      <w:divBdr>
        <w:top w:val="none" w:sz="0" w:space="0" w:color="auto"/>
        <w:left w:val="none" w:sz="0" w:space="0" w:color="auto"/>
        <w:bottom w:val="none" w:sz="0" w:space="0" w:color="auto"/>
        <w:right w:val="none" w:sz="0" w:space="0" w:color="auto"/>
      </w:divBdr>
      <w:divsChild>
        <w:div w:id="183833761">
          <w:marLeft w:val="0"/>
          <w:marRight w:val="0"/>
          <w:marTop w:val="0"/>
          <w:marBottom w:val="0"/>
          <w:divBdr>
            <w:top w:val="none" w:sz="0" w:space="0" w:color="auto"/>
            <w:left w:val="none" w:sz="0" w:space="0" w:color="auto"/>
            <w:bottom w:val="none" w:sz="0" w:space="0" w:color="auto"/>
            <w:right w:val="none" w:sz="0" w:space="0" w:color="auto"/>
          </w:divBdr>
          <w:divsChild>
            <w:div w:id="109932292">
              <w:marLeft w:val="0"/>
              <w:marRight w:val="0"/>
              <w:marTop w:val="0"/>
              <w:marBottom w:val="0"/>
              <w:divBdr>
                <w:top w:val="none" w:sz="0" w:space="0" w:color="auto"/>
                <w:left w:val="none" w:sz="0" w:space="0" w:color="auto"/>
                <w:bottom w:val="none" w:sz="0" w:space="0" w:color="auto"/>
                <w:right w:val="none" w:sz="0" w:space="0" w:color="auto"/>
              </w:divBdr>
              <w:divsChild>
                <w:div w:id="2146267734">
                  <w:marLeft w:val="0"/>
                  <w:marRight w:val="0"/>
                  <w:marTop w:val="0"/>
                  <w:marBottom w:val="0"/>
                  <w:divBdr>
                    <w:top w:val="none" w:sz="0" w:space="0" w:color="auto"/>
                    <w:left w:val="none" w:sz="0" w:space="0" w:color="auto"/>
                    <w:bottom w:val="none" w:sz="0" w:space="0" w:color="auto"/>
                    <w:right w:val="none" w:sz="0" w:space="0" w:color="auto"/>
                  </w:divBdr>
                  <w:divsChild>
                    <w:div w:id="3515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22227">
      <w:bodyDiv w:val="1"/>
      <w:marLeft w:val="0"/>
      <w:marRight w:val="0"/>
      <w:marTop w:val="0"/>
      <w:marBottom w:val="0"/>
      <w:divBdr>
        <w:top w:val="none" w:sz="0" w:space="0" w:color="auto"/>
        <w:left w:val="none" w:sz="0" w:space="0" w:color="auto"/>
        <w:bottom w:val="none" w:sz="0" w:space="0" w:color="auto"/>
        <w:right w:val="none" w:sz="0" w:space="0" w:color="auto"/>
      </w:divBdr>
      <w:divsChild>
        <w:div w:id="2043357287">
          <w:marLeft w:val="0"/>
          <w:marRight w:val="0"/>
          <w:marTop w:val="0"/>
          <w:marBottom w:val="0"/>
          <w:divBdr>
            <w:top w:val="none" w:sz="0" w:space="0" w:color="auto"/>
            <w:left w:val="none" w:sz="0" w:space="0" w:color="auto"/>
            <w:bottom w:val="none" w:sz="0" w:space="0" w:color="auto"/>
            <w:right w:val="none" w:sz="0" w:space="0" w:color="auto"/>
          </w:divBdr>
          <w:divsChild>
            <w:div w:id="945308890">
              <w:marLeft w:val="0"/>
              <w:marRight w:val="0"/>
              <w:marTop w:val="0"/>
              <w:marBottom w:val="0"/>
              <w:divBdr>
                <w:top w:val="none" w:sz="0" w:space="0" w:color="auto"/>
                <w:left w:val="none" w:sz="0" w:space="0" w:color="auto"/>
                <w:bottom w:val="none" w:sz="0" w:space="0" w:color="auto"/>
                <w:right w:val="none" w:sz="0" w:space="0" w:color="auto"/>
              </w:divBdr>
              <w:divsChild>
                <w:div w:id="174537216">
                  <w:marLeft w:val="0"/>
                  <w:marRight w:val="0"/>
                  <w:marTop w:val="0"/>
                  <w:marBottom w:val="0"/>
                  <w:divBdr>
                    <w:top w:val="none" w:sz="0" w:space="0" w:color="auto"/>
                    <w:left w:val="none" w:sz="0" w:space="0" w:color="auto"/>
                    <w:bottom w:val="none" w:sz="0" w:space="0" w:color="auto"/>
                    <w:right w:val="none" w:sz="0" w:space="0" w:color="auto"/>
                  </w:divBdr>
                  <w:divsChild>
                    <w:div w:id="6904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80361">
      <w:bodyDiv w:val="1"/>
      <w:marLeft w:val="0"/>
      <w:marRight w:val="0"/>
      <w:marTop w:val="0"/>
      <w:marBottom w:val="0"/>
      <w:divBdr>
        <w:top w:val="none" w:sz="0" w:space="0" w:color="auto"/>
        <w:left w:val="none" w:sz="0" w:space="0" w:color="auto"/>
        <w:bottom w:val="none" w:sz="0" w:space="0" w:color="auto"/>
        <w:right w:val="none" w:sz="0" w:space="0" w:color="auto"/>
      </w:divBdr>
      <w:divsChild>
        <w:div w:id="1691879190">
          <w:marLeft w:val="0"/>
          <w:marRight w:val="0"/>
          <w:marTop w:val="0"/>
          <w:marBottom w:val="0"/>
          <w:divBdr>
            <w:top w:val="none" w:sz="0" w:space="0" w:color="auto"/>
            <w:left w:val="none" w:sz="0" w:space="0" w:color="auto"/>
            <w:bottom w:val="none" w:sz="0" w:space="0" w:color="auto"/>
            <w:right w:val="none" w:sz="0" w:space="0" w:color="auto"/>
          </w:divBdr>
          <w:divsChild>
            <w:div w:id="1627547646">
              <w:marLeft w:val="0"/>
              <w:marRight w:val="0"/>
              <w:marTop w:val="0"/>
              <w:marBottom w:val="0"/>
              <w:divBdr>
                <w:top w:val="none" w:sz="0" w:space="0" w:color="auto"/>
                <w:left w:val="none" w:sz="0" w:space="0" w:color="auto"/>
                <w:bottom w:val="none" w:sz="0" w:space="0" w:color="auto"/>
                <w:right w:val="none" w:sz="0" w:space="0" w:color="auto"/>
              </w:divBdr>
              <w:divsChild>
                <w:div w:id="1491363012">
                  <w:marLeft w:val="0"/>
                  <w:marRight w:val="0"/>
                  <w:marTop w:val="0"/>
                  <w:marBottom w:val="0"/>
                  <w:divBdr>
                    <w:top w:val="none" w:sz="0" w:space="0" w:color="auto"/>
                    <w:left w:val="none" w:sz="0" w:space="0" w:color="auto"/>
                    <w:bottom w:val="none" w:sz="0" w:space="0" w:color="auto"/>
                    <w:right w:val="none" w:sz="0" w:space="0" w:color="auto"/>
                  </w:divBdr>
                  <w:divsChild>
                    <w:div w:id="2002535725">
                      <w:marLeft w:val="0"/>
                      <w:marRight w:val="0"/>
                      <w:marTop w:val="0"/>
                      <w:marBottom w:val="0"/>
                      <w:divBdr>
                        <w:top w:val="none" w:sz="0" w:space="0" w:color="auto"/>
                        <w:left w:val="none" w:sz="0" w:space="0" w:color="auto"/>
                        <w:bottom w:val="none" w:sz="0" w:space="0" w:color="auto"/>
                        <w:right w:val="none" w:sz="0" w:space="0" w:color="auto"/>
                      </w:divBdr>
                    </w:div>
                  </w:divsChild>
                </w:div>
                <w:div w:id="1585845999">
                  <w:marLeft w:val="0"/>
                  <w:marRight w:val="0"/>
                  <w:marTop w:val="0"/>
                  <w:marBottom w:val="0"/>
                  <w:divBdr>
                    <w:top w:val="none" w:sz="0" w:space="0" w:color="auto"/>
                    <w:left w:val="none" w:sz="0" w:space="0" w:color="auto"/>
                    <w:bottom w:val="none" w:sz="0" w:space="0" w:color="auto"/>
                    <w:right w:val="none" w:sz="0" w:space="0" w:color="auto"/>
                  </w:divBdr>
                  <w:divsChild>
                    <w:div w:id="1650279299">
                      <w:marLeft w:val="0"/>
                      <w:marRight w:val="0"/>
                      <w:marTop w:val="0"/>
                      <w:marBottom w:val="0"/>
                      <w:divBdr>
                        <w:top w:val="none" w:sz="0" w:space="0" w:color="auto"/>
                        <w:left w:val="none" w:sz="0" w:space="0" w:color="auto"/>
                        <w:bottom w:val="none" w:sz="0" w:space="0" w:color="auto"/>
                        <w:right w:val="none" w:sz="0" w:space="0" w:color="auto"/>
                      </w:divBdr>
                    </w:div>
                    <w:div w:id="528226321">
                      <w:marLeft w:val="0"/>
                      <w:marRight w:val="0"/>
                      <w:marTop w:val="0"/>
                      <w:marBottom w:val="0"/>
                      <w:divBdr>
                        <w:top w:val="none" w:sz="0" w:space="0" w:color="auto"/>
                        <w:left w:val="none" w:sz="0" w:space="0" w:color="auto"/>
                        <w:bottom w:val="none" w:sz="0" w:space="0" w:color="auto"/>
                        <w:right w:val="none" w:sz="0" w:space="0" w:color="auto"/>
                      </w:divBdr>
                    </w:div>
                  </w:divsChild>
                </w:div>
                <w:div w:id="1599170016">
                  <w:marLeft w:val="0"/>
                  <w:marRight w:val="0"/>
                  <w:marTop w:val="0"/>
                  <w:marBottom w:val="0"/>
                  <w:divBdr>
                    <w:top w:val="none" w:sz="0" w:space="0" w:color="auto"/>
                    <w:left w:val="none" w:sz="0" w:space="0" w:color="auto"/>
                    <w:bottom w:val="none" w:sz="0" w:space="0" w:color="auto"/>
                    <w:right w:val="none" w:sz="0" w:space="0" w:color="auto"/>
                  </w:divBdr>
                  <w:divsChild>
                    <w:div w:id="13634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6774">
              <w:marLeft w:val="0"/>
              <w:marRight w:val="0"/>
              <w:marTop w:val="0"/>
              <w:marBottom w:val="0"/>
              <w:divBdr>
                <w:top w:val="none" w:sz="0" w:space="0" w:color="auto"/>
                <w:left w:val="none" w:sz="0" w:space="0" w:color="auto"/>
                <w:bottom w:val="none" w:sz="0" w:space="0" w:color="auto"/>
                <w:right w:val="none" w:sz="0" w:space="0" w:color="auto"/>
              </w:divBdr>
              <w:divsChild>
                <w:div w:id="407190813">
                  <w:marLeft w:val="0"/>
                  <w:marRight w:val="0"/>
                  <w:marTop w:val="0"/>
                  <w:marBottom w:val="0"/>
                  <w:divBdr>
                    <w:top w:val="none" w:sz="0" w:space="0" w:color="auto"/>
                    <w:left w:val="none" w:sz="0" w:space="0" w:color="auto"/>
                    <w:bottom w:val="none" w:sz="0" w:space="0" w:color="auto"/>
                    <w:right w:val="none" w:sz="0" w:space="0" w:color="auto"/>
                  </w:divBdr>
                  <w:divsChild>
                    <w:div w:id="4395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31341">
          <w:marLeft w:val="0"/>
          <w:marRight w:val="0"/>
          <w:marTop w:val="0"/>
          <w:marBottom w:val="0"/>
          <w:divBdr>
            <w:top w:val="none" w:sz="0" w:space="0" w:color="auto"/>
            <w:left w:val="none" w:sz="0" w:space="0" w:color="auto"/>
            <w:bottom w:val="none" w:sz="0" w:space="0" w:color="auto"/>
            <w:right w:val="none" w:sz="0" w:space="0" w:color="auto"/>
          </w:divBdr>
          <w:divsChild>
            <w:div w:id="1988171130">
              <w:marLeft w:val="0"/>
              <w:marRight w:val="0"/>
              <w:marTop w:val="0"/>
              <w:marBottom w:val="0"/>
              <w:divBdr>
                <w:top w:val="none" w:sz="0" w:space="0" w:color="auto"/>
                <w:left w:val="none" w:sz="0" w:space="0" w:color="auto"/>
                <w:bottom w:val="none" w:sz="0" w:space="0" w:color="auto"/>
                <w:right w:val="none" w:sz="0" w:space="0" w:color="auto"/>
              </w:divBdr>
              <w:divsChild>
                <w:div w:id="720134868">
                  <w:marLeft w:val="0"/>
                  <w:marRight w:val="0"/>
                  <w:marTop w:val="0"/>
                  <w:marBottom w:val="0"/>
                  <w:divBdr>
                    <w:top w:val="none" w:sz="0" w:space="0" w:color="auto"/>
                    <w:left w:val="none" w:sz="0" w:space="0" w:color="auto"/>
                    <w:bottom w:val="none" w:sz="0" w:space="0" w:color="auto"/>
                    <w:right w:val="none" w:sz="0" w:space="0" w:color="auto"/>
                  </w:divBdr>
                  <w:divsChild>
                    <w:div w:id="1315795133">
                      <w:marLeft w:val="0"/>
                      <w:marRight w:val="0"/>
                      <w:marTop w:val="0"/>
                      <w:marBottom w:val="0"/>
                      <w:divBdr>
                        <w:top w:val="none" w:sz="0" w:space="0" w:color="auto"/>
                        <w:left w:val="none" w:sz="0" w:space="0" w:color="auto"/>
                        <w:bottom w:val="none" w:sz="0" w:space="0" w:color="auto"/>
                        <w:right w:val="none" w:sz="0" w:space="0" w:color="auto"/>
                      </w:divBdr>
                    </w:div>
                  </w:divsChild>
                </w:div>
                <w:div w:id="2120903530">
                  <w:marLeft w:val="0"/>
                  <w:marRight w:val="0"/>
                  <w:marTop w:val="0"/>
                  <w:marBottom w:val="0"/>
                  <w:divBdr>
                    <w:top w:val="none" w:sz="0" w:space="0" w:color="auto"/>
                    <w:left w:val="none" w:sz="0" w:space="0" w:color="auto"/>
                    <w:bottom w:val="none" w:sz="0" w:space="0" w:color="auto"/>
                    <w:right w:val="none" w:sz="0" w:space="0" w:color="auto"/>
                  </w:divBdr>
                  <w:divsChild>
                    <w:div w:id="584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14027">
      <w:bodyDiv w:val="1"/>
      <w:marLeft w:val="0"/>
      <w:marRight w:val="0"/>
      <w:marTop w:val="0"/>
      <w:marBottom w:val="0"/>
      <w:divBdr>
        <w:top w:val="none" w:sz="0" w:space="0" w:color="auto"/>
        <w:left w:val="none" w:sz="0" w:space="0" w:color="auto"/>
        <w:bottom w:val="none" w:sz="0" w:space="0" w:color="auto"/>
        <w:right w:val="none" w:sz="0" w:space="0" w:color="auto"/>
      </w:divBdr>
      <w:divsChild>
        <w:div w:id="8534367">
          <w:marLeft w:val="0"/>
          <w:marRight w:val="0"/>
          <w:marTop w:val="0"/>
          <w:marBottom w:val="0"/>
          <w:divBdr>
            <w:top w:val="none" w:sz="0" w:space="0" w:color="auto"/>
            <w:left w:val="none" w:sz="0" w:space="0" w:color="auto"/>
            <w:bottom w:val="none" w:sz="0" w:space="0" w:color="auto"/>
            <w:right w:val="none" w:sz="0" w:space="0" w:color="auto"/>
          </w:divBdr>
          <w:divsChild>
            <w:div w:id="773787699">
              <w:marLeft w:val="0"/>
              <w:marRight w:val="0"/>
              <w:marTop w:val="0"/>
              <w:marBottom w:val="0"/>
              <w:divBdr>
                <w:top w:val="none" w:sz="0" w:space="0" w:color="auto"/>
                <w:left w:val="none" w:sz="0" w:space="0" w:color="auto"/>
                <w:bottom w:val="none" w:sz="0" w:space="0" w:color="auto"/>
                <w:right w:val="none" w:sz="0" w:space="0" w:color="auto"/>
              </w:divBdr>
              <w:divsChild>
                <w:div w:id="8880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86678">
      <w:bodyDiv w:val="1"/>
      <w:marLeft w:val="0"/>
      <w:marRight w:val="0"/>
      <w:marTop w:val="0"/>
      <w:marBottom w:val="0"/>
      <w:divBdr>
        <w:top w:val="none" w:sz="0" w:space="0" w:color="auto"/>
        <w:left w:val="none" w:sz="0" w:space="0" w:color="auto"/>
        <w:bottom w:val="none" w:sz="0" w:space="0" w:color="auto"/>
        <w:right w:val="none" w:sz="0" w:space="0" w:color="auto"/>
      </w:divBdr>
      <w:divsChild>
        <w:div w:id="1378045831">
          <w:marLeft w:val="446"/>
          <w:marRight w:val="0"/>
          <w:marTop w:val="0"/>
          <w:marBottom w:val="0"/>
          <w:divBdr>
            <w:top w:val="none" w:sz="0" w:space="0" w:color="auto"/>
            <w:left w:val="none" w:sz="0" w:space="0" w:color="auto"/>
            <w:bottom w:val="none" w:sz="0" w:space="0" w:color="auto"/>
            <w:right w:val="none" w:sz="0" w:space="0" w:color="auto"/>
          </w:divBdr>
        </w:div>
        <w:div w:id="157775236">
          <w:marLeft w:val="1166"/>
          <w:marRight w:val="0"/>
          <w:marTop w:val="0"/>
          <w:marBottom w:val="0"/>
          <w:divBdr>
            <w:top w:val="none" w:sz="0" w:space="0" w:color="auto"/>
            <w:left w:val="none" w:sz="0" w:space="0" w:color="auto"/>
            <w:bottom w:val="none" w:sz="0" w:space="0" w:color="auto"/>
            <w:right w:val="none" w:sz="0" w:space="0" w:color="auto"/>
          </w:divBdr>
        </w:div>
        <w:div w:id="213189681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vicesaustralia.gov.au/hpo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rvicesaustralia.gov.au/hpo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ervicesaustralia.gov.au" TargetMode="External"/><Relationship Id="rId14" Type="http://schemas.openxmlformats.org/officeDocument/2006/relationships/hyperlink" Target="http://www.servicesaustralia.gov.au/hpo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ga.gov.au/resources/prescription-medicines-registrations/revolade-novartis-pharmaceuticals-australia-pty-ltd" TargetMode="External"/><Relationship Id="rId1" Type="http://schemas.openxmlformats.org/officeDocument/2006/relationships/hyperlink" Target="https://www.tga.gov.au/sites/default/files/auspar-eltrombopag-1603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11892</Words>
  <Characters>66222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2024-02-28T03:41:00Z</dcterms:created>
  <dcterms:modified xsi:type="dcterms:W3CDTF">2024-03-01T01:08:00Z</dcterms:modified>
</cp:coreProperties>
</file>