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253BE1A5" w:rsidR="00B60939" w:rsidRPr="004A6040" w:rsidRDefault="001071A1" w:rsidP="00A02E04">
      <w:pPr>
        <w:pStyle w:val="COMH1-non-numbered"/>
        <w:keepNext w:val="0"/>
        <w:pageBreakBefore w:val="0"/>
        <w:ind w:left="851" w:hanging="851"/>
      </w:pPr>
      <w:bookmarkStart w:id="0" w:name="_Toc145499016"/>
      <w:r>
        <w:t>5.07</w:t>
      </w:r>
      <w:r w:rsidR="00163F66">
        <w:tab/>
      </w:r>
      <w:r w:rsidR="00D2427B">
        <w:t>ICOSAPENT ETHYL</w:t>
      </w:r>
      <w:r w:rsidR="00163F66">
        <w:t>,</w:t>
      </w:r>
      <w:r w:rsidR="00163F66">
        <w:br/>
      </w:r>
      <w:r w:rsidR="009C5941">
        <w:t>Capsule 1 g</w:t>
      </w:r>
      <w:r w:rsidR="00163F66">
        <w:t>,</w:t>
      </w:r>
      <w:r w:rsidR="00163F66">
        <w:br/>
      </w:r>
      <w:r w:rsidR="009C5941">
        <w:t>Vazkepa</w:t>
      </w:r>
      <w:r w:rsidR="009C5941">
        <w:rPr>
          <w:rFonts w:cstheme="minorHAnsi"/>
        </w:rPr>
        <w:t>®</w:t>
      </w:r>
      <w:r w:rsidR="004A6040" w:rsidRPr="004A6040">
        <w:t>,</w:t>
      </w:r>
      <w:r w:rsidR="004A6040" w:rsidRPr="004A6040">
        <w:br/>
      </w:r>
      <w:r w:rsidR="00DC2132" w:rsidRPr="00DC2132">
        <w:t>SEQIRUS (AUSTRALIA) PTY LTD</w:t>
      </w:r>
      <w:r w:rsidR="00B60939" w:rsidRPr="004A6040">
        <w:t>.</w:t>
      </w:r>
      <w:bookmarkEnd w:id="0"/>
    </w:p>
    <w:p w14:paraId="11C00795" w14:textId="3DFB6D23" w:rsidR="00B50DB8" w:rsidRPr="00407F2D" w:rsidRDefault="00B50DB8" w:rsidP="004A6040">
      <w:pPr>
        <w:pStyle w:val="COMH1numbered"/>
      </w:pPr>
      <w:bookmarkStart w:id="1" w:name="_Toc145499018"/>
      <w:r w:rsidRPr="00407F2D">
        <w:t xml:space="preserve">Purpose of </w:t>
      </w:r>
      <w:r w:rsidR="00CD7193">
        <w:t>s</w:t>
      </w:r>
      <w:r w:rsidR="00BB3A45">
        <w:t>ubmission</w:t>
      </w:r>
      <w:bookmarkEnd w:id="1"/>
    </w:p>
    <w:p w14:paraId="0060DF0D" w14:textId="67BAC9C5" w:rsidR="0029534A" w:rsidRPr="0023107B" w:rsidRDefault="0029534A" w:rsidP="0023107B">
      <w:pPr>
        <w:pStyle w:val="COMexecsumnumberedpara"/>
        <w:ind w:left="720" w:hanging="720"/>
        <w:rPr>
          <w:rFonts w:cstheme="minorHAnsi"/>
          <w:iCs/>
        </w:rPr>
      </w:pPr>
      <w:r w:rsidRPr="0023107B">
        <w:rPr>
          <w:rFonts w:cstheme="minorHAnsi"/>
          <w:iCs/>
        </w:rPr>
        <w:t xml:space="preserve">The Category 1 submission requested a General Schedule Authority Required (STREAMLINED) listing of icosapent ethyl for the treatment of </w:t>
      </w:r>
      <w:r w:rsidR="00EF2C32" w:rsidRPr="0023107B">
        <w:rPr>
          <w:rFonts w:cstheme="minorHAnsi"/>
          <w:iCs/>
        </w:rPr>
        <w:t xml:space="preserve">patients with </w:t>
      </w:r>
      <w:r w:rsidRPr="0023107B">
        <w:rPr>
          <w:rFonts w:cstheme="minorHAnsi"/>
          <w:iCs/>
        </w:rPr>
        <w:t xml:space="preserve">atherosclerotic cardiovascular disease (ASCVD) </w:t>
      </w:r>
      <w:r w:rsidR="00EF2C32" w:rsidRPr="0023107B">
        <w:rPr>
          <w:rFonts w:cstheme="minorHAnsi"/>
          <w:iCs/>
        </w:rPr>
        <w:t xml:space="preserve">and </w:t>
      </w:r>
      <w:r w:rsidRPr="0023107B">
        <w:rPr>
          <w:rFonts w:cstheme="minorHAnsi"/>
          <w:iCs/>
        </w:rPr>
        <w:t>elevated triglycerides.</w:t>
      </w:r>
    </w:p>
    <w:p w14:paraId="4E9FBCB5" w14:textId="051DDB15" w:rsidR="00C2778B" w:rsidRDefault="005750C5" w:rsidP="0023107B">
      <w:pPr>
        <w:pStyle w:val="COMexecsumnumberedpara"/>
        <w:ind w:left="720" w:hanging="720"/>
      </w:pPr>
      <w:r w:rsidRPr="0023107B">
        <w:rPr>
          <w:rFonts w:cstheme="minorHAnsi"/>
          <w:iCs/>
        </w:rPr>
        <w:t>Listing</w:t>
      </w:r>
      <w:r w:rsidRPr="005750C5">
        <w:t xml:space="preserve"> was requested on the basis of a </w:t>
      </w:r>
      <w:r>
        <w:t>cost-effectiveness</w:t>
      </w:r>
      <w:r w:rsidRPr="005750C5">
        <w:t xml:space="preserve"> analysis versus</w:t>
      </w:r>
      <w:r>
        <w:t xml:space="preserve"> </w:t>
      </w:r>
      <w:r w:rsidR="0029534A">
        <w:t>standard of care</w:t>
      </w:r>
      <w:r>
        <w:t>.</w:t>
      </w:r>
    </w:p>
    <w:p w14:paraId="3718DE61" w14:textId="296306F3" w:rsidR="008B1757" w:rsidRPr="003C2DE2" w:rsidRDefault="00696EF9" w:rsidP="004A6040">
      <w:pPr>
        <w:pStyle w:val="COMtablefigcaption"/>
      </w:pPr>
      <w:r>
        <w:t xml:space="preserve">Table </w:t>
      </w:r>
      <w:fldSimple w:instr=" SEQ Table \* ARABIC " w:fldLock="1">
        <w:r w:rsidR="003F1735">
          <w:rPr>
            <w:noProof/>
          </w:rPr>
          <w:t>1</w:t>
        </w:r>
      </w:fldSimple>
      <w:r>
        <w:t>:</w:t>
      </w:r>
      <w:r w:rsidR="00BC591F" w:rsidRPr="003C2DE2">
        <w:t xml:space="preserve"> </w:t>
      </w:r>
      <w:r w:rsidR="008B1757" w:rsidRPr="003C2DE2">
        <w:t xml:space="preserve">Key components of the clinical issue addressed </w:t>
      </w:r>
      <w:r w:rsidR="00AE4EB3">
        <w:t>in</w:t>
      </w:r>
      <w:r w:rsidR="008B1757" w:rsidRPr="003C2DE2">
        <w:t xml:space="preserve">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in the submission"/>
        <w:tblDescription w:val="Table 1: Key components of the clinical issue addressed in the submission"/>
      </w:tblPr>
      <w:tblGrid>
        <w:gridCol w:w="1196"/>
        <w:gridCol w:w="7821"/>
      </w:tblGrid>
      <w:tr w:rsidR="00FD03F2" w:rsidRPr="00A518F3" w14:paraId="33112FAE" w14:textId="77777777" w:rsidTr="00CA6E98">
        <w:tc>
          <w:tcPr>
            <w:tcW w:w="663" w:type="pct"/>
            <w:vAlign w:val="center"/>
          </w:tcPr>
          <w:p w14:paraId="40C7701F" w14:textId="77777777" w:rsidR="00FD03F2" w:rsidRPr="00A518F3" w:rsidRDefault="00FD03F2" w:rsidP="001D4554">
            <w:pPr>
              <w:pStyle w:val="COMTableheadingrow"/>
            </w:pPr>
            <w:r w:rsidRPr="00A518F3">
              <w:t>Component</w:t>
            </w:r>
          </w:p>
        </w:tc>
        <w:tc>
          <w:tcPr>
            <w:tcW w:w="4337" w:type="pct"/>
            <w:vAlign w:val="center"/>
          </w:tcPr>
          <w:p w14:paraId="3E252BE1" w14:textId="77777777" w:rsidR="00FD03F2" w:rsidRPr="00A518F3" w:rsidRDefault="00FD03F2" w:rsidP="001D4554">
            <w:pPr>
              <w:pStyle w:val="COMTableheadingrow"/>
              <w:jc w:val="center"/>
            </w:pPr>
            <w:r w:rsidRPr="00A518F3">
              <w:t>Description</w:t>
            </w:r>
          </w:p>
        </w:tc>
      </w:tr>
      <w:tr w:rsidR="00FD03F2" w14:paraId="15DF0C0F" w14:textId="77777777" w:rsidTr="00CA6E98">
        <w:tc>
          <w:tcPr>
            <w:tcW w:w="663" w:type="pct"/>
            <w:vAlign w:val="center"/>
          </w:tcPr>
          <w:p w14:paraId="355EF0FE" w14:textId="77777777" w:rsidR="00FD03F2" w:rsidRDefault="00FD03F2" w:rsidP="001D4554">
            <w:pPr>
              <w:pStyle w:val="COMTabletext"/>
            </w:pPr>
            <w:r>
              <w:t>Population</w:t>
            </w:r>
          </w:p>
        </w:tc>
        <w:tc>
          <w:tcPr>
            <w:tcW w:w="4337" w:type="pct"/>
            <w:vAlign w:val="center"/>
          </w:tcPr>
          <w:p w14:paraId="164FFE64" w14:textId="5ED78CC5" w:rsidR="00FD03F2" w:rsidRDefault="00FD03F2" w:rsidP="001D4554">
            <w:pPr>
              <w:pStyle w:val="COMTabletext"/>
            </w:pPr>
            <w:r w:rsidRPr="00C20A31">
              <w:t xml:space="preserve">Adult patients with </w:t>
            </w:r>
            <w:r>
              <w:t xml:space="preserve">atherosclerotic cardiovascular disease (ASCVD), a triglyceride </w:t>
            </w:r>
            <w:r w:rsidRPr="00C20A31">
              <w:t>level ≥1.7</w:t>
            </w:r>
            <w:r w:rsidR="002857A0">
              <w:t> </w:t>
            </w:r>
            <w:r w:rsidR="00D810F7">
              <w:t xml:space="preserve">mmol/L </w:t>
            </w:r>
            <w:r w:rsidRPr="00C20A31">
              <w:t>and &lt;5.6 mmol/L</w:t>
            </w:r>
            <w:r>
              <w:t xml:space="preserve">, and an </w:t>
            </w:r>
            <w:r w:rsidRPr="00C20A31">
              <w:t>LDL</w:t>
            </w:r>
            <w:r>
              <w:t xml:space="preserve"> cholesterol</w:t>
            </w:r>
            <w:r w:rsidRPr="00C20A31">
              <w:t xml:space="preserve"> level &gt;1.0 mmol/L and ≤2.6 mmol/L, who are receiving </w:t>
            </w:r>
            <w:r>
              <w:t>the</w:t>
            </w:r>
            <w:r w:rsidRPr="00C20A31">
              <w:t xml:space="preserve"> maximum tolerated dose of </w:t>
            </w:r>
            <w:r>
              <w:t xml:space="preserve">a </w:t>
            </w:r>
            <w:r w:rsidRPr="00C20A31">
              <w:t>statin</w:t>
            </w:r>
            <w:r>
              <w:t>.</w:t>
            </w:r>
          </w:p>
        </w:tc>
      </w:tr>
      <w:tr w:rsidR="00FD03F2" w14:paraId="07E404D9" w14:textId="77777777" w:rsidTr="00CA6E98">
        <w:tc>
          <w:tcPr>
            <w:tcW w:w="663" w:type="pct"/>
            <w:vAlign w:val="center"/>
          </w:tcPr>
          <w:p w14:paraId="28DE6B1A" w14:textId="77777777" w:rsidR="00FD03F2" w:rsidRDefault="00FD03F2" w:rsidP="001D4554">
            <w:pPr>
              <w:pStyle w:val="COMTabletext"/>
            </w:pPr>
            <w:r>
              <w:t>Intervention</w:t>
            </w:r>
          </w:p>
        </w:tc>
        <w:tc>
          <w:tcPr>
            <w:tcW w:w="4337" w:type="pct"/>
            <w:vAlign w:val="center"/>
          </w:tcPr>
          <w:p w14:paraId="77BF7B24" w14:textId="77777777" w:rsidR="00FD03F2" w:rsidRDefault="00FD03F2" w:rsidP="001D4554">
            <w:pPr>
              <w:pStyle w:val="COMTabletext"/>
            </w:pPr>
            <w:r w:rsidRPr="00C20A31">
              <w:t>Icosapent ethyl</w:t>
            </w:r>
            <w:r>
              <w:t xml:space="preserve"> 2 g twice daily</w:t>
            </w:r>
          </w:p>
        </w:tc>
      </w:tr>
      <w:tr w:rsidR="00FD03F2" w14:paraId="0BAFC121" w14:textId="77777777" w:rsidTr="00CA6E98">
        <w:trPr>
          <w:trHeight w:val="70"/>
        </w:trPr>
        <w:tc>
          <w:tcPr>
            <w:tcW w:w="663" w:type="pct"/>
            <w:vAlign w:val="center"/>
          </w:tcPr>
          <w:p w14:paraId="519ABA8B" w14:textId="77777777" w:rsidR="00FD03F2" w:rsidRDefault="00FD03F2" w:rsidP="001D4554">
            <w:pPr>
              <w:pStyle w:val="COMTabletext"/>
            </w:pPr>
            <w:r>
              <w:t>Comparator</w:t>
            </w:r>
          </w:p>
        </w:tc>
        <w:tc>
          <w:tcPr>
            <w:tcW w:w="4337" w:type="pct"/>
            <w:vAlign w:val="center"/>
          </w:tcPr>
          <w:p w14:paraId="37F34BCD" w14:textId="77777777" w:rsidR="00FD03F2" w:rsidRDefault="00FD03F2" w:rsidP="001D4554">
            <w:pPr>
              <w:pStyle w:val="COMTabletext"/>
            </w:pPr>
            <w:r>
              <w:t>Standard of care</w:t>
            </w:r>
          </w:p>
        </w:tc>
      </w:tr>
      <w:tr w:rsidR="00FD03F2" w14:paraId="68AF2670" w14:textId="77777777" w:rsidTr="00CA6E98">
        <w:tc>
          <w:tcPr>
            <w:tcW w:w="663" w:type="pct"/>
            <w:vAlign w:val="center"/>
          </w:tcPr>
          <w:p w14:paraId="7090D7AB" w14:textId="77777777" w:rsidR="00FD03F2" w:rsidRDefault="00FD03F2" w:rsidP="001D4554">
            <w:pPr>
              <w:pStyle w:val="COMTabletext"/>
            </w:pPr>
            <w:r>
              <w:t>Outcomes</w:t>
            </w:r>
          </w:p>
        </w:tc>
        <w:tc>
          <w:tcPr>
            <w:tcW w:w="4337" w:type="pct"/>
            <w:vAlign w:val="center"/>
          </w:tcPr>
          <w:p w14:paraId="7FAE9C4D" w14:textId="2BE2EB94" w:rsidR="00FD03F2" w:rsidRDefault="00FD03F2" w:rsidP="001D4554">
            <w:pPr>
              <w:pStyle w:val="COMTabletext"/>
            </w:pPr>
            <w:r>
              <w:t xml:space="preserve">Nonfatal MI, nonfatal stroke, </w:t>
            </w:r>
            <w:r w:rsidR="00CA4C99">
              <w:t xml:space="preserve">hospitalisation for </w:t>
            </w:r>
            <w:r>
              <w:t>unstable angina, coronary revascularisation, c</w:t>
            </w:r>
            <w:r w:rsidRPr="00CC7EFF">
              <w:t xml:space="preserve">ardiovascular death, </w:t>
            </w:r>
            <w:r>
              <w:t>all-cause mortality, lipid levels, adverse events.</w:t>
            </w:r>
          </w:p>
        </w:tc>
      </w:tr>
      <w:tr w:rsidR="00FD03F2" w14:paraId="40B011CA" w14:textId="77777777" w:rsidTr="00CA6E98">
        <w:tc>
          <w:tcPr>
            <w:tcW w:w="663" w:type="pct"/>
            <w:vAlign w:val="center"/>
          </w:tcPr>
          <w:p w14:paraId="22628941" w14:textId="77777777" w:rsidR="00FD03F2" w:rsidRDefault="00FD03F2" w:rsidP="001D4554">
            <w:pPr>
              <w:pStyle w:val="COMTabletext"/>
            </w:pPr>
            <w:r>
              <w:t>Clinical claim</w:t>
            </w:r>
          </w:p>
        </w:tc>
        <w:tc>
          <w:tcPr>
            <w:tcW w:w="4337" w:type="pct"/>
            <w:vAlign w:val="center"/>
          </w:tcPr>
          <w:p w14:paraId="3938520A" w14:textId="77777777" w:rsidR="00FD03F2" w:rsidRDefault="00FD03F2" w:rsidP="001D4554">
            <w:pPr>
              <w:pStyle w:val="COMTabletext"/>
            </w:pPr>
            <w:r w:rsidRPr="00926F4D">
              <w:t>Icosapent ethyl is superior to standard of care in reducing the risk of major adverse cardiovascular events with an inferior but manageable safety profile</w:t>
            </w:r>
            <w:r>
              <w:t>.</w:t>
            </w:r>
          </w:p>
        </w:tc>
      </w:tr>
    </w:tbl>
    <w:p w14:paraId="60EEF148" w14:textId="77777777" w:rsidR="00FD03F2" w:rsidRDefault="00FD03F2" w:rsidP="00FD03F2">
      <w:pPr>
        <w:pStyle w:val="COMTablefooter"/>
      </w:pPr>
      <w:r>
        <w:t>Source: Table 1.1.1, p25 of the submission.</w:t>
      </w:r>
    </w:p>
    <w:p w14:paraId="527CA7F0" w14:textId="46DF22D7" w:rsidR="004E43B2" w:rsidRPr="004A6040" w:rsidRDefault="00FD03F2" w:rsidP="00FD03F2">
      <w:pPr>
        <w:pStyle w:val="COMTablefooter"/>
        <w:rPr>
          <w:sz w:val="20"/>
        </w:rPr>
      </w:pPr>
      <w:r>
        <w:t>Abbreviations: LDL, low-density lipoprotein cholesterol; MI, myocardial infarction.</w:t>
      </w:r>
    </w:p>
    <w:p w14:paraId="6B4AB6C2" w14:textId="7F01D731" w:rsidR="005C25FF" w:rsidRPr="00407F2D" w:rsidRDefault="005C25FF" w:rsidP="004A6040">
      <w:pPr>
        <w:pStyle w:val="COMH1numbered"/>
      </w:pPr>
      <w:bookmarkStart w:id="2" w:name="_Toc145499019"/>
      <w:r w:rsidRPr="00407F2D">
        <w:t>Background</w:t>
      </w:r>
      <w:bookmarkEnd w:id="2"/>
    </w:p>
    <w:p w14:paraId="2C521D6D" w14:textId="78CF03EE" w:rsidR="005C25FF" w:rsidRPr="004151CF" w:rsidRDefault="005C25FF" w:rsidP="004A6040">
      <w:pPr>
        <w:pStyle w:val="COMH2-non-numbered"/>
      </w:pPr>
      <w:bookmarkStart w:id="3" w:name="_Toc22897638"/>
      <w:bookmarkStart w:id="4" w:name="_Toc144685984"/>
      <w:bookmarkStart w:id="5" w:name="_Toc145499020"/>
      <w:r w:rsidRPr="004151CF">
        <w:t>Registration status</w:t>
      </w:r>
      <w:bookmarkEnd w:id="3"/>
      <w:bookmarkEnd w:id="4"/>
      <w:bookmarkEnd w:id="5"/>
    </w:p>
    <w:p w14:paraId="21E84E9A" w14:textId="77777777" w:rsidR="00F826B6" w:rsidRDefault="007B7D21" w:rsidP="0023107B">
      <w:pPr>
        <w:pStyle w:val="COMexecsumnumberedpara"/>
        <w:ind w:left="720" w:hanging="720"/>
      </w:pPr>
      <w:r w:rsidRPr="007B7D21">
        <w:t xml:space="preserve">Icosapent ethyl was registered on the ARTG on 8 November 2022 and is </w:t>
      </w:r>
      <w:r w:rsidRPr="0023107B">
        <w:rPr>
          <w:rFonts w:cstheme="minorHAnsi"/>
          <w:iCs/>
        </w:rPr>
        <w:t>indicated</w:t>
      </w:r>
      <w:r w:rsidRPr="007B7D21">
        <w:t xml:space="preserve"> to reduce the risk of cardiovascular events in adult statin-treated patients at high cardiovascular risk with elevated triglycerides (≥1.7 mmol/L) and</w:t>
      </w:r>
    </w:p>
    <w:p w14:paraId="33303D60" w14:textId="4C3FAA5A" w:rsidR="00F826B6" w:rsidRPr="0092325D" w:rsidRDefault="007B7D21" w:rsidP="004E40F4">
      <w:pPr>
        <w:pStyle w:val="COMexecsummbulletlist"/>
      </w:pPr>
      <w:r w:rsidRPr="0092325D">
        <w:t>established cardiovascular disease</w:t>
      </w:r>
      <w:r w:rsidR="00F826B6" w:rsidRPr="0092325D">
        <w:t>, or</w:t>
      </w:r>
      <w:r w:rsidRPr="0092325D">
        <w:t xml:space="preserve"> </w:t>
      </w:r>
    </w:p>
    <w:p w14:paraId="7E87EE20" w14:textId="054BF22B" w:rsidR="00FD03F2" w:rsidRPr="0092325D" w:rsidRDefault="007B7D21" w:rsidP="004E40F4">
      <w:pPr>
        <w:pStyle w:val="COMexecsummbulletlist"/>
      </w:pPr>
      <w:r w:rsidRPr="0092325D">
        <w:t>diabetes, and at least one other cardiovascular risk factor.</w:t>
      </w:r>
    </w:p>
    <w:p w14:paraId="3E2A6EAB" w14:textId="469C8C0C" w:rsidR="005C25FF" w:rsidRPr="00621ADA" w:rsidRDefault="005C25FF" w:rsidP="004E18E9">
      <w:pPr>
        <w:pStyle w:val="COMH2-non-numbered"/>
      </w:pPr>
      <w:bookmarkStart w:id="6" w:name="_Toc144685985"/>
      <w:bookmarkStart w:id="7" w:name="_Toc145499021"/>
      <w:r w:rsidRPr="00621ADA">
        <w:t>Previous PBAC consideration</w:t>
      </w:r>
      <w:bookmarkEnd w:id="6"/>
      <w:bookmarkEnd w:id="7"/>
    </w:p>
    <w:p w14:paraId="2145BE24" w14:textId="204D7C07" w:rsidR="0084111B" w:rsidRPr="00E211D2" w:rsidRDefault="0084111B" w:rsidP="0023107B">
      <w:pPr>
        <w:pStyle w:val="COMexecsumnumberedpara"/>
        <w:ind w:left="720" w:hanging="720"/>
        <w:rPr>
          <w:color w:val="0066FF"/>
        </w:rPr>
      </w:pPr>
      <w:r w:rsidRPr="003A24B7">
        <w:t xml:space="preserve">The PBAC has not previously considered icosapent ethyl </w:t>
      </w:r>
      <w:r w:rsidR="003A24B7" w:rsidRPr="003A24B7">
        <w:t xml:space="preserve">(an ethyl ester of the </w:t>
      </w:r>
      <w:r w:rsidR="003A24B7" w:rsidRPr="0023107B">
        <w:rPr>
          <w:rFonts w:cstheme="minorHAnsi"/>
          <w:iCs/>
        </w:rPr>
        <w:t>omega</w:t>
      </w:r>
      <w:r w:rsidR="003A24B7" w:rsidRPr="003A24B7">
        <w:t xml:space="preserve">-3 fatty acid eicosapentaenoic acid (EPA)) </w:t>
      </w:r>
      <w:r w:rsidRPr="003A24B7">
        <w:t>for any indication. A submission for</w:t>
      </w:r>
      <w:r w:rsidR="00AC50DB">
        <w:t xml:space="preserve"> an </w:t>
      </w:r>
      <w:r w:rsidR="00AC50DB" w:rsidRPr="00AC50DB">
        <w:t>omega-3</w:t>
      </w:r>
      <w:r w:rsidR="00AC50DB">
        <w:t xml:space="preserve"> fatty acid formulation of EPA and </w:t>
      </w:r>
      <w:r w:rsidR="00AC50DB" w:rsidRPr="00AC50DB">
        <w:t xml:space="preserve">docosahexaenoic acid </w:t>
      </w:r>
      <w:r w:rsidR="00911D4B">
        <w:t xml:space="preserve">(DHA) </w:t>
      </w:r>
      <w:r w:rsidR="00AC50DB" w:rsidRPr="00AC50DB">
        <w:t>ethyl esters</w:t>
      </w:r>
      <w:r w:rsidRPr="003A24B7">
        <w:t xml:space="preserve"> </w:t>
      </w:r>
      <w:r w:rsidR="00911D4B">
        <w:t xml:space="preserve">for use </w:t>
      </w:r>
      <w:r w:rsidR="00911D4B" w:rsidRPr="00911D4B">
        <w:t>in secondary prevention after myocardial infarction</w:t>
      </w:r>
      <w:r w:rsidR="00911D4B">
        <w:t xml:space="preserve"> was considered by the PBAC at the November 2010 PBAC </w:t>
      </w:r>
      <w:r w:rsidR="00911D4B" w:rsidRPr="006A27D1">
        <w:t>meeting.</w:t>
      </w:r>
    </w:p>
    <w:p w14:paraId="02FCE5D6" w14:textId="6778C0EA" w:rsidR="00E211D2" w:rsidRPr="00E211D2" w:rsidRDefault="00E211D2" w:rsidP="00E211D2">
      <w:pPr>
        <w:pStyle w:val="COMexecsumnumberedpara"/>
        <w:numPr>
          <w:ilvl w:val="0"/>
          <w:numId w:val="0"/>
        </w:numPr>
        <w:ind w:left="720"/>
        <w:rPr>
          <w:i/>
          <w:iCs/>
          <w:color w:val="0066FF"/>
        </w:rPr>
      </w:pPr>
      <w:r w:rsidRPr="00E211D2">
        <w:rPr>
          <w:i/>
          <w:iCs/>
        </w:rPr>
        <w:t>For more detail on PBAC’s view, see section 7 PBAC outcome.</w:t>
      </w:r>
    </w:p>
    <w:p w14:paraId="76E4EF3C" w14:textId="58E6A35F" w:rsidR="00B60939" w:rsidRDefault="00B50DB8" w:rsidP="004E18E9">
      <w:pPr>
        <w:pStyle w:val="COMH1numbered"/>
      </w:pPr>
      <w:bookmarkStart w:id="8" w:name="_Toc145499022"/>
      <w:r w:rsidRPr="00407F2D">
        <w:lastRenderedPageBreak/>
        <w:t>Requested listing</w:t>
      </w:r>
      <w:bookmarkEnd w:id="8"/>
    </w:p>
    <w:p w14:paraId="23164626" w14:textId="5B784B24" w:rsidR="000E4776" w:rsidRDefault="0023107B" w:rsidP="00F41E0E">
      <w:pPr>
        <w:pStyle w:val="COMexecsumnumberedpara"/>
        <w:ind w:left="720" w:hanging="720"/>
        <w:rPr>
          <w:rFonts w:cstheme="minorHAnsi"/>
          <w:iCs/>
        </w:rPr>
      </w:pPr>
      <w:r w:rsidRPr="0023107B">
        <w:t>Suggestions</w:t>
      </w:r>
      <w:r w:rsidRPr="00F91542">
        <w:rPr>
          <w:rFonts w:cstheme="minorHAnsi"/>
          <w:iCs/>
        </w:rPr>
        <w:t xml:space="preserve"> and additions proposed by the Secretariat </w:t>
      </w:r>
      <w:r w:rsidR="00FC3428">
        <w:rPr>
          <w:rFonts w:cstheme="minorHAnsi"/>
          <w:iCs/>
        </w:rPr>
        <w:t xml:space="preserve">and PBAC </w:t>
      </w:r>
      <w:r w:rsidRPr="00F91542">
        <w:rPr>
          <w:rFonts w:cstheme="minorHAnsi"/>
          <w:iCs/>
        </w:rPr>
        <w:t>are added in italics and suggested deletions are crossed out with strikethrough</w:t>
      </w:r>
      <w:r>
        <w:rPr>
          <w:rFonts w:cstheme="minorHAns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701"/>
        <w:gridCol w:w="992"/>
        <w:gridCol w:w="992"/>
        <w:gridCol w:w="812"/>
        <w:gridCol w:w="1831"/>
      </w:tblGrid>
      <w:tr w:rsidR="00046D64" w:rsidRPr="001428E9" w14:paraId="73E16E29" w14:textId="77777777" w:rsidTr="007D174C">
        <w:trPr>
          <w:cantSplit/>
        </w:trPr>
        <w:tc>
          <w:tcPr>
            <w:tcW w:w="2689" w:type="dxa"/>
            <w:vAlign w:val="center"/>
          </w:tcPr>
          <w:p w14:paraId="4660296B" w14:textId="77777777" w:rsidR="00046D64" w:rsidRPr="001428E9" w:rsidRDefault="00046D64" w:rsidP="007D174C">
            <w:pPr>
              <w:keepNext/>
              <w:rPr>
                <w:rFonts w:ascii="Arial Narrow" w:hAnsi="Arial Narrow"/>
                <w:b/>
                <w:bCs/>
                <w:sz w:val="20"/>
                <w:szCs w:val="20"/>
              </w:rPr>
            </w:pPr>
            <w:bookmarkStart w:id="9" w:name="_Hlk104809055"/>
            <w:r w:rsidRPr="001428E9">
              <w:rPr>
                <w:rFonts w:ascii="Arial Narrow" w:hAnsi="Arial Narrow"/>
                <w:b/>
                <w:bCs/>
                <w:sz w:val="20"/>
                <w:szCs w:val="20"/>
              </w:rPr>
              <w:t>MEDICINAL PRODUCT</w:t>
            </w:r>
          </w:p>
          <w:p w14:paraId="7221C2FD" w14:textId="77777777" w:rsidR="00046D64" w:rsidRPr="001428E9" w:rsidRDefault="00046D64" w:rsidP="007D174C">
            <w:pPr>
              <w:keepNext/>
              <w:rPr>
                <w:rFonts w:ascii="Arial Narrow" w:hAnsi="Arial Narrow"/>
                <w:b/>
                <w:sz w:val="20"/>
                <w:szCs w:val="20"/>
              </w:rPr>
            </w:pPr>
            <w:r w:rsidRPr="001428E9">
              <w:rPr>
                <w:rFonts w:ascii="Arial Narrow" w:hAnsi="Arial Narrow"/>
                <w:b/>
                <w:bCs/>
                <w:sz w:val="20"/>
                <w:szCs w:val="20"/>
              </w:rPr>
              <w:t>medicinal product pack</w:t>
            </w:r>
          </w:p>
        </w:tc>
        <w:tc>
          <w:tcPr>
            <w:tcW w:w="1701" w:type="dxa"/>
            <w:vAlign w:val="center"/>
          </w:tcPr>
          <w:p w14:paraId="14424AF1" w14:textId="2061EBFB" w:rsidR="00046D64" w:rsidRPr="00C61A59" w:rsidRDefault="00C61A59" w:rsidP="007D174C">
            <w:pPr>
              <w:pStyle w:val="COMTabletext"/>
              <w:jc w:val="center"/>
              <w:rPr>
                <w:b/>
                <w:bCs w:val="0"/>
                <w:szCs w:val="20"/>
              </w:rPr>
            </w:pPr>
            <w:r w:rsidRPr="00C61A59">
              <w:rPr>
                <w:b/>
                <w:bCs w:val="0"/>
                <w:snapToGrid w:val="0"/>
              </w:rPr>
              <w:t>Dispensed Price for Max. Qty</w:t>
            </w:r>
          </w:p>
        </w:tc>
        <w:tc>
          <w:tcPr>
            <w:tcW w:w="992" w:type="dxa"/>
            <w:vAlign w:val="center"/>
          </w:tcPr>
          <w:p w14:paraId="4E41A9BC" w14:textId="0E3A90D0" w:rsidR="00046D64" w:rsidRPr="001428E9" w:rsidRDefault="00046D64" w:rsidP="007D174C">
            <w:pPr>
              <w:keepNext/>
              <w:jc w:val="center"/>
              <w:rPr>
                <w:rFonts w:ascii="Arial Narrow" w:hAnsi="Arial Narrow"/>
                <w:b/>
                <w:sz w:val="20"/>
                <w:szCs w:val="20"/>
              </w:rPr>
            </w:pPr>
            <w:r w:rsidRPr="001428E9">
              <w:rPr>
                <w:rFonts w:ascii="Arial Narrow" w:hAnsi="Arial Narrow"/>
                <w:b/>
                <w:sz w:val="20"/>
                <w:szCs w:val="20"/>
              </w:rPr>
              <w:t>Max. qty packs</w:t>
            </w:r>
          </w:p>
        </w:tc>
        <w:tc>
          <w:tcPr>
            <w:tcW w:w="992" w:type="dxa"/>
            <w:vAlign w:val="center"/>
          </w:tcPr>
          <w:p w14:paraId="48197540" w14:textId="77777777" w:rsidR="00046D64" w:rsidRPr="001428E9" w:rsidRDefault="00046D64" w:rsidP="007D174C">
            <w:pPr>
              <w:keepNext/>
              <w:jc w:val="center"/>
              <w:rPr>
                <w:rFonts w:ascii="Arial Narrow" w:hAnsi="Arial Narrow"/>
                <w:b/>
                <w:sz w:val="20"/>
                <w:szCs w:val="20"/>
              </w:rPr>
            </w:pPr>
            <w:r w:rsidRPr="001428E9">
              <w:rPr>
                <w:rFonts w:ascii="Arial Narrow" w:hAnsi="Arial Narrow"/>
                <w:b/>
                <w:sz w:val="20"/>
                <w:szCs w:val="20"/>
              </w:rPr>
              <w:t>Max. qty units</w:t>
            </w:r>
          </w:p>
        </w:tc>
        <w:tc>
          <w:tcPr>
            <w:tcW w:w="812" w:type="dxa"/>
            <w:vAlign w:val="center"/>
          </w:tcPr>
          <w:p w14:paraId="13B3FDEE" w14:textId="661FC074" w:rsidR="00046D64" w:rsidRPr="001428E9" w:rsidRDefault="00046D64" w:rsidP="007D174C">
            <w:pPr>
              <w:keepNext/>
              <w:jc w:val="center"/>
              <w:rPr>
                <w:rFonts w:ascii="Arial Narrow" w:hAnsi="Arial Narrow"/>
                <w:b/>
                <w:sz w:val="20"/>
                <w:szCs w:val="20"/>
              </w:rPr>
            </w:pPr>
            <w:r w:rsidRPr="001428E9">
              <w:rPr>
                <w:rFonts w:ascii="Arial Narrow" w:hAnsi="Arial Narrow"/>
                <w:b/>
                <w:sz w:val="20"/>
                <w:szCs w:val="20"/>
              </w:rPr>
              <w:t>№.</w:t>
            </w:r>
            <w:r w:rsidR="00EF2C32">
              <w:rPr>
                <w:rFonts w:ascii="Arial Narrow" w:hAnsi="Arial Narrow"/>
                <w:b/>
                <w:sz w:val="20"/>
                <w:szCs w:val="20"/>
              </w:rPr>
              <w:t xml:space="preserve"> </w:t>
            </w:r>
            <w:r w:rsidRPr="001428E9">
              <w:rPr>
                <w:rFonts w:ascii="Arial Narrow" w:hAnsi="Arial Narrow"/>
                <w:b/>
                <w:sz w:val="20"/>
                <w:szCs w:val="20"/>
              </w:rPr>
              <w:t>of</w:t>
            </w:r>
          </w:p>
          <w:p w14:paraId="7B215997" w14:textId="77777777" w:rsidR="00046D64" w:rsidRPr="001428E9" w:rsidRDefault="00046D64" w:rsidP="007D174C">
            <w:pPr>
              <w:keepNext/>
              <w:jc w:val="center"/>
              <w:rPr>
                <w:rFonts w:ascii="Arial Narrow" w:hAnsi="Arial Narrow"/>
                <w:b/>
                <w:sz w:val="20"/>
                <w:szCs w:val="20"/>
              </w:rPr>
            </w:pPr>
            <w:r w:rsidRPr="001428E9">
              <w:rPr>
                <w:rFonts w:ascii="Arial Narrow" w:hAnsi="Arial Narrow"/>
                <w:b/>
                <w:sz w:val="20"/>
                <w:szCs w:val="20"/>
              </w:rPr>
              <w:t>Rpts</w:t>
            </w:r>
          </w:p>
        </w:tc>
        <w:tc>
          <w:tcPr>
            <w:tcW w:w="1831" w:type="dxa"/>
            <w:vAlign w:val="center"/>
          </w:tcPr>
          <w:p w14:paraId="4976F6A8" w14:textId="77777777" w:rsidR="00046D64" w:rsidRPr="001428E9" w:rsidRDefault="00046D64" w:rsidP="007D174C">
            <w:pPr>
              <w:keepNext/>
              <w:jc w:val="center"/>
              <w:rPr>
                <w:rFonts w:ascii="Arial Narrow" w:hAnsi="Arial Narrow"/>
                <w:b/>
                <w:sz w:val="20"/>
                <w:szCs w:val="20"/>
                <w:lang w:val="fr-FR"/>
              </w:rPr>
            </w:pPr>
            <w:r w:rsidRPr="001428E9">
              <w:rPr>
                <w:rFonts w:ascii="Arial Narrow" w:hAnsi="Arial Narrow"/>
                <w:b/>
                <w:sz w:val="20"/>
                <w:szCs w:val="20"/>
              </w:rPr>
              <w:t>Available brands</w:t>
            </w:r>
          </w:p>
        </w:tc>
      </w:tr>
      <w:tr w:rsidR="00046D64" w:rsidRPr="001428E9" w14:paraId="40C1AD8E" w14:textId="77777777" w:rsidTr="007D174C">
        <w:trPr>
          <w:cantSplit/>
        </w:trPr>
        <w:tc>
          <w:tcPr>
            <w:tcW w:w="9017" w:type="dxa"/>
            <w:gridSpan w:val="6"/>
            <w:vAlign w:val="center"/>
          </w:tcPr>
          <w:p w14:paraId="2A4C00A6" w14:textId="541D558B" w:rsidR="00046D64" w:rsidRPr="001428E9" w:rsidRDefault="00956974" w:rsidP="007D174C">
            <w:pPr>
              <w:pStyle w:val="COMTabletext"/>
              <w:rPr>
                <w:rFonts w:cs="Arial"/>
                <w:szCs w:val="20"/>
              </w:rPr>
            </w:pPr>
            <w:r w:rsidRPr="00956974">
              <w:t>ICOSAPENT ETHYL</w:t>
            </w:r>
          </w:p>
        </w:tc>
      </w:tr>
      <w:tr w:rsidR="00956974" w:rsidRPr="001428E9" w14:paraId="1DC2CC67" w14:textId="77777777" w:rsidTr="007D174C">
        <w:trPr>
          <w:cantSplit/>
        </w:trPr>
        <w:tc>
          <w:tcPr>
            <w:tcW w:w="2689" w:type="dxa"/>
            <w:vAlign w:val="center"/>
          </w:tcPr>
          <w:p w14:paraId="612C04D7" w14:textId="18BED37E" w:rsidR="00956974" w:rsidRPr="003A4C14" w:rsidRDefault="00956974" w:rsidP="007D174C">
            <w:pPr>
              <w:pStyle w:val="COMTabletext"/>
              <w:rPr>
                <w:color w:val="0066FF"/>
                <w:szCs w:val="20"/>
              </w:rPr>
            </w:pPr>
            <w:r w:rsidRPr="00956974">
              <w:t xml:space="preserve">Icosapent ethyl </w:t>
            </w:r>
            <w:r w:rsidRPr="00792250">
              <w:rPr>
                <w:strike/>
              </w:rPr>
              <w:t>1 g</w:t>
            </w:r>
            <w:r w:rsidRPr="00956974">
              <w:t xml:space="preserve"> </w:t>
            </w:r>
            <w:r w:rsidR="00792250" w:rsidRPr="00792250">
              <w:rPr>
                <w:i/>
                <w:iCs/>
              </w:rPr>
              <w:t>998 mg</w:t>
            </w:r>
            <w:r w:rsidR="00792250">
              <w:t xml:space="preserve"> </w:t>
            </w:r>
            <w:r w:rsidRPr="00956974">
              <w:t>capsule</w:t>
            </w:r>
            <w:r w:rsidRPr="00792250">
              <w:t>, 120</w:t>
            </w:r>
          </w:p>
        </w:tc>
        <w:tc>
          <w:tcPr>
            <w:tcW w:w="1701" w:type="dxa"/>
          </w:tcPr>
          <w:p w14:paraId="70C2874A" w14:textId="6078A78E" w:rsidR="00956974" w:rsidRPr="00EF2C32" w:rsidRDefault="004671F3" w:rsidP="007D174C">
            <w:pPr>
              <w:pStyle w:val="COMTabletext"/>
              <w:jc w:val="center"/>
              <w:rPr>
                <w:szCs w:val="20"/>
              </w:rPr>
            </w:pPr>
            <w:r>
              <w:t>$</w:t>
            </w:r>
            <w:r w:rsidR="0036355B" w:rsidRPr="00996098">
              <w:rPr>
                <w:color w:val="000000"/>
                <w:spacing w:val="35"/>
                <w:shd w:val="solid" w:color="000000" w:fill="000000"/>
                <w:fitText w:val="590" w:id="-1032112638"/>
                <w14:textFill>
                  <w14:solidFill>
                    <w14:srgbClr w14:val="000000">
                      <w14:alpha w14:val="100000"/>
                    </w14:srgbClr>
                  </w14:solidFill>
                </w14:textFill>
              </w:rPr>
              <w:t>|||||||</w:t>
            </w:r>
            <w:r w:rsidR="0036355B" w:rsidRPr="00996098">
              <w:rPr>
                <w:color w:val="000000"/>
                <w:spacing w:val="5"/>
                <w:shd w:val="solid" w:color="000000" w:fill="000000"/>
                <w:fitText w:val="590" w:id="-1032112638"/>
                <w14:textFill>
                  <w14:solidFill>
                    <w14:srgbClr w14:val="000000">
                      <w14:alpha w14:val="100000"/>
                    </w14:srgbClr>
                  </w14:solidFill>
                </w14:textFill>
              </w:rPr>
              <w:t>|</w:t>
            </w:r>
          </w:p>
        </w:tc>
        <w:tc>
          <w:tcPr>
            <w:tcW w:w="992" w:type="dxa"/>
          </w:tcPr>
          <w:p w14:paraId="71CD2441" w14:textId="6D2F0CC3" w:rsidR="00956974" w:rsidRPr="001428E9" w:rsidRDefault="00956974" w:rsidP="007D174C">
            <w:pPr>
              <w:pStyle w:val="COMTabletext"/>
              <w:jc w:val="center"/>
              <w:rPr>
                <w:szCs w:val="20"/>
              </w:rPr>
            </w:pPr>
            <w:r w:rsidRPr="00C43336">
              <w:t>1</w:t>
            </w:r>
          </w:p>
        </w:tc>
        <w:tc>
          <w:tcPr>
            <w:tcW w:w="992" w:type="dxa"/>
          </w:tcPr>
          <w:p w14:paraId="65F4D3E9" w14:textId="512DAA7E" w:rsidR="00956974" w:rsidRPr="001428E9" w:rsidRDefault="00956974" w:rsidP="007D174C">
            <w:pPr>
              <w:pStyle w:val="COMTabletext"/>
              <w:jc w:val="center"/>
              <w:rPr>
                <w:szCs w:val="20"/>
              </w:rPr>
            </w:pPr>
            <w:r w:rsidRPr="00C43336">
              <w:t>120</w:t>
            </w:r>
          </w:p>
        </w:tc>
        <w:tc>
          <w:tcPr>
            <w:tcW w:w="812" w:type="dxa"/>
          </w:tcPr>
          <w:p w14:paraId="7C728D0C" w14:textId="78A0D579" w:rsidR="00956974" w:rsidRPr="001428E9" w:rsidRDefault="00956974" w:rsidP="007D174C">
            <w:pPr>
              <w:pStyle w:val="COMTabletext"/>
              <w:jc w:val="center"/>
              <w:rPr>
                <w:szCs w:val="20"/>
              </w:rPr>
            </w:pPr>
            <w:r w:rsidRPr="00C43336">
              <w:t>5</w:t>
            </w:r>
          </w:p>
        </w:tc>
        <w:tc>
          <w:tcPr>
            <w:tcW w:w="1831" w:type="dxa"/>
          </w:tcPr>
          <w:p w14:paraId="519A0BC8" w14:textId="74667D16" w:rsidR="00956974" w:rsidRPr="003A4C14" w:rsidRDefault="00956974" w:rsidP="007D174C">
            <w:pPr>
              <w:pStyle w:val="COMTabletext"/>
              <w:jc w:val="center"/>
              <w:rPr>
                <w:color w:val="0066FF"/>
                <w:szCs w:val="20"/>
              </w:rPr>
            </w:pPr>
            <w:r w:rsidRPr="00C43336">
              <w:t>Vazkepa</w:t>
            </w:r>
          </w:p>
        </w:tc>
      </w:tr>
      <w:bookmarkEnd w:id="9"/>
    </w:tbl>
    <w:p w14:paraId="0E194F14" w14:textId="77777777" w:rsidR="00EF2C32" w:rsidRDefault="00EF2C32" w:rsidP="00F41E0E">
      <w:pPr>
        <w:pStyle w:val="COMTablefooter"/>
        <w:spacing w:after="0"/>
        <w:rPr>
          <w:i/>
          <w:iCs/>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5"/>
      </w:tblGrid>
      <w:tr w:rsidR="00EF2C32" w:rsidRPr="0023107B" w14:paraId="1EA110C7" w14:textId="77777777" w:rsidTr="00EF2C32">
        <w:trPr>
          <w:trHeight w:val="20"/>
        </w:trPr>
        <w:tc>
          <w:tcPr>
            <w:tcW w:w="899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0711E37" w14:textId="77777777" w:rsidR="00EF2C32" w:rsidRPr="0023107B" w:rsidRDefault="00EF2C32" w:rsidP="00B61BA5">
            <w:pPr>
              <w:keepLines/>
              <w:jc w:val="left"/>
              <w:rPr>
                <w:rFonts w:ascii="Arial Narrow" w:eastAsia="Calibri" w:hAnsi="Arial Narrow"/>
                <w:sz w:val="20"/>
                <w:szCs w:val="20"/>
                <w:lang w:eastAsia="en-US"/>
              </w:rPr>
            </w:pPr>
            <w:r w:rsidRPr="0023107B">
              <w:rPr>
                <w:rFonts w:ascii="Arial Narrow" w:eastAsia="Calibri" w:hAnsi="Arial Narrow"/>
                <w:b/>
                <w:sz w:val="20"/>
                <w:szCs w:val="20"/>
                <w:lang w:eastAsia="en-US"/>
              </w:rPr>
              <w:t xml:space="preserve">Category / Program: </w:t>
            </w:r>
            <w:r w:rsidRPr="0023107B">
              <w:rPr>
                <w:rFonts w:ascii="Arial Narrow" w:eastAsia="Calibri" w:hAnsi="Arial Narrow"/>
                <w:sz w:val="20"/>
                <w:szCs w:val="20"/>
                <w:lang w:eastAsia="en-US"/>
              </w:rPr>
              <w:t>GENERAL – General Schedule (Code GE)</w:t>
            </w:r>
            <w:r w:rsidRPr="0023107B">
              <w:rPr>
                <w:rFonts w:ascii="Arial Narrow" w:eastAsia="Calibri" w:hAnsi="Arial Narrow"/>
                <w:color w:val="FF0000"/>
                <w:sz w:val="20"/>
                <w:szCs w:val="20"/>
                <w:lang w:eastAsia="en-US"/>
              </w:rPr>
              <w:t xml:space="preserve"> </w:t>
            </w:r>
          </w:p>
        </w:tc>
      </w:tr>
      <w:tr w:rsidR="00EF2C32" w:rsidRPr="0023107B" w14:paraId="041F8401" w14:textId="77777777" w:rsidTr="00EF2C32">
        <w:trPr>
          <w:trHeight w:val="20"/>
        </w:trPr>
        <w:tc>
          <w:tcPr>
            <w:tcW w:w="899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2E48718" w14:textId="77777777" w:rsidR="00EF2C32" w:rsidRPr="0023107B" w:rsidRDefault="00EF2C32" w:rsidP="00B61BA5">
            <w:pPr>
              <w:keepLines/>
              <w:rPr>
                <w:rFonts w:ascii="Arial Narrow" w:eastAsia="Calibri" w:hAnsi="Arial Narrow"/>
                <w:b/>
                <w:sz w:val="20"/>
                <w:szCs w:val="20"/>
                <w:lang w:eastAsia="en-US"/>
              </w:rPr>
            </w:pPr>
            <w:r w:rsidRPr="0023107B">
              <w:rPr>
                <w:rFonts w:ascii="Arial Narrow" w:eastAsia="Calibri" w:hAnsi="Arial Narrow"/>
                <w:b/>
                <w:sz w:val="20"/>
                <w:szCs w:val="20"/>
                <w:lang w:eastAsia="en-US"/>
              </w:rPr>
              <w:t xml:space="preserve">Prescriber type: </w:t>
            </w:r>
            <w:r w:rsidRPr="0023107B">
              <w:fldChar w:fldCharType="begin" w:fldLock="1">
                <w:ffData>
                  <w:name w:val=""/>
                  <w:enabled/>
                  <w:calcOnExit w:val="0"/>
                  <w:checkBox>
                    <w:sizeAuto/>
                    <w:default w:val="1"/>
                  </w:checkBox>
                </w:ffData>
              </w:fldChar>
            </w:r>
            <w:r w:rsidRPr="0023107B">
              <w:rPr>
                <w:rFonts w:ascii="Arial Narrow" w:eastAsia="Calibri" w:hAnsi="Arial Narrow"/>
                <w:sz w:val="20"/>
                <w:szCs w:val="20"/>
                <w:lang w:eastAsia="en-US"/>
              </w:rPr>
              <w:instrText xml:space="preserve"> FORMCHECKBOX </w:instrText>
            </w:r>
            <w:r w:rsidR="008A76A6">
              <w:fldChar w:fldCharType="separate"/>
            </w:r>
            <w:r w:rsidRPr="0023107B">
              <w:fldChar w:fldCharType="end"/>
            </w:r>
            <w:r w:rsidRPr="0023107B">
              <w:rPr>
                <w:rFonts w:ascii="Arial Narrow" w:eastAsia="Calibri" w:hAnsi="Arial Narrow"/>
                <w:sz w:val="20"/>
                <w:szCs w:val="20"/>
                <w:lang w:eastAsia="en-US"/>
              </w:rPr>
              <w:t xml:space="preserve">Medical Practitioners </w:t>
            </w:r>
          </w:p>
        </w:tc>
      </w:tr>
      <w:tr w:rsidR="00EF2C32" w:rsidRPr="0023107B" w14:paraId="516258D5" w14:textId="77777777" w:rsidTr="00EF2C32">
        <w:trPr>
          <w:trHeight w:val="143"/>
        </w:trPr>
        <w:tc>
          <w:tcPr>
            <w:tcW w:w="899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69947BF" w14:textId="77777777" w:rsidR="00EF2C32" w:rsidRPr="0023107B" w:rsidRDefault="00EF2C32" w:rsidP="00B61BA5">
            <w:pPr>
              <w:keepLines/>
              <w:jc w:val="left"/>
              <w:rPr>
                <w:rFonts w:ascii="Arial Narrow" w:eastAsia="Calibri" w:hAnsi="Arial Narrow"/>
                <w:color w:val="FF0000"/>
                <w:sz w:val="20"/>
                <w:szCs w:val="20"/>
                <w:lang w:eastAsia="en-US"/>
              </w:rPr>
            </w:pPr>
            <w:r w:rsidRPr="0023107B">
              <w:rPr>
                <w:rFonts w:ascii="Arial Narrow" w:eastAsia="Calibri" w:hAnsi="Arial Narrow"/>
                <w:b/>
                <w:sz w:val="20"/>
                <w:szCs w:val="20"/>
                <w:lang w:eastAsia="en-US"/>
              </w:rPr>
              <w:t xml:space="preserve">Restriction type: </w:t>
            </w:r>
            <w:r w:rsidRPr="0023107B">
              <w:rPr>
                <w:rFonts w:ascii="Arial Narrow" w:hAnsi="Arial Narrow"/>
                <w:sz w:val="20"/>
                <w:szCs w:val="20"/>
              </w:rPr>
              <w:fldChar w:fldCharType="begin" w:fldLock="1">
                <w:ffData>
                  <w:name w:val=""/>
                  <w:enabled/>
                  <w:calcOnExit w:val="0"/>
                  <w:checkBox>
                    <w:sizeAuto/>
                    <w:default w:val="1"/>
                  </w:checkBox>
                </w:ffData>
              </w:fldChar>
            </w:r>
            <w:r w:rsidRPr="0023107B">
              <w:rPr>
                <w:rFonts w:ascii="Arial Narrow" w:hAnsi="Arial Narrow"/>
                <w:sz w:val="20"/>
                <w:szCs w:val="20"/>
              </w:rPr>
              <w:instrText xml:space="preserve"> FORMCHECKBOX </w:instrText>
            </w:r>
            <w:r w:rsidR="008A76A6">
              <w:rPr>
                <w:rFonts w:ascii="Arial Narrow" w:hAnsi="Arial Narrow"/>
                <w:sz w:val="20"/>
                <w:szCs w:val="20"/>
              </w:rPr>
            </w:r>
            <w:r w:rsidR="008A76A6">
              <w:rPr>
                <w:rFonts w:ascii="Arial Narrow" w:hAnsi="Arial Narrow"/>
                <w:sz w:val="20"/>
                <w:szCs w:val="20"/>
              </w:rPr>
              <w:fldChar w:fldCharType="separate"/>
            </w:r>
            <w:r w:rsidRPr="0023107B">
              <w:rPr>
                <w:rFonts w:ascii="Arial Narrow" w:hAnsi="Arial Narrow"/>
                <w:sz w:val="20"/>
                <w:szCs w:val="20"/>
              </w:rPr>
              <w:fldChar w:fldCharType="end"/>
            </w:r>
            <w:r w:rsidRPr="0023107B">
              <w:rPr>
                <w:rFonts w:ascii="Arial Narrow" w:eastAsia="Calibri" w:hAnsi="Arial Narrow"/>
                <w:sz w:val="20"/>
                <w:szCs w:val="20"/>
                <w:lang w:eastAsia="en-US"/>
              </w:rPr>
              <w:t xml:space="preserve">Authority Required (STREAMLINED) </w:t>
            </w:r>
          </w:p>
        </w:tc>
      </w:tr>
      <w:tr w:rsidR="00EF2C32" w:rsidRPr="0023107B" w14:paraId="312E087F" w14:textId="77777777" w:rsidTr="00EF2C32">
        <w:trPr>
          <w:trHeight w:val="20"/>
        </w:trPr>
        <w:tc>
          <w:tcPr>
            <w:tcW w:w="899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4744B058" w14:textId="77777777" w:rsidR="00EF2C32" w:rsidRPr="0023107B" w:rsidRDefault="00EF2C32" w:rsidP="00B61BA5">
            <w:pPr>
              <w:spacing w:line="256" w:lineRule="auto"/>
              <w:jc w:val="left"/>
              <w:rPr>
                <w:rFonts w:ascii="Arial Narrow" w:hAnsi="Arial Narrow" w:cs="Times New Roman"/>
                <w:b/>
                <w:bCs/>
                <w:i/>
                <w:iCs/>
                <w:color w:val="333333"/>
                <w:sz w:val="20"/>
                <w:szCs w:val="20"/>
              </w:rPr>
            </w:pPr>
            <w:r w:rsidRPr="0023107B">
              <w:rPr>
                <w:rFonts w:ascii="Arial Narrow" w:hAnsi="Arial Narrow" w:cs="Times New Roman"/>
                <w:b/>
                <w:bCs/>
                <w:i/>
                <w:iCs/>
                <w:color w:val="333333"/>
                <w:sz w:val="20"/>
                <w:szCs w:val="20"/>
              </w:rPr>
              <w:t xml:space="preserve">Administrative Advice: </w:t>
            </w:r>
            <w:r w:rsidRPr="0023107B">
              <w:rPr>
                <w:rFonts w:ascii="Arial Narrow" w:hAnsi="Arial Narrow" w:cs="Times New Roman"/>
                <w:i/>
                <w:iCs/>
                <w:color w:val="333333"/>
                <w:sz w:val="20"/>
                <w:szCs w:val="20"/>
              </w:rPr>
              <w:t>No increase in the maximum quantity or number of units may be authorised.</w:t>
            </w:r>
          </w:p>
        </w:tc>
      </w:tr>
      <w:tr w:rsidR="00EF2C32" w:rsidRPr="0023107B" w14:paraId="57473C62" w14:textId="77777777" w:rsidTr="00EF2C32">
        <w:trPr>
          <w:trHeight w:val="20"/>
        </w:trPr>
        <w:tc>
          <w:tcPr>
            <w:tcW w:w="899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3EB595F9" w14:textId="77777777" w:rsidR="00EF2C32" w:rsidRPr="0023107B" w:rsidRDefault="00EF2C32" w:rsidP="00B61BA5">
            <w:pPr>
              <w:spacing w:line="256" w:lineRule="auto"/>
              <w:jc w:val="left"/>
              <w:rPr>
                <w:rFonts w:ascii="Arial Narrow" w:hAnsi="Arial Narrow" w:cs="Times New Roman"/>
                <w:b/>
                <w:bCs/>
                <w:i/>
                <w:iCs/>
                <w:color w:val="333333"/>
                <w:sz w:val="20"/>
                <w:szCs w:val="20"/>
              </w:rPr>
            </w:pPr>
            <w:r w:rsidRPr="0023107B">
              <w:rPr>
                <w:rFonts w:ascii="Arial Narrow" w:hAnsi="Arial Narrow" w:cs="Times New Roman"/>
                <w:b/>
                <w:bCs/>
                <w:i/>
                <w:iCs/>
                <w:color w:val="333333"/>
                <w:sz w:val="20"/>
                <w:szCs w:val="20"/>
              </w:rPr>
              <w:t xml:space="preserve">Administrative Advice: </w:t>
            </w:r>
            <w:r w:rsidRPr="0023107B">
              <w:rPr>
                <w:rFonts w:ascii="Arial Narrow" w:hAnsi="Arial Narrow" w:cs="Times New Roman"/>
                <w:i/>
                <w:iCs/>
                <w:color w:val="333333"/>
                <w:sz w:val="20"/>
                <w:szCs w:val="20"/>
              </w:rPr>
              <w:t>No increase in the maximum number of repeats may be authorised.</w:t>
            </w:r>
          </w:p>
        </w:tc>
      </w:tr>
      <w:tr w:rsidR="00EF2C32" w:rsidRPr="0023107B" w14:paraId="130A0B6D" w14:textId="77777777" w:rsidTr="00EF2C32">
        <w:trPr>
          <w:cantSplit/>
          <w:trHeight w:val="20"/>
        </w:trPr>
        <w:tc>
          <w:tcPr>
            <w:tcW w:w="899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2ABC750" w14:textId="1E2900C2" w:rsidR="00EF2C32" w:rsidRPr="0023107B" w:rsidRDefault="00914F29" w:rsidP="00B61BA5">
            <w:pPr>
              <w:jc w:val="left"/>
              <w:rPr>
                <w:rFonts w:ascii="Arial Narrow" w:hAnsi="Arial Narrow" w:cs="Times New Roman"/>
                <w:b/>
                <w:bCs/>
                <w:color w:val="333333"/>
                <w:sz w:val="20"/>
                <w:szCs w:val="20"/>
              </w:rPr>
            </w:pPr>
            <w:r w:rsidRPr="00914F29">
              <w:rPr>
                <w:rFonts w:ascii="Arial Narrow" w:hAnsi="Arial Narrow" w:cs="Times New Roman"/>
                <w:b/>
                <w:bCs/>
                <w:strike/>
                <w:color w:val="333333"/>
                <w:sz w:val="20"/>
                <w:szCs w:val="20"/>
              </w:rPr>
              <w:t>Condition</w:t>
            </w:r>
            <w:r>
              <w:rPr>
                <w:rFonts w:ascii="Arial Narrow" w:hAnsi="Arial Narrow" w:cs="Times New Roman"/>
                <w:b/>
                <w:bCs/>
                <w:i/>
                <w:iCs/>
                <w:color w:val="333333"/>
                <w:sz w:val="20"/>
                <w:szCs w:val="20"/>
              </w:rPr>
              <w:t xml:space="preserve"> </w:t>
            </w:r>
            <w:r w:rsidR="00EF2C32" w:rsidRPr="0023107B">
              <w:rPr>
                <w:rFonts w:ascii="Arial Narrow" w:hAnsi="Arial Narrow" w:cs="Times New Roman"/>
                <w:b/>
                <w:bCs/>
                <w:i/>
                <w:iCs/>
                <w:color w:val="333333"/>
                <w:sz w:val="20"/>
                <w:szCs w:val="20"/>
              </w:rPr>
              <w:t xml:space="preserve">Indication: </w:t>
            </w:r>
            <w:r w:rsidR="00EF2C32" w:rsidRPr="00914F29">
              <w:rPr>
                <w:rFonts w:ascii="Arial Narrow" w:hAnsi="Arial Narrow" w:cs="Times New Roman"/>
                <w:color w:val="333333"/>
                <w:sz w:val="20"/>
                <w:szCs w:val="20"/>
              </w:rPr>
              <w:t>Established atherosclerotic cardiovascular disease with hypertriglyceridaemia</w:t>
            </w:r>
          </w:p>
        </w:tc>
      </w:tr>
      <w:tr w:rsidR="00EF2C32" w:rsidRPr="0023107B" w14:paraId="0B45D895" w14:textId="77777777" w:rsidTr="00EF2C32">
        <w:trPr>
          <w:cantSplit/>
          <w:trHeight w:val="20"/>
        </w:trPr>
        <w:tc>
          <w:tcPr>
            <w:tcW w:w="899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7A5B60C" w14:textId="77777777" w:rsidR="00EF2C32" w:rsidRPr="0023107B" w:rsidRDefault="00EF2C32" w:rsidP="00B61BA5">
            <w:pPr>
              <w:jc w:val="left"/>
              <w:rPr>
                <w:rFonts w:ascii="Arial Narrow" w:hAnsi="Arial Narrow" w:cs="Times New Roman"/>
                <w:i/>
                <w:iCs/>
                <w:sz w:val="20"/>
                <w:szCs w:val="20"/>
              </w:rPr>
            </w:pPr>
            <w:r w:rsidRPr="0023107B">
              <w:rPr>
                <w:rFonts w:ascii="Arial Narrow" w:hAnsi="Arial Narrow" w:cs="Times New Roman"/>
                <w:b/>
                <w:bCs/>
                <w:color w:val="333333"/>
                <w:sz w:val="20"/>
                <w:szCs w:val="20"/>
              </w:rPr>
              <w:t>Treatment Phase:</w:t>
            </w:r>
            <w:r w:rsidRPr="0023107B">
              <w:rPr>
                <w:rFonts w:ascii="Arial Narrow" w:hAnsi="Arial Narrow" w:cs="Times New Roman"/>
                <w:color w:val="FF0000"/>
                <w:sz w:val="20"/>
                <w:szCs w:val="20"/>
              </w:rPr>
              <w:t xml:space="preserve"> </w:t>
            </w:r>
            <w:r w:rsidRPr="0023107B">
              <w:rPr>
                <w:rFonts w:ascii="Arial Narrow" w:hAnsi="Arial Narrow" w:cs="Times New Roman"/>
                <w:strike/>
                <w:sz w:val="20"/>
                <w:szCs w:val="20"/>
              </w:rPr>
              <w:t>Initiation</w:t>
            </w:r>
            <w:r w:rsidRPr="0023107B">
              <w:rPr>
                <w:rFonts w:ascii="Arial Narrow" w:hAnsi="Arial Narrow" w:cs="Times New Roman"/>
                <w:sz w:val="20"/>
                <w:szCs w:val="20"/>
              </w:rPr>
              <w:t xml:space="preserve"> </w:t>
            </w:r>
            <w:r w:rsidRPr="0023107B">
              <w:rPr>
                <w:rFonts w:ascii="Arial Narrow" w:hAnsi="Arial Narrow" w:cs="Times New Roman"/>
                <w:i/>
                <w:iCs/>
                <w:sz w:val="20"/>
                <w:szCs w:val="20"/>
              </w:rPr>
              <w:t>Initial treatment</w:t>
            </w:r>
          </w:p>
        </w:tc>
      </w:tr>
      <w:tr w:rsidR="00EF2C32" w:rsidRPr="0023107B" w14:paraId="2AF01FC0" w14:textId="77777777" w:rsidTr="00EF2C32">
        <w:trPr>
          <w:cantSplit/>
          <w:trHeight w:val="20"/>
        </w:trPr>
        <w:tc>
          <w:tcPr>
            <w:tcW w:w="899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D52C22D" w14:textId="77777777" w:rsidR="00EF2C32" w:rsidRPr="0023107B" w:rsidRDefault="00EF2C32" w:rsidP="00B61BA5">
            <w:pPr>
              <w:jc w:val="left"/>
              <w:rPr>
                <w:rFonts w:ascii="Arial Narrow" w:hAnsi="Arial Narrow" w:cs="Times New Roman"/>
                <w:b/>
                <w:bCs/>
                <w:color w:val="333333"/>
                <w:sz w:val="20"/>
                <w:szCs w:val="20"/>
              </w:rPr>
            </w:pPr>
          </w:p>
        </w:tc>
      </w:tr>
      <w:tr w:rsidR="00EF2C32" w:rsidRPr="0023107B" w14:paraId="4D97CB3D" w14:textId="77777777" w:rsidTr="00EF2C32">
        <w:trPr>
          <w:cantSplit/>
          <w:trHeight w:val="20"/>
        </w:trPr>
        <w:tc>
          <w:tcPr>
            <w:tcW w:w="899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35922C5" w14:textId="77777777" w:rsidR="00EF2C32" w:rsidRPr="0023107B" w:rsidRDefault="00EF2C32" w:rsidP="00B61BA5">
            <w:pPr>
              <w:jc w:val="left"/>
              <w:rPr>
                <w:rFonts w:ascii="Arial Narrow" w:hAnsi="Arial Narrow" w:cs="Times New Roman"/>
                <w:sz w:val="20"/>
                <w:szCs w:val="20"/>
              </w:rPr>
            </w:pPr>
            <w:r w:rsidRPr="0023107B">
              <w:rPr>
                <w:rFonts w:ascii="Arial Narrow" w:hAnsi="Arial Narrow" w:cs="Times New Roman"/>
                <w:b/>
                <w:bCs/>
                <w:color w:val="333333"/>
                <w:sz w:val="20"/>
                <w:szCs w:val="20"/>
              </w:rPr>
              <w:t xml:space="preserve">Clinical criteria: </w:t>
            </w:r>
          </w:p>
        </w:tc>
      </w:tr>
      <w:tr w:rsidR="00EF2C32" w:rsidRPr="0023107B" w14:paraId="24A7AAE4" w14:textId="77777777" w:rsidTr="00EF2C32">
        <w:trPr>
          <w:cantSplit/>
          <w:trHeight w:val="20"/>
        </w:trPr>
        <w:tc>
          <w:tcPr>
            <w:tcW w:w="899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7E55982" w14:textId="77777777" w:rsidR="00EF2C32" w:rsidRPr="0023107B" w:rsidRDefault="00EF2C32" w:rsidP="00B61BA5">
            <w:pPr>
              <w:jc w:val="left"/>
              <w:rPr>
                <w:rFonts w:ascii="Arial Narrow" w:hAnsi="Arial Narrow" w:cs="Times New Roman"/>
                <w:sz w:val="20"/>
                <w:szCs w:val="20"/>
              </w:rPr>
            </w:pPr>
            <w:r w:rsidRPr="0023107B">
              <w:rPr>
                <w:rFonts w:ascii="Arial Narrow" w:hAnsi="Arial Narrow"/>
                <w:sz w:val="20"/>
                <w:szCs w:val="20"/>
              </w:rPr>
              <w:t>The treatment must be in combination with dietary therapy and exercise</w:t>
            </w:r>
          </w:p>
        </w:tc>
      </w:tr>
      <w:tr w:rsidR="00EF2C32" w:rsidRPr="0023107B" w14:paraId="269B482A" w14:textId="77777777" w:rsidTr="00EF2C32">
        <w:trPr>
          <w:cantSplit/>
          <w:trHeight w:val="20"/>
        </w:trPr>
        <w:tc>
          <w:tcPr>
            <w:tcW w:w="899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ABD2E04" w14:textId="77777777" w:rsidR="00EF2C32" w:rsidRPr="0023107B" w:rsidRDefault="00EF2C32" w:rsidP="00B61BA5">
            <w:pPr>
              <w:jc w:val="left"/>
              <w:rPr>
                <w:rFonts w:ascii="Arial Narrow" w:hAnsi="Arial Narrow" w:cs="Times New Roman"/>
                <w:color w:val="333333"/>
                <w:sz w:val="20"/>
                <w:szCs w:val="20"/>
              </w:rPr>
            </w:pPr>
            <w:r w:rsidRPr="0023107B">
              <w:rPr>
                <w:rFonts w:ascii="Arial Narrow" w:hAnsi="Arial Narrow" w:cs="Times New Roman"/>
                <w:b/>
                <w:bCs/>
                <w:color w:val="333333"/>
                <w:sz w:val="20"/>
                <w:szCs w:val="20"/>
              </w:rPr>
              <w:t>AND</w:t>
            </w:r>
          </w:p>
        </w:tc>
      </w:tr>
      <w:tr w:rsidR="00EF2C32" w:rsidRPr="0023107B" w14:paraId="2B19B59B" w14:textId="77777777" w:rsidTr="00EF2C32">
        <w:trPr>
          <w:cantSplit/>
          <w:trHeight w:val="20"/>
        </w:trPr>
        <w:tc>
          <w:tcPr>
            <w:tcW w:w="899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26BC2B6" w14:textId="77777777" w:rsidR="00EF2C32" w:rsidRPr="0023107B" w:rsidRDefault="00EF2C32" w:rsidP="00B61BA5">
            <w:pPr>
              <w:jc w:val="left"/>
              <w:rPr>
                <w:rFonts w:ascii="Arial Narrow" w:hAnsi="Arial Narrow" w:cs="Times New Roman"/>
                <w:color w:val="333333"/>
                <w:sz w:val="20"/>
                <w:szCs w:val="20"/>
              </w:rPr>
            </w:pPr>
            <w:r w:rsidRPr="0023107B">
              <w:rPr>
                <w:rFonts w:ascii="Arial Narrow" w:hAnsi="Arial Narrow" w:cs="Times New Roman"/>
                <w:b/>
                <w:bCs/>
                <w:color w:val="333333"/>
                <w:sz w:val="20"/>
                <w:szCs w:val="20"/>
              </w:rPr>
              <w:t>Clinical criteria:</w:t>
            </w:r>
          </w:p>
        </w:tc>
      </w:tr>
      <w:tr w:rsidR="00EF2C32" w:rsidRPr="0023107B" w14:paraId="4FE34035" w14:textId="77777777" w:rsidTr="00EF2C32">
        <w:trPr>
          <w:cantSplit/>
          <w:trHeight w:val="20"/>
        </w:trPr>
        <w:tc>
          <w:tcPr>
            <w:tcW w:w="899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DE1F0E5" w14:textId="77777777" w:rsidR="00EF2C32" w:rsidRPr="0023107B" w:rsidRDefault="00EF2C32" w:rsidP="00B61BA5">
            <w:pPr>
              <w:jc w:val="left"/>
              <w:rPr>
                <w:rFonts w:ascii="Arial Narrow" w:hAnsi="Arial Narrow" w:cs="Times New Roman"/>
                <w:color w:val="FF0000"/>
                <w:sz w:val="20"/>
                <w:szCs w:val="20"/>
              </w:rPr>
            </w:pPr>
            <w:r w:rsidRPr="0023107B">
              <w:rPr>
                <w:rFonts w:ascii="Arial Narrow" w:hAnsi="Arial Narrow" w:cs="Times New Roman"/>
                <w:sz w:val="20"/>
                <w:szCs w:val="20"/>
              </w:rPr>
              <w:t xml:space="preserve">Patient must have </w:t>
            </w:r>
            <w:r w:rsidRPr="0023107B">
              <w:rPr>
                <w:rFonts w:ascii="Arial Narrow" w:hAnsi="Arial Narrow" w:cs="Times New Roman"/>
                <w:i/>
                <w:iCs/>
                <w:sz w:val="20"/>
                <w:szCs w:val="20"/>
              </w:rPr>
              <w:t>at least one of</w:t>
            </w:r>
            <w:r w:rsidRPr="0023107B">
              <w:rPr>
                <w:rFonts w:ascii="Arial Narrow" w:hAnsi="Arial Narrow" w:cs="Times New Roman"/>
                <w:sz w:val="20"/>
                <w:szCs w:val="20"/>
              </w:rPr>
              <w:t xml:space="preserve"> </w:t>
            </w:r>
            <w:r w:rsidRPr="0023107B">
              <w:rPr>
                <w:rFonts w:ascii="Arial Narrow" w:hAnsi="Arial Narrow" w:cs="Times New Roman"/>
                <w:i/>
                <w:iCs/>
                <w:sz w:val="20"/>
                <w:szCs w:val="20"/>
              </w:rPr>
              <w:t>(i)</w:t>
            </w:r>
            <w:r w:rsidRPr="0023107B">
              <w:rPr>
                <w:rFonts w:ascii="Arial Narrow" w:hAnsi="Arial Narrow" w:cs="Times New Roman"/>
                <w:sz w:val="20"/>
                <w:szCs w:val="20"/>
              </w:rPr>
              <w:t xml:space="preserve"> coronary heart disease, </w:t>
            </w:r>
            <w:r w:rsidRPr="0023107B">
              <w:rPr>
                <w:rFonts w:ascii="Arial Narrow" w:hAnsi="Arial Narrow" w:cs="Times New Roman"/>
                <w:strike/>
                <w:sz w:val="20"/>
                <w:szCs w:val="20"/>
              </w:rPr>
              <w:t>AND/OR</w:t>
            </w:r>
            <w:r w:rsidRPr="0023107B">
              <w:rPr>
                <w:rFonts w:ascii="Arial Narrow" w:hAnsi="Arial Narrow" w:cs="Times New Roman"/>
                <w:sz w:val="20"/>
                <w:szCs w:val="20"/>
              </w:rPr>
              <w:t xml:space="preserve"> </w:t>
            </w:r>
            <w:r w:rsidRPr="0023107B">
              <w:rPr>
                <w:rFonts w:ascii="Arial Narrow" w:hAnsi="Arial Narrow" w:cs="Times New Roman"/>
                <w:i/>
                <w:iCs/>
                <w:sz w:val="20"/>
                <w:szCs w:val="20"/>
              </w:rPr>
              <w:t>(ii)</w:t>
            </w:r>
            <w:r w:rsidRPr="0023107B">
              <w:rPr>
                <w:rFonts w:ascii="Arial Narrow" w:hAnsi="Arial Narrow" w:cs="Times New Roman"/>
                <w:sz w:val="20"/>
                <w:szCs w:val="20"/>
              </w:rPr>
              <w:t xml:space="preserve"> cerebrovascular disease, </w:t>
            </w:r>
            <w:r w:rsidRPr="0023107B">
              <w:rPr>
                <w:rFonts w:ascii="Arial Narrow" w:hAnsi="Arial Narrow" w:cs="Times New Roman"/>
                <w:strike/>
                <w:sz w:val="20"/>
                <w:szCs w:val="20"/>
              </w:rPr>
              <w:t>AND/OR</w:t>
            </w:r>
            <w:r w:rsidRPr="0023107B">
              <w:rPr>
                <w:rFonts w:ascii="Arial Narrow" w:hAnsi="Arial Narrow" w:cs="Times New Roman"/>
                <w:sz w:val="20"/>
                <w:szCs w:val="20"/>
              </w:rPr>
              <w:t xml:space="preserve"> </w:t>
            </w:r>
            <w:r w:rsidRPr="0023107B">
              <w:rPr>
                <w:rFonts w:ascii="Arial Narrow" w:hAnsi="Arial Narrow" w:cs="Times New Roman"/>
                <w:i/>
                <w:iCs/>
                <w:sz w:val="20"/>
                <w:szCs w:val="20"/>
              </w:rPr>
              <w:t>(iii)</w:t>
            </w:r>
            <w:r w:rsidRPr="0023107B">
              <w:rPr>
                <w:rFonts w:ascii="Arial Narrow" w:hAnsi="Arial Narrow" w:cs="Times New Roman"/>
                <w:sz w:val="20"/>
                <w:szCs w:val="20"/>
              </w:rPr>
              <w:t xml:space="preserve"> peripheral vascular disease</w:t>
            </w:r>
          </w:p>
        </w:tc>
      </w:tr>
      <w:tr w:rsidR="00EF2C32" w:rsidRPr="0023107B" w14:paraId="4F9C1A2A" w14:textId="77777777" w:rsidTr="00EF2C32">
        <w:trPr>
          <w:cantSplit/>
          <w:trHeight w:val="20"/>
        </w:trPr>
        <w:tc>
          <w:tcPr>
            <w:tcW w:w="899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60BD94C" w14:textId="77777777" w:rsidR="00EF2C32" w:rsidRPr="0023107B" w:rsidRDefault="00EF2C32" w:rsidP="00B61BA5">
            <w:pPr>
              <w:jc w:val="left"/>
              <w:rPr>
                <w:rFonts w:ascii="Arial Narrow" w:hAnsi="Arial Narrow" w:cs="Times New Roman"/>
                <w:color w:val="333333"/>
                <w:sz w:val="20"/>
                <w:szCs w:val="20"/>
              </w:rPr>
            </w:pPr>
            <w:r w:rsidRPr="0023107B">
              <w:rPr>
                <w:rFonts w:ascii="Arial Narrow" w:hAnsi="Arial Narrow" w:cs="Times New Roman"/>
                <w:b/>
                <w:bCs/>
                <w:color w:val="333333"/>
                <w:sz w:val="20"/>
                <w:szCs w:val="20"/>
              </w:rPr>
              <w:t>AND</w:t>
            </w:r>
          </w:p>
        </w:tc>
      </w:tr>
      <w:tr w:rsidR="00EF2C32" w:rsidRPr="0023107B" w14:paraId="3F20B4BB" w14:textId="77777777" w:rsidTr="00EF2C32">
        <w:trPr>
          <w:cantSplit/>
          <w:trHeight w:val="20"/>
        </w:trPr>
        <w:tc>
          <w:tcPr>
            <w:tcW w:w="899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21F8AE7" w14:textId="77777777" w:rsidR="00EF2C32" w:rsidRPr="004671F3" w:rsidRDefault="00EF2C32" w:rsidP="00B61BA5">
            <w:pPr>
              <w:jc w:val="left"/>
              <w:rPr>
                <w:rFonts w:ascii="Arial Narrow" w:hAnsi="Arial Narrow" w:cs="Times New Roman"/>
                <w:b/>
                <w:bCs/>
                <w:sz w:val="20"/>
                <w:szCs w:val="20"/>
              </w:rPr>
            </w:pPr>
            <w:r w:rsidRPr="004671F3">
              <w:rPr>
                <w:rFonts w:ascii="Arial Narrow" w:hAnsi="Arial Narrow" w:cs="Times New Roman"/>
                <w:b/>
                <w:bCs/>
                <w:sz w:val="20"/>
                <w:szCs w:val="20"/>
              </w:rPr>
              <w:t>Clinical criteria</w:t>
            </w:r>
          </w:p>
        </w:tc>
      </w:tr>
      <w:tr w:rsidR="00EF2C32" w:rsidRPr="0023107B" w14:paraId="6E6CFF46" w14:textId="77777777" w:rsidTr="00EF2C32">
        <w:trPr>
          <w:cantSplit/>
          <w:trHeight w:val="20"/>
        </w:trPr>
        <w:tc>
          <w:tcPr>
            <w:tcW w:w="899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CB748B5" w14:textId="0FC846E1" w:rsidR="00EF2C32" w:rsidRPr="004671F3" w:rsidRDefault="00EF2C32" w:rsidP="00B61BA5">
            <w:pPr>
              <w:jc w:val="left"/>
              <w:rPr>
                <w:rFonts w:ascii="Arial Narrow" w:hAnsi="Arial Narrow" w:cs="Times New Roman"/>
                <w:b/>
                <w:bCs/>
                <w:sz w:val="20"/>
                <w:szCs w:val="20"/>
              </w:rPr>
            </w:pPr>
            <w:r w:rsidRPr="004671F3">
              <w:rPr>
                <w:rFonts w:ascii="Arial Narrow" w:hAnsi="Arial Narrow" w:cs="Times New Roman"/>
                <w:strike/>
                <w:sz w:val="20"/>
                <w:szCs w:val="20"/>
              </w:rPr>
              <w:t>Treatment must be co-administered</w:t>
            </w:r>
            <w:r w:rsidRPr="004671F3">
              <w:rPr>
                <w:rFonts w:ascii="Arial Narrow" w:hAnsi="Arial Narrow" w:cs="Times New Roman"/>
                <w:sz w:val="20"/>
                <w:szCs w:val="20"/>
              </w:rPr>
              <w:t xml:space="preserve"> </w:t>
            </w:r>
            <w:r w:rsidRPr="004671F3">
              <w:rPr>
                <w:rFonts w:ascii="Arial Narrow" w:hAnsi="Arial Narrow" w:cs="Times New Roman"/>
                <w:i/>
                <w:iCs/>
                <w:sz w:val="20"/>
                <w:szCs w:val="20"/>
              </w:rPr>
              <w:t xml:space="preserve">Patient must be treated </w:t>
            </w:r>
            <w:r w:rsidRPr="004671F3">
              <w:rPr>
                <w:rFonts w:ascii="Arial Narrow" w:hAnsi="Arial Narrow" w:cs="Times New Roman"/>
                <w:sz w:val="20"/>
                <w:szCs w:val="20"/>
              </w:rPr>
              <w:t xml:space="preserve">with </w:t>
            </w:r>
            <w:r w:rsidRPr="004671F3">
              <w:rPr>
                <w:rFonts w:ascii="Arial Narrow" w:hAnsi="Arial Narrow" w:cs="Times New Roman"/>
                <w:strike/>
                <w:sz w:val="20"/>
                <w:szCs w:val="20"/>
              </w:rPr>
              <w:t>the maximum tolerated</w:t>
            </w:r>
            <w:r w:rsidRPr="004671F3">
              <w:rPr>
                <w:rFonts w:ascii="Arial Narrow" w:hAnsi="Arial Narrow" w:cs="Times New Roman"/>
                <w:sz w:val="20"/>
                <w:szCs w:val="20"/>
              </w:rPr>
              <w:t xml:space="preserve"> </w:t>
            </w:r>
            <w:r w:rsidR="006C02E7" w:rsidRPr="004671F3">
              <w:rPr>
                <w:rFonts w:ascii="Arial Narrow" w:hAnsi="Arial Narrow" w:cs="Times New Roman"/>
                <w:i/>
                <w:iCs/>
                <w:sz w:val="20"/>
                <w:szCs w:val="20"/>
              </w:rPr>
              <w:t xml:space="preserve">a stable </w:t>
            </w:r>
            <w:r w:rsidRPr="004671F3">
              <w:rPr>
                <w:rFonts w:ascii="Arial Narrow" w:hAnsi="Arial Narrow" w:cs="Times New Roman"/>
                <w:sz w:val="20"/>
                <w:szCs w:val="20"/>
              </w:rPr>
              <w:t>dose of a HMG CoA reductase inhibitor (statin)</w:t>
            </w:r>
            <w:r w:rsidRPr="004671F3">
              <w:rPr>
                <w:rFonts w:ascii="Arial Narrow" w:hAnsi="Arial Narrow" w:cs="Times New Roman"/>
                <w:i/>
                <w:iCs/>
                <w:sz w:val="20"/>
                <w:szCs w:val="20"/>
              </w:rPr>
              <w:t xml:space="preserve"> to achieve target secondary prevention LDL-c levels for at least 12 consecutive weeks,</w:t>
            </w:r>
            <w:r w:rsidRPr="004671F3">
              <w:rPr>
                <w:rFonts w:ascii="Arial Narrow" w:hAnsi="Arial Narrow" w:cs="Times New Roman"/>
                <w:sz w:val="20"/>
                <w:szCs w:val="20"/>
              </w:rPr>
              <w:t xml:space="preserve"> </w:t>
            </w:r>
            <w:r w:rsidRPr="004671F3">
              <w:rPr>
                <w:rFonts w:ascii="Arial Narrow" w:hAnsi="Arial Narrow" w:cs="Times New Roman"/>
                <w:i/>
                <w:iCs/>
                <w:sz w:val="20"/>
                <w:szCs w:val="20"/>
              </w:rPr>
              <w:t>OR</w:t>
            </w:r>
          </w:p>
        </w:tc>
      </w:tr>
      <w:tr w:rsidR="00EF2C32" w:rsidRPr="0023107B" w14:paraId="2A4E26B4" w14:textId="77777777" w:rsidTr="00EF2C32">
        <w:trPr>
          <w:cantSplit/>
          <w:trHeight w:val="20"/>
        </w:trPr>
        <w:tc>
          <w:tcPr>
            <w:tcW w:w="899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9BFB34B" w14:textId="77777777" w:rsidR="00EF2C32" w:rsidRPr="004671F3" w:rsidRDefault="00EF2C32" w:rsidP="00B61BA5">
            <w:pPr>
              <w:jc w:val="left"/>
              <w:rPr>
                <w:rFonts w:ascii="Arial Narrow" w:hAnsi="Arial Narrow" w:cs="Times New Roman"/>
                <w:i/>
                <w:iCs/>
                <w:sz w:val="20"/>
                <w:szCs w:val="20"/>
              </w:rPr>
            </w:pPr>
            <w:r w:rsidRPr="004671F3">
              <w:rPr>
                <w:rFonts w:ascii="Arial Narrow" w:hAnsi="Arial Narrow" w:cs="Times New Roman"/>
                <w:i/>
                <w:iCs/>
                <w:sz w:val="20"/>
                <w:szCs w:val="20"/>
              </w:rPr>
              <w:t>Patient must have developed clinically important product-related adverse events necessitating withdrawal of statin treatment; OR</w:t>
            </w:r>
          </w:p>
        </w:tc>
      </w:tr>
      <w:tr w:rsidR="00EF2C32" w:rsidRPr="0023107B" w14:paraId="009F095A" w14:textId="77777777" w:rsidTr="00EF2C32">
        <w:trPr>
          <w:cantSplit/>
          <w:trHeight w:val="20"/>
        </w:trPr>
        <w:tc>
          <w:tcPr>
            <w:tcW w:w="899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36BFB93" w14:textId="77777777" w:rsidR="00EF2C32" w:rsidRPr="004671F3" w:rsidRDefault="00EF2C32" w:rsidP="00B61BA5">
            <w:pPr>
              <w:jc w:val="left"/>
              <w:rPr>
                <w:rFonts w:ascii="Arial Narrow" w:hAnsi="Arial Narrow" w:cs="Times New Roman"/>
                <w:i/>
                <w:iCs/>
                <w:sz w:val="20"/>
                <w:szCs w:val="20"/>
              </w:rPr>
            </w:pPr>
            <w:r w:rsidRPr="004671F3">
              <w:rPr>
                <w:rFonts w:ascii="Arial Narrow" w:hAnsi="Arial Narrow" w:cs="Times New Roman"/>
                <w:i/>
                <w:iCs/>
                <w:sz w:val="20"/>
                <w:szCs w:val="20"/>
              </w:rPr>
              <w:t>Patient must be contraindicated to treatment with a HMG CoA reductase inhibitor (statin) as defined in the TGA-approved Product Information</w:t>
            </w:r>
          </w:p>
        </w:tc>
      </w:tr>
      <w:tr w:rsidR="00EF2C32" w:rsidRPr="0023107B" w14:paraId="39A635C5" w14:textId="77777777" w:rsidTr="00EF2C32">
        <w:trPr>
          <w:cantSplit/>
          <w:trHeight w:val="20"/>
        </w:trPr>
        <w:tc>
          <w:tcPr>
            <w:tcW w:w="899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4AA059C" w14:textId="77777777" w:rsidR="00EF2C32" w:rsidRPr="004671F3" w:rsidRDefault="00EF2C32" w:rsidP="00B61BA5">
            <w:pPr>
              <w:jc w:val="left"/>
              <w:rPr>
                <w:rFonts w:ascii="Arial Narrow" w:hAnsi="Arial Narrow" w:cs="Times New Roman"/>
                <w:i/>
                <w:iCs/>
                <w:sz w:val="20"/>
                <w:szCs w:val="20"/>
              </w:rPr>
            </w:pPr>
            <w:r w:rsidRPr="004671F3">
              <w:rPr>
                <w:rFonts w:ascii="Arial Narrow" w:hAnsi="Arial Narrow" w:cs="Times New Roman"/>
                <w:i/>
                <w:iCs/>
                <w:sz w:val="20"/>
                <w:szCs w:val="20"/>
              </w:rPr>
              <w:t>AND</w:t>
            </w:r>
          </w:p>
        </w:tc>
      </w:tr>
      <w:tr w:rsidR="00EF2C32" w:rsidRPr="0023107B" w14:paraId="02C9E96A" w14:textId="77777777" w:rsidTr="00EF2C32">
        <w:trPr>
          <w:cantSplit/>
          <w:trHeight w:val="20"/>
        </w:trPr>
        <w:tc>
          <w:tcPr>
            <w:tcW w:w="899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89477EF" w14:textId="77777777" w:rsidR="00EF2C32" w:rsidRPr="004671F3" w:rsidRDefault="00EF2C32" w:rsidP="00B61BA5">
            <w:pPr>
              <w:jc w:val="left"/>
              <w:rPr>
                <w:rFonts w:ascii="Arial Narrow" w:hAnsi="Arial Narrow" w:cs="Times New Roman"/>
                <w:sz w:val="20"/>
                <w:szCs w:val="20"/>
              </w:rPr>
            </w:pPr>
            <w:r w:rsidRPr="004671F3">
              <w:rPr>
                <w:rFonts w:ascii="Arial Narrow" w:hAnsi="Arial Narrow" w:cs="Times New Roman"/>
                <w:b/>
                <w:bCs/>
                <w:sz w:val="20"/>
                <w:szCs w:val="20"/>
              </w:rPr>
              <w:t>Clinical criteria:</w:t>
            </w:r>
          </w:p>
        </w:tc>
      </w:tr>
      <w:tr w:rsidR="00EF2C32" w:rsidRPr="0023107B" w14:paraId="07914911" w14:textId="77777777" w:rsidTr="00EF2C32">
        <w:trPr>
          <w:cantSplit/>
          <w:trHeight w:val="20"/>
        </w:trPr>
        <w:tc>
          <w:tcPr>
            <w:tcW w:w="899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A7F0FE3" w14:textId="77777777" w:rsidR="00EF2C32" w:rsidRPr="004671F3" w:rsidRDefault="00EF2C32" w:rsidP="00B61BA5">
            <w:pPr>
              <w:jc w:val="left"/>
              <w:rPr>
                <w:rFonts w:ascii="Arial Narrow" w:hAnsi="Arial Narrow" w:cs="Times New Roman"/>
                <w:sz w:val="20"/>
                <w:szCs w:val="20"/>
              </w:rPr>
            </w:pPr>
            <w:r w:rsidRPr="004671F3">
              <w:rPr>
                <w:rFonts w:ascii="Arial Narrow" w:hAnsi="Arial Narrow" w:cs="Times New Roman"/>
                <w:sz w:val="20"/>
                <w:szCs w:val="20"/>
              </w:rPr>
              <w:t>Patient must have LDL cholesterol level</w:t>
            </w:r>
            <w:r w:rsidRPr="004671F3">
              <w:rPr>
                <w:rFonts w:ascii="Arial Narrow" w:hAnsi="Arial Narrow" w:cs="Times New Roman"/>
                <w:strike/>
                <w:sz w:val="20"/>
                <w:szCs w:val="20"/>
              </w:rPr>
              <w:t>s</w:t>
            </w:r>
            <w:r w:rsidRPr="004671F3">
              <w:rPr>
                <w:rFonts w:ascii="Arial Narrow" w:hAnsi="Arial Narrow" w:cs="Times New Roman"/>
                <w:sz w:val="20"/>
                <w:szCs w:val="20"/>
              </w:rPr>
              <w:t xml:space="preserve"> between 1.0 mmol/L and 2.6 mmol/L </w:t>
            </w:r>
          </w:p>
        </w:tc>
      </w:tr>
      <w:tr w:rsidR="00EF2C32" w:rsidRPr="0023107B" w14:paraId="44084BE5" w14:textId="77777777" w:rsidTr="00EF2C32">
        <w:trPr>
          <w:cantSplit/>
          <w:trHeight w:val="20"/>
        </w:trPr>
        <w:tc>
          <w:tcPr>
            <w:tcW w:w="899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CE47924" w14:textId="77777777" w:rsidR="00EF2C32" w:rsidRPr="004671F3" w:rsidRDefault="00EF2C32" w:rsidP="00B61BA5">
            <w:pPr>
              <w:jc w:val="left"/>
              <w:rPr>
                <w:rFonts w:ascii="Arial Narrow" w:eastAsia="Calibri" w:hAnsi="Arial Narrow" w:cs="Arial Narrow"/>
                <w:b/>
                <w:bCs/>
                <w:iCs/>
                <w:sz w:val="20"/>
                <w:szCs w:val="20"/>
                <w:lang w:eastAsia="en-US"/>
              </w:rPr>
            </w:pPr>
            <w:r w:rsidRPr="004671F3">
              <w:rPr>
                <w:rFonts w:ascii="Arial Narrow" w:eastAsia="Calibri" w:hAnsi="Arial Narrow" w:cs="Arial Narrow"/>
                <w:b/>
                <w:bCs/>
                <w:iCs/>
                <w:sz w:val="20"/>
                <w:szCs w:val="20"/>
                <w:lang w:eastAsia="en-US"/>
              </w:rPr>
              <w:t>AND</w:t>
            </w:r>
          </w:p>
        </w:tc>
      </w:tr>
      <w:tr w:rsidR="00EF2C32" w:rsidRPr="0023107B" w14:paraId="00FB1814" w14:textId="77777777" w:rsidTr="00EF2C32">
        <w:trPr>
          <w:cantSplit/>
          <w:trHeight w:val="20"/>
        </w:trPr>
        <w:tc>
          <w:tcPr>
            <w:tcW w:w="899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9F32C65" w14:textId="77777777" w:rsidR="00EF2C32" w:rsidRPr="004671F3" w:rsidRDefault="00EF2C32" w:rsidP="00B61BA5">
            <w:pPr>
              <w:jc w:val="left"/>
              <w:rPr>
                <w:rFonts w:ascii="Arial Narrow" w:eastAsia="Calibri" w:hAnsi="Arial Narrow" w:cs="Arial Narrow"/>
                <w:b/>
                <w:bCs/>
                <w:iCs/>
                <w:sz w:val="20"/>
                <w:szCs w:val="20"/>
                <w:lang w:eastAsia="en-US"/>
              </w:rPr>
            </w:pPr>
            <w:r w:rsidRPr="004671F3">
              <w:rPr>
                <w:rFonts w:ascii="Arial Narrow" w:eastAsia="Calibri" w:hAnsi="Arial Narrow" w:cs="Arial Narrow"/>
                <w:b/>
                <w:bCs/>
                <w:iCs/>
                <w:sz w:val="20"/>
                <w:szCs w:val="20"/>
                <w:lang w:eastAsia="en-US"/>
              </w:rPr>
              <w:t>Clinical criteria</w:t>
            </w:r>
          </w:p>
        </w:tc>
      </w:tr>
      <w:tr w:rsidR="00EF2C32" w:rsidRPr="0023107B" w14:paraId="11D64717" w14:textId="77777777" w:rsidTr="00EF2C32">
        <w:trPr>
          <w:cantSplit/>
          <w:trHeight w:val="20"/>
        </w:trPr>
        <w:tc>
          <w:tcPr>
            <w:tcW w:w="899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3A23BA0" w14:textId="77777777" w:rsidR="00EF2C32" w:rsidRPr="0023107B" w:rsidRDefault="00EF2C32" w:rsidP="00B61BA5">
            <w:pPr>
              <w:jc w:val="left"/>
              <w:rPr>
                <w:rFonts w:ascii="Arial Narrow" w:eastAsia="Calibri" w:hAnsi="Arial Narrow" w:cs="Arial Narrow"/>
                <w:iCs/>
                <w:sz w:val="20"/>
                <w:szCs w:val="20"/>
                <w:lang w:eastAsia="en-US"/>
              </w:rPr>
            </w:pPr>
            <w:r w:rsidRPr="0023107B">
              <w:rPr>
                <w:rFonts w:ascii="Arial Narrow" w:eastAsia="Calibri" w:hAnsi="Arial Narrow" w:cs="Arial Narrow"/>
                <w:iCs/>
                <w:sz w:val="20"/>
                <w:szCs w:val="20"/>
                <w:lang w:eastAsia="en-US"/>
              </w:rPr>
              <w:t xml:space="preserve">Patient must have </w:t>
            </w:r>
            <w:r w:rsidRPr="0023107B">
              <w:rPr>
                <w:rFonts w:ascii="Arial Narrow" w:eastAsia="Calibri" w:hAnsi="Arial Narrow" w:cs="Arial Narrow"/>
                <w:i/>
                <w:sz w:val="20"/>
                <w:szCs w:val="20"/>
                <w:lang w:eastAsia="en-US"/>
              </w:rPr>
              <w:t>fasting</w:t>
            </w:r>
            <w:r w:rsidRPr="0023107B">
              <w:rPr>
                <w:rFonts w:ascii="Arial Narrow" w:eastAsia="Calibri" w:hAnsi="Arial Narrow" w:cs="Arial Narrow"/>
                <w:iCs/>
                <w:sz w:val="20"/>
                <w:szCs w:val="20"/>
                <w:lang w:eastAsia="en-US"/>
              </w:rPr>
              <w:t xml:space="preserve"> triglyceride levels between </w:t>
            </w:r>
            <w:r w:rsidRPr="0023107B">
              <w:rPr>
                <w:rFonts w:ascii="Arial Narrow" w:eastAsia="Calibri" w:hAnsi="Arial Narrow" w:cs="Arial Narrow"/>
                <w:iCs/>
                <w:strike/>
                <w:sz w:val="20"/>
                <w:szCs w:val="20"/>
                <w:lang w:eastAsia="en-US"/>
              </w:rPr>
              <w:t>of</w:t>
            </w:r>
            <w:r w:rsidRPr="0023107B">
              <w:rPr>
                <w:rFonts w:ascii="Arial Narrow" w:eastAsia="Calibri" w:hAnsi="Arial Narrow" w:cs="Arial Narrow"/>
                <w:iCs/>
                <w:sz w:val="20"/>
                <w:szCs w:val="20"/>
                <w:lang w:eastAsia="en-US"/>
              </w:rPr>
              <w:t xml:space="preserve"> 1.7 mmol/L and 5.6 mmol/L</w:t>
            </w:r>
          </w:p>
        </w:tc>
      </w:tr>
      <w:tr w:rsidR="00EF2C32" w:rsidRPr="0023107B" w14:paraId="0EA7BD94" w14:textId="77777777" w:rsidTr="00EF2C32">
        <w:trPr>
          <w:trHeight w:val="20"/>
        </w:trPr>
        <w:tc>
          <w:tcPr>
            <w:tcW w:w="899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0E93BCC" w14:textId="77777777" w:rsidR="00EF2C32" w:rsidRPr="0023107B" w:rsidRDefault="00EF2C32" w:rsidP="00B61BA5">
            <w:pPr>
              <w:pStyle w:val="pf0"/>
              <w:spacing w:before="0" w:beforeAutospacing="0" w:after="0" w:afterAutospacing="0"/>
              <w:rPr>
                <w:rFonts w:ascii="Arial Narrow" w:hAnsi="Arial Narrow" w:cs="Arial"/>
                <w:i/>
                <w:iCs/>
                <w:sz w:val="20"/>
                <w:szCs w:val="20"/>
              </w:rPr>
            </w:pPr>
          </w:p>
        </w:tc>
      </w:tr>
      <w:tr w:rsidR="00EF2C32" w:rsidRPr="0023107B" w14:paraId="3945F998" w14:textId="77777777" w:rsidTr="00EF2C32">
        <w:trPr>
          <w:trHeight w:val="20"/>
        </w:trPr>
        <w:tc>
          <w:tcPr>
            <w:tcW w:w="899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2BFC308" w14:textId="77777777" w:rsidR="00EF2C32" w:rsidRPr="0023107B" w:rsidRDefault="00EF2C32" w:rsidP="00B61BA5">
            <w:pPr>
              <w:pStyle w:val="pf0"/>
              <w:spacing w:before="0" w:beforeAutospacing="0" w:after="0" w:afterAutospacing="0"/>
              <w:rPr>
                <w:rFonts w:ascii="Arial Narrow" w:hAnsi="Arial Narrow" w:cs="Arial"/>
                <w:b/>
                <w:bCs/>
                <w:i/>
                <w:iCs/>
                <w:sz w:val="20"/>
                <w:szCs w:val="20"/>
              </w:rPr>
            </w:pPr>
            <w:r w:rsidRPr="0023107B">
              <w:rPr>
                <w:rStyle w:val="cf01"/>
                <w:rFonts w:ascii="Arial Narrow" w:hAnsi="Arial Narrow"/>
                <w:b/>
                <w:bCs/>
                <w:i/>
                <w:iCs/>
                <w:sz w:val="20"/>
                <w:szCs w:val="20"/>
              </w:rPr>
              <w:t xml:space="preserve">Prescribing instructions: </w:t>
            </w:r>
          </w:p>
          <w:p w14:paraId="11A9C70D" w14:textId="00D69B0F" w:rsidR="00EF2C32" w:rsidRPr="0023107B" w:rsidRDefault="00EF2C32" w:rsidP="00B61BA5">
            <w:pPr>
              <w:pStyle w:val="pf0"/>
              <w:spacing w:before="0" w:beforeAutospacing="0" w:after="0" w:afterAutospacing="0"/>
              <w:rPr>
                <w:rFonts w:ascii="Arial Narrow" w:hAnsi="Arial Narrow" w:cs="Arial"/>
                <w:i/>
                <w:iCs/>
                <w:sz w:val="20"/>
                <w:szCs w:val="20"/>
              </w:rPr>
            </w:pPr>
            <w:r w:rsidRPr="0023107B">
              <w:rPr>
                <w:rStyle w:val="cf01"/>
                <w:rFonts w:ascii="Arial Narrow" w:hAnsi="Arial Narrow"/>
                <w:i/>
                <w:iCs/>
                <w:sz w:val="20"/>
                <w:szCs w:val="20"/>
              </w:rPr>
              <w:t xml:space="preserve">The qualifying </w:t>
            </w:r>
            <w:r w:rsidRPr="0023107B">
              <w:rPr>
                <w:rStyle w:val="cf01"/>
                <w:rFonts w:ascii="Arial Narrow" w:hAnsi="Arial Narrow"/>
                <w:sz w:val="20"/>
                <w:szCs w:val="20"/>
              </w:rPr>
              <w:t>fasting triglyceride level and</w:t>
            </w:r>
            <w:r w:rsidRPr="0023107B">
              <w:rPr>
                <w:rStyle w:val="cf01"/>
                <w:rFonts w:ascii="Arial Narrow" w:hAnsi="Arial Narrow"/>
                <w:i/>
                <w:iCs/>
                <w:sz w:val="20"/>
                <w:szCs w:val="20"/>
              </w:rPr>
              <w:t xml:space="preserve"> LDL cholesterol level following at least 12 consecutive weeks of combined treatment with a statin, dietary therapy and exercise should be documented in the patient's medical records and must be no more than 8 weeks old.</w:t>
            </w:r>
          </w:p>
        </w:tc>
      </w:tr>
      <w:tr w:rsidR="00EF2C32" w:rsidRPr="004C698A" w14:paraId="1C1241B6" w14:textId="77777777" w:rsidTr="00EF2C32">
        <w:trPr>
          <w:trHeight w:val="20"/>
        </w:trPr>
        <w:tc>
          <w:tcPr>
            <w:tcW w:w="899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A4528CA" w14:textId="77777777" w:rsidR="00EF2C32" w:rsidRPr="004C698A" w:rsidRDefault="00EF2C32" w:rsidP="00B61BA5">
            <w:pPr>
              <w:pStyle w:val="pf0"/>
              <w:spacing w:before="0" w:beforeAutospacing="0" w:after="0" w:afterAutospacing="0"/>
              <w:rPr>
                <w:rStyle w:val="cf01"/>
                <w:rFonts w:ascii="Arial Narrow" w:hAnsi="Arial Narrow"/>
                <w:b/>
                <w:bCs/>
                <w:i/>
                <w:iCs/>
                <w:sz w:val="20"/>
                <w:szCs w:val="20"/>
              </w:rPr>
            </w:pPr>
            <w:r w:rsidRPr="004C698A">
              <w:rPr>
                <w:rStyle w:val="cf01"/>
                <w:rFonts w:ascii="Arial Narrow" w:hAnsi="Arial Narrow"/>
                <w:b/>
                <w:bCs/>
                <w:i/>
                <w:iCs/>
                <w:sz w:val="20"/>
                <w:szCs w:val="20"/>
              </w:rPr>
              <w:t>Prescribing instructions:</w:t>
            </w:r>
          </w:p>
          <w:p w14:paraId="6C556215" w14:textId="77777777" w:rsidR="00EF2C32" w:rsidRPr="004C698A" w:rsidRDefault="00EF2C32" w:rsidP="00EF2C32">
            <w:pPr>
              <w:rPr>
                <w:rFonts w:ascii="Arial Narrow" w:hAnsi="Arial Narrow"/>
                <w:i/>
                <w:iCs/>
                <w:sz w:val="20"/>
                <w:szCs w:val="20"/>
              </w:rPr>
            </w:pPr>
            <w:r w:rsidRPr="004C698A">
              <w:rPr>
                <w:rFonts w:ascii="Arial Narrow" w:hAnsi="Arial Narrow"/>
                <w:i/>
                <w:iCs/>
                <w:sz w:val="20"/>
                <w:szCs w:val="20"/>
              </w:rPr>
              <w:t>A clinically important product-related adverse event is defined as follows:</w:t>
            </w:r>
          </w:p>
          <w:p w14:paraId="22A0AF59" w14:textId="77777777" w:rsidR="00EF2C32" w:rsidRPr="004C698A" w:rsidRDefault="00EF2C32" w:rsidP="00EF2C32">
            <w:pPr>
              <w:rPr>
                <w:rFonts w:ascii="Arial Narrow" w:hAnsi="Arial Narrow"/>
                <w:i/>
                <w:iCs/>
                <w:sz w:val="20"/>
                <w:szCs w:val="20"/>
              </w:rPr>
            </w:pPr>
            <w:r w:rsidRPr="004C698A">
              <w:rPr>
                <w:rFonts w:ascii="Arial Narrow" w:hAnsi="Arial Narrow"/>
                <w:i/>
                <w:iCs/>
                <w:sz w:val="20"/>
                <w:szCs w:val="20"/>
              </w:rPr>
              <w:t>(i) Severe myalgia (muscle symptoms without creatine kinase elevation) which is proven to be temporally associated with statin treatment; or</w:t>
            </w:r>
          </w:p>
          <w:p w14:paraId="0973BC95" w14:textId="77777777" w:rsidR="00EF2C32" w:rsidRPr="004C698A" w:rsidRDefault="00EF2C32" w:rsidP="00EF2C32">
            <w:pPr>
              <w:rPr>
                <w:rFonts w:ascii="Arial Narrow" w:hAnsi="Arial Narrow"/>
                <w:i/>
                <w:iCs/>
                <w:sz w:val="20"/>
                <w:szCs w:val="20"/>
              </w:rPr>
            </w:pPr>
            <w:r w:rsidRPr="004C698A">
              <w:rPr>
                <w:rFonts w:ascii="Arial Narrow" w:hAnsi="Arial Narrow"/>
                <w:i/>
                <w:iCs/>
                <w:sz w:val="20"/>
                <w:szCs w:val="20"/>
              </w:rPr>
              <w:lastRenderedPageBreak/>
              <w:t>(ii) Myositis (clinically important creatine kinase elevation, with or without muscle symptoms) demonstrated by results twice the upper limit of normal on a single reading or a rising pattern on consecutive measurements and which is unexplained by other causes; or</w:t>
            </w:r>
          </w:p>
          <w:p w14:paraId="37824809" w14:textId="5058C906" w:rsidR="00EF2C32" w:rsidRPr="004C698A" w:rsidRDefault="00EF2C32" w:rsidP="00EF2C32">
            <w:pPr>
              <w:rPr>
                <w:rStyle w:val="cf01"/>
                <w:rFonts w:ascii="Arial Narrow" w:hAnsi="Arial Narrow" w:cs="Arial"/>
                <w:i/>
                <w:iCs/>
                <w:sz w:val="20"/>
                <w:szCs w:val="20"/>
              </w:rPr>
            </w:pPr>
            <w:r w:rsidRPr="004C698A">
              <w:rPr>
                <w:rFonts w:ascii="Arial Narrow" w:hAnsi="Arial Narrow"/>
                <w:i/>
                <w:iCs/>
                <w:sz w:val="20"/>
                <w:szCs w:val="20"/>
              </w:rPr>
              <w:t>(iii) Unexplained, persistent elevations of serum transaminases (greater than 3 times the upper limit of normal) during treatment with a statin.</w:t>
            </w:r>
          </w:p>
        </w:tc>
      </w:tr>
    </w:tbl>
    <w:p w14:paraId="4C850BB8" w14:textId="4185D5D2" w:rsidR="00EF2C32" w:rsidRPr="004C698A" w:rsidRDefault="00EF2C32" w:rsidP="009034EA"/>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5"/>
      </w:tblGrid>
      <w:tr w:rsidR="00EF2C32" w:rsidRPr="0023107B" w14:paraId="2192BF80" w14:textId="77777777" w:rsidTr="00EF2C32">
        <w:trPr>
          <w:trHeight w:val="20"/>
        </w:trPr>
        <w:tc>
          <w:tcPr>
            <w:tcW w:w="899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8F2B190" w14:textId="77777777" w:rsidR="00EF2C32" w:rsidRPr="004671F3" w:rsidRDefault="00EF2C32" w:rsidP="00B61BA5">
            <w:pPr>
              <w:keepLines/>
              <w:jc w:val="left"/>
              <w:rPr>
                <w:rFonts w:ascii="Arial Narrow" w:eastAsia="Calibri" w:hAnsi="Arial Narrow"/>
                <w:sz w:val="20"/>
                <w:szCs w:val="20"/>
                <w:lang w:eastAsia="en-US"/>
              </w:rPr>
            </w:pPr>
            <w:r w:rsidRPr="004C698A">
              <w:rPr>
                <w:rFonts w:ascii="Arial Narrow" w:eastAsia="Calibri" w:hAnsi="Arial Narrow"/>
                <w:b/>
                <w:sz w:val="20"/>
                <w:szCs w:val="20"/>
                <w:lang w:eastAsia="en-US"/>
              </w:rPr>
              <w:t xml:space="preserve">Category / Program: </w:t>
            </w:r>
            <w:r w:rsidRPr="004C698A">
              <w:rPr>
                <w:rFonts w:ascii="Arial Narrow" w:eastAsia="Calibri" w:hAnsi="Arial Narrow"/>
                <w:sz w:val="20"/>
                <w:szCs w:val="20"/>
                <w:lang w:eastAsia="en-US"/>
              </w:rPr>
              <w:t>GENERAL – General Schedule (Code GE)</w:t>
            </w:r>
            <w:r w:rsidRPr="004671F3">
              <w:rPr>
                <w:rFonts w:ascii="Arial Narrow" w:eastAsia="Calibri" w:hAnsi="Arial Narrow"/>
                <w:sz w:val="20"/>
                <w:szCs w:val="20"/>
                <w:lang w:eastAsia="en-US"/>
              </w:rPr>
              <w:t xml:space="preserve"> </w:t>
            </w:r>
          </w:p>
        </w:tc>
      </w:tr>
      <w:tr w:rsidR="00EF2C32" w:rsidRPr="0023107B" w14:paraId="74B0871F" w14:textId="77777777" w:rsidTr="00EF2C32">
        <w:trPr>
          <w:trHeight w:val="20"/>
        </w:trPr>
        <w:tc>
          <w:tcPr>
            <w:tcW w:w="899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7424727" w14:textId="53F87756" w:rsidR="00EF2C32" w:rsidRPr="004671F3" w:rsidRDefault="00EF2C32" w:rsidP="00B61BA5">
            <w:pPr>
              <w:keepLines/>
              <w:rPr>
                <w:rFonts w:ascii="Arial Narrow" w:eastAsia="Calibri" w:hAnsi="Arial Narrow"/>
                <w:b/>
                <w:sz w:val="20"/>
                <w:szCs w:val="20"/>
                <w:lang w:eastAsia="en-US"/>
              </w:rPr>
            </w:pPr>
            <w:r w:rsidRPr="004671F3">
              <w:rPr>
                <w:rFonts w:ascii="Arial Narrow" w:eastAsia="Calibri" w:hAnsi="Arial Narrow"/>
                <w:b/>
                <w:sz w:val="20"/>
                <w:szCs w:val="20"/>
                <w:lang w:eastAsia="en-US"/>
              </w:rPr>
              <w:t xml:space="preserve">Prescriber type: </w:t>
            </w:r>
            <w:r w:rsidRPr="004671F3">
              <w:fldChar w:fldCharType="begin" w:fldLock="1">
                <w:ffData>
                  <w:name w:val=""/>
                  <w:enabled/>
                  <w:calcOnExit w:val="0"/>
                  <w:checkBox>
                    <w:sizeAuto/>
                    <w:default w:val="1"/>
                  </w:checkBox>
                </w:ffData>
              </w:fldChar>
            </w:r>
            <w:r w:rsidRPr="004671F3">
              <w:rPr>
                <w:rFonts w:ascii="Arial Narrow" w:eastAsia="Calibri" w:hAnsi="Arial Narrow"/>
                <w:sz w:val="20"/>
                <w:szCs w:val="20"/>
                <w:lang w:eastAsia="en-US"/>
              </w:rPr>
              <w:instrText xml:space="preserve"> FORMCHECKBOX </w:instrText>
            </w:r>
            <w:r w:rsidR="008A76A6">
              <w:fldChar w:fldCharType="separate"/>
            </w:r>
            <w:r w:rsidRPr="004671F3">
              <w:fldChar w:fldCharType="end"/>
            </w:r>
            <w:r w:rsidRPr="004671F3">
              <w:rPr>
                <w:rFonts w:ascii="Arial Narrow" w:eastAsia="Calibri" w:hAnsi="Arial Narrow"/>
                <w:sz w:val="20"/>
                <w:szCs w:val="20"/>
                <w:lang w:eastAsia="en-US"/>
              </w:rPr>
              <w:t xml:space="preserve">Medical Practitioners </w:t>
            </w:r>
            <w:r w:rsidRPr="004671F3">
              <w:rPr>
                <w:rFonts w:ascii="Arial Narrow" w:hAnsi="Arial Narrow"/>
                <w:sz w:val="20"/>
                <w:szCs w:val="20"/>
              </w:rPr>
              <w:fldChar w:fldCharType="begin" w:fldLock="1">
                <w:ffData>
                  <w:name w:val="Check3"/>
                  <w:enabled/>
                  <w:calcOnExit w:val="0"/>
                  <w:checkBox>
                    <w:sizeAuto/>
                    <w:default w:val="0"/>
                  </w:checkBox>
                </w:ffData>
              </w:fldChar>
            </w:r>
            <w:r w:rsidRPr="004671F3">
              <w:rPr>
                <w:rFonts w:ascii="Arial Narrow" w:hAnsi="Arial Narrow"/>
                <w:sz w:val="20"/>
                <w:szCs w:val="20"/>
              </w:rPr>
              <w:instrText xml:space="preserve"> FORMCHECKBOX </w:instrText>
            </w:r>
            <w:r w:rsidR="008A76A6">
              <w:rPr>
                <w:rFonts w:ascii="Arial Narrow" w:hAnsi="Arial Narrow"/>
                <w:sz w:val="20"/>
                <w:szCs w:val="20"/>
              </w:rPr>
            </w:r>
            <w:r w:rsidR="008A76A6">
              <w:rPr>
                <w:rFonts w:ascii="Arial Narrow" w:hAnsi="Arial Narrow"/>
                <w:sz w:val="20"/>
                <w:szCs w:val="20"/>
              </w:rPr>
              <w:fldChar w:fldCharType="separate"/>
            </w:r>
            <w:r w:rsidRPr="004671F3">
              <w:rPr>
                <w:rFonts w:ascii="Arial Narrow" w:hAnsi="Arial Narrow"/>
                <w:sz w:val="20"/>
                <w:szCs w:val="20"/>
              </w:rPr>
              <w:fldChar w:fldCharType="end"/>
            </w:r>
            <w:r w:rsidRPr="004671F3">
              <w:rPr>
                <w:rFonts w:ascii="Arial Narrow" w:hAnsi="Arial Narrow"/>
                <w:sz w:val="20"/>
                <w:szCs w:val="20"/>
              </w:rPr>
              <w:t xml:space="preserve">Nurse practitioners </w:t>
            </w:r>
          </w:p>
        </w:tc>
      </w:tr>
      <w:tr w:rsidR="00EF2C32" w:rsidRPr="0023107B" w14:paraId="5D3067E2" w14:textId="77777777" w:rsidTr="00EF2C32">
        <w:trPr>
          <w:trHeight w:val="20"/>
        </w:trPr>
        <w:tc>
          <w:tcPr>
            <w:tcW w:w="899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65104C2" w14:textId="77777777" w:rsidR="00EF2C32" w:rsidRPr="004671F3" w:rsidRDefault="00EF2C32" w:rsidP="00B61BA5">
            <w:pPr>
              <w:keepLines/>
              <w:jc w:val="left"/>
              <w:rPr>
                <w:rFonts w:ascii="Arial Narrow" w:eastAsia="Calibri" w:hAnsi="Arial Narrow"/>
                <w:sz w:val="20"/>
                <w:szCs w:val="20"/>
                <w:lang w:eastAsia="en-US"/>
              </w:rPr>
            </w:pPr>
            <w:r w:rsidRPr="004671F3">
              <w:rPr>
                <w:rFonts w:ascii="Arial Narrow" w:eastAsia="Calibri" w:hAnsi="Arial Narrow"/>
                <w:b/>
                <w:sz w:val="20"/>
                <w:szCs w:val="20"/>
                <w:lang w:eastAsia="en-US"/>
              </w:rPr>
              <w:t xml:space="preserve">Restriction type: </w:t>
            </w:r>
            <w:r w:rsidRPr="004671F3">
              <w:rPr>
                <w:rFonts w:ascii="Arial Narrow" w:hAnsi="Arial Narrow"/>
                <w:sz w:val="20"/>
                <w:szCs w:val="20"/>
              </w:rPr>
              <w:fldChar w:fldCharType="begin" w:fldLock="1">
                <w:ffData>
                  <w:name w:val=""/>
                  <w:enabled/>
                  <w:calcOnExit w:val="0"/>
                  <w:checkBox>
                    <w:sizeAuto/>
                    <w:default w:val="1"/>
                  </w:checkBox>
                </w:ffData>
              </w:fldChar>
            </w:r>
            <w:r w:rsidRPr="004671F3">
              <w:rPr>
                <w:rFonts w:ascii="Arial Narrow" w:hAnsi="Arial Narrow"/>
                <w:sz w:val="20"/>
                <w:szCs w:val="20"/>
              </w:rPr>
              <w:instrText xml:space="preserve"> FORMCHECKBOX </w:instrText>
            </w:r>
            <w:r w:rsidR="008A76A6">
              <w:rPr>
                <w:rFonts w:ascii="Arial Narrow" w:hAnsi="Arial Narrow"/>
                <w:sz w:val="20"/>
                <w:szCs w:val="20"/>
              </w:rPr>
            </w:r>
            <w:r w:rsidR="008A76A6">
              <w:rPr>
                <w:rFonts w:ascii="Arial Narrow" w:hAnsi="Arial Narrow"/>
                <w:sz w:val="20"/>
                <w:szCs w:val="20"/>
              </w:rPr>
              <w:fldChar w:fldCharType="separate"/>
            </w:r>
            <w:r w:rsidRPr="004671F3">
              <w:rPr>
                <w:rFonts w:ascii="Arial Narrow" w:hAnsi="Arial Narrow"/>
                <w:sz w:val="20"/>
                <w:szCs w:val="20"/>
              </w:rPr>
              <w:fldChar w:fldCharType="end"/>
            </w:r>
            <w:r w:rsidRPr="004671F3">
              <w:rPr>
                <w:rFonts w:ascii="Arial Narrow" w:eastAsia="Calibri" w:hAnsi="Arial Narrow"/>
                <w:sz w:val="20"/>
                <w:szCs w:val="20"/>
                <w:lang w:eastAsia="en-US"/>
              </w:rPr>
              <w:t xml:space="preserve">Authority Required (STREAMLINED </w:t>
            </w:r>
          </w:p>
        </w:tc>
      </w:tr>
      <w:tr w:rsidR="00914F29" w:rsidRPr="0023107B" w14:paraId="2FD28C8F" w14:textId="77777777" w:rsidTr="00BF7214">
        <w:trPr>
          <w:cantSplit/>
          <w:trHeight w:val="20"/>
        </w:trPr>
        <w:tc>
          <w:tcPr>
            <w:tcW w:w="899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C2F5B69" w14:textId="77777777" w:rsidR="00914F29" w:rsidRPr="004671F3" w:rsidRDefault="00914F29" w:rsidP="00BF7214">
            <w:pPr>
              <w:jc w:val="left"/>
              <w:rPr>
                <w:rFonts w:ascii="Arial Narrow" w:hAnsi="Arial Narrow" w:cs="Times New Roman"/>
                <w:b/>
                <w:bCs/>
                <w:sz w:val="20"/>
                <w:szCs w:val="20"/>
              </w:rPr>
            </w:pPr>
            <w:r w:rsidRPr="004671F3">
              <w:rPr>
                <w:rFonts w:ascii="Arial Narrow" w:hAnsi="Arial Narrow" w:cs="Times New Roman"/>
                <w:b/>
                <w:bCs/>
                <w:strike/>
                <w:sz w:val="20"/>
                <w:szCs w:val="20"/>
              </w:rPr>
              <w:t>Condition</w:t>
            </w:r>
            <w:r w:rsidRPr="004671F3">
              <w:rPr>
                <w:rFonts w:ascii="Arial Narrow" w:hAnsi="Arial Narrow" w:cs="Times New Roman"/>
                <w:b/>
                <w:bCs/>
                <w:i/>
                <w:iCs/>
                <w:sz w:val="20"/>
                <w:szCs w:val="20"/>
              </w:rPr>
              <w:t xml:space="preserve"> Indication: </w:t>
            </w:r>
            <w:r w:rsidRPr="004671F3">
              <w:rPr>
                <w:rFonts w:ascii="Arial Narrow" w:hAnsi="Arial Narrow" w:cs="Times New Roman"/>
                <w:sz w:val="20"/>
                <w:szCs w:val="20"/>
              </w:rPr>
              <w:t>Established atherosclerotic cardiovascular disease with hypertriglyceridaemia</w:t>
            </w:r>
          </w:p>
        </w:tc>
      </w:tr>
      <w:tr w:rsidR="00EF2C32" w:rsidRPr="0023107B" w14:paraId="76E0203D" w14:textId="77777777" w:rsidTr="00EF2C32">
        <w:trPr>
          <w:cantSplit/>
          <w:trHeight w:val="20"/>
        </w:trPr>
        <w:tc>
          <w:tcPr>
            <w:tcW w:w="899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28B58F2" w14:textId="77777777" w:rsidR="00EF2C32" w:rsidRPr="004671F3" w:rsidRDefault="00EF2C32" w:rsidP="00B61BA5">
            <w:pPr>
              <w:jc w:val="left"/>
              <w:rPr>
                <w:rFonts w:ascii="Arial Narrow" w:hAnsi="Arial Narrow" w:cs="Times New Roman"/>
                <w:sz w:val="20"/>
                <w:szCs w:val="20"/>
              </w:rPr>
            </w:pPr>
            <w:r w:rsidRPr="004671F3">
              <w:rPr>
                <w:rFonts w:ascii="Arial Narrow" w:hAnsi="Arial Narrow" w:cs="Times New Roman"/>
                <w:b/>
                <w:bCs/>
                <w:sz w:val="20"/>
                <w:szCs w:val="20"/>
              </w:rPr>
              <w:t>Treatment Phase:</w:t>
            </w:r>
            <w:r w:rsidRPr="004671F3">
              <w:rPr>
                <w:rFonts w:ascii="Arial Narrow" w:hAnsi="Arial Narrow" w:cs="Times New Roman"/>
                <w:sz w:val="20"/>
                <w:szCs w:val="20"/>
              </w:rPr>
              <w:t xml:space="preserve"> </w:t>
            </w:r>
            <w:r w:rsidRPr="004671F3">
              <w:rPr>
                <w:rFonts w:ascii="Arial Narrow" w:hAnsi="Arial Narrow" w:cs="Times New Roman"/>
                <w:strike/>
                <w:sz w:val="20"/>
                <w:szCs w:val="20"/>
              </w:rPr>
              <w:t>Continuation</w:t>
            </w:r>
            <w:r w:rsidRPr="004671F3">
              <w:rPr>
                <w:rFonts w:ascii="Arial Narrow" w:hAnsi="Arial Narrow" w:cs="Times New Roman"/>
                <w:sz w:val="20"/>
                <w:szCs w:val="20"/>
              </w:rPr>
              <w:t xml:space="preserve"> </w:t>
            </w:r>
            <w:r w:rsidRPr="004671F3">
              <w:rPr>
                <w:rFonts w:ascii="Arial Narrow" w:hAnsi="Arial Narrow" w:cs="Times New Roman"/>
                <w:i/>
                <w:iCs/>
                <w:sz w:val="20"/>
                <w:szCs w:val="20"/>
              </w:rPr>
              <w:t>Continuing treatment</w:t>
            </w:r>
          </w:p>
        </w:tc>
      </w:tr>
      <w:tr w:rsidR="00EF2C32" w:rsidRPr="0023107B" w14:paraId="01610C81" w14:textId="77777777" w:rsidTr="00EF2C32">
        <w:trPr>
          <w:cantSplit/>
          <w:trHeight w:val="20"/>
        </w:trPr>
        <w:tc>
          <w:tcPr>
            <w:tcW w:w="899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A560740" w14:textId="77777777" w:rsidR="00EF2C32" w:rsidRPr="004671F3" w:rsidRDefault="00EF2C32" w:rsidP="00B61BA5">
            <w:pPr>
              <w:jc w:val="left"/>
              <w:rPr>
                <w:rFonts w:ascii="Arial Narrow" w:hAnsi="Arial Narrow" w:cs="Times New Roman"/>
                <w:b/>
                <w:bCs/>
                <w:sz w:val="20"/>
                <w:szCs w:val="20"/>
              </w:rPr>
            </w:pPr>
          </w:p>
        </w:tc>
      </w:tr>
      <w:tr w:rsidR="00EF2C32" w:rsidRPr="0023107B" w14:paraId="4F41C7F4" w14:textId="77777777" w:rsidTr="00EF2C32">
        <w:trPr>
          <w:cantSplit/>
          <w:trHeight w:val="20"/>
        </w:trPr>
        <w:tc>
          <w:tcPr>
            <w:tcW w:w="899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37D0BFD" w14:textId="77777777" w:rsidR="00EF2C32" w:rsidRPr="004671F3" w:rsidRDefault="00EF2C32" w:rsidP="00B61BA5">
            <w:pPr>
              <w:jc w:val="left"/>
              <w:rPr>
                <w:rFonts w:ascii="Arial Narrow" w:hAnsi="Arial Narrow" w:cs="Times New Roman"/>
                <w:sz w:val="20"/>
                <w:szCs w:val="20"/>
              </w:rPr>
            </w:pPr>
            <w:r w:rsidRPr="004671F3">
              <w:rPr>
                <w:rFonts w:ascii="Arial Narrow" w:hAnsi="Arial Narrow" w:cs="Times New Roman"/>
                <w:b/>
                <w:bCs/>
                <w:sz w:val="20"/>
                <w:szCs w:val="20"/>
              </w:rPr>
              <w:t xml:space="preserve">Clinical criteria: </w:t>
            </w:r>
          </w:p>
        </w:tc>
      </w:tr>
      <w:tr w:rsidR="00EF2C32" w:rsidRPr="0023107B" w14:paraId="64C607F4" w14:textId="77777777" w:rsidTr="00EF2C32">
        <w:trPr>
          <w:cantSplit/>
          <w:trHeight w:val="20"/>
        </w:trPr>
        <w:tc>
          <w:tcPr>
            <w:tcW w:w="899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72AECAB" w14:textId="77777777" w:rsidR="00EF2C32" w:rsidRPr="004671F3" w:rsidRDefault="00EF2C32" w:rsidP="00B61BA5">
            <w:pPr>
              <w:jc w:val="left"/>
              <w:rPr>
                <w:rFonts w:ascii="Arial Narrow" w:hAnsi="Arial Narrow" w:cs="Times New Roman"/>
                <w:sz w:val="20"/>
                <w:szCs w:val="20"/>
              </w:rPr>
            </w:pPr>
            <w:r w:rsidRPr="004671F3">
              <w:rPr>
                <w:rFonts w:ascii="Arial Narrow" w:hAnsi="Arial Narrow" w:cs="Times New Roman"/>
                <w:sz w:val="20"/>
                <w:szCs w:val="20"/>
              </w:rPr>
              <w:t>Patient must have previously received PBS-subsidised treatment with this drug for this condition</w:t>
            </w:r>
          </w:p>
        </w:tc>
      </w:tr>
      <w:tr w:rsidR="00EF2C32" w:rsidRPr="0023107B" w14:paraId="40EE1CE8" w14:textId="77777777" w:rsidTr="00EF2C32">
        <w:trPr>
          <w:cantSplit/>
          <w:trHeight w:val="20"/>
        </w:trPr>
        <w:tc>
          <w:tcPr>
            <w:tcW w:w="899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EF39027" w14:textId="77777777" w:rsidR="00EF2C32" w:rsidRPr="004671F3" w:rsidRDefault="00EF2C32" w:rsidP="00B61BA5">
            <w:pPr>
              <w:jc w:val="left"/>
              <w:rPr>
                <w:rFonts w:ascii="Arial Narrow" w:hAnsi="Arial Narrow" w:cs="Times New Roman"/>
                <w:sz w:val="20"/>
                <w:szCs w:val="20"/>
              </w:rPr>
            </w:pPr>
            <w:r w:rsidRPr="004671F3">
              <w:rPr>
                <w:rFonts w:ascii="Arial Narrow" w:hAnsi="Arial Narrow" w:cs="Times New Roman"/>
                <w:b/>
                <w:bCs/>
                <w:sz w:val="20"/>
                <w:szCs w:val="20"/>
              </w:rPr>
              <w:t>AND</w:t>
            </w:r>
          </w:p>
        </w:tc>
      </w:tr>
      <w:tr w:rsidR="00EF2C32" w:rsidRPr="0023107B" w14:paraId="6C0F4E6E" w14:textId="77777777" w:rsidTr="00EF2C32">
        <w:trPr>
          <w:cantSplit/>
          <w:trHeight w:val="20"/>
        </w:trPr>
        <w:tc>
          <w:tcPr>
            <w:tcW w:w="899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66C1931" w14:textId="77777777" w:rsidR="00EF2C32" w:rsidRPr="004671F3" w:rsidRDefault="00EF2C32" w:rsidP="00B61BA5">
            <w:pPr>
              <w:jc w:val="left"/>
              <w:rPr>
                <w:rFonts w:ascii="Arial Narrow" w:hAnsi="Arial Narrow" w:cs="Times New Roman"/>
                <w:sz w:val="20"/>
                <w:szCs w:val="20"/>
              </w:rPr>
            </w:pPr>
            <w:r w:rsidRPr="004671F3">
              <w:rPr>
                <w:rFonts w:ascii="Arial Narrow" w:hAnsi="Arial Narrow" w:cs="Times New Roman"/>
                <w:b/>
                <w:bCs/>
                <w:sz w:val="20"/>
                <w:szCs w:val="20"/>
              </w:rPr>
              <w:t>Clinical criteria:</w:t>
            </w:r>
          </w:p>
        </w:tc>
      </w:tr>
      <w:tr w:rsidR="00EF2C32" w:rsidRPr="0023107B" w14:paraId="21DC11A2" w14:textId="77777777" w:rsidTr="00EF2C32">
        <w:trPr>
          <w:cantSplit/>
          <w:trHeight w:val="20"/>
        </w:trPr>
        <w:tc>
          <w:tcPr>
            <w:tcW w:w="899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9F11C6C" w14:textId="77777777" w:rsidR="00EF2C32" w:rsidRPr="004671F3" w:rsidRDefault="00EF2C32" w:rsidP="00B61BA5">
            <w:pPr>
              <w:jc w:val="left"/>
              <w:rPr>
                <w:rFonts w:ascii="Arial Narrow" w:hAnsi="Arial Narrow" w:cs="Times New Roman"/>
                <w:sz w:val="20"/>
                <w:szCs w:val="20"/>
              </w:rPr>
            </w:pPr>
            <w:r w:rsidRPr="004671F3">
              <w:rPr>
                <w:rFonts w:ascii="Arial Narrow" w:hAnsi="Arial Narrow" w:cs="Times New Roman"/>
                <w:sz w:val="20"/>
                <w:szCs w:val="20"/>
              </w:rPr>
              <w:t>The treatment must be in combination with dietary therapy and exercise</w:t>
            </w:r>
          </w:p>
        </w:tc>
      </w:tr>
      <w:tr w:rsidR="00EF2C32" w:rsidRPr="0023107B" w14:paraId="1399ED11" w14:textId="77777777" w:rsidTr="00EF2C32">
        <w:trPr>
          <w:cantSplit/>
          <w:trHeight w:val="20"/>
        </w:trPr>
        <w:tc>
          <w:tcPr>
            <w:tcW w:w="899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6FC9982" w14:textId="77777777" w:rsidR="00EF2C32" w:rsidRPr="004671F3" w:rsidRDefault="00EF2C32" w:rsidP="00B61BA5">
            <w:pPr>
              <w:jc w:val="left"/>
              <w:rPr>
                <w:rFonts w:ascii="Arial Narrow" w:hAnsi="Arial Narrow" w:cs="Times New Roman"/>
                <w:b/>
                <w:bCs/>
                <w:strike/>
                <w:sz w:val="20"/>
                <w:szCs w:val="20"/>
              </w:rPr>
            </w:pPr>
            <w:r w:rsidRPr="004671F3">
              <w:rPr>
                <w:rFonts w:ascii="Arial Narrow" w:hAnsi="Arial Narrow" w:cs="Times New Roman"/>
                <w:b/>
                <w:bCs/>
                <w:strike/>
                <w:sz w:val="20"/>
                <w:szCs w:val="20"/>
              </w:rPr>
              <w:t>AND</w:t>
            </w:r>
          </w:p>
        </w:tc>
      </w:tr>
      <w:tr w:rsidR="00EF2C32" w:rsidRPr="0023107B" w14:paraId="32FB9E0B" w14:textId="77777777" w:rsidTr="00EF2C32">
        <w:trPr>
          <w:cantSplit/>
          <w:trHeight w:val="20"/>
        </w:trPr>
        <w:tc>
          <w:tcPr>
            <w:tcW w:w="899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E2B6CDA" w14:textId="77777777" w:rsidR="00EF2C32" w:rsidRPr="004671F3" w:rsidRDefault="00EF2C32" w:rsidP="00B61BA5">
            <w:pPr>
              <w:keepNext/>
              <w:jc w:val="left"/>
              <w:rPr>
                <w:rFonts w:ascii="Arial Narrow" w:hAnsi="Arial Narrow" w:cs="Times New Roman"/>
                <w:strike/>
                <w:sz w:val="20"/>
                <w:szCs w:val="20"/>
              </w:rPr>
            </w:pPr>
            <w:r w:rsidRPr="004671F3">
              <w:rPr>
                <w:rFonts w:ascii="Arial Narrow" w:hAnsi="Arial Narrow" w:cs="Times New Roman"/>
                <w:b/>
                <w:bCs/>
                <w:strike/>
                <w:sz w:val="20"/>
                <w:szCs w:val="20"/>
              </w:rPr>
              <w:t>Clinical criteria:</w:t>
            </w:r>
          </w:p>
        </w:tc>
      </w:tr>
      <w:tr w:rsidR="00EF2C32" w14:paraId="061BBA3D" w14:textId="77777777" w:rsidTr="00EF2C32">
        <w:trPr>
          <w:cantSplit/>
          <w:trHeight w:val="20"/>
        </w:trPr>
        <w:tc>
          <w:tcPr>
            <w:tcW w:w="899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3469700" w14:textId="77777777" w:rsidR="00EF2C32" w:rsidRPr="004671F3" w:rsidRDefault="00EF2C32" w:rsidP="00B61BA5">
            <w:pPr>
              <w:jc w:val="left"/>
              <w:rPr>
                <w:rFonts w:ascii="Arial Narrow" w:hAnsi="Arial Narrow" w:cs="Times New Roman"/>
                <w:strike/>
                <w:sz w:val="20"/>
                <w:szCs w:val="20"/>
              </w:rPr>
            </w:pPr>
            <w:r w:rsidRPr="004671F3">
              <w:rPr>
                <w:rFonts w:ascii="Arial Narrow" w:hAnsi="Arial Narrow" w:cs="Times New Roman"/>
                <w:strike/>
                <w:sz w:val="20"/>
                <w:szCs w:val="20"/>
              </w:rPr>
              <w:t>Treatment must be co-administered with the maximum tolerated dose of an HMG CoA reductase inhibitor (statin)</w:t>
            </w:r>
          </w:p>
        </w:tc>
      </w:tr>
    </w:tbl>
    <w:p w14:paraId="22BAEBD6" w14:textId="1D208CE7" w:rsidR="00046D64" w:rsidRPr="009C4AD1" w:rsidRDefault="000B3EA1" w:rsidP="000B3EA1">
      <w:pPr>
        <w:pStyle w:val="COMTablefooter"/>
        <w:rPr>
          <w:i/>
          <w:iCs/>
        </w:rPr>
      </w:pPr>
      <w:r w:rsidRPr="009C4AD1">
        <w:rPr>
          <w:i/>
          <w:iCs/>
        </w:rPr>
        <w:t xml:space="preserve">Note: The dispensed price for maximum quantity was updated during the evaluation to incorporate July 2023 fees and mark-ups (a DPMQ of </w:t>
      </w:r>
      <w:r w:rsidR="004671F3">
        <w:rPr>
          <w:i/>
          <w:iCs/>
        </w:rPr>
        <w:t>$</w:t>
      </w:r>
      <w:r w:rsidR="0036355B" w:rsidRPr="004671F3">
        <w:rPr>
          <w:i/>
          <w:iCs/>
          <w:color w:val="000000"/>
          <w:spacing w:val="28"/>
          <w:shd w:val="solid" w:color="000000" w:fill="000000"/>
          <w:fitText w:val="840" w:id="-1032112635"/>
          <w14:textFill>
            <w14:solidFill>
              <w14:srgbClr w14:val="000000">
                <w14:alpha w14:val="100000"/>
              </w14:srgbClr>
            </w14:solidFill>
          </w14:textFill>
        </w:rPr>
        <w:t>||||||</w:t>
      </w:r>
      <w:r w:rsidR="004671F3" w:rsidRPr="004671F3">
        <w:rPr>
          <w:i/>
          <w:iCs/>
          <w:color w:val="000000"/>
          <w:spacing w:val="28"/>
          <w:shd w:val="solid" w:color="000000" w:fill="000000"/>
          <w:fitText w:val="840" w:id="-1032112635"/>
          <w14:textFill>
            <w14:solidFill>
              <w14:srgbClr w14:val="000000">
                <w14:alpha w14:val="100000"/>
              </w14:srgbClr>
            </w14:solidFill>
          </w14:textFill>
        </w:rPr>
        <w:t xml:space="preserve"> </w:t>
      </w:r>
      <w:r w:rsidR="0036355B" w:rsidRPr="004671F3">
        <w:rPr>
          <w:i/>
          <w:iCs/>
          <w:color w:val="000000"/>
          <w:spacing w:val="28"/>
          <w:shd w:val="solid" w:color="000000" w:fill="000000"/>
          <w:fitText w:val="840" w:id="-1032112635"/>
          <w14:textFill>
            <w14:solidFill>
              <w14:srgbClr w14:val="000000">
                <w14:alpha w14:val="100000"/>
              </w14:srgbClr>
            </w14:solidFill>
          </w14:textFill>
        </w:rPr>
        <w:t>|||||</w:t>
      </w:r>
      <w:r w:rsidR="0036355B" w:rsidRPr="004671F3">
        <w:rPr>
          <w:i/>
          <w:iCs/>
          <w:color w:val="000000"/>
          <w:spacing w:val="4"/>
          <w:shd w:val="solid" w:color="000000" w:fill="000000"/>
          <w:fitText w:val="840" w:id="-1032112635"/>
          <w14:textFill>
            <w14:solidFill>
              <w14:srgbClr w14:val="000000">
                <w14:alpha w14:val="100000"/>
              </w14:srgbClr>
            </w14:solidFill>
          </w14:textFill>
        </w:rPr>
        <w:t>|</w:t>
      </w:r>
      <w:r w:rsidRPr="009C4AD1">
        <w:rPr>
          <w:i/>
          <w:iCs/>
        </w:rPr>
        <w:t xml:space="preserve"> was used in the submission)</w:t>
      </w:r>
    </w:p>
    <w:p w14:paraId="066A5A12" w14:textId="52FFFE8E" w:rsidR="003C21C4" w:rsidRPr="00835F52" w:rsidRDefault="003C21C4" w:rsidP="0023107B">
      <w:pPr>
        <w:pStyle w:val="COMexecsumnumberedpara"/>
        <w:ind w:left="720" w:hanging="720"/>
      </w:pPr>
      <w:r w:rsidRPr="00A60E4B">
        <w:t>The propos</w:t>
      </w:r>
      <w:r w:rsidRPr="00835F52">
        <w:t xml:space="preserve">ed initial treatment restriction is narrower than the TGA indication, as it does not include primary prevention (i.e., treatment of patients with diabetes and at least one other cardiovascular risk factor); limits treatment to patients with a maximum triglyceride level of 5.6 mmol/L; limits treatment to patients with specified </w:t>
      </w:r>
      <w:r w:rsidR="009034EA">
        <w:t>low density lipoprotein (</w:t>
      </w:r>
      <w:r w:rsidRPr="00835F52">
        <w:t>LDL</w:t>
      </w:r>
      <w:r w:rsidR="009034EA">
        <w:t>)</w:t>
      </w:r>
      <w:r w:rsidRPr="00835F52">
        <w:t xml:space="preserve"> cholesterol levels (1.0-2.6 mmol/L); requires patients to be receiving the maximum dose of a statin (versus ‘statin-treated’); and requires treatment to be in conjunction with dietary therapy and exercise.</w:t>
      </w:r>
      <w:r w:rsidR="003731E8" w:rsidRPr="00835F52">
        <w:t xml:space="preserve"> The rationale for selecting the secondary prevention population was that this population has the highest baseline risk of experiencing </w:t>
      </w:r>
      <w:r w:rsidR="009034EA">
        <w:t xml:space="preserve">cardiovascular </w:t>
      </w:r>
      <w:r w:rsidR="003731E8" w:rsidRPr="00835F52">
        <w:t>events and therefore has the greatest clinical need for therapeutic options.</w:t>
      </w:r>
    </w:p>
    <w:p w14:paraId="7F935687" w14:textId="0EF70764" w:rsidR="003C21C4" w:rsidRPr="00E211D2" w:rsidRDefault="003C21C4" w:rsidP="0023107B">
      <w:pPr>
        <w:pStyle w:val="COMexecsumnumberedpara"/>
        <w:ind w:left="720" w:hanging="720"/>
      </w:pPr>
      <w:r w:rsidRPr="00E211D2">
        <w:t>The proposed restriction does not preclude use in combination with LDL</w:t>
      </w:r>
      <w:r w:rsidR="009034EA">
        <w:t xml:space="preserve"> cholesterol</w:t>
      </w:r>
      <w:r w:rsidRPr="00E211D2">
        <w:t xml:space="preserve">-lowering treatments such as ezetimibe or </w:t>
      </w:r>
      <w:r w:rsidR="009034EA">
        <w:t>proprotein convertase subtilisin/kexin type 9 (</w:t>
      </w:r>
      <w:r w:rsidRPr="00E211D2">
        <w:t>PCSK9</w:t>
      </w:r>
      <w:r w:rsidR="009034EA">
        <w:t>)</w:t>
      </w:r>
      <w:r w:rsidRPr="00E211D2">
        <w:t xml:space="preserve"> </w:t>
      </w:r>
      <w:r w:rsidR="006A017F" w:rsidRPr="00E211D2">
        <w:t>inhibitors</w:t>
      </w:r>
      <w:r w:rsidRPr="00E211D2">
        <w:t>. This appears to be appropriate give</w:t>
      </w:r>
      <w:r w:rsidR="00B5257F" w:rsidRPr="00E211D2">
        <w:t>n</w:t>
      </w:r>
      <w:r w:rsidRPr="00E211D2">
        <w:t xml:space="preserve"> the </w:t>
      </w:r>
      <w:r w:rsidR="006A017F" w:rsidRPr="00E211D2">
        <w:t>proposed</w:t>
      </w:r>
      <w:r w:rsidRPr="00E211D2">
        <w:t xml:space="preserve"> place in therapy of icosapent ethyl.</w:t>
      </w:r>
      <w:r w:rsidR="008F276B" w:rsidRPr="00E211D2">
        <w:t xml:space="preserve"> </w:t>
      </w:r>
      <w:r w:rsidR="007E7A59" w:rsidRPr="00E211D2">
        <w:t xml:space="preserve">However, </w:t>
      </w:r>
      <w:r w:rsidR="008F276B" w:rsidRPr="00E211D2">
        <w:t xml:space="preserve">the comparative clinical benefit and cost-effectiveness of coadministration </w:t>
      </w:r>
      <w:r w:rsidR="0071685B" w:rsidRPr="00E211D2">
        <w:t xml:space="preserve">of </w:t>
      </w:r>
      <w:r w:rsidR="007E7A59" w:rsidRPr="00E211D2">
        <w:t xml:space="preserve">icosapent ethyl and either ezetimibe or PCSK9 inhibitors </w:t>
      </w:r>
      <w:r w:rsidR="008F276B" w:rsidRPr="00E211D2">
        <w:t>was not considered in this submission.</w:t>
      </w:r>
      <w:r w:rsidR="007E7A59" w:rsidRPr="00E211D2">
        <w:t xml:space="preserve"> The ESC also noted that the proposed restriction does not preclude use in combination with other agents that lower triglycerides such as fibrates and niacin. The ESC considered that, although there was no specific clinical data</w:t>
      </w:r>
      <w:r w:rsidR="001518B9" w:rsidRPr="00E211D2">
        <w:t xml:space="preserve"> regarding combination therapy</w:t>
      </w:r>
      <w:r w:rsidR="007E7A59" w:rsidRPr="00E211D2">
        <w:t>, these agents should no</w:t>
      </w:r>
      <w:r w:rsidR="00A60E4B" w:rsidRPr="00E211D2">
        <w:t>t</w:t>
      </w:r>
      <w:r w:rsidR="007E7A59" w:rsidRPr="00E211D2">
        <w:t xml:space="preserve"> be co-administered.</w:t>
      </w:r>
      <w:r w:rsidR="00EB54E6">
        <w:t xml:space="preserve"> </w:t>
      </w:r>
      <w:r w:rsidR="009034EA">
        <w:t xml:space="preserve">The </w:t>
      </w:r>
      <w:r w:rsidR="00EB54E6" w:rsidRPr="0023107B">
        <w:t xml:space="preserve">DUSC further noted that evidence presented by </w:t>
      </w:r>
      <w:proofErr w:type="spellStart"/>
      <w:r w:rsidR="00EB54E6" w:rsidRPr="0023107B">
        <w:t>Graverson</w:t>
      </w:r>
      <w:proofErr w:type="spellEnd"/>
      <w:r w:rsidR="00EB54E6" w:rsidRPr="0023107B">
        <w:t xml:space="preserve"> et al. (2016) suggests that supplementation with n-3 polyunsaturated fatty acids reduced plasma PCSK9 inhibitor levels indicating that coadministration of a PCSK9 inhibitor with icosapent ethyl may reduce the efficacy of the PCSK9 inhibitor.</w:t>
      </w:r>
    </w:p>
    <w:p w14:paraId="3756124F" w14:textId="3844AE81" w:rsidR="003C21C4" w:rsidRPr="00E211D2" w:rsidRDefault="003C21C4" w:rsidP="0023107B">
      <w:pPr>
        <w:pStyle w:val="COMexecsumnumberedpara"/>
        <w:ind w:left="720" w:hanging="720"/>
      </w:pPr>
      <w:bookmarkStart w:id="10" w:name="_Ref151639403"/>
      <w:r w:rsidRPr="00E211D2">
        <w:lastRenderedPageBreak/>
        <w:t xml:space="preserve">The proposed restriction requires patients to have </w:t>
      </w:r>
      <w:r w:rsidR="00F60C8D" w:rsidRPr="00E211D2">
        <w:t xml:space="preserve">one of </w:t>
      </w:r>
      <w:r w:rsidRPr="00E211D2">
        <w:t xml:space="preserve">coronary heart disease, cerebrovascular disease or peripheral vascular disease. </w:t>
      </w:r>
      <w:r w:rsidR="00F60C8D" w:rsidRPr="00E211D2">
        <w:t>The ESC considered that i</w:t>
      </w:r>
      <w:r w:rsidR="00F63F5F" w:rsidRPr="00E211D2">
        <w:t>t may be appropriate to include</w:t>
      </w:r>
      <w:r w:rsidRPr="00E211D2">
        <w:t xml:space="preserve"> specific </w:t>
      </w:r>
      <w:r w:rsidR="00F60C8D" w:rsidRPr="00E211D2">
        <w:t xml:space="preserve">diagnostic </w:t>
      </w:r>
      <w:r w:rsidRPr="00E211D2">
        <w:t>criteria for these conditions</w:t>
      </w:r>
      <w:r w:rsidR="00F63F5F" w:rsidRPr="00E211D2">
        <w:t xml:space="preserve"> in the restriction.</w:t>
      </w:r>
      <w:bookmarkEnd w:id="10"/>
      <w:r w:rsidR="00F60C8D" w:rsidRPr="00E211D2">
        <w:t xml:space="preserve"> </w:t>
      </w:r>
    </w:p>
    <w:p w14:paraId="5C28C42C" w14:textId="60D34E39" w:rsidR="00F63F5F" w:rsidRPr="00E211D2" w:rsidRDefault="00F63F5F" w:rsidP="0023107B">
      <w:pPr>
        <w:pStyle w:val="COMexecsumnumberedpara"/>
        <w:ind w:left="720" w:hanging="720"/>
      </w:pPr>
      <w:bookmarkStart w:id="11" w:name="_Ref147491329"/>
      <w:r w:rsidRPr="00E211D2">
        <w:t xml:space="preserve">The proposed restriction requires patients to be on the </w:t>
      </w:r>
      <w:r w:rsidR="00C470FD" w:rsidRPr="00E211D2">
        <w:t>maximum</w:t>
      </w:r>
      <w:r w:rsidRPr="00E211D2">
        <w:t xml:space="preserve"> tolerated dose of a statin. </w:t>
      </w:r>
      <w:r w:rsidR="007E7A59" w:rsidRPr="00E211D2">
        <w:t>The ESC noted that this was narrower than the clinical trial criteria, which specified that patients were receiving a stable dose of statin therapy and had an LDL cholesterol of &gt;</w:t>
      </w:r>
      <w:r w:rsidR="00F41E0E">
        <w:t> </w:t>
      </w:r>
      <w:r w:rsidR="007E7A59" w:rsidRPr="00E211D2">
        <w:t xml:space="preserve">1.04 mmol/L and </w:t>
      </w:r>
      <w:r w:rsidR="007E7A59" w:rsidRPr="00E211D2">
        <w:rPr>
          <w:rFonts w:cstheme="minorHAnsi"/>
        </w:rPr>
        <w:t>≤</w:t>
      </w:r>
      <w:r w:rsidR="00F41E0E">
        <w:rPr>
          <w:rFonts w:cstheme="minorHAnsi"/>
        </w:rPr>
        <w:t> </w:t>
      </w:r>
      <w:r w:rsidR="007E7A59" w:rsidRPr="00E211D2">
        <w:t xml:space="preserve">2.60 mmol/L. The ESC also noted that 96% of trial patients were receiving medium to high intensity statins. The ESC considered that specifying that patients were receiving the maximum tolerated dose of statin may not be necessary and instead that it might be more appropriate to specify that patients were receiving a medium to high intensity statin therapy and achieving guideline directed secondary prevention LDL cholesterol targets. The ESC felt it was appropriate to remain silent on other hypolipidemic therapies. </w:t>
      </w:r>
      <w:bookmarkEnd w:id="11"/>
    </w:p>
    <w:p w14:paraId="44C53F59" w14:textId="1CF72162" w:rsidR="00F63F5F" w:rsidRPr="00E211D2" w:rsidRDefault="00F63F5F" w:rsidP="0023107B">
      <w:pPr>
        <w:pStyle w:val="COMexecsumnumberedpara"/>
        <w:ind w:left="720" w:hanging="720"/>
      </w:pPr>
      <w:r w:rsidRPr="00E211D2">
        <w:t>The proposed restriction does not explicitly include treatment of patients with statin intolerance</w:t>
      </w:r>
      <w:r w:rsidR="006A017F" w:rsidRPr="00E211D2">
        <w:t>,</w:t>
      </w:r>
      <w:r w:rsidRPr="00E211D2">
        <w:t xml:space="preserve"> or </w:t>
      </w:r>
      <w:r w:rsidR="006A017F" w:rsidRPr="00E211D2">
        <w:t xml:space="preserve">patients </w:t>
      </w:r>
      <w:r w:rsidRPr="00E211D2">
        <w:t>who are contraindicated to statins.</w:t>
      </w:r>
      <w:r w:rsidR="007E7A59" w:rsidRPr="00E211D2">
        <w:t xml:space="preserve"> Given the different postulated mechanism of action of icosapent ethyl, the ESC considered that it was</w:t>
      </w:r>
      <w:r w:rsidRPr="00E211D2">
        <w:t xml:space="preserve"> not reasonable to exclude patients who have developed an adverse event necessitating withdrawal of statin treatment, or patients who are contraindicated to treatment with a statin.</w:t>
      </w:r>
    </w:p>
    <w:p w14:paraId="4EBEDD5C" w14:textId="353EBB92" w:rsidR="00F63F5F" w:rsidRPr="00E211D2" w:rsidRDefault="00F63F5F" w:rsidP="0023107B">
      <w:pPr>
        <w:pStyle w:val="COMexecsumnumberedpara"/>
        <w:ind w:left="720" w:hanging="720"/>
      </w:pPr>
      <w:r w:rsidRPr="00E211D2">
        <w:t>Based on the proposed LDL cholesterol criteria, patients with LDL cholesterol &lt;</w:t>
      </w:r>
      <w:r w:rsidR="00F41E0E">
        <w:t> </w:t>
      </w:r>
      <w:r w:rsidRPr="00E211D2">
        <w:t>1.0</w:t>
      </w:r>
      <w:r w:rsidR="00B5257F" w:rsidRPr="00E211D2">
        <w:t xml:space="preserve"> mmol/L </w:t>
      </w:r>
      <w:r w:rsidRPr="00E211D2">
        <w:t xml:space="preserve">would not be eligible for treatment with icosapent ethyl. </w:t>
      </w:r>
      <w:r w:rsidR="00A60E4B" w:rsidRPr="00E211D2">
        <w:t>W</w:t>
      </w:r>
      <w:r w:rsidRPr="00E211D2">
        <w:t>hile an LDL cholesterol level of 1.0</w:t>
      </w:r>
      <w:r w:rsidR="00A60E4B" w:rsidRPr="00E211D2">
        <w:t>4</w:t>
      </w:r>
      <w:r w:rsidRPr="00E211D2">
        <w:t xml:space="preserve"> to 2.6</w:t>
      </w:r>
      <w:r w:rsidR="00A60E4B" w:rsidRPr="00E211D2">
        <w:t xml:space="preserve"> mmol/L</w:t>
      </w:r>
      <w:r w:rsidRPr="00E211D2">
        <w:t xml:space="preserve"> is consistent with the inclusion criteria for the REDUCE-IT trial, it may not be reasonable to exclude patients with an LDL cholesterol of &lt;</w:t>
      </w:r>
      <w:r w:rsidR="00F41E0E">
        <w:t> </w:t>
      </w:r>
      <w:r w:rsidRPr="00E211D2">
        <w:t>1.0</w:t>
      </w:r>
      <w:r w:rsidR="00B5257F" w:rsidRPr="00E211D2">
        <w:t> </w:t>
      </w:r>
      <w:r w:rsidRPr="00E211D2">
        <w:t>mmol/L from access to PBS treatment with icosapent ethyl.</w:t>
      </w:r>
      <w:r w:rsidR="00F60C8D" w:rsidRPr="00E211D2">
        <w:t xml:space="preserve"> </w:t>
      </w:r>
      <w:r w:rsidR="00F60C8D" w:rsidRPr="00E211D2">
        <w:rPr>
          <w:rFonts w:eastAsia="Calibri" w:cs="Calibri"/>
          <w:lang w:eastAsia="en-US"/>
        </w:rPr>
        <w:t xml:space="preserve">The </w:t>
      </w:r>
      <w:r w:rsidR="00B67C49">
        <w:rPr>
          <w:rFonts w:eastAsia="Calibri" w:cs="Calibri"/>
          <w:lang w:eastAsia="en-US"/>
        </w:rPr>
        <w:t>Pre-Sub-Committee Response (</w:t>
      </w:r>
      <w:r w:rsidR="00F60C8D" w:rsidRPr="00E211D2">
        <w:rPr>
          <w:rFonts w:eastAsia="Calibri" w:cs="Calibri"/>
          <w:lang w:eastAsia="en-US"/>
        </w:rPr>
        <w:t>PSCR</w:t>
      </w:r>
      <w:r w:rsidR="00B67C49">
        <w:rPr>
          <w:rFonts w:eastAsia="Calibri" w:cs="Calibri"/>
          <w:lang w:eastAsia="en-US"/>
        </w:rPr>
        <w:t>)</w:t>
      </w:r>
      <w:r w:rsidR="00F60C8D" w:rsidRPr="00E211D2">
        <w:rPr>
          <w:rFonts w:eastAsia="Calibri" w:cs="Calibri"/>
          <w:lang w:eastAsia="en-US"/>
        </w:rPr>
        <w:t xml:space="preserve"> </w:t>
      </w:r>
      <w:r w:rsidR="00A60E4B" w:rsidRPr="00E211D2">
        <w:rPr>
          <w:rFonts w:eastAsia="Calibri" w:cs="Calibri"/>
          <w:lang w:eastAsia="en-US"/>
        </w:rPr>
        <w:t>no</w:t>
      </w:r>
      <w:r w:rsidR="00F60C8D" w:rsidRPr="00E211D2">
        <w:rPr>
          <w:rFonts w:eastAsia="Calibri" w:cs="Calibri"/>
          <w:lang w:eastAsia="en-US"/>
        </w:rPr>
        <w:t>ted that icos</w:t>
      </w:r>
      <w:r w:rsidR="00317768" w:rsidRPr="00E211D2">
        <w:rPr>
          <w:rFonts w:eastAsia="Calibri" w:cs="Calibri"/>
          <w:lang w:eastAsia="en-US"/>
        </w:rPr>
        <w:t>a</w:t>
      </w:r>
      <w:r w:rsidR="00F60C8D" w:rsidRPr="00E211D2">
        <w:rPr>
          <w:rFonts w:eastAsia="Calibri" w:cs="Calibri"/>
          <w:lang w:eastAsia="en-US"/>
        </w:rPr>
        <w:t>p</w:t>
      </w:r>
      <w:r w:rsidR="00317768" w:rsidRPr="00E211D2">
        <w:rPr>
          <w:rFonts w:eastAsia="Calibri" w:cs="Calibri"/>
          <w:lang w:eastAsia="en-US"/>
        </w:rPr>
        <w:t>e</w:t>
      </w:r>
      <w:r w:rsidR="00F60C8D" w:rsidRPr="00E211D2">
        <w:rPr>
          <w:rFonts w:eastAsia="Calibri" w:cs="Calibri"/>
          <w:lang w:eastAsia="en-US"/>
        </w:rPr>
        <w:t>nt ethyl resulted in a consistent benefit across the range of baseline LDL</w:t>
      </w:r>
      <w:r w:rsidR="009034EA">
        <w:rPr>
          <w:rFonts w:eastAsia="Calibri" w:cs="Calibri"/>
          <w:lang w:eastAsia="en-US"/>
        </w:rPr>
        <w:t xml:space="preserve"> </w:t>
      </w:r>
      <w:r w:rsidR="00F60C8D" w:rsidRPr="00E211D2">
        <w:rPr>
          <w:rFonts w:eastAsia="Calibri" w:cs="Calibri"/>
          <w:lang w:eastAsia="en-US"/>
        </w:rPr>
        <w:t>cholesterol levels.</w:t>
      </w:r>
    </w:p>
    <w:p w14:paraId="100619E6" w14:textId="0D9B53FA" w:rsidR="00A64C08" w:rsidRPr="00E211D2" w:rsidRDefault="009209E2" w:rsidP="0023107B">
      <w:pPr>
        <w:pStyle w:val="COMexecsumnumberedpara"/>
        <w:ind w:left="720" w:hanging="720"/>
      </w:pPr>
      <w:r w:rsidRPr="00E211D2">
        <w:t>Based on the proposed triglyceride criteria, patients with a triglyceride level &gt;</w:t>
      </w:r>
      <w:r w:rsidR="00F41E0E">
        <w:t> </w:t>
      </w:r>
      <w:r w:rsidRPr="00E211D2">
        <w:t>5.6</w:t>
      </w:r>
      <w:r w:rsidR="00B5752D" w:rsidRPr="00E211D2">
        <w:t> </w:t>
      </w:r>
      <w:r w:rsidRPr="00E211D2">
        <w:t>mmol/L would not be eligible for treatment with icosapent ethyl. While this is consistent with the eligibility criteria for the REDUCE-IT trial, it may not be reasonable to exclude this group of patients from access to PBS treatment with icosapent ethyl</w:t>
      </w:r>
      <w:r w:rsidR="00A64C08" w:rsidRPr="00E211D2">
        <w:t>.</w:t>
      </w:r>
      <w:r w:rsidR="001518B9" w:rsidRPr="00E211D2">
        <w:t xml:space="preserve"> The ESC considered that, given the uncertain mechanism of action of icosapent ethyl and the evidence that actual triglyceride level lowering was unlikely to be an important component, it would be preferable to maintain the clinical trial inclusion criteria in the restriction.</w:t>
      </w:r>
    </w:p>
    <w:p w14:paraId="1E9AEDBB" w14:textId="01CDC2AE" w:rsidR="00A64C08" w:rsidRPr="00E211D2" w:rsidRDefault="00A64C08" w:rsidP="0023107B">
      <w:pPr>
        <w:pStyle w:val="COMexecsumnumberedpara"/>
        <w:ind w:left="720" w:hanging="720"/>
      </w:pPr>
      <w:r w:rsidRPr="00E211D2">
        <w:t xml:space="preserve">The proposed restriction allows for prescribing by general practitioners. While this is consistent with the PBS restrictions for statins and ezetimibe, it differs from the restrictions for the PCSK9 inhibitors, which specify that treatment must be </w:t>
      </w:r>
      <w:r w:rsidR="00B5752D" w:rsidRPr="00E211D2">
        <w:t xml:space="preserve">prescribed </w:t>
      </w:r>
      <w:r w:rsidRPr="00E211D2">
        <w:t>by a specialist physician or by a physician who has consulted a specialist physician.</w:t>
      </w:r>
    </w:p>
    <w:p w14:paraId="00647BEE" w14:textId="5D3A5D3A" w:rsidR="00E211D2" w:rsidRPr="006238BB" w:rsidRDefault="00A64C08" w:rsidP="0023107B">
      <w:pPr>
        <w:pStyle w:val="COMexecsumnumberedpara"/>
        <w:ind w:left="720" w:hanging="720"/>
      </w:pPr>
      <w:r w:rsidRPr="00E211D2">
        <w:t xml:space="preserve">There is potential for use outside of the proposed restriction among patients who are not using the </w:t>
      </w:r>
      <w:r w:rsidRPr="006238BB">
        <w:t>maximum tolerated dose of a statin</w:t>
      </w:r>
      <w:r w:rsidR="007E7A59" w:rsidRPr="006238BB">
        <w:t xml:space="preserve"> (or receiving medium to high </w:t>
      </w:r>
      <w:r w:rsidR="007E7A59" w:rsidRPr="006238BB">
        <w:lastRenderedPageBreak/>
        <w:t xml:space="preserve">intensity statin therapy as per paragraph </w:t>
      </w:r>
      <w:r w:rsidR="007E7A59" w:rsidRPr="006238BB">
        <w:fldChar w:fldCharType="begin" w:fldLock="1"/>
      </w:r>
      <w:r w:rsidR="007E7A59" w:rsidRPr="006238BB">
        <w:instrText xml:space="preserve"> REF _Ref147491329 \r \h  \* MERGEFORMAT </w:instrText>
      </w:r>
      <w:r w:rsidR="007E7A59" w:rsidRPr="006238BB">
        <w:fldChar w:fldCharType="separate"/>
      </w:r>
      <w:r w:rsidR="003F1735">
        <w:t>3.5</w:t>
      </w:r>
      <w:r w:rsidR="007E7A59" w:rsidRPr="006238BB">
        <w:fldChar w:fldCharType="end"/>
      </w:r>
      <w:r w:rsidR="007E7A59" w:rsidRPr="006238BB">
        <w:t>)</w:t>
      </w:r>
      <w:r w:rsidRPr="006238BB">
        <w:t>, and patients who do not meet the LDL and triglyceride requirements.</w:t>
      </w:r>
      <w:r w:rsidR="00EB54E6" w:rsidRPr="006238BB">
        <w:t xml:space="preserve"> The </w:t>
      </w:r>
      <w:r w:rsidR="00E211D2" w:rsidRPr="006238BB">
        <w:t xml:space="preserve">DUSC </w:t>
      </w:r>
      <w:r w:rsidR="00EB54E6" w:rsidRPr="006238BB">
        <w:t xml:space="preserve">further </w:t>
      </w:r>
      <w:r w:rsidR="00E211D2" w:rsidRPr="006238BB">
        <w:t xml:space="preserve">noted that there are clinical trials underway exploring the use of icosapent ethyl or similar fatty acids for other indications such as major depression, bipolar disease, prodromal symptoms of schizophrenia, prevention of coronavirus disease (COVID-19) infection and other upper respiratory tract infections, metastatic triple negative breast cancer, colon cancers, and neurodegenerative disorders such Huntington and Alzheimer disease. </w:t>
      </w:r>
      <w:r w:rsidR="00EB54E6" w:rsidRPr="006238BB">
        <w:t xml:space="preserve">The </w:t>
      </w:r>
      <w:r w:rsidR="00E211D2" w:rsidRPr="006238BB">
        <w:t xml:space="preserve">DUSC considered that there may be a high risk of leakage into these indications due to these ongoing trials or result in higher initial uptake rates. </w:t>
      </w:r>
    </w:p>
    <w:p w14:paraId="3F8EEE16" w14:textId="1E31CC7E" w:rsidR="00E211D2" w:rsidRPr="006238BB" w:rsidRDefault="00E211D2" w:rsidP="00E211D2">
      <w:pPr>
        <w:pStyle w:val="COMexecsumnumberedpara"/>
        <w:numPr>
          <w:ilvl w:val="0"/>
          <w:numId w:val="0"/>
        </w:numPr>
        <w:ind w:left="720"/>
        <w:rPr>
          <w:i/>
          <w:iCs/>
        </w:rPr>
      </w:pPr>
      <w:r w:rsidRPr="006238BB">
        <w:rPr>
          <w:i/>
          <w:iCs/>
        </w:rPr>
        <w:t>For more detail on PBAC’s view, see section 7 PBAC outcome.</w:t>
      </w:r>
    </w:p>
    <w:p w14:paraId="7075B85C" w14:textId="62A47B7B" w:rsidR="00B50DB8" w:rsidRPr="006238BB" w:rsidDel="00195452" w:rsidRDefault="00203181" w:rsidP="004E18E9">
      <w:pPr>
        <w:pStyle w:val="COMH1numbered"/>
      </w:pPr>
      <w:bookmarkStart w:id="12" w:name="_Toc145499023"/>
      <w:r w:rsidRPr="006238BB" w:rsidDel="00195452">
        <w:t xml:space="preserve">Population and </w:t>
      </w:r>
      <w:r w:rsidR="008E0D3C" w:rsidRPr="006238BB" w:rsidDel="00195452">
        <w:t>d</w:t>
      </w:r>
      <w:r w:rsidRPr="006238BB" w:rsidDel="00195452">
        <w:t>isease</w:t>
      </w:r>
      <w:bookmarkEnd w:id="12"/>
    </w:p>
    <w:p w14:paraId="7BBAD16F" w14:textId="1F2B402A" w:rsidR="00A64C08" w:rsidRPr="00E211D2" w:rsidRDefault="00A64C08" w:rsidP="0023107B">
      <w:pPr>
        <w:pStyle w:val="COMexecsumnumberedpara"/>
        <w:ind w:left="720" w:hanging="720"/>
      </w:pPr>
      <w:r w:rsidRPr="00E211D2">
        <w:t xml:space="preserve">ASCVD includes coronary artery disease, cerebrovascular disease, aortic disease, and other vascular diseases such as peripheral artery disease and renovascular disease. Patients with established ASCVD are at high risk of future cardiovascular events, including myocardial infarction and </w:t>
      </w:r>
      <w:r w:rsidR="00334D9D" w:rsidRPr="00E211D2">
        <w:t>stroke</w:t>
      </w:r>
      <w:r w:rsidRPr="00E211D2">
        <w:t>.</w:t>
      </w:r>
      <w:r w:rsidRPr="00E211D2" w:rsidDel="00195452">
        <w:t xml:space="preserve"> </w:t>
      </w:r>
    </w:p>
    <w:p w14:paraId="0B0AAF2A" w14:textId="1AF14469" w:rsidR="00A64C08" w:rsidRPr="00E211D2" w:rsidRDefault="00A64C08" w:rsidP="0023107B">
      <w:pPr>
        <w:pStyle w:val="COMexecsumnumberedpara"/>
        <w:ind w:left="720" w:hanging="720"/>
      </w:pPr>
      <w:r w:rsidRPr="00E211D2">
        <w:t>Hypertriglyceridaemia, defined as a triglyceride level ≥</w:t>
      </w:r>
      <w:r w:rsidR="00F41E0E">
        <w:t> </w:t>
      </w:r>
      <w:r w:rsidRPr="00E211D2">
        <w:t xml:space="preserve">1.7 mmol/L, is associated with an increase in remnant cholesterol, a decrease in high-density lipoprotein cholesterol (HDL-C), and an increase in LDL particles with a change in morphology to small, dense particles. Epidemiological and Mendelian randomisation studies suggest that triglyceride elevation is </w:t>
      </w:r>
      <w:r w:rsidR="007E7A59" w:rsidRPr="00E211D2">
        <w:t xml:space="preserve">independently </w:t>
      </w:r>
      <w:r w:rsidRPr="00E211D2">
        <w:t>associated with increased ASCVD risk (Virani et al.</w:t>
      </w:r>
      <w:r w:rsidR="00715357" w:rsidRPr="00E211D2">
        <w:t>,</w:t>
      </w:r>
      <w:r w:rsidRPr="00E211D2">
        <w:t xml:space="preserve"> 2021). Triglyceride levels ≥5.6 mmol/L are associated with an increased risk of acute pancreatitis.</w:t>
      </w:r>
    </w:p>
    <w:p w14:paraId="32B1B05D" w14:textId="79FC9E19" w:rsidR="00A64C08" w:rsidRPr="00E211D2" w:rsidRDefault="00A64C08" w:rsidP="0023107B">
      <w:pPr>
        <w:pStyle w:val="COMexecsumnumberedpara"/>
        <w:ind w:left="720" w:hanging="720"/>
      </w:pPr>
      <w:r w:rsidRPr="00E211D2">
        <w:t>The population targeted in the submission are patients with established ASCVD and adequately controlled</w:t>
      </w:r>
      <w:r w:rsidR="007E7A59" w:rsidRPr="00E211D2">
        <w:t xml:space="preserve"> (at the time the study was conducted)</w:t>
      </w:r>
      <w:r w:rsidRPr="00E211D2">
        <w:t xml:space="preserve"> LDL cholesterol levels (1.0-2.6</w:t>
      </w:r>
      <w:r w:rsidR="00F41E0E">
        <w:t> </w:t>
      </w:r>
      <w:r w:rsidRPr="00E211D2">
        <w:t>mmol/L), who have mild to moderately elevated triglycerides (1.7-5.6</w:t>
      </w:r>
      <w:r w:rsidR="00F41E0E">
        <w:t> </w:t>
      </w:r>
      <w:r w:rsidRPr="00E211D2">
        <w:t xml:space="preserve">mmol/L) despite treatment with a statin. Patients with mild to moderate triglyceride levels and LDL </w:t>
      </w:r>
      <w:r w:rsidR="006B6DCC" w:rsidRPr="00E211D2">
        <w:t xml:space="preserve">cholesterol </w:t>
      </w:r>
      <w:r w:rsidRPr="00E211D2">
        <w:t>levels between 1.</w:t>
      </w:r>
      <w:r w:rsidR="007E7A59" w:rsidRPr="00E211D2">
        <w:t xml:space="preserve">8 </w:t>
      </w:r>
      <w:r w:rsidRPr="00E211D2">
        <w:t>and 2.6</w:t>
      </w:r>
      <w:r w:rsidR="00F41E0E">
        <w:t> </w:t>
      </w:r>
      <w:r w:rsidRPr="00E211D2">
        <w:t xml:space="preserve">mmol/L may also be candidates for additional LDL cholesterol-lowering therapies, such as ezetimibe and PCSK9 inhibitors, for the reduction of cardiovascular risk. These treatments are also associated with </w:t>
      </w:r>
      <w:r w:rsidR="001518B9" w:rsidRPr="00E211D2">
        <w:t>modest</w:t>
      </w:r>
      <w:r w:rsidR="007E7A59" w:rsidRPr="00E211D2">
        <w:t xml:space="preserve"> </w:t>
      </w:r>
      <w:r w:rsidRPr="00E211D2">
        <w:t>triglyceride lowering effects.</w:t>
      </w:r>
    </w:p>
    <w:p w14:paraId="391D8CB1" w14:textId="555E7813" w:rsidR="005B1405" w:rsidRPr="00E211D2" w:rsidRDefault="005B1405" w:rsidP="0023107B">
      <w:pPr>
        <w:pStyle w:val="COMexecsumnumberedpara"/>
        <w:ind w:left="720" w:hanging="720"/>
      </w:pPr>
      <w:bookmarkStart w:id="13" w:name="_Ref151018985"/>
      <w:r w:rsidRPr="00E211D2">
        <w:t xml:space="preserve">Icosapent ethyl is an ethyl ester of eicosapentaenoic acid (EPA), an omega-3 fatty acid. The mechanisms of action contributing to </w:t>
      </w:r>
      <w:r w:rsidR="00341EF0" w:rsidRPr="00E211D2">
        <w:t xml:space="preserve">the </w:t>
      </w:r>
      <w:r w:rsidRPr="00E211D2">
        <w:t xml:space="preserve">reduction </w:t>
      </w:r>
      <w:r w:rsidR="00341EF0" w:rsidRPr="00E211D2">
        <w:t xml:space="preserve">in </w:t>
      </w:r>
      <w:r w:rsidRPr="00E211D2">
        <w:t xml:space="preserve">cardiovascular events with icosapent ethyl are not completely understood, but may include improvement in </w:t>
      </w:r>
      <w:r w:rsidR="006B6DCC" w:rsidRPr="00E211D2">
        <w:t xml:space="preserve">the </w:t>
      </w:r>
      <w:r w:rsidRPr="00E211D2">
        <w:t xml:space="preserve">lipoprotein profile with </w:t>
      </w:r>
      <w:r w:rsidR="00341EF0" w:rsidRPr="00E211D2">
        <w:t xml:space="preserve">a </w:t>
      </w:r>
      <w:r w:rsidRPr="00E211D2">
        <w:t xml:space="preserve">reduction of triglyceride-rich lipoproteins, anti-inflammatory and antioxidant effects, </w:t>
      </w:r>
      <w:r w:rsidR="007E7A59" w:rsidRPr="00E211D2">
        <w:t xml:space="preserve">changes in plaque structure and vulnerability (e.g. </w:t>
      </w:r>
      <w:r w:rsidRPr="00E211D2">
        <w:t>reduction of macrophage accumulation, improved endothelial function, increased fibrous cap thickness/stability</w:t>
      </w:r>
      <w:r w:rsidR="007E7A59" w:rsidRPr="00E211D2">
        <w:t>)</w:t>
      </w:r>
      <w:r w:rsidRPr="00E211D2">
        <w:t xml:space="preserve"> and antiplatelet effects. A 2020 consensus statement by the American Association of Clinical Endocrinologists and American College of Endocrinology suggested that the improvement in cardiovascular outcomes </w:t>
      </w:r>
      <w:r w:rsidRPr="00E211D2">
        <w:lastRenderedPageBreak/>
        <w:t>associated with icosapent ethyl may be largely, if not entirely, independent of the triglyceride lowering effects.</w:t>
      </w:r>
      <w:bookmarkEnd w:id="13"/>
    </w:p>
    <w:p w14:paraId="1C3BE079" w14:textId="09EAD1A8" w:rsidR="005B1405" w:rsidRPr="00E211D2" w:rsidRDefault="005B1405" w:rsidP="0023107B">
      <w:pPr>
        <w:pStyle w:val="COMexecsumnumberedpara"/>
        <w:ind w:left="720" w:hanging="720"/>
      </w:pPr>
      <w:r w:rsidRPr="00E211D2">
        <w:t>The recommended daily dose of icosapent ethyl is 4 g daily (i.e., two x 1 g capsules twice daily). Treatment with icosapent ethyl is ongoing.</w:t>
      </w:r>
      <w:r w:rsidR="00382B8E" w:rsidRPr="00E211D2">
        <w:t xml:space="preserve"> The submission stated that treatment with icosapent ethyl would be in conjunction with diet and lifestyle interventions, and optimisation of LDL</w:t>
      </w:r>
      <w:r w:rsidR="00F91C37" w:rsidRPr="00E211D2">
        <w:t xml:space="preserve"> cholesterol</w:t>
      </w:r>
      <w:r w:rsidR="00382B8E" w:rsidRPr="00E211D2">
        <w:t xml:space="preserve">-lowering using the </w:t>
      </w:r>
      <w:r w:rsidR="00334D9D" w:rsidRPr="00E211D2">
        <w:t>maximum</w:t>
      </w:r>
      <w:r w:rsidR="00382B8E" w:rsidRPr="00E211D2">
        <w:t xml:space="preserve"> tolerated dose of a statin, plus other LDL</w:t>
      </w:r>
      <w:r w:rsidR="00F91C37" w:rsidRPr="00E211D2">
        <w:t xml:space="preserve"> cholesterol</w:t>
      </w:r>
      <w:r w:rsidR="00382B8E" w:rsidRPr="00E211D2">
        <w:t>-lowering therapies as required. The submission argued that icosapent ethyl would be used in parallel with LDL</w:t>
      </w:r>
      <w:r w:rsidR="009034EA">
        <w:t xml:space="preserve"> cholesterol</w:t>
      </w:r>
      <w:r w:rsidR="00382B8E" w:rsidRPr="00E211D2">
        <w:t>-lowering treatments and as such, the addition of icosapent ethyl to the PBS would not result in substitution for any other therapies.</w:t>
      </w:r>
      <w:r w:rsidR="007E7A59" w:rsidRPr="00E211D2">
        <w:t xml:space="preserve"> The ESC </w:t>
      </w:r>
      <w:r w:rsidR="006E1B08" w:rsidRPr="00E211D2">
        <w:t xml:space="preserve">advised </w:t>
      </w:r>
      <w:r w:rsidR="007E7A59" w:rsidRPr="00E211D2">
        <w:t>that there may be substitution of fibrates (fenofibrate or gemfibrozil) and potentially also of nicotinic acid.</w:t>
      </w:r>
    </w:p>
    <w:p w14:paraId="5EE20F7E" w14:textId="623F1DDB" w:rsidR="00317768" w:rsidRPr="00E211D2" w:rsidRDefault="00317768" w:rsidP="0023107B">
      <w:pPr>
        <w:pStyle w:val="COMexecsumnumberedpara"/>
        <w:ind w:left="720" w:hanging="720"/>
      </w:pPr>
      <w:bookmarkStart w:id="14" w:name="_Ref151017408"/>
      <w:r w:rsidRPr="00E211D2">
        <w:t xml:space="preserve">The ESC noted that there was a long history of trials studying the mechanism of action and effects of fish oils </w:t>
      </w:r>
      <w:r w:rsidR="00A80A81" w:rsidRPr="00E211D2">
        <w:t xml:space="preserve">(e.g. JELIS, STRENGTH, MARINE, ANCHOR) </w:t>
      </w:r>
      <w:r w:rsidRPr="00E211D2">
        <w:t xml:space="preserve">and fibrates </w:t>
      </w:r>
      <w:r w:rsidR="00A80A81" w:rsidRPr="00E211D2">
        <w:t xml:space="preserve">(e.g. BIP, LEADER, FIELD, ACCORD-Lipid, ACCORDION, Three City Study Cohort Elderly without CVD, ECLIPSE-REAL) </w:t>
      </w:r>
      <w:r w:rsidRPr="00E211D2">
        <w:t>in ASCVD which have provided variable results.</w:t>
      </w:r>
      <w:r w:rsidR="00A80A81" w:rsidRPr="00E211D2">
        <w:t xml:space="preserve"> The ESC noted that although fish oil trials have demonstrated that both EPA and DHA lower triglyceride levels, the benefits in terms of ASCVD were not conclusive. In terms of the fibrate trials, the ESC noted that the majority failed to reach their primary ASCVD endpoints.</w:t>
      </w:r>
      <w:bookmarkEnd w:id="14"/>
    </w:p>
    <w:p w14:paraId="62724554" w14:textId="531205CB" w:rsidR="00F60C8D" w:rsidRDefault="00F60C8D" w:rsidP="0023107B">
      <w:pPr>
        <w:pStyle w:val="COMexecsumnumberedpara"/>
        <w:ind w:left="720" w:hanging="720"/>
      </w:pPr>
      <w:bookmarkStart w:id="15" w:name="_Ref151017793"/>
      <w:r w:rsidRPr="00E211D2">
        <w:t xml:space="preserve">The ESC noted </w:t>
      </w:r>
      <w:r w:rsidR="005B1E66" w:rsidRPr="00E211D2">
        <w:t>there was only modest support for icosapent ethyl in treatment guidelines. Th</w:t>
      </w:r>
      <w:r w:rsidRPr="00E211D2">
        <w:t>e European Society of Cardiology Guidelines 2021</w:t>
      </w:r>
      <w:r w:rsidRPr="00E211D2">
        <w:rPr>
          <w:rStyle w:val="FootnoteReference"/>
        </w:rPr>
        <w:footnoteReference w:id="1"/>
      </w:r>
      <w:r w:rsidRPr="00E211D2">
        <w:t xml:space="preserve"> classed icosapent ethyl as a IIb treatment (IIb: usefulness/efficacy is less well established by evidence/opinion)</w:t>
      </w:r>
      <w:r w:rsidR="001518B9" w:rsidRPr="00E211D2">
        <w:t xml:space="preserve">. The Guidelines </w:t>
      </w:r>
      <w:r w:rsidRPr="00E211D2">
        <w:t xml:space="preserve">recommended that in high risk or </w:t>
      </w:r>
      <w:r w:rsidR="001518B9" w:rsidRPr="00E211D2">
        <w:t xml:space="preserve">very high risk </w:t>
      </w:r>
      <w:r w:rsidRPr="00E211D2">
        <w:t>patients with triglycerides &gt;</w:t>
      </w:r>
      <w:r w:rsidR="004E40F4">
        <w:t> </w:t>
      </w:r>
      <w:r w:rsidRPr="00E211D2">
        <w:t>1.5</w:t>
      </w:r>
      <w:r w:rsidR="004E40F4">
        <w:t> </w:t>
      </w:r>
      <w:r w:rsidRPr="00E211D2">
        <w:t>mmol/L (135</w:t>
      </w:r>
      <w:r w:rsidR="004E40F4">
        <w:t> </w:t>
      </w:r>
      <w:r w:rsidRPr="00E211D2">
        <w:t xml:space="preserve">mg/dL) despite statin treatment and lifestyle measures, icosapent ethyl (2 x 2 g/day) may be considered in combination with a statin. Further, the American Heart Association (AHA)/American College of Cardiology (ACC) </w:t>
      </w:r>
      <w:proofErr w:type="spellStart"/>
      <w:r w:rsidRPr="00E211D2">
        <w:t>Multisociety</w:t>
      </w:r>
      <w:proofErr w:type="spellEnd"/>
      <w:r w:rsidRPr="00E211D2">
        <w:t xml:space="preserve"> Guideline for the Management of Patients with Chronic Coronary Disease 2023</w:t>
      </w:r>
      <w:r w:rsidRPr="00E211D2">
        <w:rPr>
          <w:rStyle w:val="FootnoteReference"/>
        </w:rPr>
        <w:footnoteReference w:id="2"/>
      </w:r>
      <w:r w:rsidRPr="00E211D2">
        <w:t xml:space="preserve"> stated that in patients with chronic coronary disease receiving statin therapy, the addition of dietary supplements containing omega-3 fatty acids, are not beneficial in reducing cardiovascular risk.</w:t>
      </w:r>
      <w:bookmarkEnd w:id="15"/>
      <w:r w:rsidRPr="00E211D2">
        <w:t xml:space="preserve"> </w:t>
      </w:r>
    </w:p>
    <w:p w14:paraId="5598D0EF" w14:textId="2D1D0849" w:rsidR="00E211D2" w:rsidRPr="00E211D2" w:rsidRDefault="00E211D2" w:rsidP="00E211D2">
      <w:pPr>
        <w:pStyle w:val="COMexecsumnumberedpara"/>
        <w:numPr>
          <w:ilvl w:val="0"/>
          <w:numId w:val="0"/>
        </w:numPr>
        <w:ind w:left="720"/>
        <w:rPr>
          <w:i/>
          <w:iCs/>
        </w:rPr>
      </w:pPr>
      <w:r w:rsidRPr="00E211D2">
        <w:rPr>
          <w:i/>
          <w:iCs/>
        </w:rPr>
        <w:t>For more detail on PBAC’s view, see section 7 PBAC outcome.</w:t>
      </w:r>
    </w:p>
    <w:p w14:paraId="51E5AE96" w14:textId="136A63B1" w:rsidR="00B50DB8" w:rsidRPr="00407F2D" w:rsidRDefault="00B50DB8" w:rsidP="004E18E9">
      <w:pPr>
        <w:pStyle w:val="COMH1numbered"/>
      </w:pPr>
      <w:bookmarkStart w:id="16" w:name="_Toc145499024"/>
      <w:r w:rsidRPr="00407F2D">
        <w:lastRenderedPageBreak/>
        <w:t>Comparator</w:t>
      </w:r>
      <w:bookmarkEnd w:id="16"/>
    </w:p>
    <w:p w14:paraId="0D806D2A" w14:textId="2BBBDA21" w:rsidR="00382B8E" w:rsidRPr="0023107B" w:rsidRDefault="00382B8E" w:rsidP="0023107B">
      <w:pPr>
        <w:pStyle w:val="COMexecsumnumberedpara"/>
        <w:ind w:left="720" w:hanging="720"/>
      </w:pPr>
      <w:r w:rsidRPr="003F0016">
        <w:rPr>
          <w:snapToGrid/>
          <w:lang w:val="en-US"/>
        </w:rPr>
        <w:t>The submission</w:t>
      </w:r>
      <w:r w:rsidRPr="00E211D2">
        <w:rPr>
          <w:snapToGrid/>
          <w:lang w:val="en-US"/>
        </w:rPr>
        <w:t xml:space="preserve"> nominated standard of care (consisting of dietary </w:t>
      </w:r>
      <w:r w:rsidRPr="0023107B">
        <w:t xml:space="preserve">modification, lifestyle interventions, and concomitant optimisation of LDL cholesterol lowering using a statin-based therapeutic regimen), as the main comparator. The main arguments provided in support of this nomination were that, for patients receiving treatment with statins, there are no other therapeutic options available to reduce cardiovascular risk in patients with elevated triglycerides. </w:t>
      </w:r>
      <w:r w:rsidR="00F60C8D" w:rsidRPr="0023107B">
        <w:t>The ESC considered that s</w:t>
      </w:r>
      <w:r w:rsidRPr="0023107B">
        <w:t>tandard of care is an appropriate comparator. However, the claim that there are no other therapeutic options available to reduce cardiovascular risk in patients with elevated triglycerides was not reasonable, given that available LDL</w:t>
      </w:r>
      <w:r w:rsidR="009034EA" w:rsidRPr="0023107B">
        <w:t xml:space="preserve"> cholesterol</w:t>
      </w:r>
      <w:r w:rsidRPr="0023107B">
        <w:t xml:space="preserve">-lowering treatments such as ezetimibe and PCSK9 inhibitors may also </w:t>
      </w:r>
      <w:r w:rsidR="008F6B2C" w:rsidRPr="0023107B">
        <w:t>cause</w:t>
      </w:r>
      <w:r w:rsidR="007E7A59" w:rsidRPr="0023107B">
        <w:t xml:space="preserve"> a modest reduction in </w:t>
      </w:r>
      <w:r w:rsidRPr="0023107B">
        <w:t>triglyceride levels.</w:t>
      </w:r>
    </w:p>
    <w:p w14:paraId="39F7E764" w14:textId="74CAF8D7" w:rsidR="00382B8E" w:rsidRPr="00E211D2" w:rsidRDefault="00382B8E" w:rsidP="0023107B">
      <w:pPr>
        <w:pStyle w:val="COMexecsumnumberedpara"/>
        <w:ind w:left="720" w:hanging="720"/>
        <w:rPr>
          <w:snapToGrid/>
          <w:lang w:val="en-US"/>
        </w:rPr>
      </w:pPr>
      <w:r w:rsidRPr="00E211D2">
        <w:t xml:space="preserve">The submission argued that other LDL cholesterol-lowering therapies such as ezetimibe and PCSK9 inhibitors are not relevant comparators on </w:t>
      </w:r>
      <w:r w:rsidR="001071A1" w:rsidRPr="00E211D2">
        <w:t xml:space="preserve">the </w:t>
      </w:r>
      <w:r w:rsidRPr="00E211D2">
        <w:t xml:space="preserve">basis that they would be used in parallel with icosapent ethyl (if required) to manage LDL levels. </w:t>
      </w:r>
      <w:r w:rsidR="008F6B2C" w:rsidRPr="00E211D2">
        <w:t>The ESC considered t</w:t>
      </w:r>
      <w:r w:rsidRPr="00E211D2">
        <w:t xml:space="preserve">his assumption </w:t>
      </w:r>
      <w:r w:rsidR="008F6B2C" w:rsidRPr="00E211D2">
        <w:t>was</w:t>
      </w:r>
      <w:r w:rsidRPr="00E211D2">
        <w:t xml:space="preserve"> reasonable, given that treatment with icosapent ethyl in the REDUCE-IT trial was not associated with reductions in LDL</w:t>
      </w:r>
      <w:r w:rsidR="009034EA">
        <w:t xml:space="preserve"> </w:t>
      </w:r>
      <w:r w:rsidRPr="00E211D2">
        <w:t>cholesterol levels, and patients at high cardiovascular risk with LDL</w:t>
      </w:r>
      <w:r w:rsidR="0005568B" w:rsidRPr="00E211D2">
        <w:t xml:space="preserve"> cholesterol</w:t>
      </w:r>
      <w:r w:rsidRPr="00E211D2">
        <w:t xml:space="preserve"> levels above treatment targets would still be eligible for LDL</w:t>
      </w:r>
      <w:r w:rsidR="009034EA">
        <w:t xml:space="preserve"> cholesterol</w:t>
      </w:r>
      <w:r w:rsidRPr="00E211D2">
        <w:t>-lowering therapies.</w:t>
      </w:r>
    </w:p>
    <w:p w14:paraId="01D839D9" w14:textId="6A53F288" w:rsidR="001A786E" w:rsidRPr="0023107B" w:rsidRDefault="00382B8E" w:rsidP="0023107B">
      <w:pPr>
        <w:pStyle w:val="COMexecsumnumberedpara"/>
        <w:ind w:left="720" w:hanging="720"/>
      </w:pPr>
      <w:bookmarkStart w:id="17" w:name="_Ref145330500"/>
      <w:r w:rsidRPr="00E211D2">
        <w:t>The submission argued that prescription omega-3 fatty acids are not a relevant comparator on the basis that there are no products currently listed on the PBS. The submission also noted that a November 2010 submission to PBAC for an EPA/DHA omega-3 fatty acid ester preparation for use in secondary prevention after myocardial infarction was rejected on the basis of inadequate clinical data to establish efficacy in the proposed Australian population and the associated highly uncertain cost-effectiveness ratio (Omega-3-acid ethyl esters, Public Summary Document</w:t>
      </w:r>
      <w:r w:rsidR="009034EA">
        <w:t xml:space="preserve"> (PSD)</w:t>
      </w:r>
      <w:r w:rsidRPr="00E211D2">
        <w:t xml:space="preserve">, November 2010 PBAC meeting). </w:t>
      </w:r>
      <w:bookmarkEnd w:id="17"/>
    </w:p>
    <w:p w14:paraId="11EC09FF" w14:textId="1C444358" w:rsidR="001A786E" w:rsidRPr="00E211D2" w:rsidRDefault="001A786E" w:rsidP="0023107B">
      <w:pPr>
        <w:pStyle w:val="COMexecsumnumberedpara"/>
        <w:ind w:left="720" w:hanging="720"/>
        <w:rPr>
          <w:snapToGrid/>
          <w:lang w:val="en-US"/>
        </w:rPr>
      </w:pPr>
      <w:r w:rsidRPr="00E211D2">
        <w:t>The submission argued that over-the-counter omega-3 fatty acid formulations were not relevant comparators for the following reasons:</w:t>
      </w:r>
    </w:p>
    <w:p w14:paraId="27483BED" w14:textId="517AF1D5" w:rsidR="001A786E" w:rsidRPr="004E40F4" w:rsidRDefault="001A786E" w:rsidP="004E40F4">
      <w:pPr>
        <w:pStyle w:val="COMexecsummbulletlist"/>
      </w:pPr>
      <w:r w:rsidRPr="004E40F4">
        <w:t xml:space="preserve">The 2021 American College of Cardiology </w:t>
      </w:r>
      <w:r w:rsidR="0005568B" w:rsidRPr="004E40F4">
        <w:t>g</w:t>
      </w:r>
      <w:r w:rsidR="00341EF0" w:rsidRPr="004E40F4">
        <w:t>uideline (Virani et al.</w:t>
      </w:r>
      <w:r w:rsidR="003B3C8F" w:rsidRPr="004E40F4">
        <w:t>, 2021)</w:t>
      </w:r>
      <w:r w:rsidR="00341EF0" w:rsidRPr="004E40F4">
        <w:t xml:space="preserve"> </w:t>
      </w:r>
      <w:r w:rsidRPr="004E40F4">
        <w:t>states that non-prescription fish oil products have not been shown to improve cardiovascular outcomes and are not recommended for ASCVD risk reduction.</w:t>
      </w:r>
    </w:p>
    <w:p w14:paraId="192FC718" w14:textId="77777777" w:rsidR="001A786E" w:rsidRPr="004E40F4" w:rsidRDefault="001A786E" w:rsidP="004E40F4">
      <w:pPr>
        <w:pStyle w:val="COMexecsummbulletlist"/>
      </w:pPr>
      <w:r w:rsidRPr="004E40F4">
        <w:t xml:space="preserve">Unlike prescription omega-3 fatty acid products, supplements are not approved by the TGA, and their manufacturing processes are not regulated to the same degree as the manufacturing process for prescription medications. There may be variability in the content and quality of these omega-3 fatty acid products. </w:t>
      </w:r>
    </w:p>
    <w:p w14:paraId="58F5AEF2" w14:textId="476F637D" w:rsidR="001A786E" w:rsidRPr="004E40F4" w:rsidRDefault="001A786E" w:rsidP="004E40F4">
      <w:pPr>
        <w:pStyle w:val="COMexecsummbulletlist"/>
      </w:pPr>
      <w:r w:rsidRPr="004E40F4">
        <w:t xml:space="preserve">While a meta-analysis of 38 randomised controlled trials assessing the effects of omega-3 fatty acid products on cardiovascular outcomes </w:t>
      </w:r>
      <w:r w:rsidR="003B3C8F" w:rsidRPr="004E40F4">
        <w:t>(</w:t>
      </w:r>
      <w:r w:rsidRPr="004E40F4">
        <w:t>Khan et al</w:t>
      </w:r>
      <w:r w:rsidR="003B3C8F" w:rsidRPr="004E40F4">
        <w:t>.,</w:t>
      </w:r>
      <w:r w:rsidRPr="004E40F4">
        <w:t xml:space="preserve"> 2021) suggested a statistically significant reduction in cardiovascular mortality and major adverse cardiovascular events, much of the benefit was driven by the </w:t>
      </w:r>
      <w:r w:rsidRPr="004E40F4">
        <w:lastRenderedPageBreak/>
        <w:t>results of the icosapent ethyl arm of the REDUCE-IT trial. Additionally, the authors concluded that EPA was more effective than EPA + DHA, and only at higher doses.</w:t>
      </w:r>
    </w:p>
    <w:p w14:paraId="644561D6" w14:textId="77777777" w:rsidR="001A786E" w:rsidRPr="004E40F4" w:rsidRDefault="001A786E" w:rsidP="004E40F4">
      <w:pPr>
        <w:pStyle w:val="COMexecsummbulletlist"/>
      </w:pPr>
      <w:r w:rsidRPr="004E40F4">
        <w:t>The European Medicines Agency (EMA) previously stated that omega-3 fatty acid medicines containing a combination of DHA and EPA at a dose of 1 g per day are not effective in preventing further problems with the heart and blood vessels in patients who have had a heart attack (EMA public health communication 186168, March 2019).</w:t>
      </w:r>
    </w:p>
    <w:p w14:paraId="28E2249D" w14:textId="44B2F104" w:rsidR="001A786E" w:rsidRPr="00E211D2" w:rsidRDefault="001A786E" w:rsidP="0023107B">
      <w:pPr>
        <w:pStyle w:val="COMexecsumnumberedpara"/>
        <w:ind w:left="720" w:hanging="720"/>
      </w:pPr>
      <w:r w:rsidRPr="00E211D2">
        <w:t xml:space="preserve">In the November 2010 consideration of the EPA/DHA omega-3 fatty acid ester preparation for use in secondary prevention after myocardial infarction, the PBAC considered that over-the-counter fish oil preparations or a diet high in oily fish may be potential comparators (Omega-3-acid ethyl esters, </w:t>
      </w:r>
      <w:r w:rsidR="009034EA">
        <w:t>PSD</w:t>
      </w:r>
      <w:r w:rsidRPr="00E211D2">
        <w:t xml:space="preserve">, November 2010 PBAC meeting). </w:t>
      </w:r>
      <w:r w:rsidR="00F60C8D" w:rsidRPr="00E211D2">
        <w:t>The PSCR stated that several international guidelines, multiple large-scale studies (ASCEND, VITAL and OMEMI) and a recent meta-analysis (Khan et al, 2021) concluded that non-prescription fish oils do not demonstrate significant reductions in cardiovascular events.</w:t>
      </w:r>
      <w:r w:rsidR="007E7A59" w:rsidRPr="00E211D2">
        <w:t xml:space="preserve"> The ESC agreed </w:t>
      </w:r>
      <w:r w:rsidR="008F6B2C" w:rsidRPr="00E211D2">
        <w:t xml:space="preserve">with the submission </w:t>
      </w:r>
      <w:r w:rsidR="007E7A59" w:rsidRPr="00E211D2">
        <w:t>that over-the-counter fish oil preparations or a diet high in oily fish are not relevant comparators in the context of the current submission for icosapent ethyl.</w:t>
      </w:r>
    </w:p>
    <w:p w14:paraId="0634E1EE" w14:textId="47B9538B" w:rsidR="001A786E" w:rsidRPr="00E211D2" w:rsidRDefault="001A786E" w:rsidP="0023107B">
      <w:pPr>
        <w:pStyle w:val="COMexecsumnumberedpara"/>
        <w:ind w:left="720" w:hanging="720"/>
      </w:pPr>
      <w:r w:rsidRPr="00E211D2">
        <w:t xml:space="preserve">The submission did not consider fibrates to be a relevant comparator on the basis that </w:t>
      </w:r>
      <w:r w:rsidR="001071A1" w:rsidRPr="00E211D2">
        <w:t xml:space="preserve">the </w:t>
      </w:r>
      <w:r w:rsidRPr="00E211D2">
        <w:t xml:space="preserve">effectiveness of fibrates in combination with statins in preventing cardiovascular events has not been </w:t>
      </w:r>
      <w:r w:rsidR="007E7A59" w:rsidRPr="00E211D2">
        <w:t xml:space="preserve">convincingly </w:t>
      </w:r>
      <w:r w:rsidRPr="00E211D2">
        <w:t>demonstrated and use in combination with statins increases the risk of adverse events</w:t>
      </w:r>
      <w:r w:rsidR="007E7A59" w:rsidRPr="00E211D2">
        <w:t xml:space="preserve">, particularly myalgias, myositis and </w:t>
      </w:r>
      <w:r w:rsidR="00760A2B" w:rsidRPr="00E211D2">
        <w:t>rhabdomyolysis</w:t>
      </w:r>
      <w:r w:rsidRPr="00E211D2">
        <w:t xml:space="preserve">. The submission argued that clinical practice guidelines predominantly recommend fibrates in patients with severe hypertriglyceridaemia for the prevention of pancreatitis. This argument appeared to be reasonable. </w:t>
      </w:r>
      <w:r w:rsidR="00021B3F" w:rsidRPr="00E211D2">
        <w:t xml:space="preserve">However, </w:t>
      </w:r>
      <w:r w:rsidR="00916394" w:rsidRPr="00E211D2">
        <w:t xml:space="preserve">given the </w:t>
      </w:r>
      <w:r w:rsidR="00E06624" w:rsidRPr="00E211D2">
        <w:t xml:space="preserve">evidence of a lack of effect for fibrates when </w:t>
      </w:r>
      <w:r w:rsidR="00916394" w:rsidRPr="00E211D2">
        <w:t>use</w:t>
      </w:r>
      <w:r w:rsidR="00E06624" w:rsidRPr="00E211D2">
        <w:t>d</w:t>
      </w:r>
      <w:r w:rsidR="00916394" w:rsidRPr="00E211D2">
        <w:t xml:space="preserve"> in combination with a statin, </w:t>
      </w:r>
      <w:r w:rsidR="00021B3F" w:rsidRPr="00E211D2">
        <w:t xml:space="preserve">there may </w:t>
      </w:r>
      <w:r w:rsidR="00916394" w:rsidRPr="00E211D2">
        <w:t xml:space="preserve">be </w:t>
      </w:r>
      <w:r w:rsidR="00021B3F" w:rsidRPr="00E211D2">
        <w:t>potential for icosapent ethyl to substitute for fibrates</w:t>
      </w:r>
      <w:r w:rsidR="001518B9" w:rsidRPr="00E211D2">
        <w:t xml:space="preserve"> which are sometimes prescribed for the reduction of cardiovascular events in patients with hypertriglyceridaemia</w:t>
      </w:r>
      <w:r w:rsidR="00021B3F" w:rsidRPr="00E211D2">
        <w:t>.</w:t>
      </w:r>
    </w:p>
    <w:p w14:paraId="2443EFBF" w14:textId="4DD3A133" w:rsidR="001A786E" w:rsidRDefault="001A786E" w:rsidP="0023107B">
      <w:pPr>
        <w:pStyle w:val="COMexecsumnumberedpara"/>
        <w:ind w:left="720" w:hanging="720"/>
      </w:pPr>
      <w:r w:rsidRPr="00E211D2">
        <w:t>The submission argued that nicotinic acid is not a relevant comparator on the basis that combination treatment with nicotinic acid and a statin was not associated with an improvement in cardiovascular outcomes compared to a statin alone in the AIM-HIGH trial, and treatment with nicotinic acid is associated with a high incidence of adverse events. The exclusion of nicotinic acid as a comparator appeared to be reasonable given the lack of clinical evidence to support its use in combination with a statin, and the limited use of nicotinic acid in Australian clinical practice (Brett et al., 2021).</w:t>
      </w:r>
    </w:p>
    <w:p w14:paraId="4ADC02B6" w14:textId="582D3294" w:rsidR="00E211D2" w:rsidRPr="00E211D2" w:rsidRDefault="00E211D2" w:rsidP="00E211D2">
      <w:pPr>
        <w:pStyle w:val="COMexecsumnumberedpara"/>
        <w:numPr>
          <w:ilvl w:val="0"/>
          <w:numId w:val="0"/>
        </w:numPr>
        <w:ind w:left="720"/>
        <w:rPr>
          <w:i/>
          <w:iCs/>
        </w:rPr>
      </w:pPr>
      <w:r w:rsidRPr="00E211D2">
        <w:rPr>
          <w:i/>
          <w:iCs/>
        </w:rPr>
        <w:t>For more detail on PBAC’s view, see section 7 PBAC outcome.</w:t>
      </w:r>
    </w:p>
    <w:p w14:paraId="7F9C27C8" w14:textId="77777777" w:rsidR="00223D5A" w:rsidRPr="00947C2A" w:rsidRDefault="00223D5A" w:rsidP="00223D5A">
      <w:pPr>
        <w:pStyle w:val="COMH1numbered"/>
        <w:numPr>
          <w:ilvl w:val="0"/>
          <w:numId w:val="1"/>
        </w:numPr>
      </w:pPr>
      <w:bookmarkStart w:id="18" w:name="_Toc145499025"/>
      <w:bookmarkStart w:id="19" w:name="_Toc22897640"/>
      <w:r w:rsidRPr="00947C2A">
        <w:lastRenderedPageBreak/>
        <w:t>Consideration of the evidence</w:t>
      </w:r>
      <w:bookmarkEnd w:id="18"/>
    </w:p>
    <w:p w14:paraId="765A88DC" w14:textId="77777777" w:rsidR="00E211D2" w:rsidRPr="003E73E3" w:rsidRDefault="00E211D2" w:rsidP="00F41E0E">
      <w:pPr>
        <w:pStyle w:val="COMH2-numbered"/>
        <w:spacing w:after="120"/>
      </w:pPr>
      <w:bookmarkStart w:id="20" w:name="_Hlk76375935"/>
      <w:bookmarkStart w:id="21" w:name="_Toc144685986"/>
      <w:bookmarkStart w:id="22" w:name="_Toc145499026"/>
      <w:r w:rsidRPr="003E73E3">
        <w:t>Sponsor hearing</w:t>
      </w:r>
    </w:p>
    <w:p w14:paraId="0A414B13" w14:textId="41D56B9F" w:rsidR="00E211D2" w:rsidRDefault="00E211D2" w:rsidP="00E211D2">
      <w:pPr>
        <w:widowControl w:val="0"/>
        <w:numPr>
          <w:ilvl w:val="1"/>
          <w:numId w:val="1"/>
        </w:numPr>
        <w:spacing w:after="120"/>
        <w:ind w:left="720" w:hanging="720"/>
        <w:rPr>
          <w:rFonts w:asciiTheme="minorHAnsi" w:hAnsiTheme="minorHAnsi"/>
          <w:bCs/>
          <w:snapToGrid w:val="0"/>
        </w:rPr>
      </w:pPr>
      <w:bookmarkStart w:id="23" w:name="_Ref151716762"/>
      <w:bookmarkStart w:id="24" w:name="_Hlk76382586"/>
      <w:r w:rsidRPr="00914F29">
        <w:rPr>
          <w:rFonts w:asciiTheme="minorHAnsi" w:hAnsiTheme="minorHAnsi"/>
          <w:bCs/>
          <w:snapToGrid w:val="0"/>
        </w:rPr>
        <w:t xml:space="preserve">The sponsor requested a hearing for this item. The clinician </w:t>
      </w:r>
      <w:r w:rsidR="00EB54E6" w:rsidRPr="00914F29">
        <w:rPr>
          <w:rFonts w:asciiTheme="minorHAnsi" w:hAnsiTheme="minorHAnsi"/>
          <w:bCs/>
          <w:snapToGrid w:val="0"/>
        </w:rPr>
        <w:t xml:space="preserve">described </w:t>
      </w:r>
      <w:r w:rsidR="00E55987" w:rsidRPr="00914F29">
        <w:rPr>
          <w:rFonts w:asciiTheme="minorHAnsi" w:hAnsiTheme="minorHAnsi"/>
          <w:bCs/>
          <w:snapToGrid w:val="0"/>
        </w:rPr>
        <w:t>th</w:t>
      </w:r>
      <w:r w:rsidR="00E55987">
        <w:rPr>
          <w:rFonts w:asciiTheme="minorHAnsi" w:hAnsiTheme="minorHAnsi"/>
          <w:bCs/>
          <w:snapToGrid w:val="0"/>
        </w:rPr>
        <w:t>at there was</w:t>
      </w:r>
      <w:r w:rsidR="00E55987" w:rsidRPr="00914F29">
        <w:rPr>
          <w:rFonts w:asciiTheme="minorHAnsi" w:hAnsiTheme="minorHAnsi"/>
          <w:bCs/>
          <w:snapToGrid w:val="0"/>
        </w:rPr>
        <w:t xml:space="preserve"> </w:t>
      </w:r>
      <w:r w:rsidR="003E73E3">
        <w:rPr>
          <w:rFonts w:asciiTheme="minorHAnsi" w:hAnsiTheme="minorHAnsi"/>
          <w:bCs/>
          <w:snapToGrid w:val="0"/>
        </w:rPr>
        <w:t>evolving knowledge of the</w:t>
      </w:r>
      <w:r w:rsidR="003E73E3" w:rsidRPr="008A1CFF">
        <w:rPr>
          <w:rFonts w:asciiTheme="minorHAnsi" w:hAnsiTheme="minorHAnsi"/>
          <w:bCs/>
          <w:snapToGrid w:val="0"/>
        </w:rPr>
        <w:t xml:space="preserve"> </w:t>
      </w:r>
      <w:r w:rsidR="003E73E3" w:rsidRPr="003E73E3">
        <w:t>pleiotropic</w:t>
      </w:r>
      <w:r w:rsidR="003E73E3" w:rsidRPr="003E73E3">
        <w:rPr>
          <w:rFonts w:asciiTheme="minorHAnsi" w:hAnsiTheme="minorHAnsi"/>
          <w:bCs/>
          <w:snapToGrid w:val="0"/>
        </w:rPr>
        <w:t xml:space="preserve"> </w:t>
      </w:r>
      <w:r w:rsidR="003E73E3" w:rsidRPr="008A1CFF">
        <w:rPr>
          <w:rFonts w:asciiTheme="minorHAnsi" w:hAnsiTheme="minorHAnsi"/>
          <w:bCs/>
          <w:snapToGrid w:val="0"/>
        </w:rPr>
        <w:t>mechanism of action</w:t>
      </w:r>
      <w:r w:rsidR="003E73E3" w:rsidRPr="003E73E3">
        <w:rPr>
          <w:rFonts w:asciiTheme="minorHAnsi" w:hAnsiTheme="minorHAnsi"/>
          <w:bCs/>
          <w:snapToGrid w:val="0"/>
        </w:rPr>
        <w:t xml:space="preserve"> </w:t>
      </w:r>
      <w:r w:rsidR="003E73E3" w:rsidRPr="000040FF">
        <w:rPr>
          <w:rFonts w:asciiTheme="minorHAnsi" w:hAnsiTheme="minorHAnsi"/>
          <w:bCs/>
          <w:snapToGrid w:val="0"/>
        </w:rPr>
        <w:t>of icosapent ethyl</w:t>
      </w:r>
      <w:r w:rsidR="003E73E3" w:rsidRPr="003E73E3">
        <w:rPr>
          <w:rFonts w:asciiTheme="minorHAnsi" w:hAnsiTheme="minorHAnsi"/>
          <w:bCs/>
          <w:snapToGrid w:val="0"/>
        </w:rPr>
        <w:t xml:space="preserve"> </w:t>
      </w:r>
      <w:r w:rsidR="003E73E3">
        <w:rPr>
          <w:rFonts w:asciiTheme="minorHAnsi" w:hAnsiTheme="minorHAnsi"/>
          <w:bCs/>
          <w:snapToGrid w:val="0"/>
        </w:rPr>
        <w:t xml:space="preserve">and </w:t>
      </w:r>
      <w:r w:rsidR="00E55987">
        <w:rPr>
          <w:rFonts w:asciiTheme="minorHAnsi" w:hAnsiTheme="minorHAnsi"/>
          <w:bCs/>
          <w:snapToGrid w:val="0"/>
        </w:rPr>
        <w:t>how this leads to</w:t>
      </w:r>
      <w:r w:rsidR="003E73E3">
        <w:rPr>
          <w:rFonts w:asciiTheme="minorHAnsi" w:hAnsiTheme="minorHAnsi"/>
          <w:bCs/>
          <w:snapToGrid w:val="0"/>
        </w:rPr>
        <w:t xml:space="preserve"> </w:t>
      </w:r>
      <w:r w:rsidR="003E73E3" w:rsidRPr="00914F29">
        <w:rPr>
          <w:rFonts w:asciiTheme="minorHAnsi" w:hAnsiTheme="minorHAnsi"/>
          <w:bCs/>
          <w:snapToGrid w:val="0"/>
        </w:rPr>
        <w:t xml:space="preserve">potential beneficial effects on </w:t>
      </w:r>
      <w:r w:rsidR="00914F29">
        <w:rPr>
          <w:rFonts w:asciiTheme="minorHAnsi" w:hAnsiTheme="minorHAnsi"/>
          <w:bCs/>
          <w:snapToGrid w:val="0"/>
        </w:rPr>
        <w:t>cardiovascular</w:t>
      </w:r>
      <w:r w:rsidR="003E73E3" w:rsidRPr="00914F29">
        <w:rPr>
          <w:rFonts w:asciiTheme="minorHAnsi" w:hAnsiTheme="minorHAnsi"/>
          <w:bCs/>
          <w:snapToGrid w:val="0"/>
        </w:rPr>
        <w:t xml:space="preserve"> endpoints</w:t>
      </w:r>
      <w:r w:rsidR="00E55987">
        <w:rPr>
          <w:rFonts w:asciiTheme="minorHAnsi" w:hAnsiTheme="minorHAnsi"/>
          <w:bCs/>
          <w:snapToGrid w:val="0"/>
        </w:rPr>
        <w:t>,</w:t>
      </w:r>
      <w:r w:rsidR="003E73E3">
        <w:rPr>
          <w:rFonts w:asciiTheme="minorHAnsi" w:hAnsiTheme="minorHAnsi"/>
          <w:bCs/>
          <w:snapToGrid w:val="0"/>
        </w:rPr>
        <w:t xml:space="preserve"> as seen in the REDUCE-IT trial</w:t>
      </w:r>
      <w:r w:rsidR="003E73E3" w:rsidRPr="00914F29">
        <w:rPr>
          <w:rFonts w:asciiTheme="minorHAnsi" w:hAnsiTheme="minorHAnsi"/>
          <w:bCs/>
          <w:snapToGrid w:val="0"/>
        </w:rPr>
        <w:t>. Th</w:t>
      </w:r>
      <w:r w:rsidR="00914F29">
        <w:rPr>
          <w:rFonts w:asciiTheme="minorHAnsi" w:hAnsiTheme="minorHAnsi"/>
          <w:bCs/>
          <w:snapToGrid w:val="0"/>
        </w:rPr>
        <w:t xml:space="preserve">e mechanism of action </w:t>
      </w:r>
      <w:r w:rsidR="003E73E3" w:rsidRPr="00914F29">
        <w:rPr>
          <w:rFonts w:asciiTheme="minorHAnsi" w:hAnsiTheme="minorHAnsi"/>
          <w:bCs/>
          <w:snapToGrid w:val="0"/>
        </w:rPr>
        <w:t xml:space="preserve">was </w:t>
      </w:r>
      <w:r w:rsidR="003E73E3">
        <w:rPr>
          <w:rFonts w:asciiTheme="minorHAnsi" w:hAnsiTheme="minorHAnsi"/>
          <w:bCs/>
          <w:snapToGrid w:val="0"/>
        </w:rPr>
        <w:t xml:space="preserve">speculated to be </w:t>
      </w:r>
      <w:r w:rsidR="003E73E3" w:rsidRPr="00914F29">
        <w:rPr>
          <w:rFonts w:asciiTheme="minorHAnsi" w:hAnsiTheme="minorHAnsi"/>
          <w:bCs/>
          <w:snapToGrid w:val="0"/>
        </w:rPr>
        <w:t xml:space="preserve">due to </w:t>
      </w:r>
      <w:r w:rsidR="00914F29">
        <w:rPr>
          <w:rFonts w:asciiTheme="minorHAnsi" w:hAnsiTheme="minorHAnsi"/>
          <w:bCs/>
          <w:snapToGrid w:val="0"/>
        </w:rPr>
        <w:t xml:space="preserve">icosapent ethyl mediating the </w:t>
      </w:r>
      <w:r w:rsidR="00EB54E6" w:rsidRPr="00914F29">
        <w:rPr>
          <w:rFonts w:asciiTheme="minorHAnsi" w:hAnsiTheme="minorHAnsi"/>
          <w:bCs/>
          <w:snapToGrid w:val="0"/>
        </w:rPr>
        <w:t>eicosapentaenoic acid</w:t>
      </w:r>
      <w:r w:rsidR="003E73E3" w:rsidRPr="00914F29">
        <w:rPr>
          <w:rFonts w:asciiTheme="minorHAnsi" w:hAnsiTheme="minorHAnsi"/>
          <w:bCs/>
          <w:snapToGrid w:val="0"/>
        </w:rPr>
        <w:t>/</w:t>
      </w:r>
      <w:r w:rsidR="00EB54E6" w:rsidRPr="00914F29">
        <w:rPr>
          <w:rFonts w:asciiTheme="minorHAnsi" w:hAnsiTheme="minorHAnsi"/>
          <w:bCs/>
          <w:snapToGrid w:val="0"/>
        </w:rPr>
        <w:t xml:space="preserve">arachidonic acid </w:t>
      </w:r>
      <w:r w:rsidR="003E73E3" w:rsidRPr="00914F29">
        <w:rPr>
          <w:rFonts w:asciiTheme="minorHAnsi" w:hAnsiTheme="minorHAnsi"/>
          <w:bCs/>
          <w:snapToGrid w:val="0"/>
        </w:rPr>
        <w:t>ratio</w:t>
      </w:r>
      <w:r w:rsidR="00914F29">
        <w:rPr>
          <w:rFonts w:asciiTheme="minorHAnsi" w:hAnsiTheme="minorHAnsi"/>
          <w:bCs/>
          <w:snapToGrid w:val="0"/>
        </w:rPr>
        <w:t xml:space="preserve"> and </w:t>
      </w:r>
      <w:r w:rsidR="00EB54E6" w:rsidRPr="00914F29">
        <w:rPr>
          <w:rFonts w:asciiTheme="minorHAnsi" w:hAnsiTheme="minorHAnsi"/>
          <w:bCs/>
          <w:snapToGrid w:val="0"/>
        </w:rPr>
        <w:t>triglyceride levels</w:t>
      </w:r>
      <w:r w:rsidR="00914F29">
        <w:rPr>
          <w:rFonts w:asciiTheme="minorHAnsi" w:hAnsiTheme="minorHAnsi"/>
          <w:bCs/>
          <w:snapToGrid w:val="0"/>
        </w:rPr>
        <w:t xml:space="preserve"> which reduces</w:t>
      </w:r>
      <w:r w:rsidR="00914F29" w:rsidRPr="00914F29">
        <w:rPr>
          <w:rFonts w:asciiTheme="minorHAnsi" w:hAnsiTheme="minorHAnsi"/>
          <w:bCs/>
          <w:snapToGrid w:val="0"/>
        </w:rPr>
        <w:t xml:space="preserve"> </w:t>
      </w:r>
      <w:r w:rsidR="00EB54E6" w:rsidRPr="00914F29">
        <w:rPr>
          <w:rFonts w:asciiTheme="minorHAnsi" w:hAnsiTheme="minorHAnsi"/>
          <w:bCs/>
          <w:snapToGrid w:val="0"/>
        </w:rPr>
        <w:t>atherosclerosis</w:t>
      </w:r>
      <w:r w:rsidR="003E73E3" w:rsidRPr="00914F29">
        <w:rPr>
          <w:rFonts w:asciiTheme="minorHAnsi" w:hAnsiTheme="minorHAnsi"/>
          <w:bCs/>
          <w:snapToGrid w:val="0"/>
        </w:rPr>
        <w:t xml:space="preserve"> </w:t>
      </w:r>
      <w:r w:rsidR="00914F29">
        <w:rPr>
          <w:rFonts w:asciiTheme="minorHAnsi" w:hAnsiTheme="minorHAnsi"/>
          <w:bCs/>
          <w:snapToGrid w:val="0"/>
        </w:rPr>
        <w:t>and</w:t>
      </w:r>
      <w:r w:rsidR="00EB54E6" w:rsidRPr="00914F29">
        <w:rPr>
          <w:rFonts w:asciiTheme="minorHAnsi" w:hAnsiTheme="minorHAnsi"/>
          <w:bCs/>
          <w:snapToGrid w:val="0"/>
        </w:rPr>
        <w:t xml:space="preserve"> plaque volume and </w:t>
      </w:r>
      <w:r w:rsidR="00914F29" w:rsidRPr="00914F29">
        <w:rPr>
          <w:rFonts w:asciiTheme="minorHAnsi" w:hAnsiTheme="minorHAnsi"/>
          <w:bCs/>
          <w:snapToGrid w:val="0"/>
        </w:rPr>
        <w:t>improv</w:t>
      </w:r>
      <w:r w:rsidR="00914F29">
        <w:rPr>
          <w:rFonts w:asciiTheme="minorHAnsi" w:hAnsiTheme="minorHAnsi"/>
          <w:bCs/>
          <w:snapToGrid w:val="0"/>
        </w:rPr>
        <w:t>es</w:t>
      </w:r>
      <w:r w:rsidR="00914F29" w:rsidRPr="00914F29">
        <w:rPr>
          <w:rFonts w:asciiTheme="minorHAnsi" w:hAnsiTheme="minorHAnsi"/>
          <w:bCs/>
          <w:snapToGrid w:val="0"/>
        </w:rPr>
        <w:t xml:space="preserve"> </w:t>
      </w:r>
      <w:r w:rsidR="00EB54E6" w:rsidRPr="00914F29">
        <w:rPr>
          <w:rFonts w:asciiTheme="minorHAnsi" w:hAnsiTheme="minorHAnsi"/>
          <w:bCs/>
          <w:snapToGrid w:val="0"/>
        </w:rPr>
        <w:t>plaque stability</w:t>
      </w:r>
      <w:r w:rsidR="00914F29">
        <w:rPr>
          <w:rFonts w:asciiTheme="minorHAnsi" w:hAnsiTheme="minorHAnsi"/>
          <w:bCs/>
          <w:snapToGrid w:val="0"/>
        </w:rPr>
        <w:t>,</w:t>
      </w:r>
      <w:r w:rsidR="003E73E3" w:rsidRPr="00914F29">
        <w:rPr>
          <w:rFonts w:asciiTheme="minorHAnsi" w:hAnsiTheme="minorHAnsi"/>
          <w:bCs/>
          <w:snapToGrid w:val="0"/>
        </w:rPr>
        <w:t xml:space="preserve"> impacting coronary</w:t>
      </w:r>
      <w:r w:rsidR="00EB54E6" w:rsidRPr="00914F29">
        <w:rPr>
          <w:rFonts w:asciiTheme="minorHAnsi" w:hAnsiTheme="minorHAnsi"/>
          <w:bCs/>
          <w:snapToGrid w:val="0"/>
        </w:rPr>
        <w:t xml:space="preserve"> </w:t>
      </w:r>
      <w:r w:rsidR="003E73E3" w:rsidRPr="00914F29">
        <w:rPr>
          <w:rFonts w:asciiTheme="minorHAnsi" w:hAnsiTheme="minorHAnsi"/>
          <w:bCs/>
          <w:snapToGrid w:val="0"/>
        </w:rPr>
        <w:t xml:space="preserve">artery plaque development, progression and rupture. The clinician also </w:t>
      </w:r>
      <w:r w:rsidRPr="00914F29">
        <w:rPr>
          <w:rFonts w:asciiTheme="minorHAnsi" w:hAnsiTheme="minorHAnsi"/>
          <w:bCs/>
          <w:snapToGrid w:val="0"/>
        </w:rPr>
        <w:t>discussed how the drug would be used in practice,</w:t>
      </w:r>
      <w:r w:rsidR="00EB54E6" w:rsidRPr="00914F29">
        <w:rPr>
          <w:rFonts w:asciiTheme="minorHAnsi" w:hAnsiTheme="minorHAnsi"/>
          <w:bCs/>
          <w:snapToGrid w:val="0"/>
        </w:rPr>
        <w:t xml:space="preserve"> stating that there was robust evidence of the benefits of </w:t>
      </w:r>
      <w:r w:rsidR="00EB54E6" w:rsidRPr="003E73E3">
        <w:rPr>
          <w:rFonts w:asciiTheme="minorHAnsi" w:hAnsiTheme="minorHAnsi"/>
          <w:bCs/>
          <w:snapToGrid w:val="0"/>
        </w:rPr>
        <w:t xml:space="preserve">treatment across a broad population, that icosapent ethyl had a good safety profile, noting that there was some peripheral oedema, constipation and atrial fibrillation associated with icosapent ethyl, and that it would provide an additional clinical option for patients with secondary cardiovascular disease. Noting the high pill burden of treatment with icosapent ethyl, the clinician stated that the affected population was well motivated to adhere to medication. </w:t>
      </w:r>
      <w:r w:rsidRPr="003E73E3">
        <w:rPr>
          <w:rFonts w:asciiTheme="minorHAnsi" w:hAnsiTheme="minorHAnsi"/>
          <w:bCs/>
          <w:snapToGrid w:val="0"/>
        </w:rPr>
        <w:t>The PBAC considered that the hearing was informative.</w:t>
      </w:r>
      <w:bookmarkEnd w:id="23"/>
    </w:p>
    <w:p w14:paraId="588DBF34" w14:textId="338E8B07" w:rsidR="003E73E3" w:rsidRPr="00E55987" w:rsidRDefault="003E73E3" w:rsidP="00914F29">
      <w:pPr>
        <w:pStyle w:val="ListParagraph"/>
        <w:widowControl w:val="0"/>
        <w:numPr>
          <w:ilvl w:val="1"/>
          <w:numId w:val="1"/>
        </w:numPr>
        <w:ind w:left="720" w:hanging="720"/>
        <w:contextualSpacing/>
        <w:rPr>
          <w:bCs/>
        </w:rPr>
      </w:pPr>
      <w:r w:rsidRPr="00E55987">
        <w:rPr>
          <w:bCs/>
        </w:rPr>
        <w:t xml:space="preserve">The consultant for the sponsor </w:t>
      </w:r>
      <w:r w:rsidR="00E55987" w:rsidRPr="00E55987">
        <w:rPr>
          <w:bCs/>
        </w:rPr>
        <w:t>clarified the rationale for the differential censoring in the economic model between the icosapent and the placebo arms.</w:t>
      </w:r>
      <w:r w:rsidRPr="00E55987">
        <w:rPr>
          <w:bCs/>
        </w:rPr>
        <w:t xml:space="preserve"> </w:t>
      </w:r>
      <w:r w:rsidR="00E55987">
        <w:rPr>
          <w:bCs/>
        </w:rPr>
        <w:t>The m</w:t>
      </w:r>
      <w:r w:rsidR="00E55987">
        <w:t xml:space="preserve">odel included censoring in the icosapent ethyl treatment arm when patients discontinued treatment, which meant the treatment effect reverted to placebo rates. This differed to the trial data. The placebo arm was uncensored in the model. The different approaches in each arm were argued to be appropriate as the net effect was then balanced. </w:t>
      </w:r>
    </w:p>
    <w:bookmarkEnd w:id="24"/>
    <w:p w14:paraId="14B5E708" w14:textId="77777777" w:rsidR="00E211D2" w:rsidRPr="006E1229" w:rsidRDefault="00E211D2" w:rsidP="004E40F4">
      <w:pPr>
        <w:pStyle w:val="COMH2-numbered"/>
        <w:spacing w:after="120"/>
      </w:pPr>
      <w:r w:rsidRPr="006E1229">
        <w:t>Consumer comments</w:t>
      </w:r>
    </w:p>
    <w:p w14:paraId="17177ED5" w14:textId="04BFF66E" w:rsidR="00EB54E6" w:rsidRPr="00CC4709" w:rsidRDefault="00E211D2" w:rsidP="00EB54E6">
      <w:pPr>
        <w:widowControl w:val="0"/>
        <w:numPr>
          <w:ilvl w:val="1"/>
          <w:numId w:val="1"/>
        </w:numPr>
        <w:spacing w:after="120"/>
        <w:ind w:left="720" w:hanging="720"/>
      </w:pPr>
      <w:bookmarkStart w:id="25" w:name="_Hlk76382618"/>
      <w:r w:rsidRPr="00CC4709">
        <w:rPr>
          <w:rFonts w:asciiTheme="minorHAnsi" w:hAnsiTheme="minorHAnsi"/>
          <w:bCs/>
          <w:snapToGrid w:val="0"/>
        </w:rPr>
        <w:t>The PBAC noted and welcomed the input from health care professionals (</w:t>
      </w:r>
      <w:r w:rsidR="00EB54E6" w:rsidRPr="00CC4709">
        <w:rPr>
          <w:rFonts w:asciiTheme="minorHAnsi" w:hAnsiTheme="minorHAnsi"/>
          <w:bCs/>
          <w:snapToGrid w:val="0"/>
        </w:rPr>
        <w:t>4</w:t>
      </w:r>
      <w:r w:rsidRPr="00CC4709">
        <w:rPr>
          <w:rFonts w:asciiTheme="minorHAnsi" w:hAnsiTheme="minorHAnsi"/>
          <w:bCs/>
          <w:snapToGrid w:val="0"/>
        </w:rPr>
        <w:t xml:space="preserve">) via the Consumer Comments facility on the PBS website. The comments described </w:t>
      </w:r>
      <w:r w:rsidR="00EB54E6" w:rsidRPr="00CC4709">
        <w:rPr>
          <w:rFonts w:asciiTheme="minorHAnsi" w:hAnsiTheme="minorHAnsi"/>
          <w:bCs/>
          <w:snapToGrid w:val="0"/>
        </w:rPr>
        <w:t xml:space="preserve">the </w:t>
      </w:r>
      <w:r w:rsidRPr="00CC4709">
        <w:rPr>
          <w:rFonts w:asciiTheme="minorHAnsi" w:hAnsiTheme="minorHAnsi"/>
          <w:bCs/>
          <w:snapToGrid w:val="0"/>
        </w:rPr>
        <w:t xml:space="preserve">benefits of treatment with </w:t>
      </w:r>
      <w:r w:rsidR="00EB54E6" w:rsidRPr="00CC4709">
        <w:rPr>
          <w:rFonts w:asciiTheme="minorHAnsi" w:hAnsiTheme="minorHAnsi"/>
          <w:bCs/>
          <w:snapToGrid w:val="0"/>
        </w:rPr>
        <w:t xml:space="preserve">icosapent ethyl, including the lowering of triglyceride levels and the risk of cardiovascular events in those with ASCVD, as well as reducing overall mortality rates. The comments also noted the minimal side effects associated with the drug and the quality of life benefits. </w:t>
      </w:r>
      <w:bookmarkEnd w:id="20"/>
      <w:bookmarkEnd w:id="25"/>
      <w:r w:rsidR="00CC4709">
        <w:rPr>
          <w:rFonts w:asciiTheme="minorHAnsi" w:hAnsiTheme="minorHAnsi"/>
          <w:bCs/>
          <w:snapToGrid w:val="0"/>
        </w:rPr>
        <w:t xml:space="preserve">The PBAC considered there was a common misunderstanding </w:t>
      </w:r>
      <w:r w:rsidR="0091664F">
        <w:rPr>
          <w:rFonts w:asciiTheme="minorHAnsi" w:hAnsiTheme="minorHAnsi"/>
          <w:bCs/>
          <w:snapToGrid w:val="0"/>
        </w:rPr>
        <w:t xml:space="preserve">from some health professionals </w:t>
      </w:r>
      <w:r w:rsidR="00CC4709">
        <w:rPr>
          <w:rFonts w:asciiTheme="minorHAnsi" w:hAnsiTheme="minorHAnsi"/>
          <w:bCs/>
          <w:snapToGrid w:val="0"/>
        </w:rPr>
        <w:t xml:space="preserve">that </w:t>
      </w:r>
      <w:r w:rsidR="00CC4709" w:rsidRPr="00CC4709">
        <w:rPr>
          <w:rFonts w:asciiTheme="minorHAnsi" w:hAnsiTheme="minorHAnsi"/>
          <w:bCs/>
          <w:snapToGrid w:val="0"/>
        </w:rPr>
        <w:t>icosapent ethyl</w:t>
      </w:r>
      <w:r w:rsidR="00CC4709">
        <w:rPr>
          <w:rFonts w:asciiTheme="minorHAnsi" w:hAnsiTheme="minorHAnsi"/>
          <w:bCs/>
          <w:snapToGrid w:val="0"/>
        </w:rPr>
        <w:t xml:space="preserve"> is a triglyceride lowering therapy; the mechanism of action </w:t>
      </w:r>
      <w:r w:rsidR="0091664F">
        <w:rPr>
          <w:rFonts w:asciiTheme="minorHAnsi" w:hAnsiTheme="minorHAnsi"/>
          <w:bCs/>
          <w:snapToGrid w:val="0"/>
        </w:rPr>
        <w:t xml:space="preserve">was noted by others to involve multiple pathways, </w:t>
      </w:r>
      <w:r w:rsidR="00CC4709">
        <w:rPr>
          <w:rFonts w:asciiTheme="minorHAnsi" w:hAnsiTheme="minorHAnsi"/>
          <w:bCs/>
          <w:snapToGrid w:val="0"/>
        </w:rPr>
        <w:t xml:space="preserve">as </w:t>
      </w:r>
      <w:r w:rsidR="0091664F">
        <w:rPr>
          <w:rFonts w:asciiTheme="minorHAnsi" w:hAnsiTheme="minorHAnsi"/>
          <w:bCs/>
          <w:snapToGrid w:val="0"/>
        </w:rPr>
        <w:t xml:space="preserve">was </w:t>
      </w:r>
      <w:r w:rsidR="00CC4709">
        <w:rPr>
          <w:rFonts w:asciiTheme="minorHAnsi" w:hAnsiTheme="minorHAnsi"/>
          <w:bCs/>
          <w:snapToGrid w:val="0"/>
        </w:rPr>
        <w:t>described in the hearing.</w:t>
      </w:r>
    </w:p>
    <w:p w14:paraId="609C0765" w14:textId="303FB535" w:rsidR="00B60939" w:rsidRPr="00C9624D" w:rsidRDefault="00B60939" w:rsidP="004E40F4">
      <w:pPr>
        <w:pStyle w:val="COMH2-numbered"/>
        <w:spacing w:after="120"/>
      </w:pPr>
      <w:r w:rsidRPr="00C9624D">
        <w:t xml:space="preserve">Clinical </w:t>
      </w:r>
      <w:r w:rsidR="00261E97">
        <w:t>t</w:t>
      </w:r>
      <w:r w:rsidRPr="00C9624D">
        <w:t>rials</w:t>
      </w:r>
      <w:bookmarkEnd w:id="19"/>
      <w:bookmarkEnd w:id="21"/>
      <w:bookmarkEnd w:id="22"/>
    </w:p>
    <w:p w14:paraId="17DE34DC" w14:textId="24B0CED2" w:rsidR="007F1017" w:rsidRPr="0091664F" w:rsidRDefault="00261E97" w:rsidP="0091664F">
      <w:pPr>
        <w:widowControl w:val="0"/>
        <w:numPr>
          <w:ilvl w:val="1"/>
          <w:numId w:val="1"/>
        </w:numPr>
        <w:spacing w:after="120"/>
        <w:ind w:left="720" w:hanging="720"/>
        <w:rPr>
          <w:rFonts w:asciiTheme="minorHAnsi" w:hAnsiTheme="minorHAnsi"/>
          <w:bCs/>
          <w:snapToGrid w:val="0"/>
        </w:rPr>
      </w:pPr>
      <w:r w:rsidRPr="0091664F">
        <w:rPr>
          <w:rFonts w:asciiTheme="minorHAnsi" w:hAnsiTheme="minorHAnsi"/>
          <w:bCs/>
          <w:snapToGrid w:val="0"/>
        </w:rPr>
        <w:t xml:space="preserve">The submission was based on one head-to-head randomised trial (REDUCE-IT) comparing icosapent ethyl to placebo. The literature search excluded studies that assessed treatment with mixed EPA and DHA omega-3 fatty acid preparations, studies assessing EPA at lower doses, and studies that did not report cardiovascular outcomes. </w:t>
      </w:r>
      <w:r w:rsidRPr="0091664F">
        <w:rPr>
          <w:rFonts w:asciiTheme="minorHAnsi" w:hAnsiTheme="minorHAnsi"/>
          <w:bCs/>
          <w:snapToGrid w:val="0"/>
        </w:rPr>
        <w:lastRenderedPageBreak/>
        <w:t xml:space="preserve">The narrow search strategy </w:t>
      </w:r>
      <w:r w:rsidR="007E7A59" w:rsidRPr="0091664F">
        <w:rPr>
          <w:rFonts w:asciiTheme="minorHAnsi" w:hAnsiTheme="minorHAnsi"/>
          <w:bCs/>
          <w:snapToGrid w:val="0"/>
        </w:rPr>
        <w:t>likely</w:t>
      </w:r>
      <w:r w:rsidRPr="0091664F">
        <w:rPr>
          <w:rFonts w:asciiTheme="minorHAnsi" w:hAnsiTheme="minorHAnsi"/>
          <w:bCs/>
          <w:snapToGrid w:val="0"/>
        </w:rPr>
        <w:t xml:space="preserve"> resulted in exclusion of potentially informative studies.</w:t>
      </w:r>
    </w:p>
    <w:p w14:paraId="2B59ABAC" w14:textId="016D83D5" w:rsidR="00862502" w:rsidRPr="00E211D2" w:rsidRDefault="00A73134" w:rsidP="0091664F">
      <w:pPr>
        <w:widowControl w:val="0"/>
        <w:numPr>
          <w:ilvl w:val="1"/>
          <w:numId w:val="1"/>
        </w:numPr>
        <w:spacing w:after="120"/>
        <w:ind w:left="720" w:hanging="720"/>
      </w:pPr>
      <w:r w:rsidRPr="0091664F">
        <w:rPr>
          <w:rFonts w:asciiTheme="minorHAnsi" w:hAnsiTheme="minorHAnsi"/>
          <w:bCs/>
          <w:snapToGrid w:val="0"/>
        </w:rPr>
        <w:t>Details</w:t>
      </w:r>
      <w:r w:rsidRPr="00E211D2">
        <w:rPr>
          <w:lang w:val="en-US"/>
        </w:rPr>
        <w:t xml:space="preserve"> of the trials</w:t>
      </w:r>
      <w:r w:rsidR="00261E97" w:rsidRPr="00E211D2">
        <w:rPr>
          <w:lang w:val="en-US"/>
        </w:rPr>
        <w:t xml:space="preserve"> </w:t>
      </w:r>
      <w:r w:rsidRPr="00E211D2">
        <w:rPr>
          <w:lang w:val="en-US"/>
        </w:rPr>
        <w:t xml:space="preserve">presented in the submission are provided in </w:t>
      </w:r>
      <w:r w:rsidR="00696EF9" w:rsidRPr="00E211D2">
        <w:rPr>
          <w:lang w:val="en-US"/>
        </w:rPr>
        <w:fldChar w:fldCharType="begin" w:fldLock="1"/>
      </w:r>
      <w:r w:rsidR="00696EF9" w:rsidRPr="00E211D2">
        <w:rPr>
          <w:lang w:val="en-US"/>
        </w:rPr>
        <w:instrText xml:space="preserve"> REF _Ref104803956 \h </w:instrText>
      </w:r>
      <w:r w:rsidR="00E211D2" w:rsidRPr="00E211D2">
        <w:rPr>
          <w:lang w:val="en-US"/>
        </w:rPr>
        <w:instrText xml:space="preserve"> \* MERGEFORMAT </w:instrText>
      </w:r>
      <w:r w:rsidR="00696EF9" w:rsidRPr="00E211D2">
        <w:rPr>
          <w:lang w:val="en-US"/>
        </w:rPr>
      </w:r>
      <w:r w:rsidR="00696EF9" w:rsidRPr="00E211D2">
        <w:rPr>
          <w:lang w:val="en-US"/>
        </w:rPr>
        <w:fldChar w:fldCharType="separate"/>
      </w:r>
      <w:r w:rsidR="003F1735">
        <w:t xml:space="preserve">Table </w:t>
      </w:r>
      <w:r w:rsidR="003F1735">
        <w:rPr>
          <w:noProof/>
        </w:rPr>
        <w:t>2</w:t>
      </w:r>
      <w:r w:rsidR="00696EF9" w:rsidRPr="00E211D2">
        <w:rPr>
          <w:lang w:val="en-US"/>
        </w:rPr>
        <w:fldChar w:fldCharType="end"/>
      </w:r>
      <w:r w:rsidRPr="00E211D2">
        <w:rPr>
          <w:lang w:val="en-US"/>
        </w:rPr>
        <w:t>.</w:t>
      </w:r>
      <w:r w:rsidR="00BC591F" w:rsidRPr="00E211D2">
        <w:rPr>
          <w:lang w:val="en-US"/>
        </w:rPr>
        <w:t xml:space="preserve"> </w:t>
      </w:r>
    </w:p>
    <w:p w14:paraId="7DE3A286" w14:textId="74DF97D9" w:rsidR="008E0D3C" w:rsidRPr="003C2DE2" w:rsidRDefault="00696EF9" w:rsidP="002E4F02">
      <w:pPr>
        <w:pStyle w:val="COMtablefigcaption"/>
      </w:pPr>
      <w:bookmarkStart w:id="26" w:name="_Ref104803956"/>
      <w:r>
        <w:t xml:space="preserve">Table </w:t>
      </w:r>
      <w:fldSimple w:instr=" SEQ Table \* ARABIC " w:fldLock="1">
        <w:r w:rsidR="003F1735">
          <w:rPr>
            <w:noProof/>
          </w:rPr>
          <w:t>2</w:t>
        </w:r>
      </w:fldSimple>
      <w:bookmarkEnd w:id="26"/>
      <w:r>
        <w:t>:</w:t>
      </w:r>
      <w:r w:rsidR="00BC591F" w:rsidRPr="003C2DE2">
        <w:t xml:space="preserve"> </w:t>
      </w:r>
      <w:r w:rsidR="008E0D3C" w:rsidRPr="003C2DE2">
        <w:t>Trials</w:t>
      </w:r>
      <w:r w:rsidR="00261E97">
        <w:t xml:space="preserve"> </w:t>
      </w:r>
      <w:r w:rsidR="008E0D3C" w:rsidRPr="003C2DE2">
        <w:t>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Description w:val="Table 2: Trials and associated reports presented in the submission"/>
      </w:tblPr>
      <w:tblGrid>
        <w:gridCol w:w="1154"/>
        <w:gridCol w:w="5769"/>
        <w:gridCol w:w="2094"/>
      </w:tblGrid>
      <w:tr w:rsidR="00261E97" w:rsidRPr="00B41614" w14:paraId="188D5257" w14:textId="77777777" w:rsidTr="001D4554">
        <w:trPr>
          <w:tblHeader/>
        </w:trPr>
        <w:tc>
          <w:tcPr>
            <w:tcW w:w="640" w:type="pct"/>
            <w:vAlign w:val="center"/>
          </w:tcPr>
          <w:p w14:paraId="6B5404DA" w14:textId="77777777" w:rsidR="00261E97" w:rsidRPr="00B41614" w:rsidRDefault="00261E97" w:rsidP="001D4554">
            <w:pPr>
              <w:pStyle w:val="COMTableheadingrow"/>
            </w:pPr>
            <w:r w:rsidRPr="00B41614">
              <w:t>Trial ID</w:t>
            </w:r>
          </w:p>
        </w:tc>
        <w:tc>
          <w:tcPr>
            <w:tcW w:w="3199" w:type="pct"/>
            <w:tcBorders>
              <w:bottom w:val="single" w:sz="4" w:space="0" w:color="auto"/>
            </w:tcBorders>
            <w:vAlign w:val="center"/>
          </w:tcPr>
          <w:p w14:paraId="114B051A" w14:textId="77777777" w:rsidR="00261E97" w:rsidRPr="00B41614" w:rsidRDefault="00261E97" w:rsidP="001D4554">
            <w:pPr>
              <w:pStyle w:val="COMTableheadingrow"/>
              <w:jc w:val="center"/>
            </w:pPr>
            <w:r w:rsidRPr="00B41614">
              <w:t>Protocol title/ Publication title</w:t>
            </w:r>
          </w:p>
        </w:tc>
        <w:tc>
          <w:tcPr>
            <w:tcW w:w="1161" w:type="pct"/>
            <w:tcBorders>
              <w:bottom w:val="single" w:sz="4" w:space="0" w:color="auto"/>
            </w:tcBorders>
            <w:vAlign w:val="center"/>
          </w:tcPr>
          <w:p w14:paraId="060F6B20" w14:textId="77777777" w:rsidR="00261E97" w:rsidRPr="00B41614" w:rsidRDefault="00261E97" w:rsidP="001D4554">
            <w:pPr>
              <w:pStyle w:val="COMTableheadingrow"/>
              <w:jc w:val="center"/>
            </w:pPr>
            <w:r w:rsidRPr="00B41614">
              <w:t>Publication citation</w:t>
            </w:r>
          </w:p>
        </w:tc>
      </w:tr>
      <w:tr w:rsidR="00261E97" w:rsidRPr="00CB38A8" w14:paraId="3C368E7E" w14:textId="77777777" w:rsidTr="001D4554">
        <w:trPr>
          <w:trHeight w:val="903"/>
        </w:trPr>
        <w:tc>
          <w:tcPr>
            <w:tcW w:w="640" w:type="pct"/>
            <w:vMerge w:val="restart"/>
            <w:tcBorders>
              <w:right w:val="single" w:sz="4" w:space="0" w:color="auto"/>
            </w:tcBorders>
            <w:vAlign w:val="center"/>
          </w:tcPr>
          <w:p w14:paraId="009C916D" w14:textId="77777777" w:rsidR="00261E97" w:rsidRPr="00CB38A8" w:rsidRDefault="00261E97" w:rsidP="001D4554">
            <w:pPr>
              <w:pStyle w:val="COMTabletext"/>
            </w:pPr>
            <w:r>
              <w:t>REDUCE-IT</w:t>
            </w:r>
          </w:p>
        </w:tc>
        <w:tc>
          <w:tcPr>
            <w:tcW w:w="3199" w:type="pct"/>
            <w:tcBorders>
              <w:top w:val="single" w:sz="4" w:space="0" w:color="auto"/>
              <w:left w:val="single" w:sz="4" w:space="0" w:color="auto"/>
              <w:bottom w:val="nil"/>
              <w:right w:val="single" w:sz="4" w:space="0" w:color="auto"/>
            </w:tcBorders>
          </w:tcPr>
          <w:p w14:paraId="1183B075" w14:textId="5F35E31E" w:rsidR="00261E97" w:rsidRPr="00AB6248" w:rsidRDefault="00261E97" w:rsidP="001D4554">
            <w:pPr>
              <w:pStyle w:val="COMTabletext"/>
              <w:rPr>
                <w:szCs w:val="18"/>
              </w:rPr>
            </w:pPr>
            <w:r w:rsidRPr="00074E34">
              <w:rPr>
                <w:szCs w:val="18"/>
              </w:rPr>
              <w:t xml:space="preserve">Multi-Center, Prospective, Randomized, Double-Blind, Placebo-Controlled, Parallel-Group Study to Evaluate the Effect of AMR101 on Cardiovascular Health and Mortality in </w:t>
            </w:r>
            <w:proofErr w:type="spellStart"/>
            <w:r w:rsidRPr="00074E34">
              <w:rPr>
                <w:szCs w:val="18"/>
              </w:rPr>
              <w:t>Hypertriglyceridemic</w:t>
            </w:r>
            <w:proofErr w:type="spellEnd"/>
            <w:r w:rsidRPr="00074E34">
              <w:rPr>
                <w:szCs w:val="18"/>
              </w:rPr>
              <w:t xml:space="preserve"> Patients with Cardiovascular Disease or at High Risk for Cardiovascular Disease. REDUCE-ITTM (Reduction of Cardiovascular Events with EPA – Intervention Trial).</w:t>
            </w:r>
          </w:p>
        </w:tc>
        <w:tc>
          <w:tcPr>
            <w:tcW w:w="1161" w:type="pct"/>
            <w:tcBorders>
              <w:top w:val="single" w:sz="4" w:space="0" w:color="auto"/>
              <w:left w:val="single" w:sz="4" w:space="0" w:color="auto"/>
              <w:bottom w:val="nil"/>
              <w:right w:val="single" w:sz="4" w:space="0" w:color="auto"/>
            </w:tcBorders>
          </w:tcPr>
          <w:p w14:paraId="04153247" w14:textId="77777777" w:rsidR="00261E97" w:rsidRPr="00CB38A8" w:rsidRDefault="00261E97" w:rsidP="001D4554">
            <w:pPr>
              <w:pStyle w:val="COMTabletext"/>
            </w:pPr>
            <w:r>
              <w:t>Clinical study report, 27 February 2019.</w:t>
            </w:r>
          </w:p>
        </w:tc>
      </w:tr>
      <w:tr w:rsidR="00261E97" w:rsidRPr="00CB38A8" w14:paraId="42FE4C9A" w14:textId="77777777" w:rsidTr="001D4554">
        <w:trPr>
          <w:trHeight w:val="70"/>
        </w:trPr>
        <w:tc>
          <w:tcPr>
            <w:tcW w:w="640" w:type="pct"/>
            <w:vMerge/>
            <w:vAlign w:val="center"/>
          </w:tcPr>
          <w:p w14:paraId="14055EEA" w14:textId="77777777" w:rsidR="00261E97" w:rsidRDefault="00261E97" w:rsidP="001D4554">
            <w:pPr>
              <w:pStyle w:val="COMTabletext"/>
            </w:pPr>
          </w:p>
        </w:tc>
        <w:tc>
          <w:tcPr>
            <w:tcW w:w="3199" w:type="pct"/>
            <w:tcBorders>
              <w:top w:val="nil"/>
              <w:bottom w:val="nil"/>
            </w:tcBorders>
          </w:tcPr>
          <w:p w14:paraId="2D16FECA" w14:textId="7E617E79" w:rsidR="00261E97" w:rsidRPr="00074E34" w:rsidRDefault="00261E97" w:rsidP="001D4554">
            <w:pPr>
              <w:pStyle w:val="COMTabletext"/>
              <w:rPr>
                <w:szCs w:val="18"/>
              </w:rPr>
            </w:pPr>
            <w:r w:rsidRPr="00074E34">
              <w:rPr>
                <w:szCs w:val="18"/>
              </w:rPr>
              <w:t>Bhatt DL, Steg PG, Miller M</w:t>
            </w:r>
            <w:r>
              <w:rPr>
                <w:szCs w:val="18"/>
              </w:rPr>
              <w:t>,</w:t>
            </w:r>
            <w:r w:rsidRPr="00074E34">
              <w:rPr>
                <w:szCs w:val="18"/>
              </w:rPr>
              <w:t xml:space="preserve"> Brinton EA</w:t>
            </w:r>
            <w:r>
              <w:rPr>
                <w:szCs w:val="18"/>
              </w:rPr>
              <w:t xml:space="preserve"> et. al.</w:t>
            </w:r>
            <w:r w:rsidRPr="00074E34">
              <w:rPr>
                <w:szCs w:val="18"/>
              </w:rPr>
              <w:t xml:space="preserve"> Cardiovascular risk reduction with icosapent ethyl for hypertriglyceridemia.</w:t>
            </w:r>
          </w:p>
        </w:tc>
        <w:tc>
          <w:tcPr>
            <w:tcW w:w="1161" w:type="pct"/>
            <w:tcBorders>
              <w:top w:val="nil"/>
              <w:bottom w:val="nil"/>
            </w:tcBorders>
          </w:tcPr>
          <w:p w14:paraId="663965AB" w14:textId="77777777" w:rsidR="00261E97" w:rsidRDefault="00261E97" w:rsidP="001D4554">
            <w:pPr>
              <w:pStyle w:val="COMTabletext"/>
            </w:pPr>
            <w:r w:rsidRPr="00755E7F">
              <w:rPr>
                <w:i/>
                <w:iCs/>
                <w:szCs w:val="18"/>
              </w:rPr>
              <w:t>N Engl J Med</w:t>
            </w:r>
            <w:r>
              <w:rPr>
                <w:i/>
                <w:iCs/>
                <w:szCs w:val="18"/>
              </w:rPr>
              <w:t>.</w:t>
            </w:r>
            <w:r w:rsidRPr="00755E7F">
              <w:rPr>
                <w:i/>
                <w:iCs/>
                <w:szCs w:val="18"/>
              </w:rPr>
              <w:t xml:space="preserve"> </w:t>
            </w:r>
            <w:r>
              <w:rPr>
                <w:szCs w:val="18"/>
              </w:rPr>
              <w:t xml:space="preserve">2019; </w:t>
            </w:r>
            <w:r w:rsidRPr="00074E34">
              <w:rPr>
                <w:szCs w:val="18"/>
              </w:rPr>
              <w:t>380(1)</w:t>
            </w:r>
            <w:r>
              <w:rPr>
                <w:szCs w:val="18"/>
              </w:rPr>
              <w:t xml:space="preserve">: </w:t>
            </w:r>
            <w:r w:rsidRPr="00074E34">
              <w:rPr>
                <w:szCs w:val="18"/>
              </w:rPr>
              <w:t>11-22.</w:t>
            </w:r>
          </w:p>
        </w:tc>
      </w:tr>
      <w:tr w:rsidR="00261E97" w:rsidRPr="00CB38A8" w14:paraId="1EF81837" w14:textId="77777777" w:rsidTr="001D4554">
        <w:trPr>
          <w:trHeight w:val="145"/>
        </w:trPr>
        <w:tc>
          <w:tcPr>
            <w:tcW w:w="640" w:type="pct"/>
            <w:vMerge/>
            <w:vAlign w:val="center"/>
          </w:tcPr>
          <w:p w14:paraId="30CD96F9" w14:textId="77777777" w:rsidR="00261E97" w:rsidRPr="00CB38A8" w:rsidRDefault="00261E97" w:rsidP="001D4554">
            <w:pPr>
              <w:pStyle w:val="COMTabletext"/>
            </w:pPr>
          </w:p>
        </w:tc>
        <w:tc>
          <w:tcPr>
            <w:tcW w:w="3199" w:type="pct"/>
            <w:tcBorders>
              <w:top w:val="nil"/>
              <w:bottom w:val="nil"/>
            </w:tcBorders>
          </w:tcPr>
          <w:p w14:paraId="5A259EEE" w14:textId="77777777" w:rsidR="00261E97" w:rsidRPr="00E34A35" w:rsidRDefault="00261E97" w:rsidP="001D4554">
            <w:pPr>
              <w:pStyle w:val="COMTabletext"/>
              <w:rPr>
                <w:szCs w:val="18"/>
              </w:rPr>
            </w:pPr>
            <w:r w:rsidRPr="001D5EEB">
              <w:rPr>
                <w:szCs w:val="18"/>
              </w:rPr>
              <w:t>Bhatt DL, Steg PG, Miller</w:t>
            </w:r>
            <w:r>
              <w:rPr>
                <w:szCs w:val="18"/>
              </w:rPr>
              <w:t xml:space="preserve"> </w:t>
            </w:r>
            <w:r w:rsidRPr="001D5EEB">
              <w:rPr>
                <w:szCs w:val="18"/>
              </w:rPr>
              <w:t>M, Brinton EA</w:t>
            </w:r>
            <w:r>
              <w:rPr>
                <w:szCs w:val="18"/>
              </w:rPr>
              <w:t xml:space="preserve"> </w:t>
            </w:r>
            <w:r w:rsidRPr="00874E76">
              <w:rPr>
                <w:i/>
                <w:iCs/>
                <w:szCs w:val="18"/>
              </w:rPr>
              <w:t>et al</w:t>
            </w:r>
            <w:r>
              <w:rPr>
                <w:szCs w:val="18"/>
              </w:rPr>
              <w:t xml:space="preserve">. </w:t>
            </w:r>
            <w:r w:rsidRPr="001D5EEB">
              <w:rPr>
                <w:szCs w:val="18"/>
              </w:rPr>
              <w:t>Effects of Icosapent Ethyl on Total Ischemic Events: from REDUCE-IT.</w:t>
            </w:r>
          </w:p>
        </w:tc>
        <w:tc>
          <w:tcPr>
            <w:tcW w:w="1161" w:type="pct"/>
            <w:tcBorders>
              <w:top w:val="nil"/>
              <w:bottom w:val="nil"/>
            </w:tcBorders>
          </w:tcPr>
          <w:p w14:paraId="704EED72" w14:textId="77777777" w:rsidR="00261E97" w:rsidRPr="00E34A35" w:rsidRDefault="00261E97" w:rsidP="001D4554">
            <w:pPr>
              <w:pStyle w:val="COMTabletext"/>
              <w:rPr>
                <w:szCs w:val="18"/>
              </w:rPr>
            </w:pPr>
            <w:r w:rsidRPr="00755E7F">
              <w:rPr>
                <w:i/>
                <w:iCs/>
                <w:szCs w:val="18"/>
              </w:rPr>
              <w:t xml:space="preserve">J Am Coll </w:t>
            </w:r>
            <w:proofErr w:type="spellStart"/>
            <w:r w:rsidRPr="00755E7F">
              <w:rPr>
                <w:i/>
                <w:iCs/>
                <w:szCs w:val="18"/>
              </w:rPr>
              <w:t>Cardiol</w:t>
            </w:r>
            <w:proofErr w:type="spellEnd"/>
            <w:r w:rsidRPr="00755E7F">
              <w:rPr>
                <w:i/>
                <w:iCs/>
                <w:szCs w:val="18"/>
              </w:rPr>
              <w:t xml:space="preserve">. </w:t>
            </w:r>
            <w:r w:rsidRPr="001D5EEB">
              <w:rPr>
                <w:szCs w:val="18"/>
              </w:rPr>
              <w:t>2019</w:t>
            </w:r>
            <w:r>
              <w:rPr>
                <w:szCs w:val="18"/>
              </w:rPr>
              <w:t>;</w:t>
            </w:r>
            <w:r w:rsidRPr="001D5EEB">
              <w:rPr>
                <w:szCs w:val="18"/>
              </w:rPr>
              <w:t xml:space="preserve"> 73(22)</w:t>
            </w:r>
            <w:r>
              <w:rPr>
                <w:szCs w:val="18"/>
              </w:rPr>
              <w:t xml:space="preserve">: </w:t>
            </w:r>
            <w:r w:rsidRPr="001D5EEB">
              <w:rPr>
                <w:szCs w:val="18"/>
              </w:rPr>
              <w:t>2791</w:t>
            </w:r>
            <w:r w:rsidRPr="001D5EEB">
              <w:rPr>
                <w:rFonts w:ascii="Cambria Math" w:hAnsi="Cambria Math" w:cs="Cambria Math"/>
                <w:szCs w:val="18"/>
              </w:rPr>
              <w:t>‐</w:t>
            </w:r>
            <w:r w:rsidRPr="001D5EEB">
              <w:rPr>
                <w:szCs w:val="18"/>
              </w:rPr>
              <w:t>2802.</w:t>
            </w:r>
          </w:p>
        </w:tc>
      </w:tr>
      <w:tr w:rsidR="00261E97" w:rsidRPr="00CB38A8" w14:paraId="7898646F" w14:textId="77777777" w:rsidTr="001D4554">
        <w:trPr>
          <w:trHeight w:val="70"/>
        </w:trPr>
        <w:tc>
          <w:tcPr>
            <w:tcW w:w="640" w:type="pct"/>
            <w:vMerge/>
            <w:vAlign w:val="center"/>
          </w:tcPr>
          <w:p w14:paraId="2EC5BBBD" w14:textId="77777777" w:rsidR="00261E97" w:rsidRPr="00CB38A8" w:rsidRDefault="00261E97" w:rsidP="001D4554">
            <w:pPr>
              <w:pStyle w:val="COMTabletext"/>
            </w:pPr>
          </w:p>
        </w:tc>
        <w:tc>
          <w:tcPr>
            <w:tcW w:w="3199" w:type="pct"/>
            <w:tcBorders>
              <w:top w:val="nil"/>
              <w:bottom w:val="nil"/>
            </w:tcBorders>
            <w:vAlign w:val="center"/>
          </w:tcPr>
          <w:p w14:paraId="72C01F9E" w14:textId="77777777" w:rsidR="00261E97" w:rsidRPr="001D5EEB" w:rsidRDefault="00261E97" w:rsidP="001D4554">
            <w:pPr>
              <w:pStyle w:val="COMTabletext"/>
              <w:rPr>
                <w:szCs w:val="18"/>
              </w:rPr>
            </w:pPr>
            <w:r w:rsidRPr="001D5EEB">
              <w:rPr>
                <w:szCs w:val="18"/>
                <w:lang w:val="en-US"/>
              </w:rPr>
              <w:t>Gaba P, Bhatt DL, Steg PG, Miller, M</w:t>
            </w:r>
            <w:r>
              <w:rPr>
                <w:szCs w:val="18"/>
                <w:lang w:val="en-US"/>
              </w:rPr>
              <w:t xml:space="preserve"> </w:t>
            </w:r>
            <w:r w:rsidRPr="00874E76">
              <w:rPr>
                <w:i/>
                <w:iCs/>
                <w:szCs w:val="18"/>
                <w:lang w:val="en-US"/>
              </w:rPr>
              <w:t>et al</w:t>
            </w:r>
            <w:r>
              <w:rPr>
                <w:szCs w:val="18"/>
                <w:lang w:val="en-US"/>
              </w:rPr>
              <w:t xml:space="preserve">. </w:t>
            </w:r>
            <w:r w:rsidRPr="001D5EEB">
              <w:rPr>
                <w:szCs w:val="18"/>
                <w:lang w:val="en-US"/>
              </w:rPr>
              <w:t xml:space="preserve">Prevention of Cardiovascular Events and Mortality </w:t>
            </w:r>
            <w:proofErr w:type="gramStart"/>
            <w:r w:rsidRPr="001D5EEB">
              <w:rPr>
                <w:szCs w:val="18"/>
                <w:lang w:val="en-US"/>
              </w:rPr>
              <w:t>With</w:t>
            </w:r>
            <w:proofErr w:type="gramEnd"/>
            <w:r w:rsidRPr="001D5EEB">
              <w:rPr>
                <w:szCs w:val="18"/>
                <w:lang w:val="en-US"/>
              </w:rPr>
              <w:t xml:space="preserve"> Icosapent Ethyl in Patients With Prior Myocardial Infarction.</w:t>
            </w:r>
          </w:p>
        </w:tc>
        <w:tc>
          <w:tcPr>
            <w:tcW w:w="1161" w:type="pct"/>
            <w:tcBorders>
              <w:top w:val="nil"/>
              <w:bottom w:val="nil"/>
            </w:tcBorders>
          </w:tcPr>
          <w:p w14:paraId="4F89E80F" w14:textId="77777777" w:rsidR="00261E97" w:rsidRPr="00E34A35" w:rsidRDefault="00261E97" w:rsidP="001D4554">
            <w:pPr>
              <w:pStyle w:val="COMTabletext"/>
              <w:rPr>
                <w:szCs w:val="18"/>
              </w:rPr>
            </w:pPr>
            <w:r w:rsidRPr="00755E7F">
              <w:rPr>
                <w:i/>
                <w:iCs/>
                <w:szCs w:val="18"/>
              </w:rPr>
              <w:t xml:space="preserve">J Am Coll </w:t>
            </w:r>
            <w:proofErr w:type="spellStart"/>
            <w:r w:rsidRPr="00755E7F">
              <w:rPr>
                <w:i/>
                <w:iCs/>
                <w:szCs w:val="18"/>
              </w:rPr>
              <w:t>Cardiol</w:t>
            </w:r>
            <w:proofErr w:type="spellEnd"/>
            <w:r w:rsidRPr="00755E7F">
              <w:rPr>
                <w:i/>
                <w:iCs/>
                <w:szCs w:val="18"/>
              </w:rPr>
              <w:t xml:space="preserve">. </w:t>
            </w:r>
            <w:r>
              <w:rPr>
                <w:szCs w:val="18"/>
                <w:lang w:val="en-US"/>
              </w:rPr>
              <w:t>2022;</w:t>
            </w:r>
            <w:r w:rsidRPr="001D5EEB">
              <w:rPr>
                <w:szCs w:val="18"/>
                <w:lang w:val="en-US"/>
              </w:rPr>
              <w:t xml:space="preserve"> 79(17)</w:t>
            </w:r>
            <w:r>
              <w:rPr>
                <w:szCs w:val="18"/>
                <w:lang w:val="en-US"/>
              </w:rPr>
              <w:t xml:space="preserve">: </w:t>
            </w:r>
            <w:r w:rsidRPr="001D5EEB">
              <w:rPr>
                <w:szCs w:val="18"/>
                <w:lang w:val="en-US"/>
              </w:rPr>
              <w:t>1660</w:t>
            </w:r>
            <w:r w:rsidRPr="001D5EEB">
              <w:rPr>
                <w:rFonts w:ascii="Cambria Math" w:hAnsi="Cambria Math" w:cs="Cambria Math"/>
                <w:szCs w:val="18"/>
                <w:lang w:val="en-US"/>
              </w:rPr>
              <w:t>‐</w:t>
            </w:r>
            <w:r w:rsidRPr="001D5EEB">
              <w:rPr>
                <w:szCs w:val="18"/>
                <w:lang w:val="en-US"/>
              </w:rPr>
              <w:t xml:space="preserve">1671. </w:t>
            </w:r>
          </w:p>
        </w:tc>
      </w:tr>
      <w:tr w:rsidR="00261E97" w:rsidRPr="00CB38A8" w14:paraId="3883D79C" w14:textId="77777777" w:rsidTr="001D4554">
        <w:trPr>
          <w:trHeight w:val="70"/>
        </w:trPr>
        <w:tc>
          <w:tcPr>
            <w:tcW w:w="640" w:type="pct"/>
            <w:vMerge/>
            <w:vAlign w:val="center"/>
          </w:tcPr>
          <w:p w14:paraId="0951E020" w14:textId="77777777" w:rsidR="00261E97" w:rsidRPr="00CB38A8" w:rsidRDefault="00261E97" w:rsidP="001D4554">
            <w:pPr>
              <w:pStyle w:val="COMTabletext"/>
            </w:pPr>
          </w:p>
        </w:tc>
        <w:tc>
          <w:tcPr>
            <w:tcW w:w="3199" w:type="pct"/>
            <w:tcBorders>
              <w:top w:val="nil"/>
              <w:bottom w:val="nil"/>
            </w:tcBorders>
          </w:tcPr>
          <w:p w14:paraId="250FF163" w14:textId="77777777" w:rsidR="00261E97" w:rsidRPr="001D5EEB" w:rsidRDefault="00261E97" w:rsidP="001D4554">
            <w:pPr>
              <w:pStyle w:val="COMTabletext"/>
              <w:rPr>
                <w:szCs w:val="18"/>
              </w:rPr>
            </w:pPr>
            <w:r w:rsidRPr="001D5EEB">
              <w:rPr>
                <w:szCs w:val="18"/>
              </w:rPr>
              <w:t xml:space="preserve">Gaba P, Bhatt DL, </w:t>
            </w:r>
            <w:proofErr w:type="spellStart"/>
            <w:r w:rsidRPr="001D5EEB">
              <w:rPr>
                <w:szCs w:val="18"/>
              </w:rPr>
              <w:t>Giugliano</w:t>
            </w:r>
            <w:proofErr w:type="spellEnd"/>
            <w:r w:rsidRPr="001D5EEB">
              <w:rPr>
                <w:szCs w:val="18"/>
              </w:rPr>
              <w:t xml:space="preserve"> RP, Steg PG</w:t>
            </w:r>
            <w:r>
              <w:rPr>
                <w:szCs w:val="18"/>
              </w:rPr>
              <w:t xml:space="preserve"> </w:t>
            </w:r>
            <w:r w:rsidRPr="00874E76">
              <w:rPr>
                <w:i/>
                <w:iCs/>
                <w:szCs w:val="18"/>
              </w:rPr>
              <w:t>et al</w:t>
            </w:r>
            <w:r>
              <w:rPr>
                <w:szCs w:val="18"/>
              </w:rPr>
              <w:t xml:space="preserve">. </w:t>
            </w:r>
            <w:r w:rsidRPr="001D5EEB">
              <w:rPr>
                <w:szCs w:val="18"/>
              </w:rPr>
              <w:t>Comparative Reductions in Investigator-Reported and Adjudicated Ischemic Events in REDUCE-IT.</w:t>
            </w:r>
          </w:p>
        </w:tc>
        <w:tc>
          <w:tcPr>
            <w:tcW w:w="1161" w:type="pct"/>
            <w:tcBorders>
              <w:top w:val="nil"/>
              <w:bottom w:val="nil"/>
            </w:tcBorders>
          </w:tcPr>
          <w:p w14:paraId="6FAC1A8F" w14:textId="77777777" w:rsidR="00261E97" w:rsidRPr="00E34A35" w:rsidRDefault="00261E97" w:rsidP="001D4554">
            <w:pPr>
              <w:pStyle w:val="COMTabletext"/>
              <w:rPr>
                <w:szCs w:val="18"/>
              </w:rPr>
            </w:pPr>
            <w:r w:rsidRPr="00755E7F">
              <w:rPr>
                <w:i/>
                <w:iCs/>
                <w:szCs w:val="18"/>
              </w:rPr>
              <w:t xml:space="preserve">J Am Coll </w:t>
            </w:r>
            <w:proofErr w:type="spellStart"/>
            <w:r w:rsidRPr="00755E7F">
              <w:rPr>
                <w:i/>
                <w:iCs/>
                <w:szCs w:val="18"/>
              </w:rPr>
              <w:t>Cardiol</w:t>
            </w:r>
            <w:proofErr w:type="spellEnd"/>
            <w:r w:rsidRPr="00755E7F">
              <w:rPr>
                <w:i/>
                <w:iCs/>
                <w:szCs w:val="18"/>
              </w:rPr>
              <w:t xml:space="preserve">. </w:t>
            </w:r>
            <w:r>
              <w:rPr>
                <w:szCs w:val="18"/>
              </w:rPr>
              <w:t>2021;</w:t>
            </w:r>
            <w:r w:rsidRPr="001D5EEB">
              <w:rPr>
                <w:szCs w:val="18"/>
              </w:rPr>
              <w:t xml:space="preserve"> 78(15)</w:t>
            </w:r>
            <w:r>
              <w:rPr>
                <w:szCs w:val="18"/>
              </w:rPr>
              <w:t>:</w:t>
            </w:r>
            <w:r w:rsidRPr="001D5EEB">
              <w:rPr>
                <w:szCs w:val="18"/>
              </w:rPr>
              <w:t xml:space="preserve"> 1525-1537.</w:t>
            </w:r>
          </w:p>
        </w:tc>
      </w:tr>
      <w:tr w:rsidR="00261E97" w:rsidRPr="00CB38A8" w14:paraId="233A67C0" w14:textId="77777777" w:rsidTr="001D4554">
        <w:trPr>
          <w:trHeight w:val="70"/>
        </w:trPr>
        <w:tc>
          <w:tcPr>
            <w:tcW w:w="640" w:type="pct"/>
            <w:vMerge/>
            <w:vAlign w:val="center"/>
          </w:tcPr>
          <w:p w14:paraId="34F358A9" w14:textId="77777777" w:rsidR="00261E97" w:rsidRPr="00CB38A8" w:rsidRDefault="00261E97" w:rsidP="001D4554">
            <w:pPr>
              <w:pStyle w:val="COMTabletext"/>
            </w:pPr>
          </w:p>
        </w:tc>
        <w:tc>
          <w:tcPr>
            <w:tcW w:w="3199" w:type="pct"/>
            <w:tcBorders>
              <w:top w:val="nil"/>
              <w:bottom w:val="nil"/>
            </w:tcBorders>
          </w:tcPr>
          <w:p w14:paraId="769D0ED4" w14:textId="3156DA27" w:rsidR="00261E97" w:rsidRPr="001D5EEB" w:rsidRDefault="00261E97" w:rsidP="001D4554">
            <w:pPr>
              <w:pStyle w:val="COMTabletext"/>
              <w:rPr>
                <w:szCs w:val="18"/>
              </w:rPr>
            </w:pPr>
            <w:proofErr w:type="spellStart"/>
            <w:r w:rsidRPr="001D5EEB">
              <w:rPr>
                <w:szCs w:val="18"/>
              </w:rPr>
              <w:t>Majithia</w:t>
            </w:r>
            <w:proofErr w:type="spellEnd"/>
            <w:r w:rsidRPr="001D5EEB">
              <w:rPr>
                <w:szCs w:val="18"/>
              </w:rPr>
              <w:t xml:space="preserve"> A, Bhatt DL, Friedman AN, Miller M</w:t>
            </w:r>
            <w:r>
              <w:rPr>
                <w:szCs w:val="18"/>
              </w:rPr>
              <w:t xml:space="preserve"> </w:t>
            </w:r>
            <w:r w:rsidRPr="00874E76">
              <w:rPr>
                <w:i/>
                <w:iCs/>
                <w:szCs w:val="18"/>
              </w:rPr>
              <w:t>et al</w:t>
            </w:r>
            <w:r>
              <w:rPr>
                <w:szCs w:val="18"/>
              </w:rPr>
              <w:t xml:space="preserve">. </w:t>
            </w:r>
            <w:r w:rsidRPr="001D5EEB">
              <w:rPr>
                <w:szCs w:val="18"/>
              </w:rPr>
              <w:t>Benefits of Icosapent Ethyl Across the Range of Kidney Function in Patients With Established Cardiovascular Disease or Diabetes: REDUCE-IT RENAL.</w:t>
            </w:r>
          </w:p>
        </w:tc>
        <w:tc>
          <w:tcPr>
            <w:tcW w:w="1161" w:type="pct"/>
            <w:tcBorders>
              <w:top w:val="nil"/>
              <w:bottom w:val="nil"/>
            </w:tcBorders>
          </w:tcPr>
          <w:p w14:paraId="024EC724" w14:textId="77777777" w:rsidR="00261E97" w:rsidRPr="00E34A35" w:rsidRDefault="00261E97" w:rsidP="001D4554">
            <w:pPr>
              <w:pStyle w:val="COMTabletext"/>
              <w:rPr>
                <w:szCs w:val="18"/>
              </w:rPr>
            </w:pPr>
            <w:r w:rsidRPr="00695092">
              <w:rPr>
                <w:i/>
                <w:iCs/>
                <w:szCs w:val="18"/>
              </w:rPr>
              <w:t>Circulation</w:t>
            </w:r>
            <w:r>
              <w:rPr>
                <w:i/>
                <w:iCs/>
                <w:szCs w:val="18"/>
              </w:rPr>
              <w:t xml:space="preserve"> 2021;</w:t>
            </w:r>
            <w:r w:rsidRPr="001D5EEB">
              <w:rPr>
                <w:szCs w:val="18"/>
              </w:rPr>
              <w:t xml:space="preserve"> 144(22),</w:t>
            </w:r>
            <w:r>
              <w:rPr>
                <w:szCs w:val="18"/>
              </w:rPr>
              <w:t>:</w:t>
            </w:r>
            <w:r w:rsidRPr="001D5EEB">
              <w:rPr>
                <w:szCs w:val="18"/>
              </w:rPr>
              <w:t>1750-1759.</w:t>
            </w:r>
          </w:p>
        </w:tc>
      </w:tr>
      <w:tr w:rsidR="00261E97" w:rsidRPr="00CB38A8" w14:paraId="1B6DD0BA" w14:textId="77777777" w:rsidTr="001D4554">
        <w:trPr>
          <w:trHeight w:val="501"/>
        </w:trPr>
        <w:tc>
          <w:tcPr>
            <w:tcW w:w="640" w:type="pct"/>
            <w:vMerge/>
            <w:vAlign w:val="center"/>
          </w:tcPr>
          <w:p w14:paraId="12AB0905" w14:textId="77777777" w:rsidR="00261E97" w:rsidRPr="00CB38A8" w:rsidRDefault="00261E97" w:rsidP="001D4554">
            <w:pPr>
              <w:pStyle w:val="COMTabletext"/>
            </w:pPr>
          </w:p>
        </w:tc>
        <w:tc>
          <w:tcPr>
            <w:tcW w:w="3199" w:type="pct"/>
            <w:tcBorders>
              <w:top w:val="nil"/>
              <w:bottom w:val="nil"/>
            </w:tcBorders>
          </w:tcPr>
          <w:p w14:paraId="4685CE3F" w14:textId="77777777" w:rsidR="00261E97" w:rsidRPr="001D5EEB" w:rsidRDefault="00261E97" w:rsidP="001D4554">
            <w:pPr>
              <w:pStyle w:val="COMTabletext"/>
              <w:rPr>
                <w:szCs w:val="18"/>
              </w:rPr>
            </w:pPr>
            <w:r w:rsidRPr="001D5EEB">
              <w:rPr>
                <w:szCs w:val="18"/>
              </w:rPr>
              <w:t>Miller M, Bhatt DL, Steg PG, Brinton EA</w:t>
            </w:r>
            <w:r>
              <w:rPr>
                <w:szCs w:val="18"/>
              </w:rPr>
              <w:t xml:space="preserve"> </w:t>
            </w:r>
            <w:r w:rsidRPr="00874E76">
              <w:rPr>
                <w:i/>
                <w:iCs/>
                <w:szCs w:val="18"/>
              </w:rPr>
              <w:t>et al</w:t>
            </w:r>
            <w:r>
              <w:rPr>
                <w:szCs w:val="18"/>
              </w:rPr>
              <w:t xml:space="preserve">. </w:t>
            </w:r>
            <w:r w:rsidRPr="001D5EEB">
              <w:rPr>
                <w:szCs w:val="18"/>
              </w:rPr>
              <w:t>Potential Effects of Icosapent Ethyl on Cardiovascular Outcomes in Cigarette Smokers: REDUCE-IT Smoking.</w:t>
            </w:r>
          </w:p>
        </w:tc>
        <w:tc>
          <w:tcPr>
            <w:tcW w:w="1161" w:type="pct"/>
            <w:tcBorders>
              <w:top w:val="nil"/>
              <w:bottom w:val="nil"/>
            </w:tcBorders>
          </w:tcPr>
          <w:p w14:paraId="16462107" w14:textId="77777777" w:rsidR="00261E97" w:rsidRPr="002915B8" w:rsidRDefault="00261E97" w:rsidP="001D4554">
            <w:pPr>
              <w:pStyle w:val="COMTabletext"/>
              <w:rPr>
                <w:i/>
                <w:iCs/>
                <w:szCs w:val="18"/>
              </w:rPr>
            </w:pPr>
            <w:r w:rsidRPr="002915B8">
              <w:rPr>
                <w:i/>
                <w:iCs/>
                <w:szCs w:val="18"/>
              </w:rPr>
              <w:t xml:space="preserve">Eur Heart J Cardiovasc </w:t>
            </w:r>
            <w:proofErr w:type="spellStart"/>
            <w:r w:rsidRPr="002915B8">
              <w:rPr>
                <w:i/>
                <w:iCs/>
                <w:szCs w:val="18"/>
              </w:rPr>
              <w:t>Pharmacother</w:t>
            </w:r>
            <w:proofErr w:type="spellEnd"/>
            <w:r>
              <w:rPr>
                <w:i/>
                <w:iCs/>
                <w:szCs w:val="18"/>
              </w:rPr>
              <w:t xml:space="preserve"> </w:t>
            </w:r>
            <w:r>
              <w:rPr>
                <w:szCs w:val="18"/>
              </w:rPr>
              <w:t xml:space="preserve">2023; </w:t>
            </w:r>
            <w:r w:rsidRPr="001D5EEB">
              <w:rPr>
                <w:szCs w:val="18"/>
              </w:rPr>
              <w:t>9(2)</w:t>
            </w:r>
            <w:r>
              <w:rPr>
                <w:szCs w:val="18"/>
              </w:rPr>
              <w:t xml:space="preserve">: </w:t>
            </w:r>
            <w:r w:rsidRPr="001D5EEB">
              <w:rPr>
                <w:szCs w:val="18"/>
              </w:rPr>
              <w:t>129</w:t>
            </w:r>
            <w:r w:rsidRPr="001D5EEB">
              <w:rPr>
                <w:rFonts w:ascii="Cambria Math" w:hAnsi="Cambria Math" w:cs="Cambria Math"/>
                <w:szCs w:val="18"/>
              </w:rPr>
              <w:t>‐</w:t>
            </w:r>
            <w:r w:rsidRPr="001D5EEB">
              <w:rPr>
                <w:szCs w:val="18"/>
              </w:rPr>
              <w:t xml:space="preserve">137. </w:t>
            </w:r>
          </w:p>
        </w:tc>
      </w:tr>
      <w:tr w:rsidR="00261E97" w:rsidRPr="00CB38A8" w14:paraId="1655E4D4" w14:textId="77777777" w:rsidTr="001D4554">
        <w:trPr>
          <w:trHeight w:val="70"/>
        </w:trPr>
        <w:tc>
          <w:tcPr>
            <w:tcW w:w="640" w:type="pct"/>
            <w:vMerge/>
            <w:vAlign w:val="center"/>
          </w:tcPr>
          <w:p w14:paraId="5EED3879" w14:textId="77777777" w:rsidR="00261E97" w:rsidRPr="00CB38A8" w:rsidRDefault="00261E97" w:rsidP="001D4554">
            <w:pPr>
              <w:pStyle w:val="COMTabletext"/>
            </w:pPr>
          </w:p>
        </w:tc>
        <w:tc>
          <w:tcPr>
            <w:tcW w:w="3199" w:type="pct"/>
            <w:tcBorders>
              <w:top w:val="nil"/>
              <w:bottom w:val="nil"/>
            </w:tcBorders>
          </w:tcPr>
          <w:p w14:paraId="4D9C700B" w14:textId="77777777" w:rsidR="00261E97" w:rsidRPr="001D5EEB" w:rsidRDefault="00261E97" w:rsidP="001D4554">
            <w:pPr>
              <w:pStyle w:val="COMTabletext"/>
              <w:rPr>
                <w:szCs w:val="18"/>
              </w:rPr>
            </w:pPr>
            <w:r w:rsidRPr="001D5EEB">
              <w:rPr>
                <w:szCs w:val="18"/>
              </w:rPr>
              <w:t>Olshansky B, Bhatt DL, Miller M, Steg PG</w:t>
            </w:r>
            <w:r>
              <w:rPr>
                <w:szCs w:val="18"/>
              </w:rPr>
              <w:t xml:space="preserve"> </w:t>
            </w:r>
            <w:r w:rsidRPr="00874E76">
              <w:rPr>
                <w:i/>
                <w:iCs/>
                <w:szCs w:val="18"/>
              </w:rPr>
              <w:t>et al</w:t>
            </w:r>
            <w:r>
              <w:rPr>
                <w:szCs w:val="18"/>
              </w:rPr>
              <w:t xml:space="preserve">. </w:t>
            </w:r>
            <w:r w:rsidRPr="001D5EEB">
              <w:rPr>
                <w:szCs w:val="18"/>
              </w:rPr>
              <w:t>Cardiovascular Benefits of Icosapent Ethyl in Patients With and Without Atrial Fibrillation in REDUCE-IT.</w:t>
            </w:r>
          </w:p>
        </w:tc>
        <w:tc>
          <w:tcPr>
            <w:tcW w:w="1161" w:type="pct"/>
            <w:tcBorders>
              <w:top w:val="nil"/>
              <w:bottom w:val="nil"/>
            </w:tcBorders>
          </w:tcPr>
          <w:p w14:paraId="05833A07" w14:textId="4A45671F" w:rsidR="00261E97" w:rsidRPr="00E34A35" w:rsidRDefault="00261E97" w:rsidP="001D4554">
            <w:pPr>
              <w:pStyle w:val="COMTabletext"/>
              <w:rPr>
                <w:szCs w:val="18"/>
              </w:rPr>
            </w:pPr>
            <w:r w:rsidRPr="002915B8">
              <w:rPr>
                <w:i/>
                <w:iCs/>
                <w:szCs w:val="18"/>
              </w:rPr>
              <w:t>J Am Heart Assoc</w:t>
            </w:r>
            <w:r>
              <w:rPr>
                <w:i/>
                <w:iCs/>
                <w:szCs w:val="18"/>
              </w:rPr>
              <w:t xml:space="preserve">. </w:t>
            </w:r>
            <w:r>
              <w:rPr>
                <w:szCs w:val="18"/>
              </w:rPr>
              <w:t xml:space="preserve">2023; </w:t>
            </w:r>
            <w:r w:rsidRPr="001D5EEB">
              <w:rPr>
                <w:szCs w:val="18"/>
              </w:rPr>
              <w:t>12(5)</w:t>
            </w:r>
            <w:r>
              <w:rPr>
                <w:szCs w:val="18"/>
              </w:rPr>
              <w:t xml:space="preserve">: </w:t>
            </w:r>
            <w:r w:rsidRPr="001D5EEB">
              <w:rPr>
                <w:szCs w:val="18"/>
              </w:rPr>
              <w:t>e026756.</w:t>
            </w:r>
          </w:p>
        </w:tc>
      </w:tr>
      <w:tr w:rsidR="00261E97" w:rsidRPr="00CB38A8" w14:paraId="1EB7F166" w14:textId="77777777" w:rsidTr="001D4554">
        <w:trPr>
          <w:trHeight w:val="70"/>
        </w:trPr>
        <w:tc>
          <w:tcPr>
            <w:tcW w:w="640" w:type="pct"/>
            <w:vMerge/>
            <w:vAlign w:val="center"/>
          </w:tcPr>
          <w:p w14:paraId="78385B06" w14:textId="77777777" w:rsidR="00261E97" w:rsidRPr="00CB38A8" w:rsidRDefault="00261E97" w:rsidP="001D4554">
            <w:pPr>
              <w:pStyle w:val="COMTabletext"/>
            </w:pPr>
          </w:p>
        </w:tc>
        <w:tc>
          <w:tcPr>
            <w:tcW w:w="3199" w:type="pct"/>
            <w:tcBorders>
              <w:top w:val="nil"/>
              <w:bottom w:val="nil"/>
            </w:tcBorders>
          </w:tcPr>
          <w:p w14:paraId="2508F65C" w14:textId="6BFBE55A" w:rsidR="00261E97" w:rsidRPr="001D5EEB" w:rsidRDefault="00261E97" w:rsidP="001D4554">
            <w:pPr>
              <w:pStyle w:val="COMTabletext"/>
              <w:rPr>
                <w:szCs w:val="18"/>
              </w:rPr>
            </w:pPr>
            <w:r w:rsidRPr="001D5EEB">
              <w:rPr>
                <w:szCs w:val="18"/>
              </w:rPr>
              <w:t>Peterson</w:t>
            </w:r>
            <w:r>
              <w:rPr>
                <w:szCs w:val="18"/>
              </w:rPr>
              <w:t xml:space="preserve"> </w:t>
            </w:r>
            <w:r w:rsidRPr="001D5EEB">
              <w:rPr>
                <w:szCs w:val="18"/>
              </w:rPr>
              <w:t>BE, Bhatt DL, Steg PG, Miller</w:t>
            </w:r>
            <w:r>
              <w:rPr>
                <w:szCs w:val="18"/>
              </w:rPr>
              <w:t xml:space="preserve"> </w:t>
            </w:r>
            <w:r w:rsidRPr="001D5EEB">
              <w:rPr>
                <w:szCs w:val="18"/>
              </w:rPr>
              <w:t>M</w:t>
            </w:r>
            <w:r>
              <w:rPr>
                <w:szCs w:val="18"/>
              </w:rPr>
              <w:t xml:space="preserve"> </w:t>
            </w:r>
            <w:r w:rsidRPr="00874E76">
              <w:rPr>
                <w:i/>
                <w:iCs/>
                <w:szCs w:val="18"/>
              </w:rPr>
              <w:t>et al</w:t>
            </w:r>
            <w:r>
              <w:rPr>
                <w:szCs w:val="18"/>
              </w:rPr>
              <w:t xml:space="preserve">. </w:t>
            </w:r>
            <w:r w:rsidRPr="001D5EEB">
              <w:rPr>
                <w:szCs w:val="18"/>
              </w:rPr>
              <w:t>Treatment With Icosapent Ethyl to Reduce Ischemic Events in Patients With Prior Percutaneous Coronary Intervention: insights From REDUCE-IT PCI.</w:t>
            </w:r>
          </w:p>
        </w:tc>
        <w:tc>
          <w:tcPr>
            <w:tcW w:w="1161" w:type="pct"/>
            <w:tcBorders>
              <w:top w:val="nil"/>
              <w:bottom w:val="nil"/>
            </w:tcBorders>
          </w:tcPr>
          <w:p w14:paraId="63DFE097" w14:textId="71BD22DF" w:rsidR="00261E97" w:rsidRPr="00E34A35" w:rsidRDefault="00261E97" w:rsidP="001D4554">
            <w:pPr>
              <w:pStyle w:val="COMTabletext"/>
              <w:rPr>
                <w:szCs w:val="18"/>
              </w:rPr>
            </w:pPr>
            <w:r w:rsidRPr="002915B8">
              <w:rPr>
                <w:i/>
                <w:iCs/>
                <w:szCs w:val="18"/>
              </w:rPr>
              <w:t>J Am Heart Assoc</w:t>
            </w:r>
            <w:r>
              <w:rPr>
                <w:i/>
                <w:iCs/>
                <w:szCs w:val="18"/>
              </w:rPr>
              <w:t xml:space="preserve">. </w:t>
            </w:r>
            <w:r>
              <w:rPr>
                <w:szCs w:val="18"/>
              </w:rPr>
              <w:t xml:space="preserve">2022; </w:t>
            </w:r>
            <w:r w:rsidRPr="001D5EEB">
              <w:rPr>
                <w:szCs w:val="18"/>
              </w:rPr>
              <w:t>11(6)</w:t>
            </w:r>
            <w:r>
              <w:rPr>
                <w:szCs w:val="18"/>
              </w:rPr>
              <w:t>:</w:t>
            </w:r>
            <w:r w:rsidRPr="001D5EEB">
              <w:rPr>
                <w:szCs w:val="18"/>
              </w:rPr>
              <w:t xml:space="preserve"> e022937</w:t>
            </w:r>
            <w:r>
              <w:rPr>
                <w:szCs w:val="18"/>
              </w:rPr>
              <w:t>.</w:t>
            </w:r>
          </w:p>
        </w:tc>
      </w:tr>
      <w:tr w:rsidR="00261E97" w:rsidRPr="00CB38A8" w14:paraId="650A60D2" w14:textId="77777777" w:rsidTr="001D4554">
        <w:trPr>
          <w:trHeight w:val="70"/>
        </w:trPr>
        <w:tc>
          <w:tcPr>
            <w:tcW w:w="640" w:type="pct"/>
            <w:vMerge/>
            <w:vAlign w:val="center"/>
          </w:tcPr>
          <w:p w14:paraId="11B4A927" w14:textId="77777777" w:rsidR="00261E97" w:rsidRPr="00CB38A8" w:rsidRDefault="00261E97" w:rsidP="001D4554">
            <w:pPr>
              <w:pStyle w:val="COMTabletext"/>
            </w:pPr>
          </w:p>
        </w:tc>
        <w:tc>
          <w:tcPr>
            <w:tcW w:w="3199" w:type="pct"/>
            <w:tcBorders>
              <w:top w:val="nil"/>
              <w:bottom w:val="nil"/>
            </w:tcBorders>
          </w:tcPr>
          <w:p w14:paraId="5ACA0180" w14:textId="77777777" w:rsidR="00261E97" w:rsidRPr="001D5EEB" w:rsidRDefault="00261E97" w:rsidP="001D4554">
            <w:pPr>
              <w:pStyle w:val="COMTabletext"/>
              <w:rPr>
                <w:szCs w:val="18"/>
              </w:rPr>
            </w:pPr>
            <w:r w:rsidRPr="001D5EEB">
              <w:rPr>
                <w:szCs w:val="18"/>
              </w:rPr>
              <w:t>Peterson BE, Bhatt DL, Steg PG, Miller M</w:t>
            </w:r>
            <w:r>
              <w:rPr>
                <w:szCs w:val="18"/>
              </w:rPr>
              <w:t xml:space="preserve"> </w:t>
            </w:r>
            <w:r w:rsidRPr="00874E76">
              <w:rPr>
                <w:i/>
                <w:iCs/>
                <w:szCs w:val="18"/>
              </w:rPr>
              <w:t>et al</w:t>
            </w:r>
            <w:r>
              <w:rPr>
                <w:szCs w:val="18"/>
              </w:rPr>
              <w:t xml:space="preserve">. </w:t>
            </w:r>
            <w:r w:rsidRPr="001D5EEB">
              <w:rPr>
                <w:szCs w:val="18"/>
              </w:rPr>
              <w:t>Reduction in Revascularization With Icosapent Ethyl Insights From REDUCE-IT Revascularization Analyses.</w:t>
            </w:r>
          </w:p>
        </w:tc>
        <w:tc>
          <w:tcPr>
            <w:tcW w:w="1161" w:type="pct"/>
            <w:tcBorders>
              <w:top w:val="nil"/>
              <w:bottom w:val="nil"/>
            </w:tcBorders>
          </w:tcPr>
          <w:p w14:paraId="12A87E85" w14:textId="77777777" w:rsidR="00261E97" w:rsidRPr="00E34A35" w:rsidRDefault="00261E97" w:rsidP="001D4554">
            <w:pPr>
              <w:pStyle w:val="COMTabletext"/>
              <w:rPr>
                <w:szCs w:val="18"/>
              </w:rPr>
            </w:pPr>
            <w:r w:rsidRPr="004B468B">
              <w:rPr>
                <w:i/>
                <w:iCs/>
                <w:szCs w:val="18"/>
              </w:rPr>
              <w:t>Circulation</w:t>
            </w:r>
            <w:r>
              <w:rPr>
                <w:szCs w:val="18"/>
              </w:rPr>
              <w:t xml:space="preserve"> 2021;</w:t>
            </w:r>
            <w:r w:rsidRPr="001D5EEB">
              <w:rPr>
                <w:szCs w:val="18"/>
              </w:rPr>
              <w:t xml:space="preserve"> 143(1)</w:t>
            </w:r>
            <w:r>
              <w:rPr>
                <w:szCs w:val="18"/>
              </w:rPr>
              <w:t>:</w:t>
            </w:r>
            <w:r w:rsidRPr="001D5EEB">
              <w:rPr>
                <w:szCs w:val="18"/>
              </w:rPr>
              <w:t xml:space="preserve"> 33-44.</w:t>
            </w:r>
          </w:p>
        </w:tc>
      </w:tr>
      <w:tr w:rsidR="00261E97" w:rsidRPr="00CB38A8" w14:paraId="4C077B1C" w14:textId="77777777" w:rsidTr="001D4554">
        <w:trPr>
          <w:trHeight w:val="70"/>
        </w:trPr>
        <w:tc>
          <w:tcPr>
            <w:tcW w:w="640" w:type="pct"/>
            <w:vMerge/>
            <w:vAlign w:val="center"/>
          </w:tcPr>
          <w:p w14:paraId="5A315472" w14:textId="77777777" w:rsidR="00261E97" w:rsidRPr="00CB38A8" w:rsidRDefault="00261E97" w:rsidP="001D4554">
            <w:pPr>
              <w:pStyle w:val="COMTabletext"/>
            </w:pPr>
          </w:p>
        </w:tc>
        <w:tc>
          <w:tcPr>
            <w:tcW w:w="3199" w:type="pct"/>
            <w:tcBorders>
              <w:top w:val="nil"/>
              <w:bottom w:val="nil"/>
            </w:tcBorders>
          </w:tcPr>
          <w:p w14:paraId="3181726E" w14:textId="77777777" w:rsidR="00261E97" w:rsidRPr="001D5EEB" w:rsidRDefault="00261E97" w:rsidP="001D4554">
            <w:pPr>
              <w:pStyle w:val="COMTabletext"/>
              <w:rPr>
                <w:szCs w:val="18"/>
              </w:rPr>
            </w:pPr>
            <w:proofErr w:type="spellStart"/>
            <w:r w:rsidRPr="001D5EEB">
              <w:rPr>
                <w:szCs w:val="18"/>
              </w:rPr>
              <w:t>Ridker</w:t>
            </w:r>
            <w:proofErr w:type="spellEnd"/>
            <w:r w:rsidRPr="001D5EEB">
              <w:rPr>
                <w:szCs w:val="18"/>
              </w:rPr>
              <w:t xml:space="preserve"> PM, Rifai N, MacFadyen J, Glynn RJ</w:t>
            </w:r>
            <w:r>
              <w:rPr>
                <w:szCs w:val="18"/>
              </w:rPr>
              <w:t xml:space="preserve"> </w:t>
            </w:r>
            <w:r w:rsidRPr="00874E76">
              <w:rPr>
                <w:i/>
                <w:iCs/>
                <w:szCs w:val="18"/>
              </w:rPr>
              <w:t>et al</w:t>
            </w:r>
            <w:r>
              <w:rPr>
                <w:szCs w:val="18"/>
              </w:rPr>
              <w:t xml:space="preserve">. </w:t>
            </w:r>
            <w:r w:rsidRPr="001D5EEB">
              <w:rPr>
                <w:szCs w:val="18"/>
              </w:rPr>
              <w:t xml:space="preserve">Effects of Randomized Treatment With Icosapent Ethyl and a Mineral Oil Comparator on Interleukin-1β, Interleukin-6, C-Reactive Protein, Oxidized Low-Density Lipoprotein Cholesterol, Homocysteine, Lipoprotein(a), and Lipoprotein-Associated Phospholipase A2: a REDUCE-IT Biomarker </w:t>
            </w:r>
            <w:proofErr w:type="spellStart"/>
            <w:r w:rsidRPr="001D5EEB">
              <w:rPr>
                <w:szCs w:val="18"/>
              </w:rPr>
              <w:t>Substudy</w:t>
            </w:r>
            <w:proofErr w:type="spellEnd"/>
            <w:r w:rsidRPr="001D5EEB">
              <w:rPr>
                <w:szCs w:val="18"/>
              </w:rPr>
              <w:t>.</w:t>
            </w:r>
          </w:p>
        </w:tc>
        <w:tc>
          <w:tcPr>
            <w:tcW w:w="1161" w:type="pct"/>
            <w:tcBorders>
              <w:top w:val="nil"/>
              <w:bottom w:val="nil"/>
            </w:tcBorders>
          </w:tcPr>
          <w:p w14:paraId="4E0FB7B5" w14:textId="77777777" w:rsidR="00261E97" w:rsidRPr="00E34A35" w:rsidRDefault="00261E97" w:rsidP="001D4554">
            <w:pPr>
              <w:pStyle w:val="COMTabletext"/>
              <w:rPr>
                <w:szCs w:val="18"/>
              </w:rPr>
            </w:pPr>
            <w:r w:rsidRPr="004B468B">
              <w:rPr>
                <w:i/>
                <w:iCs/>
                <w:szCs w:val="18"/>
              </w:rPr>
              <w:t>Circulation</w:t>
            </w:r>
            <w:r>
              <w:rPr>
                <w:szCs w:val="18"/>
              </w:rPr>
              <w:t xml:space="preserve"> 2022; </w:t>
            </w:r>
            <w:r w:rsidRPr="001D5EEB">
              <w:rPr>
                <w:szCs w:val="18"/>
              </w:rPr>
              <w:t>146(5)</w:t>
            </w:r>
            <w:r>
              <w:rPr>
                <w:szCs w:val="18"/>
              </w:rPr>
              <w:t xml:space="preserve">: </w:t>
            </w:r>
            <w:r w:rsidRPr="001D5EEB">
              <w:rPr>
                <w:szCs w:val="18"/>
              </w:rPr>
              <w:t>372</w:t>
            </w:r>
            <w:r w:rsidRPr="001D5EEB">
              <w:rPr>
                <w:rFonts w:ascii="Cambria Math" w:hAnsi="Cambria Math" w:cs="Cambria Math"/>
                <w:szCs w:val="18"/>
              </w:rPr>
              <w:t>‐</w:t>
            </w:r>
            <w:r w:rsidRPr="001D5EEB">
              <w:rPr>
                <w:szCs w:val="18"/>
              </w:rPr>
              <w:t>379.</w:t>
            </w:r>
          </w:p>
        </w:tc>
      </w:tr>
      <w:tr w:rsidR="00261E97" w:rsidRPr="00CB38A8" w14:paraId="11FCD7F9" w14:textId="77777777" w:rsidTr="001D4554">
        <w:trPr>
          <w:trHeight w:val="70"/>
        </w:trPr>
        <w:tc>
          <w:tcPr>
            <w:tcW w:w="640" w:type="pct"/>
            <w:vMerge/>
            <w:vAlign w:val="center"/>
          </w:tcPr>
          <w:p w14:paraId="560AD1A3" w14:textId="77777777" w:rsidR="00261E97" w:rsidRPr="00CB38A8" w:rsidRDefault="00261E97" w:rsidP="001D4554">
            <w:pPr>
              <w:pStyle w:val="COMTabletext"/>
            </w:pPr>
          </w:p>
        </w:tc>
        <w:tc>
          <w:tcPr>
            <w:tcW w:w="3199" w:type="pct"/>
            <w:tcBorders>
              <w:top w:val="nil"/>
              <w:bottom w:val="nil"/>
            </w:tcBorders>
          </w:tcPr>
          <w:p w14:paraId="78194CB4" w14:textId="77777777" w:rsidR="00261E97" w:rsidRPr="001D5EEB" w:rsidRDefault="00261E97" w:rsidP="001D4554">
            <w:pPr>
              <w:pStyle w:val="COMTabletext"/>
              <w:rPr>
                <w:szCs w:val="18"/>
              </w:rPr>
            </w:pPr>
            <w:r w:rsidRPr="001D5EEB">
              <w:rPr>
                <w:szCs w:val="18"/>
              </w:rPr>
              <w:t>Selvaraj S, Bhatt DL, Steg PG, Miller M</w:t>
            </w:r>
            <w:r>
              <w:rPr>
                <w:szCs w:val="18"/>
              </w:rPr>
              <w:t xml:space="preserve"> </w:t>
            </w:r>
            <w:r w:rsidRPr="00874E76">
              <w:rPr>
                <w:i/>
                <w:iCs/>
                <w:szCs w:val="18"/>
              </w:rPr>
              <w:t>et al</w:t>
            </w:r>
            <w:r>
              <w:rPr>
                <w:szCs w:val="18"/>
              </w:rPr>
              <w:t xml:space="preserve">. </w:t>
            </w:r>
            <w:r w:rsidRPr="001D5EEB">
              <w:rPr>
                <w:szCs w:val="18"/>
              </w:rPr>
              <w:t>Impact of Icosapent Ethyl on Cardiovascular Risk Reduction in Patients With Heart Failure in REDUCE-IT.</w:t>
            </w:r>
          </w:p>
        </w:tc>
        <w:tc>
          <w:tcPr>
            <w:tcW w:w="1161" w:type="pct"/>
            <w:tcBorders>
              <w:top w:val="nil"/>
              <w:bottom w:val="nil"/>
            </w:tcBorders>
          </w:tcPr>
          <w:p w14:paraId="7DA08435" w14:textId="77777777" w:rsidR="00261E97" w:rsidRPr="00E34A35" w:rsidRDefault="00261E97" w:rsidP="001D4554">
            <w:pPr>
              <w:pStyle w:val="COMTabletext"/>
              <w:rPr>
                <w:szCs w:val="18"/>
              </w:rPr>
            </w:pPr>
            <w:r w:rsidRPr="002915B8">
              <w:rPr>
                <w:i/>
                <w:iCs/>
                <w:szCs w:val="18"/>
              </w:rPr>
              <w:t>J Am Heart Assoc</w:t>
            </w:r>
            <w:r>
              <w:rPr>
                <w:i/>
                <w:iCs/>
                <w:szCs w:val="18"/>
              </w:rPr>
              <w:t xml:space="preserve">. </w:t>
            </w:r>
            <w:r>
              <w:rPr>
                <w:szCs w:val="18"/>
              </w:rPr>
              <w:t>2022;</w:t>
            </w:r>
            <w:r w:rsidRPr="001D5EEB">
              <w:rPr>
                <w:szCs w:val="18"/>
              </w:rPr>
              <w:t xml:space="preserve"> 11(7)</w:t>
            </w:r>
            <w:r>
              <w:rPr>
                <w:szCs w:val="18"/>
              </w:rPr>
              <w:t xml:space="preserve">: </w:t>
            </w:r>
            <w:r w:rsidRPr="001D5EEB">
              <w:rPr>
                <w:szCs w:val="18"/>
              </w:rPr>
              <w:t>e024999.</w:t>
            </w:r>
          </w:p>
        </w:tc>
      </w:tr>
      <w:tr w:rsidR="00261E97" w:rsidRPr="00CB38A8" w14:paraId="4B729800" w14:textId="77777777" w:rsidTr="001D4554">
        <w:trPr>
          <w:trHeight w:val="70"/>
        </w:trPr>
        <w:tc>
          <w:tcPr>
            <w:tcW w:w="640" w:type="pct"/>
            <w:vMerge/>
            <w:vAlign w:val="center"/>
          </w:tcPr>
          <w:p w14:paraId="2BF62288" w14:textId="77777777" w:rsidR="00261E97" w:rsidRPr="00CB38A8" w:rsidRDefault="00261E97" w:rsidP="001D4554">
            <w:pPr>
              <w:pStyle w:val="COMTabletext"/>
            </w:pPr>
          </w:p>
        </w:tc>
        <w:tc>
          <w:tcPr>
            <w:tcW w:w="3199" w:type="pct"/>
            <w:tcBorders>
              <w:top w:val="nil"/>
            </w:tcBorders>
          </w:tcPr>
          <w:p w14:paraId="1C97824A" w14:textId="77777777" w:rsidR="00261E97" w:rsidRPr="001D5EEB" w:rsidRDefault="00261E97" w:rsidP="001D4554">
            <w:pPr>
              <w:pStyle w:val="COMTabletext"/>
              <w:rPr>
                <w:szCs w:val="18"/>
              </w:rPr>
            </w:pPr>
            <w:r w:rsidRPr="001D5EEB">
              <w:rPr>
                <w:szCs w:val="18"/>
              </w:rPr>
              <w:t>Verma S, Bhatt DL, Steg PG, Miller M</w:t>
            </w:r>
            <w:r>
              <w:rPr>
                <w:szCs w:val="18"/>
              </w:rPr>
              <w:t xml:space="preserve"> </w:t>
            </w:r>
            <w:r w:rsidRPr="00874E76">
              <w:rPr>
                <w:i/>
                <w:iCs/>
                <w:szCs w:val="18"/>
              </w:rPr>
              <w:t>et al</w:t>
            </w:r>
            <w:r>
              <w:rPr>
                <w:szCs w:val="18"/>
              </w:rPr>
              <w:t xml:space="preserve">. </w:t>
            </w:r>
            <w:r w:rsidRPr="001D5EEB">
              <w:rPr>
                <w:szCs w:val="18"/>
              </w:rPr>
              <w:t>Icosapent Ethyl Reduces Ischemic Events in Patients With a History of Previous Coronary Artery Bypass Grafting: REDUCE-IT CABG</w:t>
            </w:r>
            <w:r>
              <w:rPr>
                <w:szCs w:val="18"/>
              </w:rPr>
              <w:t>.</w:t>
            </w:r>
          </w:p>
        </w:tc>
        <w:tc>
          <w:tcPr>
            <w:tcW w:w="1161" w:type="pct"/>
            <w:tcBorders>
              <w:top w:val="nil"/>
            </w:tcBorders>
          </w:tcPr>
          <w:p w14:paraId="7B6E2446" w14:textId="77777777" w:rsidR="00261E97" w:rsidRPr="00E34A35" w:rsidRDefault="00261E97" w:rsidP="001D4554">
            <w:pPr>
              <w:pStyle w:val="COMTabletext"/>
              <w:rPr>
                <w:szCs w:val="18"/>
              </w:rPr>
            </w:pPr>
            <w:r w:rsidRPr="00090379">
              <w:rPr>
                <w:i/>
                <w:iCs/>
                <w:szCs w:val="18"/>
              </w:rPr>
              <w:t>Circulation</w:t>
            </w:r>
            <w:r>
              <w:rPr>
                <w:szCs w:val="18"/>
              </w:rPr>
              <w:t xml:space="preserve"> 2021; </w:t>
            </w:r>
            <w:r w:rsidRPr="001D5EEB">
              <w:rPr>
                <w:szCs w:val="18"/>
              </w:rPr>
              <w:t>144(23)</w:t>
            </w:r>
            <w:r>
              <w:rPr>
                <w:szCs w:val="18"/>
              </w:rPr>
              <w:t xml:space="preserve">: </w:t>
            </w:r>
            <w:r w:rsidRPr="001D5EEB">
              <w:rPr>
                <w:szCs w:val="18"/>
              </w:rPr>
              <w:t>1845-1855.</w:t>
            </w:r>
          </w:p>
        </w:tc>
      </w:tr>
    </w:tbl>
    <w:p w14:paraId="7EB43D5C" w14:textId="77777777" w:rsidR="00A1466A" w:rsidRDefault="00A1466A" w:rsidP="00A1466A">
      <w:pPr>
        <w:pStyle w:val="COMTablefooter"/>
      </w:pPr>
      <w:r>
        <w:t>Source: Table 2.2.2, pp46-47 of the submission.</w:t>
      </w:r>
    </w:p>
    <w:p w14:paraId="1552E7EF" w14:textId="1489C700" w:rsidR="00A1466A" w:rsidRPr="00A1466A" w:rsidRDefault="00A1466A" w:rsidP="00A1466A">
      <w:pPr>
        <w:pStyle w:val="COMTablefooter"/>
      </w:pPr>
      <w:r>
        <w:t>Selected conference abstract citations omitted.</w:t>
      </w:r>
    </w:p>
    <w:p w14:paraId="1DD06D7D" w14:textId="76B4FAF5" w:rsidR="007F1017" w:rsidRPr="00EC5836" w:rsidRDefault="008F120A" w:rsidP="0091664F">
      <w:pPr>
        <w:widowControl w:val="0"/>
        <w:numPr>
          <w:ilvl w:val="1"/>
          <w:numId w:val="1"/>
        </w:numPr>
        <w:spacing w:after="120"/>
        <w:ind w:left="720" w:hanging="720"/>
        <w:rPr>
          <w:color w:val="0066FF"/>
        </w:rPr>
      </w:pPr>
      <w:r w:rsidRPr="0091664F">
        <w:rPr>
          <w:rFonts w:asciiTheme="minorHAnsi" w:hAnsiTheme="minorHAnsi"/>
          <w:bCs/>
          <w:snapToGrid w:val="0"/>
        </w:rPr>
        <w:t>The</w:t>
      </w:r>
      <w:r w:rsidRPr="00B50DB8">
        <w:t xml:space="preserve"> key features of the</w:t>
      </w:r>
      <w:r w:rsidR="00A1466A">
        <w:t xml:space="preserve"> included trial (REDUCE-IT)</w:t>
      </w:r>
      <w:r w:rsidRPr="00B50DB8">
        <w:t xml:space="preserve"> are summarised in</w:t>
      </w:r>
      <w:r w:rsidR="00D6076E">
        <w:t xml:space="preserve"> </w:t>
      </w:r>
      <w:r w:rsidR="00D6076E">
        <w:fldChar w:fldCharType="begin" w:fldLock="1"/>
      </w:r>
      <w:r w:rsidR="00D6076E">
        <w:instrText xml:space="preserve"> REF _Ref104804098 \h  \* MERGEFORMAT </w:instrText>
      </w:r>
      <w:r w:rsidR="00D6076E">
        <w:fldChar w:fldCharType="separate"/>
      </w:r>
      <w:r w:rsidR="003F1735" w:rsidRPr="00FD4ED6">
        <w:t xml:space="preserve">Table </w:t>
      </w:r>
      <w:r w:rsidR="003F1735">
        <w:t>3</w:t>
      </w:r>
      <w:r w:rsidR="00D6076E">
        <w:fldChar w:fldCharType="end"/>
      </w:r>
      <w:r w:rsidRPr="00B50DB8">
        <w:t>.</w:t>
      </w:r>
      <w:r w:rsidR="00BC591F">
        <w:t xml:space="preserve"> </w:t>
      </w:r>
    </w:p>
    <w:p w14:paraId="355E2F15" w14:textId="5E2F26BF" w:rsidR="007F1017" w:rsidRPr="00FD4ED6" w:rsidRDefault="00696EF9" w:rsidP="00FD4ED6">
      <w:pPr>
        <w:pStyle w:val="COMtablefigcaption"/>
      </w:pPr>
      <w:bookmarkStart w:id="27" w:name="_Ref104804098"/>
      <w:r w:rsidRPr="00FD4ED6">
        <w:lastRenderedPageBreak/>
        <w:t xml:space="preserve">Table </w:t>
      </w:r>
      <w:fldSimple w:instr=" SEQ Table \* ARABIC " w:fldLock="1">
        <w:r w:rsidR="003F1735">
          <w:rPr>
            <w:noProof/>
          </w:rPr>
          <w:t>3</w:t>
        </w:r>
      </w:fldSimple>
      <w:bookmarkEnd w:id="27"/>
      <w:r w:rsidR="00D6076E" w:rsidRPr="00FD4ED6">
        <w:t xml:space="preserve">: </w:t>
      </w:r>
      <w:r w:rsidR="007F1017" w:rsidRPr="00FD4ED6">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w:tblDescription w:val="Table 3: Key features of the included evidence"/>
      </w:tblPr>
      <w:tblGrid>
        <w:gridCol w:w="964"/>
        <w:gridCol w:w="546"/>
        <w:gridCol w:w="1115"/>
        <w:gridCol w:w="689"/>
        <w:gridCol w:w="2097"/>
        <w:gridCol w:w="2097"/>
        <w:gridCol w:w="1509"/>
      </w:tblGrid>
      <w:tr w:rsidR="00321BC6" w:rsidRPr="00B41614" w14:paraId="53DD7CC6" w14:textId="77777777" w:rsidTr="008E1245">
        <w:trPr>
          <w:cantSplit/>
          <w:tblHeader/>
        </w:trPr>
        <w:tc>
          <w:tcPr>
            <w:tcW w:w="534" w:type="pct"/>
            <w:shd w:val="clear" w:color="auto" w:fill="auto"/>
            <w:vAlign w:val="center"/>
          </w:tcPr>
          <w:p w14:paraId="794116BC" w14:textId="77777777" w:rsidR="007F1017" w:rsidRPr="00B41614" w:rsidRDefault="007F1017" w:rsidP="001E34DF">
            <w:pPr>
              <w:pStyle w:val="COMTableheadingrow"/>
            </w:pPr>
            <w:r w:rsidRPr="00B41614">
              <w:t>Trial</w:t>
            </w:r>
          </w:p>
        </w:tc>
        <w:tc>
          <w:tcPr>
            <w:tcW w:w="303" w:type="pct"/>
            <w:shd w:val="clear" w:color="auto" w:fill="auto"/>
            <w:vAlign w:val="center"/>
          </w:tcPr>
          <w:p w14:paraId="51122FE5" w14:textId="77777777" w:rsidR="007F1017" w:rsidRPr="00B41614" w:rsidRDefault="007F1017" w:rsidP="00EC5836">
            <w:pPr>
              <w:pStyle w:val="COMTableheadingrow"/>
              <w:jc w:val="center"/>
            </w:pPr>
            <w:r w:rsidRPr="00B41614">
              <w:t>N</w:t>
            </w:r>
          </w:p>
        </w:tc>
        <w:tc>
          <w:tcPr>
            <w:tcW w:w="618" w:type="pct"/>
            <w:shd w:val="clear" w:color="auto" w:fill="auto"/>
            <w:vAlign w:val="center"/>
          </w:tcPr>
          <w:p w14:paraId="41C438EF" w14:textId="77777777" w:rsidR="007F1017" w:rsidRPr="00B41614" w:rsidRDefault="007F1017" w:rsidP="00EC5836">
            <w:pPr>
              <w:pStyle w:val="COMTableheadingrow"/>
              <w:jc w:val="center"/>
            </w:pPr>
            <w:r w:rsidRPr="00B41614">
              <w:t>Design/ duration</w:t>
            </w:r>
          </w:p>
        </w:tc>
        <w:tc>
          <w:tcPr>
            <w:tcW w:w="382" w:type="pct"/>
            <w:shd w:val="clear" w:color="auto" w:fill="auto"/>
            <w:vAlign w:val="center"/>
          </w:tcPr>
          <w:p w14:paraId="1FC91360" w14:textId="77777777" w:rsidR="007F1017" w:rsidRPr="00B41614" w:rsidRDefault="007F1017" w:rsidP="00EC5836">
            <w:pPr>
              <w:pStyle w:val="COMTableheadingrow"/>
              <w:jc w:val="center"/>
            </w:pPr>
            <w:r w:rsidRPr="00B41614">
              <w:t>Risk of bias</w:t>
            </w:r>
          </w:p>
        </w:tc>
        <w:tc>
          <w:tcPr>
            <w:tcW w:w="1163" w:type="pct"/>
            <w:shd w:val="clear" w:color="auto" w:fill="auto"/>
            <w:vAlign w:val="center"/>
          </w:tcPr>
          <w:p w14:paraId="7FF90896" w14:textId="77777777" w:rsidR="007F1017" w:rsidRPr="00B41614" w:rsidRDefault="007F1017" w:rsidP="00EC5836">
            <w:pPr>
              <w:pStyle w:val="COMTableheadingrow"/>
              <w:jc w:val="center"/>
            </w:pPr>
            <w:r w:rsidRPr="00B41614">
              <w:t>Patient population</w:t>
            </w:r>
          </w:p>
        </w:tc>
        <w:tc>
          <w:tcPr>
            <w:tcW w:w="1163" w:type="pct"/>
            <w:shd w:val="clear" w:color="auto" w:fill="auto"/>
            <w:vAlign w:val="center"/>
          </w:tcPr>
          <w:p w14:paraId="0FCB63F9" w14:textId="2D8C3712" w:rsidR="007F1017" w:rsidRPr="00B41614" w:rsidRDefault="007F1017" w:rsidP="00EC5836">
            <w:pPr>
              <w:pStyle w:val="COMTableheadingrow"/>
              <w:jc w:val="center"/>
            </w:pPr>
            <w:r w:rsidRPr="00B41614">
              <w:t>Outcomes</w:t>
            </w:r>
          </w:p>
        </w:tc>
        <w:tc>
          <w:tcPr>
            <w:tcW w:w="837" w:type="pct"/>
            <w:shd w:val="clear" w:color="auto" w:fill="auto"/>
            <w:vAlign w:val="center"/>
          </w:tcPr>
          <w:p w14:paraId="08C6F624" w14:textId="77777777" w:rsidR="007F1017" w:rsidRPr="00B41614" w:rsidRDefault="007F1017" w:rsidP="00EC5836">
            <w:pPr>
              <w:pStyle w:val="COMTableheadingrow"/>
              <w:jc w:val="center"/>
            </w:pPr>
            <w:r w:rsidRPr="00B41614">
              <w:t>Use in modelled evaluation</w:t>
            </w:r>
          </w:p>
        </w:tc>
      </w:tr>
      <w:tr w:rsidR="007F1017" w:rsidRPr="00E2771E" w14:paraId="2A03CD4B" w14:textId="77777777" w:rsidTr="00947C2A">
        <w:trPr>
          <w:cantSplit/>
        </w:trPr>
        <w:tc>
          <w:tcPr>
            <w:tcW w:w="5000" w:type="pct"/>
            <w:gridSpan w:val="7"/>
            <w:shd w:val="clear" w:color="auto" w:fill="auto"/>
            <w:vAlign w:val="center"/>
          </w:tcPr>
          <w:p w14:paraId="73088C85" w14:textId="47881465" w:rsidR="007F1017" w:rsidRPr="00EC5836" w:rsidRDefault="00A1466A" w:rsidP="00EC5836">
            <w:pPr>
              <w:pStyle w:val="COMTableheadingrow"/>
            </w:pPr>
            <w:r>
              <w:t>Icosapent ethyl versus placebo</w:t>
            </w:r>
          </w:p>
        </w:tc>
      </w:tr>
      <w:tr w:rsidR="008E1245" w:rsidRPr="00E2771E" w14:paraId="4EE88DCB" w14:textId="77777777" w:rsidTr="008E1245">
        <w:trPr>
          <w:cantSplit/>
        </w:trPr>
        <w:tc>
          <w:tcPr>
            <w:tcW w:w="534" w:type="pct"/>
            <w:shd w:val="clear" w:color="auto" w:fill="auto"/>
            <w:vAlign w:val="center"/>
          </w:tcPr>
          <w:p w14:paraId="6EE77D33" w14:textId="19B5E3AC" w:rsidR="007F1017" w:rsidRPr="00E2771E" w:rsidRDefault="00A1466A" w:rsidP="00EC5836">
            <w:pPr>
              <w:pStyle w:val="COMTabletext"/>
              <w:rPr>
                <w:lang w:val="en-US"/>
              </w:rPr>
            </w:pPr>
            <w:r>
              <w:rPr>
                <w:lang w:val="en-US"/>
              </w:rPr>
              <w:t>REDUCE-IT</w:t>
            </w:r>
          </w:p>
        </w:tc>
        <w:tc>
          <w:tcPr>
            <w:tcW w:w="303" w:type="pct"/>
            <w:shd w:val="clear" w:color="auto" w:fill="auto"/>
            <w:vAlign w:val="center"/>
          </w:tcPr>
          <w:p w14:paraId="41BB0E41" w14:textId="1BA471CD" w:rsidR="007F1017" w:rsidRPr="00E2771E" w:rsidRDefault="00930FE5" w:rsidP="00EC5836">
            <w:pPr>
              <w:pStyle w:val="COMTabletext"/>
              <w:jc w:val="center"/>
              <w:rPr>
                <w:lang w:val="en-US"/>
              </w:rPr>
            </w:pPr>
            <w:r>
              <w:rPr>
                <w:lang w:val="en-US"/>
              </w:rPr>
              <w:t>8,179</w:t>
            </w:r>
          </w:p>
        </w:tc>
        <w:tc>
          <w:tcPr>
            <w:tcW w:w="618" w:type="pct"/>
            <w:shd w:val="clear" w:color="auto" w:fill="auto"/>
            <w:vAlign w:val="center"/>
          </w:tcPr>
          <w:p w14:paraId="744D08AC" w14:textId="7A12262F" w:rsidR="007F1017" w:rsidRPr="00E2771E" w:rsidRDefault="00930FE5" w:rsidP="00930FE5">
            <w:pPr>
              <w:pStyle w:val="COMTabletext"/>
              <w:jc w:val="center"/>
              <w:rPr>
                <w:lang w:val="en-US"/>
              </w:rPr>
            </w:pPr>
            <w:r>
              <w:rPr>
                <w:lang w:val="en-US"/>
              </w:rPr>
              <w:t xml:space="preserve">Randomised, placebo-controlled trial; median </w:t>
            </w:r>
            <w:r w:rsidR="00785425">
              <w:rPr>
                <w:lang w:val="en-US"/>
              </w:rPr>
              <w:t>follow-up 4.9 years</w:t>
            </w:r>
          </w:p>
        </w:tc>
        <w:tc>
          <w:tcPr>
            <w:tcW w:w="382" w:type="pct"/>
            <w:shd w:val="clear" w:color="auto" w:fill="auto"/>
            <w:vAlign w:val="center"/>
          </w:tcPr>
          <w:p w14:paraId="4A529D74" w14:textId="77777777" w:rsidR="007F1017" w:rsidRPr="00CC21FB" w:rsidRDefault="007F1017" w:rsidP="00EC5836">
            <w:pPr>
              <w:pStyle w:val="COMTabletext"/>
              <w:jc w:val="center"/>
              <w:rPr>
                <w:iCs/>
                <w:lang w:val="en-US"/>
              </w:rPr>
            </w:pPr>
            <w:r w:rsidRPr="00CC21FB">
              <w:rPr>
                <w:iCs/>
                <w:lang w:val="en-US"/>
              </w:rPr>
              <w:t>Low</w:t>
            </w:r>
          </w:p>
        </w:tc>
        <w:tc>
          <w:tcPr>
            <w:tcW w:w="1163" w:type="pct"/>
            <w:shd w:val="clear" w:color="auto" w:fill="auto"/>
            <w:vAlign w:val="center"/>
          </w:tcPr>
          <w:p w14:paraId="4F164AAE" w14:textId="19CA20C7" w:rsidR="001346AB" w:rsidRDefault="00785425" w:rsidP="001E0D2D">
            <w:pPr>
              <w:pStyle w:val="COMTabletext"/>
              <w:numPr>
                <w:ilvl w:val="0"/>
                <w:numId w:val="7"/>
              </w:numPr>
              <w:ind w:left="153" w:hanging="113"/>
              <w:rPr>
                <w:lang w:val="en-US"/>
              </w:rPr>
            </w:pPr>
            <w:r>
              <w:rPr>
                <w:lang w:val="en-US"/>
              </w:rPr>
              <w:t xml:space="preserve">Secondary prevention </w:t>
            </w:r>
            <w:r w:rsidR="0008456E">
              <w:rPr>
                <w:lang w:val="en-US"/>
              </w:rPr>
              <w:t>cohort</w:t>
            </w:r>
            <w:r>
              <w:rPr>
                <w:lang w:val="en-US"/>
              </w:rPr>
              <w:t>: a</w:t>
            </w:r>
            <w:r w:rsidRPr="00785425">
              <w:rPr>
                <w:lang w:val="en-US"/>
              </w:rPr>
              <w:t>ge ≥45</w:t>
            </w:r>
            <w:r w:rsidR="0008456E">
              <w:rPr>
                <w:lang w:val="en-US"/>
              </w:rPr>
              <w:t> </w:t>
            </w:r>
            <w:r w:rsidRPr="00785425">
              <w:rPr>
                <w:lang w:val="en-US"/>
              </w:rPr>
              <w:t>years with documented coronary artery disease, cerebrovascular or carotid disease, or peripheral arterial disease</w:t>
            </w:r>
          </w:p>
          <w:p w14:paraId="68BE8C0D" w14:textId="77777777" w:rsidR="001346AB" w:rsidRDefault="0008456E" w:rsidP="001E0D2D">
            <w:pPr>
              <w:pStyle w:val="COMTabletext"/>
              <w:numPr>
                <w:ilvl w:val="0"/>
                <w:numId w:val="7"/>
              </w:numPr>
              <w:ind w:left="153" w:hanging="113"/>
              <w:rPr>
                <w:lang w:val="en-US"/>
              </w:rPr>
            </w:pPr>
            <w:r w:rsidRPr="001346AB">
              <w:rPr>
                <w:lang w:val="en-US"/>
              </w:rPr>
              <w:t>Primary prevention cohort: a</w:t>
            </w:r>
            <w:r w:rsidR="00785425" w:rsidRPr="001346AB">
              <w:rPr>
                <w:lang w:val="en-US"/>
              </w:rPr>
              <w:t>ge</w:t>
            </w:r>
            <w:r w:rsidRPr="001346AB">
              <w:rPr>
                <w:lang w:val="en-US"/>
              </w:rPr>
              <w:t xml:space="preserve"> </w:t>
            </w:r>
            <w:r w:rsidR="00785425" w:rsidRPr="001346AB">
              <w:rPr>
                <w:lang w:val="en-US"/>
              </w:rPr>
              <w:t>≥50</w:t>
            </w:r>
            <w:r w:rsidRPr="001346AB">
              <w:rPr>
                <w:lang w:val="en-US"/>
              </w:rPr>
              <w:t> </w:t>
            </w:r>
            <w:r w:rsidR="00785425" w:rsidRPr="001346AB">
              <w:rPr>
                <w:lang w:val="en-US"/>
              </w:rPr>
              <w:t>years with type 1 or 2 diabetes mellitus (requiring medication) and one additional risk factor for cardiovascular disease</w:t>
            </w:r>
            <w:r w:rsidR="001346AB">
              <w:rPr>
                <w:lang w:val="en-US"/>
              </w:rPr>
              <w:t>.</w:t>
            </w:r>
          </w:p>
          <w:p w14:paraId="7DF0FF71" w14:textId="478B1D6B" w:rsidR="001346AB" w:rsidRDefault="001346AB" w:rsidP="001E0D2D">
            <w:pPr>
              <w:pStyle w:val="COMTabletext"/>
              <w:numPr>
                <w:ilvl w:val="0"/>
                <w:numId w:val="7"/>
              </w:numPr>
              <w:ind w:left="153" w:hanging="113"/>
              <w:rPr>
                <w:lang w:val="en-US"/>
              </w:rPr>
            </w:pPr>
            <w:r>
              <w:rPr>
                <w:lang w:val="en-US"/>
              </w:rPr>
              <w:t>F</w:t>
            </w:r>
            <w:r w:rsidR="00785425" w:rsidRPr="001346AB">
              <w:rPr>
                <w:lang w:val="en-US"/>
              </w:rPr>
              <w:t>asting triglyceride levels ≥1.53 mmol/L and &lt;5.64 mmol/L</w:t>
            </w:r>
            <w:r w:rsidR="00B658B1">
              <w:rPr>
                <w:vertAlign w:val="superscript"/>
                <w:lang w:val="en-US"/>
              </w:rPr>
              <w:t>a</w:t>
            </w:r>
          </w:p>
          <w:p w14:paraId="443379B1" w14:textId="26E0D7DF" w:rsidR="001346AB" w:rsidRDefault="00785425" w:rsidP="001E0D2D">
            <w:pPr>
              <w:pStyle w:val="COMTabletext"/>
              <w:numPr>
                <w:ilvl w:val="0"/>
                <w:numId w:val="7"/>
              </w:numPr>
              <w:ind w:left="153" w:hanging="113"/>
              <w:rPr>
                <w:lang w:val="en-US"/>
              </w:rPr>
            </w:pPr>
            <w:r w:rsidRPr="001346AB">
              <w:rPr>
                <w:lang w:val="en-US"/>
              </w:rPr>
              <w:t>LDL cholesterol &gt;1.04 mmol/L and ≤2.60 mmol/L</w:t>
            </w:r>
          </w:p>
          <w:p w14:paraId="5E6F456D" w14:textId="04A65861" w:rsidR="007F1017" w:rsidRPr="001346AB" w:rsidRDefault="001346AB" w:rsidP="001E0D2D">
            <w:pPr>
              <w:pStyle w:val="COMTabletext"/>
              <w:numPr>
                <w:ilvl w:val="0"/>
                <w:numId w:val="7"/>
              </w:numPr>
              <w:ind w:left="153" w:hanging="113"/>
              <w:rPr>
                <w:lang w:val="en-US"/>
              </w:rPr>
            </w:pPr>
            <w:r>
              <w:rPr>
                <w:lang w:val="en-US"/>
              </w:rPr>
              <w:t>O</w:t>
            </w:r>
            <w:r w:rsidR="00785425" w:rsidRPr="001346AB">
              <w:rPr>
                <w:lang w:val="en-US"/>
              </w:rPr>
              <w:t>n stable therapy with a statin (with or without ezetimibe).</w:t>
            </w:r>
          </w:p>
        </w:tc>
        <w:tc>
          <w:tcPr>
            <w:tcW w:w="1163" w:type="pct"/>
            <w:shd w:val="clear" w:color="auto" w:fill="auto"/>
            <w:vAlign w:val="center"/>
          </w:tcPr>
          <w:p w14:paraId="112B29EF" w14:textId="20724D6E" w:rsidR="007F1017" w:rsidRDefault="00321BC6" w:rsidP="001E0D2D">
            <w:pPr>
              <w:pStyle w:val="COMTabletext"/>
              <w:numPr>
                <w:ilvl w:val="0"/>
                <w:numId w:val="7"/>
              </w:numPr>
              <w:ind w:left="153" w:hanging="113"/>
              <w:rPr>
                <w:lang w:val="en-US"/>
              </w:rPr>
            </w:pPr>
            <w:r w:rsidRPr="00321BC6">
              <w:rPr>
                <w:lang w:val="en-US"/>
              </w:rPr>
              <w:t>5-point MACE</w:t>
            </w:r>
            <w:r>
              <w:rPr>
                <w:lang w:val="en-US"/>
              </w:rPr>
              <w:t xml:space="preserve"> composite (primary)</w:t>
            </w:r>
          </w:p>
          <w:p w14:paraId="1C5A0A6A" w14:textId="0F28EB4A" w:rsidR="00321BC6" w:rsidRDefault="00321BC6" w:rsidP="001E0D2D">
            <w:pPr>
              <w:pStyle w:val="COMTabletext"/>
              <w:numPr>
                <w:ilvl w:val="0"/>
                <w:numId w:val="7"/>
              </w:numPr>
              <w:ind w:left="153" w:hanging="113"/>
              <w:rPr>
                <w:lang w:val="en-US"/>
              </w:rPr>
            </w:pPr>
            <w:r>
              <w:rPr>
                <w:lang w:val="en-US"/>
              </w:rPr>
              <w:t>3-point MACE composite (key secondary</w:t>
            </w:r>
            <w:r w:rsidR="00CD6C59">
              <w:rPr>
                <w:lang w:val="en-US"/>
              </w:rPr>
              <w:t>)</w:t>
            </w:r>
          </w:p>
          <w:p w14:paraId="773A8160" w14:textId="66935840" w:rsidR="00321BC6" w:rsidRDefault="00CD6C59" w:rsidP="001E0D2D">
            <w:pPr>
              <w:pStyle w:val="COMTabletext"/>
              <w:numPr>
                <w:ilvl w:val="0"/>
                <w:numId w:val="7"/>
              </w:numPr>
              <w:ind w:left="153" w:hanging="113"/>
              <w:rPr>
                <w:lang w:val="en-US"/>
              </w:rPr>
            </w:pPr>
            <w:r>
              <w:rPr>
                <w:lang w:val="en-US"/>
              </w:rPr>
              <w:t>Composite of CV death or nonfatal MI</w:t>
            </w:r>
          </w:p>
          <w:p w14:paraId="729A2B9B" w14:textId="77777777" w:rsidR="00CD6C59" w:rsidRDefault="00CD6C59" w:rsidP="001E0D2D">
            <w:pPr>
              <w:pStyle w:val="COMTabletext"/>
              <w:numPr>
                <w:ilvl w:val="0"/>
                <w:numId w:val="7"/>
              </w:numPr>
              <w:ind w:left="153" w:hanging="113"/>
              <w:rPr>
                <w:lang w:val="en-US"/>
              </w:rPr>
            </w:pPr>
            <w:r>
              <w:rPr>
                <w:lang w:val="en-US"/>
              </w:rPr>
              <w:t>Fatal or nonfatal MI</w:t>
            </w:r>
          </w:p>
          <w:p w14:paraId="1B50E05F" w14:textId="77777777" w:rsidR="00CD6C59" w:rsidRDefault="00CD6C59" w:rsidP="001E0D2D">
            <w:pPr>
              <w:pStyle w:val="COMTabletext"/>
              <w:numPr>
                <w:ilvl w:val="0"/>
                <w:numId w:val="7"/>
              </w:numPr>
              <w:ind w:left="153" w:hanging="113"/>
              <w:rPr>
                <w:lang w:val="en-US"/>
              </w:rPr>
            </w:pPr>
            <w:r>
              <w:rPr>
                <w:lang w:val="en-US"/>
              </w:rPr>
              <w:t xml:space="preserve">Non-elective coronary </w:t>
            </w:r>
            <w:proofErr w:type="spellStart"/>
            <w:r>
              <w:rPr>
                <w:lang w:val="en-US"/>
              </w:rPr>
              <w:t>revascularisation</w:t>
            </w:r>
            <w:proofErr w:type="spellEnd"/>
          </w:p>
          <w:p w14:paraId="0B10DA59" w14:textId="77777777" w:rsidR="00CD6C59" w:rsidRDefault="00CD6C59" w:rsidP="001E0D2D">
            <w:pPr>
              <w:pStyle w:val="COMTabletext"/>
              <w:numPr>
                <w:ilvl w:val="0"/>
                <w:numId w:val="7"/>
              </w:numPr>
              <w:ind w:left="153" w:hanging="113"/>
              <w:rPr>
                <w:lang w:val="en-US"/>
              </w:rPr>
            </w:pPr>
            <w:r>
              <w:rPr>
                <w:lang w:val="en-US"/>
              </w:rPr>
              <w:t>CV death</w:t>
            </w:r>
          </w:p>
          <w:p w14:paraId="5C61FCFF" w14:textId="77777777" w:rsidR="00CD6C59" w:rsidRDefault="00CD6C59" w:rsidP="001E0D2D">
            <w:pPr>
              <w:pStyle w:val="COMTabletext"/>
              <w:numPr>
                <w:ilvl w:val="0"/>
                <w:numId w:val="7"/>
              </w:numPr>
              <w:ind w:left="153" w:hanging="113"/>
              <w:rPr>
                <w:lang w:val="en-US"/>
              </w:rPr>
            </w:pPr>
            <w:r>
              <w:rPr>
                <w:lang w:val="en-US"/>
              </w:rPr>
              <w:t xml:space="preserve">Unstable angina requiring </w:t>
            </w:r>
            <w:proofErr w:type="spellStart"/>
            <w:proofErr w:type="gramStart"/>
            <w:r>
              <w:rPr>
                <w:lang w:val="en-US"/>
              </w:rPr>
              <w:t>hospitalisation</w:t>
            </w:r>
            <w:proofErr w:type="spellEnd"/>
            <w:proofErr w:type="gramEnd"/>
          </w:p>
          <w:p w14:paraId="0064C82C" w14:textId="77777777" w:rsidR="00CD6C59" w:rsidRDefault="00CD6C59" w:rsidP="001E0D2D">
            <w:pPr>
              <w:pStyle w:val="COMTabletext"/>
              <w:numPr>
                <w:ilvl w:val="0"/>
                <w:numId w:val="7"/>
              </w:numPr>
              <w:ind w:left="153" w:hanging="113"/>
              <w:rPr>
                <w:lang w:val="en-US"/>
              </w:rPr>
            </w:pPr>
            <w:r>
              <w:rPr>
                <w:lang w:val="en-US"/>
              </w:rPr>
              <w:t>Fatal or nonfatal stroke</w:t>
            </w:r>
          </w:p>
          <w:p w14:paraId="268293F0" w14:textId="77777777" w:rsidR="00CD6C59" w:rsidRDefault="00C830EA" w:rsidP="001E0D2D">
            <w:pPr>
              <w:pStyle w:val="COMTabletext"/>
              <w:numPr>
                <w:ilvl w:val="0"/>
                <w:numId w:val="7"/>
              </w:numPr>
              <w:ind w:left="153" w:hanging="113"/>
              <w:rPr>
                <w:lang w:val="en-US"/>
              </w:rPr>
            </w:pPr>
            <w:r w:rsidRPr="00C830EA">
              <w:rPr>
                <w:lang w:val="en-US"/>
              </w:rPr>
              <w:t xml:space="preserve">Composite of total mortality, nonfatal </w:t>
            </w:r>
            <w:proofErr w:type="gramStart"/>
            <w:r w:rsidRPr="00C830EA">
              <w:rPr>
                <w:lang w:val="en-US"/>
              </w:rPr>
              <w:t>MI</w:t>
            </w:r>
            <w:proofErr w:type="gramEnd"/>
            <w:r w:rsidRPr="00C830EA">
              <w:rPr>
                <w:lang w:val="en-US"/>
              </w:rPr>
              <w:t xml:space="preserve"> or nonfatal stroke</w:t>
            </w:r>
          </w:p>
          <w:p w14:paraId="67334F22" w14:textId="77777777" w:rsidR="00C830EA" w:rsidRDefault="00C830EA" w:rsidP="001E0D2D">
            <w:pPr>
              <w:pStyle w:val="COMTabletext"/>
              <w:numPr>
                <w:ilvl w:val="0"/>
                <w:numId w:val="7"/>
              </w:numPr>
              <w:ind w:left="153" w:hanging="113"/>
              <w:rPr>
                <w:lang w:val="en-US"/>
              </w:rPr>
            </w:pPr>
            <w:r>
              <w:rPr>
                <w:lang w:val="en-US"/>
              </w:rPr>
              <w:t>Total mortality</w:t>
            </w:r>
          </w:p>
          <w:p w14:paraId="0AD56321" w14:textId="24174459" w:rsidR="00C830EA" w:rsidRDefault="00C830EA" w:rsidP="001E0D2D">
            <w:pPr>
              <w:pStyle w:val="COMTabletext"/>
              <w:numPr>
                <w:ilvl w:val="0"/>
                <w:numId w:val="7"/>
              </w:numPr>
              <w:ind w:left="153" w:hanging="113"/>
              <w:rPr>
                <w:lang w:val="en-US"/>
              </w:rPr>
            </w:pPr>
            <w:r>
              <w:rPr>
                <w:lang w:val="en-US"/>
              </w:rPr>
              <w:t xml:space="preserve">Change in lipid </w:t>
            </w:r>
            <w:proofErr w:type="gramStart"/>
            <w:r>
              <w:rPr>
                <w:lang w:val="en-US"/>
              </w:rPr>
              <w:t>levels</w:t>
            </w:r>
            <w:proofErr w:type="gramEnd"/>
          </w:p>
          <w:p w14:paraId="6DC76214" w14:textId="6AE8509E" w:rsidR="00C830EA" w:rsidRPr="00CD6C59" w:rsidRDefault="00C830EA" w:rsidP="001E0D2D">
            <w:pPr>
              <w:pStyle w:val="COMTabletext"/>
              <w:numPr>
                <w:ilvl w:val="0"/>
                <w:numId w:val="7"/>
              </w:numPr>
              <w:ind w:left="153" w:hanging="113"/>
              <w:rPr>
                <w:lang w:val="en-US"/>
              </w:rPr>
            </w:pPr>
            <w:r>
              <w:rPr>
                <w:lang w:val="en-US"/>
              </w:rPr>
              <w:t>Adverse events</w:t>
            </w:r>
          </w:p>
        </w:tc>
        <w:tc>
          <w:tcPr>
            <w:tcW w:w="837" w:type="pct"/>
            <w:shd w:val="clear" w:color="auto" w:fill="auto"/>
            <w:vAlign w:val="center"/>
          </w:tcPr>
          <w:p w14:paraId="0A28C0BB" w14:textId="77777777" w:rsidR="008E1245" w:rsidRDefault="008E1245" w:rsidP="001E0D2D">
            <w:pPr>
              <w:pStyle w:val="COMTabletext"/>
              <w:numPr>
                <w:ilvl w:val="0"/>
                <w:numId w:val="7"/>
              </w:numPr>
              <w:ind w:left="153" w:hanging="113"/>
              <w:rPr>
                <w:lang w:val="en-US"/>
              </w:rPr>
            </w:pPr>
            <w:r w:rsidRPr="00C33E3C">
              <w:rPr>
                <w:lang w:val="en-US"/>
              </w:rPr>
              <w:t>Nonfatal stroke</w:t>
            </w:r>
          </w:p>
          <w:p w14:paraId="58768852" w14:textId="77777777" w:rsidR="008E1245" w:rsidRDefault="008E1245" w:rsidP="001E0D2D">
            <w:pPr>
              <w:pStyle w:val="COMTabletext"/>
              <w:numPr>
                <w:ilvl w:val="0"/>
                <w:numId w:val="7"/>
              </w:numPr>
              <w:ind w:left="153" w:hanging="113"/>
              <w:rPr>
                <w:lang w:val="en-US"/>
              </w:rPr>
            </w:pPr>
            <w:r w:rsidRPr="00C33E3C">
              <w:rPr>
                <w:lang w:val="en-US"/>
              </w:rPr>
              <w:t>Nonfatal MI</w:t>
            </w:r>
          </w:p>
          <w:p w14:paraId="54DAE0B4" w14:textId="77777777" w:rsidR="00C33E3C" w:rsidRDefault="00C830EA" w:rsidP="001E0D2D">
            <w:pPr>
              <w:pStyle w:val="COMTabletext"/>
              <w:numPr>
                <w:ilvl w:val="0"/>
                <w:numId w:val="7"/>
              </w:numPr>
              <w:ind w:left="153" w:hanging="113"/>
              <w:rPr>
                <w:lang w:val="en-US"/>
              </w:rPr>
            </w:pPr>
            <w:r>
              <w:rPr>
                <w:lang w:val="en-US"/>
              </w:rPr>
              <w:t>CV death</w:t>
            </w:r>
          </w:p>
          <w:p w14:paraId="1D8FB58F" w14:textId="203CFE66" w:rsidR="008E1245" w:rsidRDefault="008E1245" w:rsidP="001E0D2D">
            <w:pPr>
              <w:pStyle w:val="COMTabletext"/>
              <w:numPr>
                <w:ilvl w:val="0"/>
                <w:numId w:val="7"/>
              </w:numPr>
              <w:ind w:left="153" w:hanging="113"/>
              <w:rPr>
                <w:lang w:val="en-US"/>
              </w:rPr>
            </w:pPr>
            <w:r>
              <w:rPr>
                <w:lang w:val="en-US"/>
              </w:rPr>
              <w:t>Non-CV death</w:t>
            </w:r>
          </w:p>
          <w:p w14:paraId="1A6D5E29" w14:textId="77777777" w:rsidR="00C33E3C" w:rsidRDefault="00C830EA" w:rsidP="001E0D2D">
            <w:pPr>
              <w:pStyle w:val="COMTabletext"/>
              <w:numPr>
                <w:ilvl w:val="0"/>
                <w:numId w:val="7"/>
              </w:numPr>
              <w:ind w:left="153" w:hanging="113"/>
              <w:rPr>
                <w:lang w:val="en-US"/>
              </w:rPr>
            </w:pPr>
            <w:r w:rsidRPr="00C33E3C">
              <w:rPr>
                <w:lang w:val="en-US"/>
              </w:rPr>
              <w:t xml:space="preserve">Coronary </w:t>
            </w:r>
            <w:proofErr w:type="spellStart"/>
            <w:r w:rsidRPr="00C33E3C">
              <w:rPr>
                <w:lang w:val="en-US"/>
              </w:rPr>
              <w:t>revascularisation</w:t>
            </w:r>
            <w:proofErr w:type="spellEnd"/>
          </w:p>
          <w:p w14:paraId="66C750E2" w14:textId="0ADA51EF" w:rsidR="00C33E3C" w:rsidRDefault="00C33E3C" w:rsidP="001E0D2D">
            <w:pPr>
              <w:pStyle w:val="COMTabletext"/>
              <w:numPr>
                <w:ilvl w:val="0"/>
                <w:numId w:val="7"/>
              </w:numPr>
              <w:ind w:left="153" w:hanging="113"/>
              <w:rPr>
                <w:lang w:val="en-US"/>
              </w:rPr>
            </w:pPr>
            <w:proofErr w:type="spellStart"/>
            <w:r>
              <w:rPr>
                <w:lang w:val="en-US"/>
              </w:rPr>
              <w:t>Hospitalisation</w:t>
            </w:r>
            <w:proofErr w:type="spellEnd"/>
            <w:r>
              <w:rPr>
                <w:lang w:val="en-US"/>
              </w:rPr>
              <w:t xml:space="preserve"> for unstable angina</w:t>
            </w:r>
          </w:p>
          <w:p w14:paraId="573BE35B" w14:textId="1924235D" w:rsidR="00C830EA" w:rsidRPr="00C33E3C" w:rsidRDefault="00C830EA" w:rsidP="001E0D2D">
            <w:pPr>
              <w:pStyle w:val="COMTabletext"/>
              <w:numPr>
                <w:ilvl w:val="0"/>
                <w:numId w:val="7"/>
              </w:numPr>
              <w:ind w:left="153" w:hanging="113"/>
              <w:rPr>
                <w:lang w:val="en-US"/>
              </w:rPr>
            </w:pPr>
            <w:r w:rsidRPr="00C33E3C">
              <w:rPr>
                <w:lang w:val="en-US"/>
              </w:rPr>
              <w:t>Time to treatment discontinuation</w:t>
            </w:r>
          </w:p>
          <w:p w14:paraId="150A804C" w14:textId="1E63C79D" w:rsidR="00C830EA" w:rsidRPr="00E2771E" w:rsidRDefault="00C830EA" w:rsidP="00C33E3C">
            <w:pPr>
              <w:pStyle w:val="COMTabletext"/>
              <w:rPr>
                <w:lang w:val="en-US"/>
              </w:rPr>
            </w:pPr>
          </w:p>
        </w:tc>
      </w:tr>
    </w:tbl>
    <w:p w14:paraId="560080D2" w14:textId="36D7B0C7" w:rsidR="00045017" w:rsidRDefault="00045017" w:rsidP="00EC5836">
      <w:pPr>
        <w:pStyle w:val="COMTablefooter"/>
      </w:pPr>
      <w:r>
        <w:t>Source:</w:t>
      </w:r>
      <w:r w:rsidR="003B3C8F">
        <w:t xml:space="preserve"> Section 3, pp100-149 of the submission.</w:t>
      </w:r>
    </w:p>
    <w:p w14:paraId="31A4B8EA" w14:textId="28E9AC8B" w:rsidR="001346AB" w:rsidRDefault="003B3C8F" w:rsidP="00EC5836">
      <w:pPr>
        <w:pStyle w:val="COMTablefooter"/>
      </w:pPr>
      <w:r>
        <w:t xml:space="preserve">Abbreviations: </w:t>
      </w:r>
      <w:r w:rsidR="00B658B1">
        <w:t>CV, cardiovascular; LDL, low-density lipoprotein; MACE, major adverse cardiac event; MI, myocardial infarction.</w:t>
      </w:r>
    </w:p>
    <w:p w14:paraId="1095487C" w14:textId="382A11F5" w:rsidR="00620C25" w:rsidRDefault="001346AB" w:rsidP="00EC5836">
      <w:pPr>
        <w:pStyle w:val="COMTablefooter"/>
      </w:pPr>
      <w:r>
        <w:rPr>
          <w:vertAlign w:val="superscript"/>
        </w:rPr>
        <w:t>a</w:t>
      </w:r>
      <w:r w:rsidRPr="001346AB">
        <w:t xml:space="preserve"> </w:t>
      </w:r>
      <w:proofErr w:type="spellStart"/>
      <w:r w:rsidRPr="001346AB">
        <w:t>A</w:t>
      </w:r>
      <w:proofErr w:type="spellEnd"/>
      <w:r w:rsidRPr="001346AB">
        <w:t xml:space="preserve"> protocol amendment increased the lower end of the fasting </w:t>
      </w:r>
      <w:r>
        <w:t>triglyceride</w:t>
      </w:r>
      <w:r w:rsidRPr="001346AB">
        <w:t xml:space="preserve"> level from ≥135 mg/dL (1.53 mmol/L) to ≥200 mg/dL (2.26 mmol/L).</w:t>
      </w:r>
    </w:p>
    <w:p w14:paraId="38423D3D" w14:textId="2E85AF20" w:rsidR="003450B5" w:rsidRPr="0091664F" w:rsidRDefault="00393168" w:rsidP="0091664F">
      <w:pPr>
        <w:widowControl w:val="0"/>
        <w:numPr>
          <w:ilvl w:val="1"/>
          <w:numId w:val="1"/>
        </w:numPr>
        <w:spacing w:after="120"/>
        <w:ind w:left="720" w:hanging="720"/>
        <w:rPr>
          <w:rFonts w:asciiTheme="minorHAnsi" w:hAnsiTheme="minorHAnsi"/>
          <w:bCs/>
          <w:snapToGrid w:val="0"/>
        </w:rPr>
      </w:pPr>
      <w:r w:rsidRPr="009E4EC8">
        <w:t>The REDUCE-IT</w:t>
      </w:r>
      <w:r w:rsidRPr="00E211D2">
        <w:t xml:space="preserve"> trial had a low risk of </w:t>
      </w:r>
      <w:r w:rsidR="00B658B1" w:rsidRPr="00E211D2">
        <w:t>bias</w:t>
      </w:r>
      <w:r w:rsidRPr="00E211D2">
        <w:t xml:space="preserve">. </w:t>
      </w:r>
      <w:r w:rsidR="003450B5" w:rsidRPr="00E211D2">
        <w:t xml:space="preserve">The REDUCE-IT trial included two </w:t>
      </w:r>
      <w:r w:rsidR="003450B5" w:rsidRPr="0091664F">
        <w:rPr>
          <w:rFonts w:asciiTheme="minorHAnsi" w:hAnsiTheme="minorHAnsi"/>
          <w:bCs/>
          <w:snapToGrid w:val="0"/>
        </w:rPr>
        <w:t>groups of patients: patients aged ≥45 years with documented coronary artery disease, cerebrovascular or carotid disease, or peripheral arterial disease (secondary prevention population); and patients aged ≥</w:t>
      </w:r>
      <w:r w:rsidR="004E40F4">
        <w:rPr>
          <w:rFonts w:asciiTheme="minorHAnsi" w:hAnsiTheme="minorHAnsi"/>
          <w:bCs/>
          <w:snapToGrid w:val="0"/>
        </w:rPr>
        <w:t> </w:t>
      </w:r>
      <w:r w:rsidR="003450B5" w:rsidRPr="0091664F">
        <w:rPr>
          <w:rFonts w:asciiTheme="minorHAnsi" w:hAnsiTheme="minorHAnsi"/>
          <w:bCs/>
          <w:snapToGrid w:val="0"/>
        </w:rPr>
        <w:t xml:space="preserve">50 years with type 1 or 2 diabetes mellitus (requiring medication) and one additional risk factor for cardiovascular disease (primary prevention population). To align with the proposed PBS population with established ASCVD, the submission was based on the results of secondary prevention population. Analyses based on the secondary </w:t>
      </w:r>
      <w:r w:rsidR="00B658B1" w:rsidRPr="0091664F">
        <w:rPr>
          <w:rFonts w:asciiTheme="minorHAnsi" w:hAnsiTheme="minorHAnsi"/>
          <w:bCs/>
          <w:snapToGrid w:val="0"/>
        </w:rPr>
        <w:t>prevention</w:t>
      </w:r>
      <w:r w:rsidR="003450B5" w:rsidRPr="0091664F">
        <w:rPr>
          <w:rFonts w:asciiTheme="minorHAnsi" w:hAnsiTheme="minorHAnsi"/>
          <w:bCs/>
          <w:snapToGrid w:val="0"/>
        </w:rPr>
        <w:t xml:space="preserve"> population were conducted post hoc and </w:t>
      </w:r>
      <w:r w:rsidRPr="0091664F">
        <w:rPr>
          <w:rFonts w:asciiTheme="minorHAnsi" w:hAnsiTheme="minorHAnsi"/>
          <w:bCs/>
          <w:snapToGrid w:val="0"/>
        </w:rPr>
        <w:t xml:space="preserve">were </w:t>
      </w:r>
      <w:r w:rsidR="003450B5" w:rsidRPr="0091664F">
        <w:rPr>
          <w:rFonts w:asciiTheme="minorHAnsi" w:hAnsiTheme="minorHAnsi"/>
          <w:bCs/>
          <w:snapToGrid w:val="0"/>
        </w:rPr>
        <w:t xml:space="preserve">at a higher risk of bias. </w:t>
      </w:r>
    </w:p>
    <w:p w14:paraId="5BEE2EB5" w14:textId="7C2182C2" w:rsidR="001A52DE" w:rsidRPr="00E211D2" w:rsidRDefault="00F60C8D" w:rsidP="0091664F">
      <w:pPr>
        <w:widowControl w:val="0"/>
        <w:numPr>
          <w:ilvl w:val="1"/>
          <w:numId w:val="1"/>
        </w:numPr>
        <w:spacing w:after="120"/>
        <w:ind w:left="720" w:hanging="720"/>
      </w:pPr>
      <w:bookmarkStart w:id="28" w:name="_Ref151020336"/>
      <w:r w:rsidRPr="0091664F">
        <w:rPr>
          <w:rFonts w:asciiTheme="minorHAnsi" w:hAnsiTheme="minorHAnsi"/>
          <w:bCs/>
          <w:snapToGrid w:val="0"/>
        </w:rPr>
        <w:t>The ESC noted that s</w:t>
      </w:r>
      <w:r w:rsidR="001A52DE" w:rsidRPr="0091664F">
        <w:rPr>
          <w:rFonts w:asciiTheme="minorHAnsi" w:hAnsiTheme="minorHAnsi"/>
          <w:bCs/>
          <w:snapToGrid w:val="0"/>
        </w:rPr>
        <w:t xml:space="preserve">ince the trial was published, concerns have been raised regarding the use of mineral oil as the placebo. In particular, it has been questioned whether increases in biomarker levels (LDL cholesterol, apolipoprotein B, </w:t>
      </w:r>
      <w:proofErr w:type="gramStart"/>
      <w:r w:rsidR="001A52DE" w:rsidRPr="0091664F">
        <w:rPr>
          <w:rFonts w:asciiTheme="minorHAnsi" w:hAnsiTheme="minorHAnsi"/>
          <w:bCs/>
          <w:snapToGrid w:val="0"/>
        </w:rPr>
        <w:t>high</w:t>
      </w:r>
      <w:proofErr w:type="gramEnd"/>
      <w:r w:rsidR="001A52DE" w:rsidRPr="0091664F">
        <w:rPr>
          <w:rFonts w:asciiTheme="minorHAnsi" w:hAnsiTheme="minorHAnsi"/>
          <w:bCs/>
          <w:snapToGrid w:val="0"/>
        </w:rPr>
        <w:t xml:space="preserve"> sensitive C-reactive</w:t>
      </w:r>
      <w:r w:rsidR="007E7A59" w:rsidRPr="0091664F">
        <w:rPr>
          <w:rFonts w:asciiTheme="minorHAnsi" w:hAnsiTheme="minorHAnsi"/>
          <w:bCs/>
          <w:snapToGrid w:val="0"/>
        </w:rPr>
        <w:t xml:space="preserve"> protein</w:t>
      </w:r>
      <w:r w:rsidR="001A52DE" w:rsidRPr="0091664F">
        <w:rPr>
          <w:rFonts w:asciiTheme="minorHAnsi" w:hAnsiTheme="minorHAnsi"/>
          <w:bCs/>
          <w:snapToGrid w:val="0"/>
        </w:rPr>
        <w:t>) in the placebo arm of the trial may</w:t>
      </w:r>
      <w:r w:rsidR="001A52DE" w:rsidRPr="00E211D2">
        <w:t xml:space="preserve"> be related to the use</w:t>
      </w:r>
      <w:r w:rsidR="00DE4A30" w:rsidRPr="00E211D2">
        <w:t xml:space="preserve"> of</w:t>
      </w:r>
      <w:r w:rsidR="001A52DE" w:rsidRPr="00E211D2">
        <w:t xml:space="preserve"> mineral oil, </w:t>
      </w:r>
      <w:r w:rsidR="007E7A59" w:rsidRPr="00E211D2">
        <w:t xml:space="preserve">likely </w:t>
      </w:r>
      <w:r w:rsidR="001A52DE" w:rsidRPr="00E211D2">
        <w:t xml:space="preserve">through partial interference with statin absorption. It has been noted that these considerations impact the question of whether the observed benefit </w:t>
      </w:r>
      <w:r w:rsidR="00DE4A30" w:rsidRPr="00E211D2">
        <w:t xml:space="preserve">associated with icosapent ethyl </w:t>
      </w:r>
      <w:r w:rsidR="001A52DE" w:rsidRPr="00E211D2">
        <w:t xml:space="preserve">was entirely due to the study drug, or </w:t>
      </w:r>
      <w:r w:rsidR="007E7A59" w:rsidRPr="00E211D2">
        <w:t xml:space="preserve">was, at least </w:t>
      </w:r>
      <w:r w:rsidR="001A52DE" w:rsidRPr="00E211D2">
        <w:t>partially</w:t>
      </w:r>
      <w:r w:rsidR="007E7A59" w:rsidRPr="00E211D2">
        <w:t>,</w:t>
      </w:r>
      <w:r w:rsidR="001A52DE" w:rsidRPr="00E211D2">
        <w:t xml:space="preserve"> contributed to by </w:t>
      </w:r>
      <w:r w:rsidR="007E7A59" w:rsidRPr="00E211D2">
        <w:t xml:space="preserve">a negative effect </w:t>
      </w:r>
      <w:r w:rsidR="001A52DE" w:rsidRPr="00E211D2">
        <w:t>from the mineral oil control (</w:t>
      </w:r>
      <w:proofErr w:type="spellStart"/>
      <w:r w:rsidR="001A52DE" w:rsidRPr="00E211D2">
        <w:t>Orringer</w:t>
      </w:r>
      <w:proofErr w:type="spellEnd"/>
      <w:r w:rsidR="001A52DE" w:rsidRPr="00E211D2">
        <w:t xml:space="preserve"> et al., 2019).</w:t>
      </w:r>
      <w:bookmarkEnd w:id="28"/>
    </w:p>
    <w:p w14:paraId="6471BBAD" w14:textId="3A118142" w:rsidR="006F7350" w:rsidRPr="0091664F" w:rsidRDefault="00602D65" w:rsidP="0091664F">
      <w:pPr>
        <w:widowControl w:val="0"/>
        <w:numPr>
          <w:ilvl w:val="1"/>
          <w:numId w:val="1"/>
        </w:numPr>
        <w:spacing w:after="120"/>
        <w:ind w:left="720" w:hanging="720"/>
        <w:rPr>
          <w:rFonts w:asciiTheme="minorHAnsi" w:hAnsiTheme="minorHAnsi"/>
          <w:bCs/>
          <w:snapToGrid w:val="0"/>
        </w:rPr>
      </w:pPr>
      <w:r w:rsidRPr="0091664F">
        <w:rPr>
          <w:rFonts w:asciiTheme="minorHAnsi" w:hAnsiTheme="minorHAnsi"/>
          <w:bCs/>
          <w:snapToGrid w:val="0"/>
        </w:rPr>
        <w:t xml:space="preserve">Baseline characteristics </w:t>
      </w:r>
      <w:r w:rsidR="00C527B8" w:rsidRPr="0091664F">
        <w:rPr>
          <w:rFonts w:asciiTheme="minorHAnsi" w:hAnsiTheme="minorHAnsi"/>
          <w:bCs/>
          <w:snapToGrid w:val="0"/>
        </w:rPr>
        <w:t xml:space="preserve">in the REDUCE-IT trial </w:t>
      </w:r>
      <w:r w:rsidRPr="0091664F">
        <w:rPr>
          <w:rFonts w:asciiTheme="minorHAnsi" w:hAnsiTheme="minorHAnsi"/>
          <w:bCs/>
          <w:snapToGrid w:val="0"/>
        </w:rPr>
        <w:t xml:space="preserve">were well balanced between treatment </w:t>
      </w:r>
      <w:r w:rsidRPr="0091664F">
        <w:rPr>
          <w:rFonts w:asciiTheme="minorHAnsi" w:hAnsiTheme="minorHAnsi"/>
          <w:bCs/>
          <w:snapToGrid w:val="0"/>
        </w:rPr>
        <w:lastRenderedPageBreak/>
        <w:t xml:space="preserve">arms. The </w:t>
      </w:r>
      <w:r w:rsidR="007F736D" w:rsidRPr="0091664F">
        <w:rPr>
          <w:rFonts w:asciiTheme="minorHAnsi" w:hAnsiTheme="minorHAnsi"/>
          <w:bCs/>
          <w:snapToGrid w:val="0"/>
        </w:rPr>
        <w:t xml:space="preserve">overall </w:t>
      </w:r>
      <w:r w:rsidRPr="0091664F">
        <w:rPr>
          <w:rFonts w:asciiTheme="minorHAnsi" w:hAnsiTheme="minorHAnsi"/>
          <w:bCs/>
          <w:snapToGrid w:val="0"/>
        </w:rPr>
        <w:t xml:space="preserve">trial population </w:t>
      </w:r>
      <w:r w:rsidR="007F736D" w:rsidRPr="0091664F">
        <w:rPr>
          <w:rFonts w:asciiTheme="minorHAnsi" w:hAnsiTheme="minorHAnsi"/>
          <w:bCs/>
          <w:snapToGrid w:val="0"/>
        </w:rPr>
        <w:t xml:space="preserve">had a </w:t>
      </w:r>
      <w:r w:rsidRPr="0091664F">
        <w:rPr>
          <w:rFonts w:asciiTheme="minorHAnsi" w:hAnsiTheme="minorHAnsi"/>
          <w:bCs/>
          <w:snapToGrid w:val="0"/>
        </w:rPr>
        <w:t>mean age of 6</w:t>
      </w:r>
      <w:r w:rsidR="007A58CD" w:rsidRPr="0091664F">
        <w:rPr>
          <w:rFonts w:asciiTheme="minorHAnsi" w:hAnsiTheme="minorHAnsi"/>
          <w:bCs/>
          <w:snapToGrid w:val="0"/>
        </w:rPr>
        <w:t>3</w:t>
      </w:r>
      <w:r w:rsidRPr="0091664F">
        <w:rPr>
          <w:rFonts w:asciiTheme="minorHAnsi" w:hAnsiTheme="minorHAnsi"/>
          <w:bCs/>
          <w:snapToGrid w:val="0"/>
        </w:rPr>
        <w:t xml:space="preserve"> years</w:t>
      </w:r>
      <w:r w:rsidR="007F736D" w:rsidRPr="0091664F">
        <w:rPr>
          <w:rFonts w:asciiTheme="minorHAnsi" w:hAnsiTheme="minorHAnsi"/>
          <w:bCs/>
          <w:snapToGrid w:val="0"/>
        </w:rPr>
        <w:t xml:space="preserve">. Patients in the secondary prevention population (representing 70.3% of the overall trial population) had a similar mean age, </w:t>
      </w:r>
      <w:r w:rsidR="00C32C40" w:rsidRPr="0091664F">
        <w:rPr>
          <w:rFonts w:asciiTheme="minorHAnsi" w:hAnsiTheme="minorHAnsi"/>
          <w:bCs/>
          <w:snapToGrid w:val="0"/>
        </w:rPr>
        <w:t xml:space="preserve">but </w:t>
      </w:r>
      <w:r w:rsidR="007F736D" w:rsidRPr="0091664F">
        <w:rPr>
          <w:rFonts w:asciiTheme="minorHAnsi" w:hAnsiTheme="minorHAnsi"/>
          <w:bCs/>
          <w:snapToGrid w:val="0"/>
        </w:rPr>
        <w:t>included a higher proportion of male patients (78% versus 71%), a higher proportion with prior ASCVD (90% versus 69%), and a lower proportion with type 2 diabetes (</w:t>
      </w:r>
      <w:r w:rsidR="006E1D76" w:rsidRPr="0091664F">
        <w:rPr>
          <w:rFonts w:asciiTheme="minorHAnsi" w:hAnsiTheme="minorHAnsi"/>
          <w:bCs/>
          <w:snapToGrid w:val="0"/>
        </w:rPr>
        <w:t xml:space="preserve">41% versus </w:t>
      </w:r>
      <w:r w:rsidR="007F736D" w:rsidRPr="0091664F">
        <w:rPr>
          <w:rFonts w:asciiTheme="minorHAnsi" w:hAnsiTheme="minorHAnsi"/>
          <w:bCs/>
          <w:snapToGrid w:val="0"/>
        </w:rPr>
        <w:t>58%)</w:t>
      </w:r>
      <w:r w:rsidR="007C2247" w:rsidRPr="0091664F">
        <w:rPr>
          <w:rFonts w:asciiTheme="minorHAnsi" w:hAnsiTheme="minorHAnsi"/>
          <w:bCs/>
          <w:snapToGrid w:val="0"/>
        </w:rPr>
        <w:t xml:space="preserve"> compared to the overall trial population.</w:t>
      </w:r>
      <w:r w:rsidR="007F736D" w:rsidRPr="0091664F">
        <w:rPr>
          <w:rFonts w:asciiTheme="minorHAnsi" w:hAnsiTheme="minorHAnsi"/>
          <w:bCs/>
          <w:snapToGrid w:val="0"/>
        </w:rPr>
        <w:t xml:space="preserve"> </w:t>
      </w:r>
      <w:r w:rsidR="00D87134" w:rsidRPr="0091664F">
        <w:rPr>
          <w:rFonts w:asciiTheme="minorHAnsi" w:hAnsiTheme="minorHAnsi"/>
          <w:bCs/>
          <w:snapToGrid w:val="0"/>
        </w:rPr>
        <w:t xml:space="preserve">Baseline lipid levels for the </w:t>
      </w:r>
      <w:r w:rsidR="007C2247" w:rsidRPr="0091664F">
        <w:rPr>
          <w:rFonts w:asciiTheme="minorHAnsi" w:hAnsiTheme="minorHAnsi"/>
          <w:bCs/>
          <w:snapToGrid w:val="0"/>
        </w:rPr>
        <w:t>overall</w:t>
      </w:r>
      <w:r w:rsidR="00D87134" w:rsidRPr="0091664F">
        <w:rPr>
          <w:rFonts w:asciiTheme="minorHAnsi" w:hAnsiTheme="minorHAnsi"/>
          <w:bCs/>
          <w:snapToGrid w:val="0"/>
        </w:rPr>
        <w:t xml:space="preserve"> trial population and the secondary prevention population were simila</w:t>
      </w:r>
      <w:r w:rsidR="00C527B8" w:rsidRPr="0091664F">
        <w:rPr>
          <w:rFonts w:asciiTheme="minorHAnsi" w:hAnsiTheme="minorHAnsi"/>
          <w:bCs/>
          <w:snapToGrid w:val="0"/>
        </w:rPr>
        <w:t>r.</w:t>
      </w:r>
      <w:r w:rsidR="00D87134" w:rsidRPr="0091664F">
        <w:rPr>
          <w:rFonts w:asciiTheme="minorHAnsi" w:hAnsiTheme="minorHAnsi"/>
          <w:bCs/>
          <w:snapToGrid w:val="0"/>
        </w:rPr>
        <w:t xml:space="preserve"> </w:t>
      </w:r>
      <w:r w:rsidR="00C32C40" w:rsidRPr="0091664F">
        <w:rPr>
          <w:rFonts w:asciiTheme="minorHAnsi" w:hAnsiTheme="minorHAnsi"/>
          <w:bCs/>
          <w:snapToGrid w:val="0"/>
        </w:rPr>
        <w:t xml:space="preserve">The median triglyceride level </w:t>
      </w:r>
      <w:r w:rsidR="00370F71" w:rsidRPr="0091664F">
        <w:rPr>
          <w:rFonts w:asciiTheme="minorHAnsi" w:hAnsiTheme="minorHAnsi"/>
          <w:bCs/>
          <w:snapToGrid w:val="0"/>
        </w:rPr>
        <w:t xml:space="preserve">in the secondary prevention population </w:t>
      </w:r>
      <w:r w:rsidR="00C32C40" w:rsidRPr="0091664F">
        <w:rPr>
          <w:rFonts w:asciiTheme="minorHAnsi" w:hAnsiTheme="minorHAnsi"/>
          <w:bCs/>
          <w:snapToGrid w:val="0"/>
        </w:rPr>
        <w:t xml:space="preserve">was </w:t>
      </w:r>
      <w:r w:rsidR="006F7350" w:rsidRPr="0091664F">
        <w:rPr>
          <w:rFonts w:asciiTheme="minorHAnsi" w:hAnsiTheme="minorHAnsi"/>
          <w:bCs/>
          <w:snapToGrid w:val="0"/>
        </w:rPr>
        <w:t>2.47</w:t>
      </w:r>
      <w:r w:rsidR="00C32C40" w:rsidRPr="0091664F">
        <w:rPr>
          <w:rFonts w:asciiTheme="minorHAnsi" w:hAnsiTheme="minorHAnsi"/>
          <w:bCs/>
          <w:snapToGrid w:val="0"/>
        </w:rPr>
        <w:t xml:space="preserve"> mmol/L (&lt;1.7 mmol/L: 10%; 1.7-2.3 mmol/L: 2</w:t>
      </w:r>
      <w:r w:rsidR="00370F71" w:rsidRPr="0091664F">
        <w:rPr>
          <w:rFonts w:asciiTheme="minorHAnsi" w:hAnsiTheme="minorHAnsi"/>
          <w:bCs/>
          <w:snapToGrid w:val="0"/>
        </w:rPr>
        <w:t>8</w:t>
      </w:r>
      <w:r w:rsidR="00C32C40" w:rsidRPr="0091664F">
        <w:rPr>
          <w:rFonts w:asciiTheme="minorHAnsi" w:hAnsiTheme="minorHAnsi"/>
          <w:bCs/>
          <w:snapToGrid w:val="0"/>
        </w:rPr>
        <w:t>%; &gt;</w:t>
      </w:r>
      <w:r w:rsidR="004E40F4">
        <w:rPr>
          <w:rFonts w:asciiTheme="minorHAnsi" w:hAnsiTheme="minorHAnsi"/>
          <w:bCs/>
          <w:snapToGrid w:val="0"/>
        </w:rPr>
        <w:t> </w:t>
      </w:r>
      <w:r w:rsidR="00C32C40" w:rsidRPr="0091664F">
        <w:rPr>
          <w:rFonts w:asciiTheme="minorHAnsi" w:hAnsiTheme="minorHAnsi"/>
          <w:bCs/>
          <w:snapToGrid w:val="0"/>
        </w:rPr>
        <w:t>2.3</w:t>
      </w:r>
      <w:r w:rsidR="004E40F4">
        <w:rPr>
          <w:rFonts w:asciiTheme="minorHAnsi" w:hAnsiTheme="minorHAnsi"/>
          <w:bCs/>
          <w:snapToGrid w:val="0"/>
        </w:rPr>
        <w:t> </w:t>
      </w:r>
      <w:r w:rsidR="00C32C40" w:rsidRPr="0091664F">
        <w:rPr>
          <w:rFonts w:asciiTheme="minorHAnsi" w:hAnsiTheme="minorHAnsi"/>
          <w:bCs/>
          <w:snapToGrid w:val="0"/>
        </w:rPr>
        <w:t>mmol/L: 6</w:t>
      </w:r>
      <w:r w:rsidR="00370F71" w:rsidRPr="0091664F">
        <w:rPr>
          <w:rFonts w:asciiTheme="minorHAnsi" w:hAnsiTheme="minorHAnsi"/>
          <w:bCs/>
          <w:snapToGrid w:val="0"/>
        </w:rPr>
        <w:t>2</w:t>
      </w:r>
      <w:r w:rsidR="00C32C40" w:rsidRPr="0091664F">
        <w:rPr>
          <w:rFonts w:asciiTheme="minorHAnsi" w:hAnsiTheme="minorHAnsi"/>
          <w:bCs/>
          <w:snapToGrid w:val="0"/>
        </w:rPr>
        <w:t>%), the median LDL cholesterol level was 1.9</w:t>
      </w:r>
      <w:r w:rsidR="006F7350" w:rsidRPr="0091664F">
        <w:rPr>
          <w:rFonts w:asciiTheme="minorHAnsi" w:hAnsiTheme="minorHAnsi"/>
          <w:bCs/>
          <w:snapToGrid w:val="0"/>
        </w:rPr>
        <w:t>6</w:t>
      </w:r>
      <w:r w:rsidR="007C2247" w:rsidRPr="0091664F">
        <w:rPr>
          <w:rFonts w:asciiTheme="minorHAnsi" w:hAnsiTheme="minorHAnsi"/>
          <w:bCs/>
          <w:snapToGrid w:val="0"/>
        </w:rPr>
        <w:t xml:space="preserve"> mmol/L</w:t>
      </w:r>
      <w:r w:rsidR="00C32C40" w:rsidRPr="0091664F">
        <w:rPr>
          <w:rFonts w:asciiTheme="minorHAnsi" w:hAnsiTheme="minorHAnsi"/>
          <w:bCs/>
          <w:snapToGrid w:val="0"/>
        </w:rPr>
        <w:t>, and the median HDL cholesterol level was 1.</w:t>
      </w:r>
      <w:r w:rsidR="006F7350" w:rsidRPr="0091664F">
        <w:rPr>
          <w:rFonts w:asciiTheme="minorHAnsi" w:hAnsiTheme="minorHAnsi"/>
          <w:bCs/>
          <w:snapToGrid w:val="0"/>
        </w:rPr>
        <w:t>02</w:t>
      </w:r>
      <w:r w:rsidR="00C32C40" w:rsidRPr="0091664F">
        <w:rPr>
          <w:rFonts w:asciiTheme="minorHAnsi" w:hAnsiTheme="minorHAnsi"/>
          <w:bCs/>
          <w:snapToGrid w:val="0"/>
        </w:rPr>
        <w:t xml:space="preserve"> mmol/L</w:t>
      </w:r>
      <w:r w:rsidR="006F7350" w:rsidRPr="0091664F">
        <w:rPr>
          <w:rFonts w:asciiTheme="minorHAnsi" w:hAnsiTheme="minorHAnsi"/>
          <w:bCs/>
          <w:snapToGrid w:val="0"/>
        </w:rPr>
        <w:t xml:space="preserve">. </w:t>
      </w:r>
    </w:p>
    <w:p w14:paraId="71901C40" w14:textId="687714F2" w:rsidR="00317768" w:rsidRPr="00E211D2" w:rsidRDefault="006F7350" w:rsidP="0091664F">
      <w:pPr>
        <w:widowControl w:val="0"/>
        <w:numPr>
          <w:ilvl w:val="1"/>
          <w:numId w:val="1"/>
        </w:numPr>
        <w:spacing w:after="120"/>
        <w:ind w:left="720" w:hanging="720"/>
      </w:pPr>
      <w:bookmarkStart w:id="29" w:name="_Ref151649342"/>
      <w:r w:rsidRPr="0091664F">
        <w:rPr>
          <w:rFonts w:asciiTheme="minorHAnsi" w:hAnsiTheme="minorHAnsi"/>
          <w:bCs/>
          <w:snapToGrid w:val="0"/>
        </w:rPr>
        <w:t>Among patients in the secondary prevention population, t</w:t>
      </w:r>
      <w:r w:rsidR="007F736D" w:rsidRPr="0091664F">
        <w:rPr>
          <w:rFonts w:asciiTheme="minorHAnsi" w:hAnsiTheme="minorHAnsi"/>
          <w:bCs/>
          <w:snapToGrid w:val="0"/>
        </w:rPr>
        <w:t>he statin intensity was reported to be low for 4% of patients, moderate for 61% of patients, and high for 35% of patients, and 7% of patients were receiving treatment with ezetimibe.</w:t>
      </w:r>
      <w:r w:rsidR="007D6EB2" w:rsidRPr="0091664F">
        <w:rPr>
          <w:rFonts w:asciiTheme="minorHAnsi" w:hAnsiTheme="minorHAnsi"/>
          <w:bCs/>
          <w:snapToGrid w:val="0"/>
        </w:rPr>
        <w:t xml:space="preserve"> </w:t>
      </w:r>
      <w:r w:rsidR="00C527B8" w:rsidRPr="0091664F">
        <w:rPr>
          <w:rFonts w:asciiTheme="minorHAnsi" w:hAnsiTheme="minorHAnsi"/>
          <w:bCs/>
          <w:snapToGrid w:val="0"/>
        </w:rPr>
        <w:t xml:space="preserve">In general, the concomitant treatments used in the REDUCE-IT trial do not reflect </w:t>
      </w:r>
      <w:r w:rsidR="007E7A59" w:rsidRPr="0091664F">
        <w:rPr>
          <w:rFonts w:asciiTheme="minorHAnsi" w:hAnsiTheme="minorHAnsi"/>
          <w:bCs/>
          <w:snapToGrid w:val="0"/>
        </w:rPr>
        <w:t xml:space="preserve">current </w:t>
      </w:r>
      <w:r w:rsidR="00C527B8" w:rsidRPr="0091664F">
        <w:rPr>
          <w:rFonts w:asciiTheme="minorHAnsi" w:hAnsiTheme="minorHAnsi"/>
          <w:bCs/>
          <w:snapToGrid w:val="0"/>
        </w:rPr>
        <w:t>standard of care. Patients recruited for the trial</w:t>
      </w:r>
      <w:r w:rsidR="00C527B8" w:rsidRPr="00E211D2">
        <w:t xml:space="preserve"> were required to be on a stable dose of statin </w:t>
      </w:r>
      <w:r w:rsidR="00E21DDC" w:rsidRPr="00E211D2">
        <w:t>(</w:t>
      </w:r>
      <w:r w:rsidR="00C527B8" w:rsidRPr="00E211D2">
        <w:t>rather than the maximum tolerated dose</w:t>
      </w:r>
      <w:r w:rsidR="00E21DDC" w:rsidRPr="00E211D2">
        <w:t>)</w:t>
      </w:r>
      <w:r w:rsidR="00C527B8" w:rsidRPr="00E211D2">
        <w:t xml:space="preserve"> and were encouraged to remain on the dose </w:t>
      </w:r>
      <w:r w:rsidR="00AF6EFE" w:rsidRPr="00E211D2">
        <w:t xml:space="preserve">at enrolment </w:t>
      </w:r>
      <w:r w:rsidR="00C527B8" w:rsidRPr="00E211D2">
        <w:t xml:space="preserve">during the trial. Use of PCSK9 inhibitors and fibrates was not permitted, and only a relatively small proportion of patients were receiving treatment with ezetimibe. </w:t>
      </w:r>
      <w:r w:rsidR="00F60C8D" w:rsidRPr="00E211D2">
        <w:t>Additionally, there may be wider use of diabetes treatments with evidence of cardiovascular benefit among patients in the proposed PBS population. The PSCR noted that when the trial was undertaken newer cardiovascular therapies, such as PCSK9 inhibitors, SGLT2 inhibitors and GLP-1 agonists, were not routinely available</w:t>
      </w:r>
      <w:r w:rsidR="001518B9" w:rsidRPr="00E211D2">
        <w:t xml:space="preserve"> or used</w:t>
      </w:r>
      <w:r w:rsidR="00F60C8D" w:rsidRPr="00E211D2">
        <w:t xml:space="preserve">. </w:t>
      </w:r>
      <w:r w:rsidR="007E7A59" w:rsidRPr="00E211D2">
        <w:t xml:space="preserve">The ESC </w:t>
      </w:r>
      <w:r w:rsidR="00305619" w:rsidRPr="00E211D2">
        <w:t xml:space="preserve">noted </w:t>
      </w:r>
      <w:r w:rsidR="007E7A59" w:rsidRPr="00E211D2">
        <w:t xml:space="preserve">that the concomitant treatments received by patients in the REDUCE-IT trial generally reflected </w:t>
      </w:r>
      <w:r w:rsidR="009E4EC8">
        <w:t xml:space="preserve">the </w:t>
      </w:r>
      <w:r w:rsidR="007E7A59" w:rsidRPr="00E211D2">
        <w:t xml:space="preserve">clinical guidelines in place when the trial was conducted. </w:t>
      </w:r>
      <w:r w:rsidR="00317768" w:rsidRPr="00E211D2">
        <w:t>With regards to the dose of statins, t</w:t>
      </w:r>
      <w:r w:rsidR="00317768" w:rsidRPr="00E211D2">
        <w:rPr>
          <w:rFonts w:eastAsia="Calibri" w:cs="Calibri"/>
          <w:lang w:eastAsia="en-US"/>
        </w:rPr>
        <w:t>he ESC noted that the maximum dose of statin was not required in the trial and that subgroup analyses of patients taking different doses of background statin therapy demonstrated that statin dose was not likely to be an effect modifier. The ESC noted that the low intensity statin subgroup did not meet statistical significance, but that there were low patient numbers in that analysis.</w:t>
      </w:r>
      <w:bookmarkEnd w:id="29"/>
    </w:p>
    <w:p w14:paraId="53281268" w14:textId="36D35A30" w:rsidR="00C527B8" w:rsidRPr="0091664F" w:rsidRDefault="00C527B8" w:rsidP="0091664F">
      <w:pPr>
        <w:widowControl w:val="0"/>
        <w:numPr>
          <w:ilvl w:val="1"/>
          <w:numId w:val="1"/>
        </w:numPr>
        <w:spacing w:after="120"/>
        <w:ind w:left="720" w:hanging="720"/>
        <w:rPr>
          <w:rFonts w:asciiTheme="minorHAnsi" w:hAnsiTheme="minorHAnsi"/>
          <w:bCs/>
          <w:snapToGrid w:val="0"/>
        </w:rPr>
      </w:pPr>
      <w:bookmarkStart w:id="30" w:name="_Ref151649412"/>
      <w:r w:rsidRPr="0091664F">
        <w:rPr>
          <w:rFonts w:asciiTheme="minorHAnsi" w:hAnsiTheme="minorHAnsi"/>
          <w:bCs/>
          <w:snapToGrid w:val="0"/>
        </w:rPr>
        <w:t xml:space="preserve">Many of the patients </w:t>
      </w:r>
      <w:r w:rsidR="007D6EB2" w:rsidRPr="0091664F">
        <w:rPr>
          <w:rFonts w:asciiTheme="minorHAnsi" w:hAnsiTheme="minorHAnsi"/>
          <w:bCs/>
          <w:snapToGrid w:val="0"/>
        </w:rPr>
        <w:t xml:space="preserve">included in the trial </w:t>
      </w:r>
      <w:r w:rsidRPr="0091664F">
        <w:rPr>
          <w:rFonts w:asciiTheme="minorHAnsi" w:hAnsiTheme="minorHAnsi"/>
          <w:bCs/>
          <w:snapToGrid w:val="0"/>
        </w:rPr>
        <w:t>with LDL levels of 1.8 to 2.6</w:t>
      </w:r>
      <w:r w:rsidR="009803C8" w:rsidRPr="0091664F">
        <w:rPr>
          <w:rFonts w:asciiTheme="minorHAnsi" w:hAnsiTheme="minorHAnsi"/>
          <w:bCs/>
          <w:snapToGrid w:val="0"/>
        </w:rPr>
        <w:t> </w:t>
      </w:r>
      <w:r w:rsidRPr="0091664F">
        <w:rPr>
          <w:rFonts w:asciiTheme="minorHAnsi" w:hAnsiTheme="minorHAnsi"/>
          <w:bCs/>
          <w:snapToGrid w:val="0"/>
        </w:rPr>
        <w:t>mmol/L would be eligible for PBS treatment with a PCSK9 inhibitor (or patients may already be receiving treatment with a PCSK9 inhibitor).</w:t>
      </w:r>
      <w:r w:rsidR="00303300" w:rsidRPr="0091664F">
        <w:rPr>
          <w:rFonts w:asciiTheme="minorHAnsi" w:hAnsiTheme="minorHAnsi"/>
          <w:bCs/>
          <w:snapToGrid w:val="0"/>
        </w:rPr>
        <w:t xml:space="preserve"> </w:t>
      </w:r>
      <w:r w:rsidR="00F60C8D" w:rsidRPr="0091664F">
        <w:rPr>
          <w:rFonts w:asciiTheme="minorHAnsi" w:hAnsiTheme="minorHAnsi"/>
          <w:bCs/>
          <w:snapToGrid w:val="0"/>
        </w:rPr>
        <w:t xml:space="preserve">The PSCR stated that subgroup analyses of REDUCE-IT demonstrated a consistent effect of icosapent ethyl across all </w:t>
      </w:r>
      <w:proofErr w:type="spellStart"/>
      <w:r w:rsidR="00F60C8D" w:rsidRPr="0091664F">
        <w:rPr>
          <w:rFonts w:asciiTheme="minorHAnsi" w:hAnsiTheme="minorHAnsi"/>
          <w:bCs/>
          <w:snapToGrid w:val="0"/>
        </w:rPr>
        <w:t>tertiles</w:t>
      </w:r>
      <w:proofErr w:type="spellEnd"/>
      <w:r w:rsidR="00F60C8D" w:rsidRPr="0091664F">
        <w:rPr>
          <w:rFonts w:asciiTheme="minorHAnsi" w:hAnsiTheme="minorHAnsi"/>
          <w:bCs/>
          <w:snapToGrid w:val="0"/>
        </w:rPr>
        <w:t xml:space="preserve"> of LDL cholesterol</w:t>
      </w:r>
      <w:r w:rsidR="00CC21FB" w:rsidRPr="0091664F">
        <w:rPr>
          <w:rFonts w:asciiTheme="minorHAnsi" w:hAnsiTheme="minorHAnsi"/>
          <w:bCs/>
          <w:snapToGrid w:val="0"/>
        </w:rPr>
        <w:t xml:space="preserve"> (≤</w:t>
      </w:r>
      <w:r w:rsidR="004E40F4">
        <w:rPr>
          <w:rFonts w:asciiTheme="minorHAnsi" w:hAnsiTheme="minorHAnsi"/>
          <w:bCs/>
          <w:snapToGrid w:val="0"/>
        </w:rPr>
        <w:t> </w:t>
      </w:r>
      <w:r w:rsidR="00CC21FB" w:rsidRPr="0091664F">
        <w:rPr>
          <w:rFonts w:asciiTheme="minorHAnsi" w:hAnsiTheme="minorHAnsi"/>
          <w:bCs/>
          <w:snapToGrid w:val="0"/>
        </w:rPr>
        <w:t>1.7</w:t>
      </w:r>
      <w:r w:rsidR="004E40F4">
        <w:rPr>
          <w:rFonts w:asciiTheme="minorHAnsi" w:hAnsiTheme="minorHAnsi"/>
          <w:bCs/>
          <w:snapToGrid w:val="0"/>
        </w:rPr>
        <w:t> </w:t>
      </w:r>
      <w:r w:rsidR="00CC21FB" w:rsidRPr="0091664F">
        <w:rPr>
          <w:rFonts w:asciiTheme="minorHAnsi" w:hAnsiTheme="minorHAnsi"/>
          <w:bCs/>
          <w:snapToGrid w:val="0"/>
        </w:rPr>
        <w:t>mg/dL vs. &gt;</w:t>
      </w:r>
      <w:r w:rsidR="004E40F4">
        <w:rPr>
          <w:rFonts w:asciiTheme="minorHAnsi" w:hAnsiTheme="minorHAnsi"/>
          <w:bCs/>
          <w:snapToGrid w:val="0"/>
        </w:rPr>
        <w:t> </w:t>
      </w:r>
      <w:r w:rsidR="00CC21FB" w:rsidRPr="0091664F">
        <w:rPr>
          <w:rFonts w:asciiTheme="minorHAnsi" w:hAnsiTheme="minorHAnsi"/>
          <w:bCs/>
          <w:snapToGrid w:val="0"/>
        </w:rPr>
        <w:t>1.7 to ≤</w:t>
      </w:r>
      <w:r w:rsidR="004E40F4">
        <w:rPr>
          <w:rFonts w:asciiTheme="minorHAnsi" w:hAnsiTheme="minorHAnsi"/>
          <w:bCs/>
          <w:snapToGrid w:val="0"/>
        </w:rPr>
        <w:t> </w:t>
      </w:r>
      <w:r w:rsidR="00CC21FB" w:rsidRPr="0091664F">
        <w:rPr>
          <w:rFonts w:asciiTheme="minorHAnsi" w:hAnsiTheme="minorHAnsi"/>
          <w:bCs/>
          <w:snapToGrid w:val="0"/>
        </w:rPr>
        <w:t>2.2</w:t>
      </w:r>
      <w:r w:rsidR="004E40F4">
        <w:rPr>
          <w:rFonts w:asciiTheme="minorHAnsi" w:hAnsiTheme="minorHAnsi"/>
          <w:bCs/>
          <w:snapToGrid w:val="0"/>
        </w:rPr>
        <w:t> </w:t>
      </w:r>
      <w:r w:rsidR="00CC21FB" w:rsidRPr="0091664F">
        <w:rPr>
          <w:rFonts w:asciiTheme="minorHAnsi" w:hAnsiTheme="minorHAnsi"/>
          <w:bCs/>
          <w:snapToGrid w:val="0"/>
        </w:rPr>
        <w:t>mg/dL vs. &gt;</w:t>
      </w:r>
      <w:r w:rsidR="004E40F4">
        <w:rPr>
          <w:rFonts w:asciiTheme="minorHAnsi" w:hAnsiTheme="minorHAnsi"/>
          <w:bCs/>
          <w:snapToGrid w:val="0"/>
        </w:rPr>
        <w:t> </w:t>
      </w:r>
      <w:r w:rsidR="00CC21FB" w:rsidRPr="0091664F">
        <w:rPr>
          <w:rFonts w:asciiTheme="minorHAnsi" w:hAnsiTheme="minorHAnsi"/>
          <w:bCs/>
          <w:snapToGrid w:val="0"/>
        </w:rPr>
        <w:t>2.2</w:t>
      </w:r>
      <w:r w:rsidR="004E40F4">
        <w:rPr>
          <w:rFonts w:asciiTheme="minorHAnsi" w:hAnsiTheme="minorHAnsi"/>
          <w:bCs/>
          <w:snapToGrid w:val="0"/>
        </w:rPr>
        <w:t> </w:t>
      </w:r>
      <w:r w:rsidR="00CC21FB" w:rsidRPr="0091664F">
        <w:rPr>
          <w:rFonts w:asciiTheme="minorHAnsi" w:hAnsiTheme="minorHAnsi"/>
          <w:bCs/>
          <w:snapToGrid w:val="0"/>
        </w:rPr>
        <w:t>mg/dL; interaction p=0.1645)</w:t>
      </w:r>
      <w:r w:rsidR="00F60C8D" w:rsidRPr="0091664F">
        <w:rPr>
          <w:rFonts w:asciiTheme="minorHAnsi" w:hAnsiTheme="minorHAnsi"/>
          <w:bCs/>
          <w:snapToGrid w:val="0"/>
        </w:rPr>
        <w:t>.</w:t>
      </w:r>
      <w:bookmarkEnd w:id="30"/>
    </w:p>
    <w:p w14:paraId="6D54C385" w14:textId="24A0B18B" w:rsidR="00C527B8" w:rsidRPr="00E211D2" w:rsidRDefault="00303300" w:rsidP="004E40F4">
      <w:pPr>
        <w:numPr>
          <w:ilvl w:val="1"/>
          <w:numId w:val="1"/>
        </w:numPr>
        <w:spacing w:after="120"/>
        <w:ind w:left="720" w:hanging="720"/>
      </w:pPr>
      <w:r w:rsidRPr="0091664F">
        <w:rPr>
          <w:rFonts w:asciiTheme="minorHAnsi" w:hAnsiTheme="minorHAnsi"/>
          <w:bCs/>
          <w:snapToGrid w:val="0"/>
        </w:rPr>
        <w:t xml:space="preserve">There were limited data available to inform </w:t>
      </w:r>
      <w:r w:rsidR="00A1459A" w:rsidRPr="0091664F">
        <w:rPr>
          <w:rFonts w:asciiTheme="minorHAnsi" w:hAnsiTheme="minorHAnsi"/>
          <w:bCs/>
          <w:snapToGrid w:val="0"/>
        </w:rPr>
        <w:t>a</w:t>
      </w:r>
      <w:r w:rsidR="00E21DDC" w:rsidRPr="0091664F">
        <w:rPr>
          <w:rFonts w:asciiTheme="minorHAnsi" w:hAnsiTheme="minorHAnsi"/>
          <w:bCs/>
          <w:snapToGrid w:val="0"/>
        </w:rPr>
        <w:t xml:space="preserve"> comparison of the REDUCE</w:t>
      </w:r>
      <w:r w:rsidR="00E21DDC" w:rsidRPr="00E211D2">
        <w:t xml:space="preserve">-IT trial population with patients in the </w:t>
      </w:r>
      <w:r w:rsidRPr="00E211D2">
        <w:t xml:space="preserve">proposed PBS population. </w:t>
      </w:r>
      <w:r w:rsidR="00C527B8" w:rsidRPr="00E211D2">
        <w:t>There may be differences between the clinical trial population and the proposed PBS population in underlying cardiovascular risk</w:t>
      </w:r>
      <w:r w:rsidRPr="00E211D2">
        <w:t xml:space="preserve"> which affect the effectiveness of treatment with icosapent ethyl</w:t>
      </w:r>
      <w:r w:rsidR="00E21DDC" w:rsidRPr="00E211D2">
        <w:t xml:space="preserve"> in clinical practice</w:t>
      </w:r>
      <w:r w:rsidR="00C527B8" w:rsidRPr="00E211D2">
        <w:t>.</w:t>
      </w:r>
    </w:p>
    <w:p w14:paraId="4A4FE085" w14:textId="7A39D6CD" w:rsidR="00B60939" w:rsidRPr="00C9624D" w:rsidRDefault="00B60939" w:rsidP="00EC5836">
      <w:pPr>
        <w:pStyle w:val="COMH2-non-numbered"/>
      </w:pPr>
      <w:bookmarkStart w:id="31" w:name="_Toc22897641"/>
      <w:bookmarkStart w:id="32" w:name="_Toc144685987"/>
      <w:bookmarkStart w:id="33" w:name="_Toc145499027"/>
      <w:r w:rsidRPr="00C9624D">
        <w:lastRenderedPageBreak/>
        <w:t>Comparative effectiveness</w:t>
      </w:r>
      <w:bookmarkEnd w:id="31"/>
      <w:bookmarkEnd w:id="32"/>
      <w:bookmarkEnd w:id="33"/>
    </w:p>
    <w:p w14:paraId="69632B38" w14:textId="12B66C57" w:rsidR="006F7350" w:rsidRDefault="007D5963" w:rsidP="0091664F">
      <w:pPr>
        <w:widowControl w:val="0"/>
        <w:numPr>
          <w:ilvl w:val="1"/>
          <w:numId w:val="1"/>
        </w:numPr>
        <w:spacing w:after="120"/>
        <w:ind w:left="720" w:hanging="720"/>
      </w:pPr>
      <w:r>
        <w:fldChar w:fldCharType="begin" w:fldLock="1"/>
      </w:r>
      <w:r>
        <w:instrText xml:space="preserve"> REF _Ref144678668 \h </w:instrText>
      </w:r>
      <w:r>
        <w:fldChar w:fldCharType="separate"/>
      </w:r>
      <w:r w:rsidR="003F1735">
        <w:t xml:space="preserve">Table </w:t>
      </w:r>
      <w:r w:rsidR="003F1735">
        <w:rPr>
          <w:noProof/>
        </w:rPr>
        <w:t>4</w:t>
      </w:r>
      <w:r>
        <w:fldChar w:fldCharType="end"/>
      </w:r>
      <w:r w:rsidR="006F7350">
        <w:t xml:space="preserve"> presents the results for the p</w:t>
      </w:r>
      <w:r w:rsidR="006F7350" w:rsidRPr="001C215F">
        <w:t xml:space="preserve">rimary </w:t>
      </w:r>
      <w:r w:rsidR="006F7350">
        <w:t xml:space="preserve">5-point MACE </w:t>
      </w:r>
      <w:r w:rsidR="006F7350" w:rsidRPr="001C215F">
        <w:t xml:space="preserve">composite </w:t>
      </w:r>
      <w:r w:rsidR="006F7350">
        <w:t xml:space="preserve">outcome (time to first occurrence of cardiovascular </w:t>
      </w:r>
      <w:r w:rsidR="006F7350" w:rsidRPr="001C215F">
        <w:t xml:space="preserve">death, nonfatal </w:t>
      </w:r>
      <w:r w:rsidR="006F7350">
        <w:t>myocardial infarction</w:t>
      </w:r>
      <w:r w:rsidR="006F7350" w:rsidRPr="001C215F">
        <w:t xml:space="preserve">, nonfatal stroke, coronary revascularisation, </w:t>
      </w:r>
      <w:r w:rsidR="006F7350">
        <w:t>or</w:t>
      </w:r>
      <w:r w:rsidR="006F7350" w:rsidRPr="001C215F">
        <w:t xml:space="preserve"> unstable angina requiring hospitalisation</w:t>
      </w:r>
      <w:r w:rsidR="006F7350">
        <w:t>) for the</w:t>
      </w:r>
      <w:r w:rsidR="00A031E7">
        <w:t xml:space="preserve"> </w:t>
      </w:r>
      <w:r w:rsidR="007C2247">
        <w:t xml:space="preserve">overall </w:t>
      </w:r>
      <w:r w:rsidR="00A031E7">
        <w:t xml:space="preserve">trial population and the </w:t>
      </w:r>
      <w:r w:rsidR="006F7350">
        <w:t>secondary prevention population.</w:t>
      </w:r>
    </w:p>
    <w:p w14:paraId="7A8B6C3B" w14:textId="34E50D1D" w:rsidR="00A031E7" w:rsidRPr="008215FB" w:rsidRDefault="00E6235F" w:rsidP="00A031E7">
      <w:pPr>
        <w:pStyle w:val="COMtablefigcaption"/>
      </w:pPr>
      <w:bookmarkStart w:id="34" w:name="_Ref144678668"/>
      <w:r>
        <w:t xml:space="preserve">Table </w:t>
      </w:r>
      <w:fldSimple w:instr=" SEQ Table \* ARABIC " w:fldLock="1">
        <w:r w:rsidR="003F1735">
          <w:rPr>
            <w:noProof/>
          </w:rPr>
          <w:t>4</w:t>
        </w:r>
      </w:fldSimple>
      <w:bookmarkEnd w:id="34"/>
      <w:r w:rsidR="00A031E7" w:rsidRPr="008215FB">
        <w:t>:</w:t>
      </w:r>
      <w:r w:rsidR="00A031E7">
        <w:t xml:space="preserve"> Results for the p</w:t>
      </w:r>
      <w:r w:rsidR="00A031E7" w:rsidRPr="0076548C">
        <w:t xml:space="preserve">rimary </w:t>
      </w:r>
      <w:r w:rsidR="00A031E7">
        <w:t xml:space="preserve">5-point MACE </w:t>
      </w:r>
      <w:r w:rsidR="00A031E7" w:rsidRPr="0076548C">
        <w:t xml:space="preserve">composite </w:t>
      </w:r>
      <w:r w:rsidR="00A031E7">
        <w:t>outcome in the REDUCE-IT trial</w:t>
      </w:r>
    </w:p>
    <w:tbl>
      <w:tblPr>
        <w:tblW w:w="0" w:type="auto"/>
        <w:tblCellMar>
          <w:left w:w="0" w:type="dxa"/>
          <w:right w:w="0" w:type="dxa"/>
        </w:tblCellMar>
        <w:tblLook w:val="04A0" w:firstRow="1" w:lastRow="0" w:firstColumn="1" w:lastColumn="0" w:noHBand="0" w:noVBand="1"/>
        <w:tblCaption w:val="Table 4: Results for the primary 5-point MACE composite outcome in the REDUCE-IT trial"/>
        <w:tblDescription w:val="Table 4: Results for the primary 5-point MACE composite outcome in the REDUCE-IT trial"/>
      </w:tblPr>
      <w:tblGrid>
        <w:gridCol w:w="2349"/>
        <w:gridCol w:w="1671"/>
        <w:gridCol w:w="1668"/>
        <w:gridCol w:w="1666"/>
        <w:gridCol w:w="1663"/>
      </w:tblGrid>
      <w:tr w:rsidR="00A031E7" w:rsidRPr="008215FB" w14:paraId="42BA2286" w14:textId="77777777" w:rsidTr="001D4554">
        <w:trPr>
          <w:trHeight w:val="70"/>
          <w:tblHeader/>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C41E33" w14:textId="77777777" w:rsidR="00A031E7" w:rsidRDefault="00A031E7" w:rsidP="001D4554">
            <w:pPr>
              <w:pStyle w:val="COMTableheadingrow"/>
            </w:pPr>
          </w:p>
        </w:tc>
        <w:tc>
          <w:tcPr>
            <w:tcW w:w="33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773A6" w14:textId="77777777" w:rsidR="00A031E7" w:rsidRPr="008215FB" w:rsidRDefault="00A031E7" w:rsidP="001D4554">
            <w:pPr>
              <w:pStyle w:val="COMTableheadingrow"/>
              <w:jc w:val="center"/>
            </w:pPr>
            <w:r>
              <w:t>ITT population</w:t>
            </w:r>
          </w:p>
        </w:tc>
        <w:tc>
          <w:tcPr>
            <w:tcW w:w="3383" w:type="dxa"/>
            <w:gridSpan w:val="2"/>
            <w:tcBorders>
              <w:top w:val="single" w:sz="4" w:space="0" w:color="auto"/>
              <w:left w:val="single" w:sz="4" w:space="0" w:color="auto"/>
              <w:bottom w:val="single" w:sz="4" w:space="0" w:color="auto"/>
              <w:right w:val="single" w:sz="4" w:space="0" w:color="auto"/>
            </w:tcBorders>
          </w:tcPr>
          <w:p w14:paraId="5DACA170" w14:textId="77777777" w:rsidR="00A031E7" w:rsidRPr="008215FB" w:rsidRDefault="00A031E7" w:rsidP="001D4554">
            <w:pPr>
              <w:pStyle w:val="COMTableheadingrow"/>
              <w:jc w:val="center"/>
            </w:pPr>
            <w:r>
              <w:t>Secondary prevention population</w:t>
            </w:r>
          </w:p>
        </w:tc>
      </w:tr>
      <w:tr w:rsidR="00A031E7" w:rsidRPr="008215FB" w14:paraId="0B24F361" w14:textId="77777777" w:rsidTr="001D4554">
        <w:trPr>
          <w:trHeight w:val="70"/>
          <w:tblHeader/>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CB4A8A" w14:textId="77777777" w:rsidR="00A031E7" w:rsidRPr="008215FB" w:rsidRDefault="00A031E7" w:rsidP="001D4554">
            <w:pPr>
              <w:pStyle w:val="COMTableheadingrow"/>
            </w:pPr>
            <w:r>
              <w:t>Parameter</w:t>
            </w:r>
            <w:r w:rsidRPr="008215FB">
              <w:t xml:space="preserve"> </w:t>
            </w:r>
          </w:p>
        </w:tc>
        <w:tc>
          <w:tcPr>
            <w:tcW w:w="1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F78480" w14:textId="77777777" w:rsidR="00A031E7" w:rsidRDefault="00A031E7" w:rsidP="001D4554">
            <w:pPr>
              <w:pStyle w:val="COMTableheadingrow"/>
              <w:jc w:val="center"/>
            </w:pPr>
            <w:r>
              <w:t>Icosapent ethyl</w:t>
            </w:r>
          </w:p>
          <w:p w14:paraId="60A2D96C" w14:textId="77777777" w:rsidR="00A031E7" w:rsidRPr="008215FB" w:rsidRDefault="00A031E7" w:rsidP="001D4554">
            <w:pPr>
              <w:pStyle w:val="COMTableheadingrow"/>
              <w:jc w:val="center"/>
            </w:pPr>
            <w:r>
              <w:t>N=4,089</w:t>
            </w:r>
          </w:p>
        </w:tc>
        <w:tc>
          <w:tcPr>
            <w:tcW w:w="1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7BE38B" w14:textId="77777777" w:rsidR="00A031E7" w:rsidRDefault="00A031E7" w:rsidP="001D4554">
            <w:pPr>
              <w:pStyle w:val="COMTableheadingrow"/>
              <w:jc w:val="center"/>
            </w:pPr>
            <w:r>
              <w:t>Placebo</w:t>
            </w:r>
          </w:p>
          <w:p w14:paraId="45D52722" w14:textId="77777777" w:rsidR="00A031E7" w:rsidRPr="008215FB" w:rsidRDefault="00A031E7" w:rsidP="001D4554">
            <w:pPr>
              <w:pStyle w:val="COMTableheadingrow"/>
              <w:jc w:val="center"/>
            </w:pPr>
            <w:r>
              <w:t>N=4,090</w:t>
            </w:r>
          </w:p>
        </w:tc>
        <w:tc>
          <w:tcPr>
            <w:tcW w:w="1691" w:type="dxa"/>
            <w:tcBorders>
              <w:top w:val="single" w:sz="4" w:space="0" w:color="auto"/>
              <w:left w:val="single" w:sz="4" w:space="0" w:color="auto"/>
              <w:bottom w:val="single" w:sz="4" w:space="0" w:color="auto"/>
              <w:right w:val="single" w:sz="4" w:space="0" w:color="auto"/>
            </w:tcBorders>
          </w:tcPr>
          <w:p w14:paraId="1D4B22D0" w14:textId="77777777" w:rsidR="00A031E7" w:rsidRDefault="00A031E7" w:rsidP="001D4554">
            <w:pPr>
              <w:pStyle w:val="COMTableheadingrow"/>
              <w:jc w:val="center"/>
            </w:pPr>
            <w:r>
              <w:t>Icosapent ethyl</w:t>
            </w:r>
          </w:p>
          <w:p w14:paraId="668348C5" w14:textId="77777777" w:rsidR="00A031E7" w:rsidRPr="008215FB" w:rsidRDefault="00A031E7" w:rsidP="001D4554">
            <w:pPr>
              <w:pStyle w:val="COMTableheadingrow"/>
              <w:jc w:val="center"/>
            </w:pPr>
            <w:r>
              <w:t>N=2,892</w:t>
            </w:r>
          </w:p>
        </w:tc>
        <w:tc>
          <w:tcPr>
            <w:tcW w:w="1692" w:type="dxa"/>
            <w:tcBorders>
              <w:top w:val="single" w:sz="4" w:space="0" w:color="auto"/>
              <w:left w:val="single" w:sz="4" w:space="0" w:color="auto"/>
              <w:bottom w:val="single" w:sz="4" w:space="0" w:color="auto"/>
              <w:right w:val="single" w:sz="4" w:space="0" w:color="auto"/>
            </w:tcBorders>
          </w:tcPr>
          <w:p w14:paraId="558BAB25" w14:textId="77777777" w:rsidR="00A031E7" w:rsidRDefault="00A031E7" w:rsidP="001D4554">
            <w:pPr>
              <w:pStyle w:val="COMTableheadingrow"/>
              <w:jc w:val="center"/>
            </w:pPr>
            <w:r>
              <w:t>Placebo</w:t>
            </w:r>
          </w:p>
          <w:p w14:paraId="6A3194C3" w14:textId="77777777" w:rsidR="00A031E7" w:rsidRPr="008215FB" w:rsidRDefault="00A031E7" w:rsidP="001D4554">
            <w:pPr>
              <w:pStyle w:val="COMTableheadingrow"/>
              <w:jc w:val="center"/>
            </w:pPr>
            <w:r>
              <w:t>N=2,893</w:t>
            </w:r>
          </w:p>
        </w:tc>
      </w:tr>
      <w:tr w:rsidR="00A031E7" w:rsidRPr="008215FB" w14:paraId="054ADA79" w14:textId="77777777" w:rsidTr="001D4554">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9915A" w14:textId="77777777" w:rsidR="00A031E7" w:rsidRPr="00892D3E" w:rsidRDefault="00A031E7" w:rsidP="001D4554">
            <w:pPr>
              <w:pStyle w:val="COMTabletext"/>
              <w:rPr>
                <w:lang w:val="en-US"/>
              </w:rPr>
            </w:pPr>
            <w:r>
              <w:rPr>
                <w:lang w:val="en-US"/>
              </w:rPr>
              <w:t>Median follow-up, years</w:t>
            </w:r>
          </w:p>
        </w:tc>
        <w:tc>
          <w:tcPr>
            <w:tcW w:w="1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9FD9D" w14:textId="77777777" w:rsidR="00A031E7" w:rsidRPr="006E3A3E" w:rsidRDefault="00A031E7" w:rsidP="001D4554">
            <w:pPr>
              <w:pStyle w:val="COMTabletext"/>
              <w:jc w:val="center"/>
            </w:pPr>
            <w:r w:rsidRPr="007270AF">
              <w:t>4.7</w:t>
            </w:r>
          </w:p>
        </w:tc>
        <w:tc>
          <w:tcPr>
            <w:tcW w:w="1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35AA8" w14:textId="77777777" w:rsidR="00A031E7" w:rsidRPr="006E3A3E" w:rsidRDefault="00A031E7" w:rsidP="001D4554">
            <w:pPr>
              <w:pStyle w:val="COMTabletext"/>
              <w:jc w:val="center"/>
            </w:pPr>
            <w:r w:rsidRPr="007270AF">
              <w:t>4.5</w:t>
            </w:r>
          </w:p>
        </w:tc>
        <w:tc>
          <w:tcPr>
            <w:tcW w:w="1691" w:type="dxa"/>
            <w:tcBorders>
              <w:top w:val="single" w:sz="4" w:space="0" w:color="auto"/>
              <w:left w:val="single" w:sz="4" w:space="0" w:color="auto"/>
              <w:bottom w:val="single" w:sz="4" w:space="0" w:color="auto"/>
              <w:right w:val="single" w:sz="4" w:space="0" w:color="auto"/>
            </w:tcBorders>
          </w:tcPr>
          <w:p w14:paraId="7329CB13" w14:textId="77777777" w:rsidR="00A031E7" w:rsidRPr="006E3A3E" w:rsidRDefault="00A031E7" w:rsidP="001D4554">
            <w:pPr>
              <w:pStyle w:val="COMTabletext"/>
              <w:jc w:val="center"/>
            </w:pPr>
            <w:r w:rsidRPr="007270AF">
              <w:t>4.4</w:t>
            </w:r>
          </w:p>
        </w:tc>
        <w:tc>
          <w:tcPr>
            <w:tcW w:w="1692" w:type="dxa"/>
            <w:tcBorders>
              <w:top w:val="single" w:sz="4" w:space="0" w:color="auto"/>
              <w:left w:val="single" w:sz="4" w:space="0" w:color="auto"/>
              <w:bottom w:val="single" w:sz="4" w:space="0" w:color="auto"/>
              <w:right w:val="single" w:sz="4" w:space="0" w:color="auto"/>
            </w:tcBorders>
          </w:tcPr>
          <w:p w14:paraId="25609542" w14:textId="77777777" w:rsidR="00A031E7" w:rsidRPr="006E3A3E" w:rsidRDefault="00A031E7" w:rsidP="001D4554">
            <w:pPr>
              <w:pStyle w:val="COMTabletext"/>
              <w:jc w:val="center"/>
            </w:pPr>
            <w:r w:rsidRPr="007270AF">
              <w:t>4.1</w:t>
            </w:r>
          </w:p>
        </w:tc>
      </w:tr>
      <w:tr w:rsidR="00A031E7" w:rsidRPr="008215FB" w14:paraId="710E11B2" w14:textId="77777777" w:rsidTr="001D4554">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C111A" w14:textId="77777777" w:rsidR="00A031E7" w:rsidRPr="008215FB" w:rsidRDefault="00A031E7" w:rsidP="001D4554">
            <w:pPr>
              <w:pStyle w:val="COMTabletext"/>
              <w:rPr>
                <w:lang w:val="en-US"/>
              </w:rPr>
            </w:pPr>
            <w:r w:rsidRPr="00892D3E">
              <w:rPr>
                <w:lang w:val="en-US"/>
              </w:rPr>
              <w:t xml:space="preserve">Composite </w:t>
            </w:r>
            <w:r>
              <w:rPr>
                <w:lang w:val="en-US"/>
              </w:rPr>
              <w:t>outcome</w:t>
            </w:r>
            <w:r w:rsidRPr="00892D3E">
              <w:rPr>
                <w:lang w:val="en-US"/>
              </w:rPr>
              <w:t>, n (%)</w:t>
            </w:r>
          </w:p>
        </w:tc>
        <w:tc>
          <w:tcPr>
            <w:tcW w:w="1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18CE51" w14:textId="77777777" w:rsidR="00A031E7" w:rsidRPr="008215FB" w:rsidRDefault="00A031E7" w:rsidP="001D4554">
            <w:pPr>
              <w:pStyle w:val="COMTabletext"/>
              <w:jc w:val="center"/>
              <w:rPr>
                <w:lang w:val="en-US"/>
              </w:rPr>
            </w:pPr>
            <w:r w:rsidRPr="006E3A3E">
              <w:t>705 (17.2)</w:t>
            </w:r>
          </w:p>
        </w:tc>
        <w:tc>
          <w:tcPr>
            <w:tcW w:w="1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FB1ED" w14:textId="77777777" w:rsidR="00A031E7" w:rsidRPr="008215FB" w:rsidRDefault="00A031E7" w:rsidP="001D4554">
            <w:pPr>
              <w:pStyle w:val="COMTabletext"/>
              <w:jc w:val="center"/>
              <w:rPr>
                <w:lang w:val="en-US"/>
              </w:rPr>
            </w:pPr>
            <w:r w:rsidRPr="006E3A3E">
              <w:t>901 (22.0)</w:t>
            </w:r>
          </w:p>
        </w:tc>
        <w:tc>
          <w:tcPr>
            <w:tcW w:w="1691" w:type="dxa"/>
            <w:tcBorders>
              <w:top w:val="single" w:sz="4" w:space="0" w:color="auto"/>
              <w:left w:val="single" w:sz="4" w:space="0" w:color="auto"/>
              <w:bottom w:val="single" w:sz="4" w:space="0" w:color="auto"/>
              <w:right w:val="single" w:sz="4" w:space="0" w:color="auto"/>
            </w:tcBorders>
          </w:tcPr>
          <w:p w14:paraId="6C4982EC" w14:textId="77777777" w:rsidR="00A031E7" w:rsidRPr="008215FB" w:rsidRDefault="00A031E7" w:rsidP="001D4554">
            <w:pPr>
              <w:pStyle w:val="COMTabletext"/>
              <w:jc w:val="center"/>
              <w:rPr>
                <w:lang w:val="en-US"/>
              </w:rPr>
            </w:pPr>
            <w:r w:rsidRPr="006E3A3E">
              <w:t>559 (19.3)</w:t>
            </w:r>
          </w:p>
        </w:tc>
        <w:tc>
          <w:tcPr>
            <w:tcW w:w="1692" w:type="dxa"/>
            <w:tcBorders>
              <w:top w:val="single" w:sz="4" w:space="0" w:color="auto"/>
              <w:left w:val="single" w:sz="4" w:space="0" w:color="auto"/>
              <w:bottom w:val="single" w:sz="4" w:space="0" w:color="auto"/>
              <w:right w:val="single" w:sz="4" w:space="0" w:color="auto"/>
            </w:tcBorders>
          </w:tcPr>
          <w:p w14:paraId="5B308FEB" w14:textId="77777777" w:rsidR="00A031E7" w:rsidRPr="008215FB" w:rsidRDefault="00A031E7" w:rsidP="001D4554">
            <w:pPr>
              <w:pStyle w:val="COMTabletext"/>
              <w:jc w:val="center"/>
              <w:rPr>
                <w:lang w:val="en-US"/>
              </w:rPr>
            </w:pPr>
            <w:r w:rsidRPr="006E3A3E">
              <w:t>738 (25.5)</w:t>
            </w:r>
          </w:p>
        </w:tc>
      </w:tr>
      <w:tr w:rsidR="00A031E7" w:rsidRPr="008215FB" w14:paraId="47DBBAFC" w14:textId="77777777" w:rsidTr="001D4554">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9C603" w14:textId="77777777" w:rsidR="00A031E7" w:rsidRPr="008215FB" w:rsidRDefault="00A031E7" w:rsidP="001D4554">
            <w:pPr>
              <w:pStyle w:val="COMTabletext"/>
              <w:rPr>
                <w:lang w:val="en-US"/>
              </w:rPr>
            </w:pPr>
            <w:r>
              <w:rPr>
                <w:lang w:val="en-US"/>
              </w:rPr>
              <w:t>Hazard ratio (95% CI)</w:t>
            </w:r>
          </w:p>
        </w:tc>
        <w:tc>
          <w:tcPr>
            <w:tcW w:w="33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2DBE" w14:textId="77777777" w:rsidR="00A031E7" w:rsidRPr="00780389" w:rsidRDefault="00A031E7" w:rsidP="001D4554">
            <w:pPr>
              <w:pStyle w:val="COMTabletext"/>
              <w:jc w:val="center"/>
              <w:rPr>
                <w:b/>
                <w:bCs w:val="0"/>
                <w:lang w:val="en-US"/>
              </w:rPr>
            </w:pPr>
            <w:r w:rsidRPr="00780389">
              <w:rPr>
                <w:b/>
                <w:bCs w:val="0"/>
                <w:lang w:val="en-US"/>
              </w:rPr>
              <w:t>0.75 (0.68, 0.83)</w:t>
            </w:r>
          </w:p>
        </w:tc>
        <w:tc>
          <w:tcPr>
            <w:tcW w:w="3383" w:type="dxa"/>
            <w:gridSpan w:val="2"/>
            <w:tcBorders>
              <w:top w:val="single" w:sz="4" w:space="0" w:color="auto"/>
              <w:left w:val="single" w:sz="4" w:space="0" w:color="auto"/>
              <w:bottom w:val="single" w:sz="4" w:space="0" w:color="auto"/>
              <w:right w:val="single" w:sz="4" w:space="0" w:color="auto"/>
            </w:tcBorders>
          </w:tcPr>
          <w:p w14:paraId="50EDA4E5" w14:textId="77777777" w:rsidR="00A031E7" w:rsidRPr="00780389" w:rsidRDefault="00A031E7" w:rsidP="001D4554">
            <w:pPr>
              <w:pStyle w:val="COMTabletext"/>
              <w:tabs>
                <w:tab w:val="left" w:pos="1035"/>
              </w:tabs>
              <w:jc w:val="center"/>
              <w:rPr>
                <w:b/>
                <w:bCs w:val="0"/>
                <w:lang w:val="en-US"/>
              </w:rPr>
            </w:pPr>
            <w:r w:rsidRPr="00780389">
              <w:rPr>
                <w:b/>
                <w:bCs w:val="0"/>
                <w:lang w:val="en-US"/>
              </w:rPr>
              <w:t>0.73 (0.65, 0.81)</w:t>
            </w:r>
          </w:p>
        </w:tc>
      </w:tr>
      <w:tr w:rsidR="00A031E7" w:rsidRPr="008215FB" w14:paraId="1A825717" w14:textId="77777777" w:rsidTr="001D4554">
        <w:trPr>
          <w:trHeight w:val="1109"/>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2E90" w14:textId="77777777" w:rsidR="00A031E7" w:rsidRPr="00EF58F1" w:rsidRDefault="00A031E7" w:rsidP="001D4554">
            <w:pPr>
              <w:pStyle w:val="COMTabletext"/>
              <w:rPr>
                <w:vertAlign w:val="superscript"/>
                <w:lang w:val="en-US"/>
              </w:rPr>
            </w:pPr>
            <w:r>
              <w:rPr>
                <w:lang w:val="en-US"/>
              </w:rPr>
              <w:t xml:space="preserve">Composite components </w:t>
            </w:r>
            <w:r>
              <w:rPr>
                <w:vertAlign w:val="superscript"/>
                <w:lang w:val="en-US"/>
              </w:rPr>
              <w:t>a</w:t>
            </w:r>
          </w:p>
          <w:p w14:paraId="69841C0F" w14:textId="77777777" w:rsidR="00A031E7" w:rsidRDefault="00A031E7" w:rsidP="001D4554">
            <w:pPr>
              <w:pStyle w:val="COMTabletext"/>
              <w:rPr>
                <w:lang w:val="en-US"/>
              </w:rPr>
            </w:pPr>
            <w:r>
              <w:rPr>
                <w:lang w:val="en-US"/>
              </w:rPr>
              <w:t>- CV death</w:t>
            </w:r>
          </w:p>
          <w:p w14:paraId="0C354BCF" w14:textId="77777777" w:rsidR="00A031E7" w:rsidRDefault="00A031E7" w:rsidP="001D4554">
            <w:pPr>
              <w:pStyle w:val="COMTabletext"/>
              <w:rPr>
                <w:lang w:val="en-US"/>
              </w:rPr>
            </w:pPr>
            <w:r>
              <w:rPr>
                <w:lang w:val="en-US"/>
              </w:rPr>
              <w:t>- Nonfatal MI</w:t>
            </w:r>
          </w:p>
          <w:p w14:paraId="73AA0E4D" w14:textId="77777777" w:rsidR="00A031E7" w:rsidRDefault="00A031E7" w:rsidP="001D4554">
            <w:pPr>
              <w:pStyle w:val="COMTabletext"/>
              <w:rPr>
                <w:lang w:val="en-US"/>
              </w:rPr>
            </w:pPr>
            <w:r>
              <w:rPr>
                <w:lang w:val="en-US"/>
              </w:rPr>
              <w:t>- Nonfatal stroke</w:t>
            </w:r>
          </w:p>
          <w:p w14:paraId="5DF39276" w14:textId="77777777" w:rsidR="00A031E7" w:rsidRDefault="00A031E7" w:rsidP="001D4554">
            <w:pPr>
              <w:pStyle w:val="COMTabletext"/>
              <w:rPr>
                <w:lang w:val="en-US"/>
              </w:rPr>
            </w:pPr>
            <w:r>
              <w:rPr>
                <w:lang w:val="en-US"/>
              </w:rPr>
              <w:t xml:space="preserve">- Coronary </w:t>
            </w:r>
            <w:r w:rsidRPr="00E970D0">
              <w:t>revascularisation</w:t>
            </w:r>
          </w:p>
          <w:p w14:paraId="6446A7AF" w14:textId="77777777" w:rsidR="00A031E7" w:rsidRPr="008215FB" w:rsidRDefault="00A031E7" w:rsidP="001D4554">
            <w:pPr>
              <w:pStyle w:val="COMTabletext"/>
              <w:rPr>
                <w:lang w:val="en-US"/>
              </w:rPr>
            </w:pPr>
            <w:r>
              <w:rPr>
                <w:lang w:val="en-US"/>
              </w:rPr>
              <w:t xml:space="preserve">- </w:t>
            </w:r>
            <w:proofErr w:type="spellStart"/>
            <w:r>
              <w:rPr>
                <w:lang w:val="en-US"/>
              </w:rPr>
              <w:t>Hospitalisation</w:t>
            </w:r>
            <w:proofErr w:type="spellEnd"/>
            <w:r>
              <w:rPr>
                <w:lang w:val="en-US"/>
              </w:rPr>
              <w:t xml:space="preserve"> for UA</w:t>
            </w:r>
          </w:p>
        </w:tc>
        <w:tc>
          <w:tcPr>
            <w:tcW w:w="1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BD738" w14:textId="77777777" w:rsidR="00A031E7" w:rsidRDefault="00A031E7" w:rsidP="001D4554">
            <w:pPr>
              <w:pStyle w:val="COMTabletext"/>
              <w:jc w:val="center"/>
            </w:pPr>
          </w:p>
          <w:p w14:paraId="469C2F5F" w14:textId="77777777" w:rsidR="00A031E7" w:rsidRPr="004374D3" w:rsidRDefault="00A031E7" w:rsidP="001D4554">
            <w:pPr>
              <w:pStyle w:val="COMTabletext"/>
              <w:jc w:val="center"/>
              <w:rPr>
                <w:lang w:val="en-US"/>
              </w:rPr>
            </w:pPr>
            <w:r w:rsidRPr="00BC0634">
              <w:t>137 (3.4)</w:t>
            </w:r>
          </w:p>
          <w:p w14:paraId="70D239E8" w14:textId="77777777" w:rsidR="00A031E7" w:rsidRPr="004374D3" w:rsidRDefault="00A031E7" w:rsidP="001D4554">
            <w:pPr>
              <w:pStyle w:val="COMTabletext"/>
              <w:jc w:val="center"/>
              <w:rPr>
                <w:lang w:val="en-US"/>
              </w:rPr>
            </w:pPr>
            <w:r w:rsidRPr="00D2358A">
              <w:t>205 (</w:t>
            </w:r>
            <w:r>
              <w:t>5.0</w:t>
            </w:r>
            <w:r w:rsidRPr="00D2358A">
              <w:t>)</w:t>
            </w:r>
          </w:p>
          <w:p w14:paraId="4C0476C9" w14:textId="77777777" w:rsidR="00A031E7" w:rsidRPr="004374D3" w:rsidRDefault="00A031E7" w:rsidP="001D4554">
            <w:pPr>
              <w:pStyle w:val="COMTabletext"/>
              <w:jc w:val="center"/>
              <w:rPr>
                <w:lang w:val="en-US"/>
              </w:rPr>
            </w:pPr>
            <w:r w:rsidRPr="00D2358A">
              <w:t>80 (</w:t>
            </w:r>
            <w:r>
              <w:t>2.0</w:t>
            </w:r>
            <w:r w:rsidRPr="00D2358A">
              <w:t>)</w:t>
            </w:r>
          </w:p>
          <w:p w14:paraId="624DE073" w14:textId="77777777" w:rsidR="00A031E7" w:rsidRPr="004374D3" w:rsidRDefault="00A031E7" w:rsidP="001D4554">
            <w:pPr>
              <w:pStyle w:val="COMTabletext"/>
              <w:jc w:val="center"/>
              <w:rPr>
                <w:lang w:val="en-US"/>
              </w:rPr>
            </w:pPr>
            <w:r w:rsidRPr="00D2358A">
              <w:t>189 (</w:t>
            </w:r>
            <w:r>
              <w:t>4.6</w:t>
            </w:r>
            <w:r w:rsidRPr="00D2358A">
              <w:t>)</w:t>
            </w:r>
          </w:p>
          <w:p w14:paraId="60A8770A" w14:textId="77777777" w:rsidR="00A031E7" w:rsidRPr="008215FB" w:rsidRDefault="00A031E7" w:rsidP="001D4554">
            <w:pPr>
              <w:pStyle w:val="COMTabletext"/>
              <w:jc w:val="center"/>
              <w:rPr>
                <w:lang w:val="en-US"/>
              </w:rPr>
            </w:pPr>
            <w:r w:rsidRPr="00D2358A">
              <w:t>94 (</w:t>
            </w:r>
            <w:r>
              <w:t>2.3</w:t>
            </w:r>
            <w:r w:rsidRPr="00D2358A">
              <w:t>)</w:t>
            </w:r>
          </w:p>
        </w:tc>
        <w:tc>
          <w:tcPr>
            <w:tcW w:w="1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B9D9D" w14:textId="77777777" w:rsidR="00A031E7" w:rsidRDefault="00A031E7" w:rsidP="001D4554">
            <w:pPr>
              <w:pStyle w:val="COMTabletext"/>
              <w:jc w:val="center"/>
            </w:pPr>
          </w:p>
          <w:p w14:paraId="1F0A67DA" w14:textId="77777777" w:rsidR="00A031E7" w:rsidRPr="004374D3" w:rsidRDefault="00A031E7" w:rsidP="001D4554">
            <w:pPr>
              <w:pStyle w:val="COMTabletext"/>
              <w:jc w:val="center"/>
              <w:rPr>
                <w:lang w:val="en-US"/>
              </w:rPr>
            </w:pPr>
            <w:r w:rsidRPr="00770416">
              <w:t>149 (</w:t>
            </w:r>
            <w:r>
              <w:t>3.6</w:t>
            </w:r>
            <w:r w:rsidRPr="00770416">
              <w:t>)</w:t>
            </w:r>
          </w:p>
          <w:p w14:paraId="6D3EEB89" w14:textId="77777777" w:rsidR="00A031E7" w:rsidRPr="004374D3" w:rsidRDefault="00A031E7" w:rsidP="001D4554">
            <w:pPr>
              <w:pStyle w:val="COMTabletext"/>
              <w:jc w:val="center"/>
              <w:rPr>
                <w:lang w:val="en-US"/>
              </w:rPr>
            </w:pPr>
            <w:r w:rsidRPr="00770416">
              <w:t>280 (</w:t>
            </w:r>
            <w:r>
              <w:t>6.8</w:t>
            </w:r>
            <w:r w:rsidRPr="00770416">
              <w:t>)</w:t>
            </w:r>
          </w:p>
          <w:p w14:paraId="21DEE2B4" w14:textId="77777777" w:rsidR="00A031E7" w:rsidRPr="004374D3" w:rsidRDefault="00A031E7" w:rsidP="001D4554">
            <w:pPr>
              <w:pStyle w:val="COMTabletext"/>
              <w:jc w:val="center"/>
              <w:rPr>
                <w:lang w:val="en-US"/>
              </w:rPr>
            </w:pPr>
            <w:r w:rsidRPr="00770416">
              <w:t>105 (</w:t>
            </w:r>
            <w:r>
              <w:t>2.6</w:t>
            </w:r>
            <w:r w:rsidRPr="00770416">
              <w:t>)</w:t>
            </w:r>
          </w:p>
          <w:p w14:paraId="7EABD7A6" w14:textId="77777777" w:rsidR="00A031E7" w:rsidRPr="004374D3" w:rsidRDefault="00A031E7" w:rsidP="001D4554">
            <w:pPr>
              <w:pStyle w:val="COMTabletext"/>
              <w:jc w:val="center"/>
              <w:rPr>
                <w:lang w:val="en-US"/>
              </w:rPr>
            </w:pPr>
            <w:r w:rsidRPr="00770416">
              <w:t>244 (</w:t>
            </w:r>
            <w:r>
              <w:t>6.0</w:t>
            </w:r>
            <w:r w:rsidRPr="00770416">
              <w:t>)</w:t>
            </w:r>
          </w:p>
          <w:p w14:paraId="217CE75A" w14:textId="77777777" w:rsidR="00A031E7" w:rsidRPr="008215FB" w:rsidRDefault="00A031E7" w:rsidP="001D4554">
            <w:pPr>
              <w:pStyle w:val="COMTabletext"/>
              <w:jc w:val="center"/>
              <w:rPr>
                <w:lang w:val="en-US"/>
              </w:rPr>
            </w:pPr>
            <w:r w:rsidRPr="00770416">
              <w:t>123 (</w:t>
            </w:r>
            <w:r>
              <w:t>3.0</w:t>
            </w:r>
            <w:r w:rsidRPr="00770416">
              <w:t>)</w:t>
            </w:r>
          </w:p>
        </w:tc>
        <w:tc>
          <w:tcPr>
            <w:tcW w:w="1691" w:type="dxa"/>
            <w:tcBorders>
              <w:top w:val="single" w:sz="4" w:space="0" w:color="auto"/>
              <w:left w:val="single" w:sz="4" w:space="0" w:color="auto"/>
              <w:bottom w:val="single" w:sz="4" w:space="0" w:color="auto"/>
              <w:right w:val="single" w:sz="4" w:space="0" w:color="auto"/>
            </w:tcBorders>
          </w:tcPr>
          <w:p w14:paraId="4FC43ED6" w14:textId="77777777" w:rsidR="00A031E7" w:rsidRPr="00EF58F1" w:rsidRDefault="00A031E7" w:rsidP="001D4554">
            <w:pPr>
              <w:pStyle w:val="COMTabletext"/>
              <w:jc w:val="center"/>
            </w:pPr>
          </w:p>
          <w:p w14:paraId="36AB7B19" w14:textId="23F7A469" w:rsidR="00A031E7" w:rsidRPr="00EF58F1" w:rsidRDefault="00630299" w:rsidP="001D4554">
            <w:pPr>
              <w:pStyle w:val="COMTabletext"/>
              <w:jc w:val="center"/>
              <w:rPr>
                <w:lang w:val="en-US"/>
              </w:rPr>
            </w:pPr>
            <w:r>
              <w:rPr>
                <w:lang w:val="en-US"/>
              </w:rPr>
              <w:t>101 (3.5)</w:t>
            </w:r>
          </w:p>
          <w:p w14:paraId="6ACF2CBD" w14:textId="77777777" w:rsidR="00630299" w:rsidRPr="00630299" w:rsidRDefault="00630299" w:rsidP="00630299">
            <w:pPr>
              <w:pStyle w:val="COMTabletext"/>
              <w:jc w:val="center"/>
              <w:rPr>
                <w:lang w:val="en-US"/>
              </w:rPr>
            </w:pPr>
            <w:r w:rsidRPr="00630299">
              <w:rPr>
                <w:lang w:val="en-US"/>
              </w:rPr>
              <w:t>168 (5.8)</w:t>
            </w:r>
          </w:p>
          <w:p w14:paraId="28F441E7" w14:textId="77777777" w:rsidR="00630299" w:rsidRPr="00630299" w:rsidRDefault="00630299" w:rsidP="00630299">
            <w:pPr>
              <w:pStyle w:val="COMTabletext"/>
              <w:jc w:val="center"/>
              <w:rPr>
                <w:lang w:val="en-US"/>
              </w:rPr>
            </w:pPr>
            <w:r w:rsidRPr="00630299">
              <w:rPr>
                <w:lang w:val="en-US"/>
              </w:rPr>
              <w:t>61 (2.1)</w:t>
            </w:r>
          </w:p>
          <w:p w14:paraId="3D90FC7B" w14:textId="77777777" w:rsidR="00630299" w:rsidRPr="00630299" w:rsidRDefault="00630299" w:rsidP="00630299">
            <w:pPr>
              <w:pStyle w:val="COMTabletext"/>
              <w:jc w:val="center"/>
              <w:rPr>
                <w:lang w:val="en-US"/>
              </w:rPr>
            </w:pPr>
            <w:r w:rsidRPr="00630299">
              <w:rPr>
                <w:lang w:val="en-US"/>
              </w:rPr>
              <w:t>147 (5.1)</w:t>
            </w:r>
          </w:p>
          <w:p w14:paraId="7BE9D434" w14:textId="29375CB2" w:rsidR="00A031E7" w:rsidRPr="00EF58F1" w:rsidRDefault="00630299" w:rsidP="001D4554">
            <w:pPr>
              <w:pStyle w:val="COMTabletext"/>
              <w:jc w:val="center"/>
              <w:rPr>
                <w:lang w:val="en-US"/>
              </w:rPr>
            </w:pPr>
            <w:r w:rsidRPr="00630299">
              <w:rPr>
                <w:lang w:val="en-US"/>
              </w:rPr>
              <w:t>82 (2.8)</w:t>
            </w:r>
          </w:p>
        </w:tc>
        <w:tc>
          <w:tcPr>
            <w:tcW w:w="1692" w:type="dxa"/>
            <w:tcBorders>
              <w:top w:val="single" w:sz="4" w:space="0" w:color="auto"/>
              <w:left w:val="single" w:sz="4" w:space="0" w:color="auto"/>
              <w:bottom w:val="single" w:sz="4" w:space="0" w:color="auto"/>
              <w:right w:val="single" w:sz="4" w:space="0" w:color="auto"/>
            </w:tcBorders>
          </w:tcPr>
          <w:p w14:paraId="547EB910" w14:textId="77777777" w:rsidR="00A031E7" w:rsidRPr="00EF58F1" w:rsidRDefault="00A031E7" w:rsidP="001D4554">
            <w:pPr>
              <w:pStyle w:val="COMTabletext"/>
              <w:jc w:val="center"/>
            </w:pPr>
          </w:p>
          <w:p w14:paraId="5EE05A84" w14:textId="77777777" w:rsidR="00630299" w:rsidRPr="00630299" w:rsidRDefault="00630299" w:rsidP="00630299">
            <w:pPr>
              <w:pStyle w:val="COMTabletext"/>
              <w:jc w:val="center"/>
              <w:rPr>
                <w:lang w:val="en-US"/>
              </w:rPr>
            </w:pPr>
            <w:r w:rsidRPr="00630299">
              <w:rPr>
                <w:lang w:val="en-US"/>
              </w:rPr>
              <w:t>113 (3.9)</w:t>
            </w:r>
          </w:p>
          <w:p w14:paraId="5FFD50A5" w14:textId="77777777" w:rsidR="00630299" w:rsidRPr="00630299" w:rsidRDefault="00630299" w:rsidP="00630299">
            <w:pPr>
              <w:pStyle w:val="COMTabletext"/>
              <w:jc w:val="center"/>
              <w:rPr>
                <w:lang w:val="en-US"/>
              </w:rPr>
            </w:pPr>
            <w:r w:rsidRPr="00630299">
              <w:rPr>
                <w:lang w:val="en-US"/>
              </w:rPr>
              <w:t>234 (8.1)</w:t>
            </w:r>
          </w:p>
          <w:p w14:paraId="140BA9DA" w14:textId="77777777" w:rsidR="00630299" w:rsidRPr="00630299" w:rsidRDefault="00630299" w:rsidP="00630299">
            <w:pPr>
              <w:pStyle w:val="COMTabletext"/>
              <w:jc w:val="center"/>
              <w:rPr>
                <w:lang w:val="en-US"/>
              </w:rPr>
            </w:pPr>
            <w:r w:rsidRPr="00630299">
              <w:rPr>
                <w:lang w:val="en-US"/>
              </w:rPr>
              <w:t>76 (2.6)</w:t>
            </w:r>
          </w:p>
          <w:p w14:paraId="1E7FD6DB" w14:textId="77777777" w:rsidR="00630299" w:rsidRPr="00630299" w:rsidRDefault="00630299" w:rsidP="00630299">
            <w:pPr>
              <w:pStyle w:val="COMTabletext"/>
              <w:jc w:val="center"/>
              <w:rPr>
                <w:lang w:val="en-US"/>
              </w:rPr>
            </w:pPr>
            <w:r w:rsidRPr="00630299">
              <w:rPr>
                <w:lang w:val="en-US"/>
              </w:rPr>
              <w:t>201 (6.9)</w:t>
            </w:r>
          </w:p>
          <w:p w14:paraId="72574F19" w14:textId="65F0E275" w:rsidR="00A031E7" w:rsidRPr="00EF58F1" w:rsidRDefault="00630299" w:rsidP="001D4554">
            <w:pPr>
              <w:pStyle w:val="COMTabletext"/>
              <w:jc w:val="center"/>
              <w:rPr>
                <w:lang w:val="en-US"/>
              </w:rPr>
            </w:pPr>
            <w:r w:rsidRPr="00630299">
              <w:rPr>
                <w:lang w:val="en-US"/>
              </w:rPr>
              <w:t>114 (3.9)</w:t>
            </w:r>
          </w:p>
        </w:tc>
      </w:tr>
    </w:tbl>
    <w:p w14:paraId="1553BB24" w14:textId="77777777" w:rsidR="00A031E7" w:rsidRDefault="00A031E7" w:rsidP="00A031E7">
      <w:pPr>
        <w:pStyle w:val="COMTablefooter"/>
      </w:pPr>
      <w:r>
        <w:t>Source: Table 2.5.1, p66 of the submission.</w:t>
      </w:r>
    </w:p>
    <w:p w14:paraId="483F06E1" w14:textId="77777777" w:rsidR="00A031E7" w:rsidRDefault="00A031E7" w:rsidP="00A031E7">
      <w:pPr>
        <w:pStyle w:val="COMTablefooter"/>
        <w:rPr>
          <w:vertAlign w:val="superscript"/>
        </w:rPr>
      </w:pPr>
      <w:r>
        <w:t>Abbreviations: CI, confidence interval; MI, myocardial infarction; NR, not reported; UA, unstable angina.</w:t>
      </w:r>
      <w:r w:rsidRPr="00EF58F1">
        <w:rPr>
          <w:vertAlign w:val="superscript"/>
        </w:rPr>
        <w:t xml:space="preserve"> </w:t>
      </w:r>
    </w:p>
    <w:p w14:paraId="34F7C56C" w14:textId="6DC10900" w:rsidR="00A031E7" w:rsidRPr="00835F52" w:rsidRDefault="00A031E7" w:rsidP="00A031E7">
      <w:pPr>
        <w:pStyle w:val="COMTablefooter"/>
      </w:pPr>
      <w:r w:rsidRPr="00835F52">
        <w:rPr>
          <w:vertAlign w:val="superscript"/>
        </w:rPr>
        <w:t>a</w:t>
      </w:r>
      <w:r w:rsidRPr="00835F52">
        <w:t xml:space="preserve"> Based on a patient’s first post-randomisation occurrence of the event contributing to the composite outcome.</w:t>
      </w:r>
      <w:r w:rsidR="00A228AD" w:rsidRPr="00835F52">
        <w:t xml:space="preserve"> The percentage reflects the </w:t>
      </w:r>
      <w:r w:rsidR="001209E6" w:rsidRPr="00835F52">
        <w:t xml:space="preserve">number of patients experiencing an individual event divided by the </w:t>
      </w:r>
      <w:r w:rsidR="00A228AD" w:rsidRPr="00835F52">
        <w:t xml:space="preserve">total number of patients in the treatment arm (percentages </w:t>
      </w:r>
      <w:r w:rsidR="001209E6" w:rsidRPr="00835F52">
        <w:t xml:space="preserve">included in </w:t>
      </w:r>
      <w:r w:rsidR="00A228AD" w:rsidRPr="00835F52">
        <w:t xml:space="preserve">the submission tables were based on the </w:t>
      </w:r>
      <w:r w:rsidR="001209E6" w:rsidRPr="00835F52">
        <w:t>number of patients experiencing an individual event divided by the total number of events occurring in the treatment arm).</w:t>
      </w:r>
    </w:p>
    <w:p w14:paraId="205D985A" w14:textId="635BAFC1" w:rsidR="00A031E7" w:rsidRPr="00835F52" w:rsidRDefault="00A031E7" w:rsidP="0091664F">
      <w:pPr>
        <w:widowControl w:val="0"/>
        <w:numPr>
          <w:ilvl w:val="1"/>
          <w:numId w:val="1"/>
        </w:numPr>
        <w:spacing w:after="120"/>
        <w:ind w:left="720" w:hanging="720"/>
      </w:pPr>
      <w:r w:rsidRPr="001B1215">
        <w:t>Treatment</w:t>
      </w:r>
      <w:r>
        <w:t xml:space="preserve"> with icosapent ethyl in the </w:t>
      </w:r>
      <w:r w:rsidR="007C2247">
        <w:t xml:space="preserve">overall </w:t>
      </w:r>
      <w:r>
        <w:t xml:space="preserve">trial population was associated </w:t>
      </w:r>
      <w:r w:rsidRPr="00B73F03">
        <w:t xml:space="preserve">with a statistically significant </w:t>
      </w:r>
      <w:r>
        <w:t>improvement</w:t>
      </w:r>
      <w:r w:rsidRPr="00B73F03">
        <w:t xml:space="preserve"> in the time</w:t>
      </w:r>
      <w:r>
        <w:t xml:space="preserve"> to first occurrence of the 5-point MACE composite outcome. </w:t>
      </w:r>
      <w:r w:rsidRPr="00835F52">
        <w:t>Results for the secondary prevention subgroup were consistent with the results for the overall trial population.</w:t>
      </w:r>
    </w:p>
    <w:p w14:paraId="3B7407B6" w14:textId="31189768" w:rsidR="00A031E7" w:rsidRDefault="009F703B" w:rsidP="0091664F">
      <w:pPr>
        <w:widowControl w:val="0"/>
        <w:numPr>
          <w:ilvl w:val="1"/>
          <w:numId w:val="1"/>
        </w:numPr>
        <w:spacing w:after="120"/>
        <w:ind w:left="720" w:hanging="720"/>
      </w:pPr>
      <w:r>
        <w:fldChar w:fldCharType="begin" w:fldLock="1"/>
      </w:r>
      <w:r>
        <w:instrText xml:space="preserve"> REF _Ref144678687 \h </w:instrText>
      </w:r>
      <w:r w:rsidR="0091664F">
        <w:instrText xml:space="preserve"> \* MERGEFORMAT </w:instrText>
      </w:r>
      <w:r>
        <w:fldChar w:fldCharType="separate"/>
      </w:r>
      <w:r w:rsidR="003F1735">
        <w:t>Table 5</w:t>
      </w:r>
      <w:r>
        <w:fldChar w:fldCharType="end"/>
      </w:r>
      <w:r w:rsidR="00DD31AB" w:rsidRPr="00DD31AB">
        <w:t xml:space="preserve"> presents the results for the key secondary 3-point MACE </w:t>
      </w:r>
      <w:r w:rsidR="0035265E">
        <w:t xml:space="preserve">composite </w:t>
      </w:r>
      <w:r w:rsidR="00DD31AB" w:rsidRPr="00DD31AB">
        <w:t xml:space="preserve">outcome (time to first occurrence of cardiovascular death, nonfatal myocardial infarction or nonfatal stroke) for the </w:t>
      </w:r>
      <w:r w:rsidR="007C2247">
        <w:t xml:space="preserve">overall </w:t>
      </w:r>
      <w:r w:rsidR="009E6636">
        <w:t xml:space="preserve">trial population and the </w:t>
      </w:r>
      <w:r w:rsidR="00DD31AB" w:rsidRPr="00DD31AB">
        <w:t>secondary prevention population.</w:t>
      </w:r>
    </w:p>
    <w:p w14:paraId="580DD678" w14:textId="1C7B52D4" w:rsidR="00671BE5" w:rsidRPr="008215FB" w:rsidRDefault="00E6235F" w:rsidP="004E40F4">
      <w:pPr>
        <w:pStyle w:val="COMtablefigcaption"/>
        <w:keepLines/>
        <w:jc w:val="both"/>
      </w:pPr>
      <w:bookmarkStart w:id="35" w:name="_Ref144678687"/>
      <w:r>
        <w:t xml:space="preserve">Table </w:t>
      </w:r>
      <w:fldSimple w:instr=" SEQ Table \* ARABIC " w:fldLock="1">
        <w:r w:rsidR="003F1735">
          <w:rPr>
            <w:noProof/>
          </w:rPr>
          <w:t>5</w:t>
        </w:r>
      </w:fldSimple>
      <w:bookmarkEnd w:id="35"/>
      <w:r w:rsidR="00671BE5" w:rsidRPr="008215FB">
        <w:t>:</w:t>
      </w:r>
      <w:r w:rsidR="00671BE5">
        <w:t xml:space="preserve"> Results for the key secondary 3-point MACE </w:t>
      </w:r>
      <w:r w:rsidR="00671BE5" w:rsidRPr="0076548C">
        <w:t xml:space="preserve">composite </w:t>
      </w:r>
      <w:r w:rsidR="00671BE5">
        <w:t>outcome in the REDUCE-IT trial</w:t>
      </w:r>
    </w:p>
    <w:tbl>
      <w:tblPr>
        <w:tblW w:w="5000" w:type="pct"/>
        <w:tblCellMar>
          <w:left w:w="0" w:type="dxa"/>
          <w:right w:w="0" w:type="dxa"/>
        </w:tblCellMar>
        <w:tblLook w:val="04A0" w:firstRow="1" w:lastRow="0" w:firstColumn="1" w:lastColumn="0" w:noHBand="0" w:noVBand="1"/>
        <w:tblCaption w:val="Table 5: Results for the key secondary 3-point MACE composite outcome in the REDUCE-IT trial"/>
        <w:tblDescription w:val="Table 5: Results for the key secondary 3-point MACE composite outcome in the REDUCE-IT trial"/>
      </w:tblPr>
      <w:tblGrid>
        <w:gridCol w:w="2405"/>
        <w:gridCol w:w="1652"/>
        <w:gridCol w:w="1654"/>
        <w:gridCol w:w="1654"/>
        <w:gridCol w:w="1652"/>
      </w:tblGrid>
      <w:tr w:rsidR="00671BE5" w:rsidRPr="008215FB" w14:paraId="0406E83D" w14:textId="77777777" w:rsidTr="00671BE5">
        <w:trPr>
          <w:trHeight w:val="70"/>
          <w:tblHeader/>
        </w:trPr>
        <w:tc>
          <w:tcPr>
            <w:tcW w:w="133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E99AA1" w14:textId="77777777" w:rsidR="00671BE5" w:rsidRDefault="00671BE5" w:rsidP="004E40F4">
            <w:pPr>
              <w:pStyle w:val="COMTableheadingrow"/>
              <w:keepLines/>
            </w:pPr>
            <w:r>
              <w:t>Parameter</w:t>
            </w:r>
            <w:r w:rsidRPr="008215FB">
              <w:t xml:space="preserve"> </w:t>
            </w:r>
          </w:p>
        </w:tc>
        <w:tc>
          <w:tcPr>
            <w:tcW w:w="183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DCE96" w14:textId="77777777" w:rsidR="00671BE5" w:rsidRDefault="00671BE5" w:rsidP="004E40F4">
            <w:pPr>
              <w:pStyle w:val="COMTableheadingrow"/>
              <w:keepLines/>
              <w:jc w:val="center"/>
            </w:pPr>
            <w:r>
              <w:t>ITT population</w:t>
            </w:r>
          </w:p>
        </w:tc>
        <w:tc>
          <w:tcPr>
            <w:tcW w:w="1834" w:type="pct"/>
            <w:gridSpan w:val="2"/>
            <w:tcBorders>
              <w:top w:val="single" w:sz="4" w:space="0" w:color="auto"/>
              <w:left w:val="single" w:sz="4" w:space="0" w:color="auto"/>
              <w:bottom w:val="single" w:sz="4" w:space="0" w:color="auto"/>
              <w:right w:val="single" w:sz="4" w:space="0" w:color="auto"/>
            </w:tcBorders>
          </w:tcPr>
          <w:p w14:paraId="114AF788" w14:textId="77777777" w:rsidR="00671BE5" w:rsidRDefault="00671BE5" w:rsidP="004E40F4">
            <w:pPr>
              <w:pStyle w:val="COMTableheadingrow"/>
              <w:keepLines/>
              <w:jc w:val="center"/>
            </w:pPr>
            <w:r>
              <w:t>Secondary prevention population</w:t>
            </w:r>
          </w:p>
        </w:tc>
      </w:tr>
      <w:tr w:rsidR="00671BE5" w:rsidRPr="008215FB" w14:paraId="29687D6C" w14:textId="77777777" w:rsidTr="00671BE5">
        <w:trPr>
          <w:trHeight w:val="70"/>
          <w:tblHeader/>
        </w:trPr>
        <w:tc>
          <w:tcPr>
            <w:tcW w:w="1334"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0818BF" w14:textId="77777777" w:rsidR="00671BE5" w:rsidRPr="008215FB" w:rsidRDefault="00671BE5" w:rsidP="004E40F4">
            <w:pPr>
              <w:pStyle w:val="COMTableheadingrow"/>
              <w:keepLines/>
            </w:pPr>
          </w:p>
        </w:tc>
        <w:tc>
          <w:tcPr>
            <w:tcW w:w="9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AA0DCA" w14:textId="77777777" w:rsidR="00671BE5" w:rsidRDefault="00671BE5" w:rsidP="004E40F4">
            <w:pPr>
              <w:pStyle w:val="COMTableheadingrow"/>
              <w:keepLines/>
              <w:jc w:val="center"/>
            </w:pPr>
            <w:r>
              <w:t>Icosapent ethyl</w:t>
            </w:r>
          </w:p>
          <w:p w14:paraId="5BDFACE9" w14:textId="77777777" w:rsidR="00671BE5" w:rsidRPr="008215FB" w:rsidRDefault="00671BE5" w:rsidP="004E40F4">
            <w:pPr>
              <w:pStyle w:val="COMTableheadingrow"/>
              <w:keepLines/>
              <w:jc w:val="center"/>
            </w:pPr>
            <w:r>
              <w:t>N=4,089</w:t>
            </w:r>
          </w:p>
        </w:tc>
        <w:tc>
          <w:tcPr>
            <w:tcW w:w="9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F95F21" w14:textId="77777777" w:rsidR="00671BE5" w:rsidRDefault="00671BE5" w:rsidP="004E40F4">
            <w:pPr>
              <w:pStyle w:val="COMTableheadingrow"/>
              <w:keepLines/>
              <w:jc w:val="center"/>
            </w:pPr>
            <w:r>
              <w:t>Placebo</w:t>
            </w:r>
          </w:p>
          <w:p w14:paraId="2FC351D3" w14:textId="77777777" w:rsidR="00671BE5" w:rsidRPr="008215FB" w:rsidRDefault="00671BE5" w:rsidP="004E40F4">
            <w:pPr>
              <w:pStyle w:val="COMTableheadingrow"/>
              <w:keepLines/>
              <w:jc w:val="center"/>
            </w:pPr>
            <w:r>
              <w:t>N=4,090</w:t>
            </w:r>
          </w:p>
        </w:tc>
        <w:tc>
          <w:tcPr>
            <w:tcW w:w="917" w:type="pct"/>
            <w:tcBorders>
              <w:top w:val="single" w:sz="4" w:space="0" w:color="auto"/>
              <w:left w:val="single" w:sz="4" w:space="0" w:color="auto"/>
              <w:bottom w:val="single" w:sz="4" w:space="0" w:color="auto"/>
              <w:right w:val="single" w:sz="4" w:space="0" w:color="auto"/>
            </w:tcBorders>
          </w:tcPr>
          <w:p w14:paraId="7326E783" w14:textId="77777777" w:rsidR="00671BE5" w:rsidRDefault="00671BE5" w:rsidP="004E40F4">
            <w:pPr>
              <w:pStyle w:val="COMTableheadingrow"/>
              <w:keepLines/>
              <w:jc w:val="center"/>
            </w:pPr>
            <w:r>
              <w:t>Icosapent ethyl</w:t>
            </w:r>
          </w:p>
          <w:p w14:paraId="368C80F4" w14:textId="77777777" w:rsidR="00671BE5" w:rsidRDefault="00671BE5" w:rsidP="004E40F4">
            <w:pPr>
              <w:pStyle w:val="COMTableheadingrow"/>
              <w:keepLines/>
              <w:jc w:val="center"/>
            </w:pPr>
            <w:r>
              <w:t>N=2,892</w:t>
            </w:r>
          </w:p>
        </w:tc>
        <w:tc>
          <w:tcPr>
            <w:tcW w:w="917" w:type="pct"/>
            <w:tcBorders>
              <w:top w:val="single" w:sz="4" w:space="0" w:color="auto"/>
              <w:left w:val="single" w:sz="4" w:space="0" w:color="auto"/>
              <w:bottom w:val="single" w:sz="4" w:space="0" w:color="auto"/>
              <w:right w:val="single" w:sz="4" w:space="0" w:color="auto"/>
            </w:tcBorders>
          </w:tcPr>
          <w:p w14:paraId="473BEDED" w14:textId="77777777" w:rsidR="00671BE5" w:rsidRDefault="00671BE5" w:rsidP="004E40F4">
            <w:pPr>
              <w:pStyle w:val="COMTableheadingrow"/>
              <w:keepLines/>
              <w:jc w:val="center"/>
            </w:pPr>
            <w:r>
              <w:t>Placebo</w:t>
            </w:r>
          </w:p>
          <w:p w14:paraId="61237C68" w14:textId="77777777" w:rsidR="00671BE5" w:rsidRDefault="00671BE5" w:rsidP="004E40F4">
            <w:pPr>
              <w:pStyle w:val="COMTableheadingrow"/>
              <w:keepLines/>
              <w:jc w:val="center"/>
            </w:pPr>
            <w:r>
              <w:t>N=2,893</w:t>
            </w:r>
          </w:p>
        </w:tc>
      </w:tr>
      <w:tr w:rsidR="00671BE5" w:rsidRPr="008215FB" w14:paraId="13082E5B" w14:textId="77777777" w:rsidTr="00671BE5">
        <w:tc>
          <w:tcPr>
            <w:tcW w:w="13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A05155" w14:textId="77777777" w:rsidR="00671BE5" w:rsidRPr="00892D3E" w:rsidRDefault="00671BE5" w:rsidP="004E40F4">
            <w:pPr>
              <w:pStyle w:val="COMTabletext"/>
              <w:keepLines/>
              <w:rPr>
                <w:lang w:val="en-US"/>
              </w:rPr>
            </w:pPr>
            <w:r>
              <w:rPr>
                <w:lang w:val="en-US"/>
              </w:rPr>
              <w:t>Median follow-up, years</w:t>
            </w:r>
          </w:p>
        </w:tc>
        <w:tc>
          <w:tcPr>
            <w:tcW w:w="9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CED17" w14:textId="77777777" w:rsidR="00671BE5" w:rsidRPr="006E3A3E" w:rsidRDefault="00671BE5" w:rsidP="004E40F4">
            <w:pPr>
              <w:pStyle w:val="COMTabletext"/>
              <w:keepLines/>
              <w:jc w:val="center"/>
            </w:pPr>
            <w:r w:rsidRPr="007270AF">
              <w:t>4.</w:t>
            </w:r>
            <w:r>
              <w:t>8</w:t>
            </w:r>
          </w:p>
        </w:tc>
        <w:tc>
          <w:tcPr>
            <w:tcW w:w="9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06292" w14:textId="77777777" w:rsidR="00671BE5" w:rsidRPr="006E3A3E" w:rsidRDefault="00671BE5" w:rsidP="004E40F4">
            <w:pPr>
              <w:pStyle w:val="COMTabletext"/>
              <w:keepLines/>
              <w:jc w:val="center"/>
            </w:pPr>
            <w:r w:rsidRPr="007270AF">
              <w:t>4.</w:t>
            </w:r>
            <w:r>
              <w:t>7</w:t>
            </w:r>
          </w:p>
        </w:tc>
        <w:tc>
          <w:tcPr>
            <w:tcW w:w="917" w:type="pct"/>
            <w:tcBorders>
              <w:top w:val="single" w:sz="4" w:space="0" w:color="auto"/>
              <w:left w:val="single" w:sz="4" w:space="0" w:color="auto"/>
              <w:bottom w:val="single" w:sz="4" w:space="0" w:color="auto"/>
              <w:right w:val="single" w:sz="4" w:space="0" w:color="auto"/>
            </w:tcBorders>
          </w:tcPr>
          <w:p w14:paraId="42D2655D" w14:textId="77777777" w:rsidR="00671BE5" w:rsidRPr="007270AF" w:rsidRDefault="00671BE5" w:rsidP="004E40F4">
            <w:pPr>
              <w:pStyle w:val="COMTabletext"/>
              <w:keepLines/>
              <w:jc w:val="center"/>
            </w:pPr>
            <w:r w:rsidRPr="00CE0341">
              <w:t>4.7</w:t>
            </w:r>
          </w:p>
        </w:tc>
        <w:tc>
          <w:tcPr>
            <w:tcW w:w="917" w:type="pct"/>
            <w:tcBorders>
              <w:top w:val="single" w:sz="4" w:space="0" w:color="auto"/>
              <w:left w:val="single" w:sz="4" w:space="0" w:color="auto"/>
              <w:bottom w:val="single" w:sz="4" w:space="0" w:color="auto"/>
              <w:right w:val="single" w:sz="4" w:space="0" w:color="auto"/>
            </w:tcBorders>
          </w:tcPr>
          <w:p w14:paraId="1C877109" w14:textId="77777777" w:rsidR="00671BE5" w:rsidRPr="007270AF" w:rsidRDefault="00671BE5" w:rsidP="004E40F4">
            <w:pPr>
              <w:pStyle w:val="COMTabletext"/>
              <w:keepLines/>
              <w:jc w:val="center"/>
            </w:pPr>
            <w:r w:rsidRPr="00CE0341">
              <w:t>4.5</w:t>
            </w:r>
          </w:p>
        </w:tc>
      </w:tr>
      <w:tr w:rsidR="00671BE5" w:rsidRPr="008215FB" w14:paraId="680E265F" w14:textId="77777777" w:rsidTr="00671BE5">
        <w:tc>
          <w:tcPr>
            <w:tcW w:w="13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7027F" w14:textId="77777777" w:rsidR="00671BE5" w:rsidRPr="008215FB" w:rsidRDefault="00671BE5" w:rsidP="004E40F4">
            <w:pPr>
              <w:pStyle w:val="COMTabletext"/>
              <w:keepLines/>
              <w:rPr>
                <w:lang w:val="en-US"/>
              </w:rPr>
            </w:pPr>
            <w:r w:rsidRPr="00892D3E">
              <w:rPr>
                <w:lang w:val="en-US"/>
              </w:rPr>
              <w:t xml:space="preserve">Composite </w:t>
            </w:r>
            <w:r>
              <w:rPr>
                <w:lang w:val="en-US"/>
              </w:rPr>
              <w:t>outcome</w:t>
            </w:r>
            <w:r w:rsidRPr="00892D3E">
              <w:rPr>
                <w:lang w:val="en-US"/>
              </w:rPr>
              <w:t>, n (%)</w:t>
            </w:r>
          </w:p>
        </w:tc>
        <w:tc>
          <w:tcPr>
            <w:tcW w:w="9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786C6" w14:textId="77777777" w:rsidR="00671BE5" w:rsidRPr="008215FB" w:rsidRDefault="00671BE5" w:rsidP="004E40F4">
            <w:pPr>
              <w:pStyle w:val="COMTabletext"/>
              <w:keepLines/>
              <w:jc w:val="center"/>
              <w:rPr>
                <w:lang w:val="en-US"/>
              </w:rPr>
            </w:pPr>
            <w:r w:rsidRPr="00C62A42">
              <w:t>459 (11.2)</w:t>
            </w:r>
          </w:p>
        </w:tc>
        <w:tc>
          <w:tcPr>
            <w:tcW w:w="9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1C17" w14:textId="77777777" w:rsidR="00671BE5" w:rsidRPr="008215FB" w:rsidRDefault="00671BE5" w:rsidP="004E40F4">
            <w:pPr>
              <w:pStyle w:val="COMTabletext"/>
              <w:keepLines/>
              <w:jc w:val="center"/>
              <w:rPr>
                <w:lang w:val="en-US"/>
              </w:rPr>
            </w:pPr>
            <w:r w:rsidRPr="00C62A42">
              <w:t>606 (14.8)</w:t>
            </w:r>
          </w:p>
        </w:tc>
        <w:tc>
          <w:tcPr>
            <w:tcW w:w="917" w:type="pct"/>
            <w:tcBorders>
              <w:top w:val="single" w:sz="4" w:space="0" w:color="auto"/>
              <w:left w:val="single" w:sz="4" w:space="0" w:color="auto"/>
              <w:bottom w:val="single" w:sz="4" w:space="0" w:color="auto"/>
              <w:right w:val="single" w:sz="4" w:space="0" w:color="auto"/>
            </w:tcBorders>
          </w:tcPr>
          <w:p w14:paraId="0A74871C" w14:textId="77777777" w:rsidR="00671BE5" w:rsidRPr="00C62A42" w:rsidRDefault="00671BE5" w:rsidP="004E40F4">
            <w:pPr>
              <w:pStyle w:val="COMTabletext"/>
              <w:keepLines/>
              <w:jc w:val="center"/>
            </w:pPr>
            <w:r w:rsidRPr="00DF2D4C">
              <w:t>361 (12.5)</w:t>
            </w:r>
          </w:p>
        </w:tc>
        <w:tc>
          <w:tcPr>
            <w:tcW w:w="917" w:type="pct"/>
            <w:tcBorders>
              <w:top w:val="single" w:sz="4" w:space="0" w:color="auto"/>
              <w:left w:val="single" w:sz="4" w:space="0" w:color="auto"/>
              <w:bottom w:val="single" w:sz="4" w:space="0" w:color="auto"/>
              <w:right w:val="single" w:sz="4" w:space="0" w:color="auto"/>
            </w:tcBorders>
          </w:tcPr>
          <w:p w14:paraId="336FEE1A" w14:textId="77777777" w:rsidR="00671BE5" w:rsidRPr="00C62A42" w:rsidRDefault="00671BE5" w:rsidP="004E40F4">
            <w:pPr>
              <w:pStyle w:val="COMTabletext"/>
              <w:keepLines/>
              <w:jc w:val="center"/>
            </w:pPr>
            <w:r w:rsidRPr="00DF2D4C">
              <w:t>489 (16.9)</w:t>
            </w:r>
          </w:p>
        </w:tc>
      </w:tr>
      <w:tr w:rsidR="00671BE5" w:rsidRPr="008215FB" w14:paraId="49F6DADE" w14:textId="77777777" w:rsidTr="00671BE5">
        <w:tc>
          <w:tcPr>
            <w:tcW w:w="13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2FCEE" w14:textId="77777777" w:rsidR="00671BE5" w:rsidRPr="008215FB" w:rsidRDefault="00671BE5" w:rsidP="004E40F4">
            <w:pPr>
              <w:pStyle w:val="COMTabletext"/>
              <w:keepLines/>
              <w:rPr>
                <w:lang w:val="en-US"/>
              </w:rPr>
            </w:pPr>
            <w:r>
              <w:rPr>
                <w:lang w:val="en-US"/>
              </w:rPr>
              <w:t>Hazard ratio (95% CI)</w:t>
            </w:r>
          </w:p>
        </w:tc>
        <w:tc>
          <w:tcPr>
            <w:tcW w:w="183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DF7F2" w14:textId="77777777" w:rsidR="00671BE5" w:rsidRPr="00780389" w:rsidRDefault="00671BE5" w:rsidP="004E40F4">
            <w:pPr>
              <w:pStyle w:val="COMTabletext"/>
              <w:keepLines/>
              <w:jc w:val="center"/>
              <w:rPr>
                <w:b/>
                <w:bCs w:val="0"/>
                <w:lang w:val="en-US"/>
              </w:rPr>
            </w:pPr>
            <w:r w:rsidRPr="005F187D">
              <w:rPr>
                <w:b/>
                <w:bCs w:val="0"/>
                <w:lang w:val="en-US"/>
              </w:rPr>
              <w:t>0.74 (0.65, 0.83)</w:t>
            </w:r>
          </w:p>
        </w:tc>
        <w:tc>
          <w:tcPr>
            <w:tcW w:w="1834" w:type="pct"/>
            <w:gridSpan w:val="2"/>
            <w:tcBorders>
              <w:top w:val="single" w:sz="4" w:space="0" w:color="auto"/>
              <w:left w:val="single" w:sz="4" w:space="0" w:color="auto"/>
              <w:bottom w:val="single" w:sz="4" w:space="0" w:color="auto"/>
              <w:right w:val="single" w:sz="4" w:space="0" w:color="auto"/>
            </w:tcBorders>
          </w:tcPr>
          <w:p w14:paraId="3EEDF5AE" w14:textId="77777777" w:rsidR="00671BE5" w:rsidRPr="005F187D" w:rsidRDefault="00671BE5" w:rsidP="004E40F4">
            <w:pPr>
              <w:pStyle w:val="COMTabletext"/>
              <w:keepLines/>
              <w:jc w:val="center"/>
              <w:rPr>
                <w:b/>
                <w:bCs w:val="0"/>
                <w:lang w:val="en-US"/>
              </w:rPr>
            </w:pPr>
            <w:r w:rsidRPr="00600E93">
              <w:rPr>
                <w:b/>
                <w:bCs w:val="0"/>
                <w:lang w:val="en-US"/>
              </w:rPr>
              <w:t>0.72 (0.63, 0.82)</w:t>
            </w:r>
          </w:p>
        </w:tc>
      </w:tr>
      <w:tr w:rsidR="00671BE5" w:rsidRPr="008215FB" w14:paraId="65E70D08" w14:textId="77777777" w:rsidTr="00671BE5">
        <w:trPr>
          <w:trHeight w:val="70"/>
        </w:trPr>
        <w:tc>
          <w:tcPr>
            <w:tcW w:w="13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75B81" w14:textId="77777777" w:rsidR="00671BE5" w:rsidRPr="00EF58F1" w:rsidRDefault="00671BE5" w:rsidP="004E40F4">
            <w:pPr>
              <w:pStyle w:val="COMTabletext"/>
              <w:keepLines/>
              <w:rPr>
                <w:vertAlign w:val="superscript"/>
                <w:lang w:val="en-US"/>
              </w:rPr>
            </w:pPr>
            <w:r>
              <w:rPr>
                <w:lang w:val="en-US"/>
              </w:rPr>
              <w:t xml:space="preserve">Composite components </w:t>
            </w:r>
            <w:r>
              <w:rPr>
                <w:vertAlign w:val="superscript"/>
                <w:lang w:val="en-US"/>
              </w:rPr>
              <w:t>a</w:t>
            </w:r>
          </w:p>
          <w:p w14:paraId="4CBE2A12" w14:textId="77777777" w:rsidR="00671BE5" w:rsidRDefault="00671BE5" w:rsidP="004E40F4">
            <w:pPr>
              <w:pStyle w:val="COMTabletext"/>
              <w:keepLines/>
              <w:rPr>
                <w:lang w:val="en-US"/>
              </w:rPr>
            </w:pPr>
            <w:r>
              <w:rPr>
                <w:lang w:val="en-US"/>
              </w:rPr>
              <w:t>- Cardiovascular death, n (%)</w:t>
            </w:r>
          </w:p>
          <w:p w14:paraId="3660D5F2" w14:textId="77777777" w:rsidR="00671BE5" w:rsidRDefault="00671BE5" w:rsidP="004E40F4">
            <w:pPr>
              <w:pStyle w:val="COMTabletext"/>
              <w:keepLines/>
              <w:rPr>
                <w:lang w:val="en-US"/>
              </w:rPr>
            </w:pPr>
            <w:r>
              <w:rPr>
                <w:lang w:val="en-US"/>
              </w:rPr>
              <w:t>- Nonfatal MI, n (%)</w:t>
            </w:r>
          </w:p>
          <w:p w14:paraId="3BFC83D9" w14:textId="77777777" w:rsidR="00671BE5" w:rsidRPr="008215FB" w:rsidRDefault="00671BE5" w:rsidP="004E40F4">
            <w:pPr>
              <w:pStyle w:val="COMTabletext"/>
              <w:keepLines/>
              <w:rPr>
                <w:lang w:val="en-US"/>
              </w:rPr>
            </w:pPr>
            <w:r>
              <w:rPr>
                <w:lang w:val="en-US"/>
              </w:rPr>
              <w:t>- Nonfatal stroke, n (%)</w:t>
            </w:r>
          </w:p>
        </w:tc>
        <w:tc>
          <w:tcPr>
            <w:tcW w:w="9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AFAFD" w14:textId="77777777" w:rsidR="00671BE5" w:rsidRDefault="00671BE5" w:rsidP="004E40F4">
            <w:pPr>
              <w:pStyle w:val="COMTabletext"/>
              <w:keepLines/>
              <w:jc w:val="center"/>
            </w:pPr>
          </w:p>
          <w:p w14:paraId="7A5BAFF9" w14:textId="77777777" w:rsidR="00671BE5" w:rsidRPr="005F187D" w:rsidRDefault="00671BE5" w:rsidP="004E40F4">
            <w:pPr>
              <w:pStyle w:val="COMTabletext"/>
              <w:keepLines/>
              <w:jc w:val="center"/>
              <w:rPr>
                <w:lang w:val="en-US"/>
              </w:rPr>
            </w:pPr>
            <w:r w:rsidRPr="005F187D">
              <w:rPr>
                <w:lang w:val="en-US"/>
              </w:rPr>
              <w:t>149 (3.</w:t>
            </w:r>
            <w:r>
              <w:rPr>
                <w:lang w:val="en-US"/>
              </w:rPr>
              <w:t>6</w:t>
            </w:r>
            <w:r w:rsidRPr="005F187D">
              <w:rPr>
                <w:lang w:val="en-US"/>
              </w:rPr>
              <w:t>)</w:t>
            </w:r>
          </w:p>
          <w:p w14:paraId="2A7ACB29" w14:textId="77777777" w:rsidR="00671BE5" w:rsidRPr="005F187D" w:rsidRDefault="00671BE5" w:rsidP="004E40F4">
            <w:pPr>
              <w:pStyle w:val="COMTabletext"/>
              <w:keepLines/>
              <w:jc w:val="center"/>
              <w:rPr>
                <w:lang w:val="en-US"/>
              </w:rPr>
            </w:pPr>
            <w:r w:rsidRPr="005F187D">
              <w:rPr>
                <w:lang w:val="en-US"/>
              </w:rPr>
              <w:t>230 (5.</w:t>
            </w:r>
            <w:r>
              <w:rPr>
                <w:lang w:val="en-US"/>
              </w:rPr>
              <w:t>6</w:t>
            </w:r>
            <w:r w:rsidRPr="005F187D">
              <w:rPr>
                <w:lang w:val="en-US"/>
              </w:rPr>
              <w:t>)</w:t>
            </w:r>
          </w:p>
          <w:p w14:paraId="43D0A65B" w14:textId="77777777" w:rsidR="00671BE5" w:rsidRPr="008215FB" w:rsidRDefault="00671BE5" w:rsidP="004E40F4">
            <w:pPr>
              <w:pStyle w:val="COMTabletext"/>
              <w:keepLines/>
              <w:jc w:val="center"/>
              <w:rPr>
                <w:lang w:val="en-US"/>
              </w:rPr>
            </w:pPr>
            <w:r w:rsidRPr="005F187D">
              <w:rPr>
                <w:lang w:val="en-US"/>
              </w:rPr>
              <w:t>80 (</w:t>
            </w:r>
            <w:r>
              <w:rPr>
                <w:lang w:val="en-US"/>
              </w:rPr>
              <w:t>2</w:t>
            </w:r>
            <w:r w:rsidRPr="005F187D">
              <w:rPr>
                <w:lang w:val="en-US"/>
              </w:rPr>
              <w:t>.</w:t>
            </w:r>
            <w:r>
              <w:rPr>
                <w:lang w:val="en-US"/>
              </w:rPr>
              <w:t>0</w:t>
            </w:r>
            <w:r w:rsidRPr="005F187D">
              <w:rPr>
                <w:lang w:val="en-US"/>
              </w:rPr>
              <w:t>)</w:t>
            </w:r>
          </w:p>
        </w:tc>
        <w:tc>
          <w:tcPr>
            <w:tcW w:w="9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ACF52" w14:textId="77777777" w:rsidR="00671BE5" w:rsidRDefault="00671BE5" w:rsidP="004E40F4">
            <w:pPr>
              <w:pStyle w:val="COMTabletext"/>
              <w:keepLines/>
              <w:jc w:val="center"/>
            </w:pPr>
          </w:p>
          <w:p w14:paraId="0640439A" w14:textId="77777777" w:rsidR="00671BE5" w:rsidRPr="005F187D" w:rsidRDefault="00671BE5" w:rsidP="004E40F4">
            <w:pPr>
              <w:pStyle w:val="COMTabletext"/>
              <w:keepLines/>
              <w:jc w:val="center"/>
              <w:rPr>
                <w:lang w:val="en-US"/>
              </w:rPr>
            </w:pPr>
            <w:r w:rsidRPr="005F187D">
              <w:rPr>
                <w:lang w:val="en-US"/>
              </w:rPr>
              <w:t>167 (</w:t>
            </w:r>
            <w:r>
              <w:rPr>
                <w:lang w:val="en-US"/>
              </w:rPr>
              <w:t>4</w:t>
            </w:r>
            <w:r w:rsidRPr="005F187D">
              <w:rPr>
                <w:lang w:val="en-US"/>
              </w:rPr>
              <w:t>.</w:t>
            </w:r>
            <w:r>
              <w:rPr>
                <w:lang w:val="en-US"/>
              </w:rPr>
              <w:t>1</w:t>
            </w:r>
            <w:r w:rsidRPr="005F187D">
              <w:rPr>
                <w:lang w:val="en-US"/>
              </w:rPr>
              <w:t>)</w:t>
            </w:r>
          </w:p>
          <w:p w14:paraId="6A6E1102" w14:textId="77777777" w:rsidR="00671BE5" w:rsidRPr="005F187D" w:rsidRDefault="00671BE5" w:rsidP="004E40F4">
            <w:pPr>
              <w:pStyle w:val="COMTabletext"/>
              <w:keepLines/>
              <w:jc w:val="center"/>
              <w:rPr>
                <w:lang w:val="en-US"/>
              </w:rPr>
            </w:pPr>
            <w:r w:rsidRPr="005F187D">
              <w:rPr>
                <w:lang w:val="en-US"/>
              </w:rPr>
              <w:t>325 (</w:t>
            </w:r>
            <w:r>
              <w:rPr>
                <w:lang w:val="en-US"/>
              </w:rPr>
              <w:t>7.9</w:t>
            </w:r>
            <w:r w:rsidRPr="005F187D">
              <w:rPr>
                <w:lang w:val="en-US"/>
              </w:rPr>
              <w:t>)</w:t>
            </w:r>
          </w:p>
          <w:p w14:paraId="1B8F5E0F" w14:textId="77777777" w:rsidR="00671BE5" w:rsidRPr="008215FB" w:rsidRDefault="00671BE5" w:rsidP="004E40F4">
            <w:pPr>
              <w:pStyle w:val="COMTabletext"/>
              <w:keepLines/>
              <w:jc w:val="center"/>
              <w:rPr>
                <w:lang w:val="en-US"/>
              </w:rPr>
            </w:pPr>
            <w:r w:rsidRPr="005F187D">
              <w:rPr>
                <w:lang w:val="en-US"/>
              </w:rPr>
              <w:t>114 (</w:t>
            </w:r>
            <w:r>
              <w:rPr>
                <w:lang w:val="en-US"/>
              </w:rPr>
              <w:t>2.8</w:t>
            </w:r>
            <w:r w:rsidRPr="005F187D">
              <w:rPr>
                <w:lang w:val="en-US"/>
              </w:rPr>
              <w:t>)</w:t>
            </w:r>
          </w:p>
        </w:tc>
        <w:tc>
          <w:tcPr>
            <w:tcW w:w="917" w:type="pct"/>
            <w:tcBorders>
              <w:top w:val="single" w:sz="4" w:space="0" w:color="auto"/>
              <w:left w:val="single" w:sz="4" w:space="0" w:color="auto"/>
              <w:bottom w:val="single" w:sz="4" w:space="0" w:color="auto"/>
              <w:right w:val="single" w:sz="4" w:space="0" w:color="auto"/>
            </w:tcBorders>
          </w:tcPr>
          <w:p w14:paraId="6618213D" w14:textId="77777777" w:rsidR="00671BE5" w:rsidRDefault="00671BE5" w:rsidP="004E40F4">
            <w:pPr>
              <w:pStyle w:val="COMTabletext"/>
              <w:keepLines/>
              <w:jc w:val="center"/>
            </w:pPr>
          </w:p>
          <w:p w14:paraId="46C01F6A" w14:textId="77777777" w:rsidR="00671BE5" w:rsidRDefault="00671BE5" w:rsidP="004E40F4">
            <w:pPr>
              <w:pStyle w:val="COMTabletext"/>
              <w:keepLines/>
              <w:jc w:val="center"/>
            </w:pPr>
            <w:r>
              <w:t>109 (3.8)</w:t>
            </w:r>
          </w:p>
          <w:p w14:paraId="538201D2" w14:textId="77777777" w:rsidR="00671BE5" w:rsidRDefault="00671BE5" w:rsidP="004E40F4">
            <w:pPr>
              <w:pStyle w:val="COMTabletext"/>
              <w:keepLines/>
              <w:jc w:val="center"/>
            </w:pPr>
            <w:r>
              <w:t>191 (6.6)</w:t>
            </w:r>
          </w:p>
          <w:p w14:paraId="3D8CA6BD" w14:textId="77777777" w:rsidR="00671BE5" w:rsidRDefault="00671BE5" w:rsidP="004E40F4">
            <w:pPr>
              <w:pStyle w:val="COMTabletext"/>
              <w:keepLines/>
              <w:jc w:val="center"/>
            </w:pPr>
            <w:r>
              <w:t>61 (2.1)</w:t>
            </w:r>
          </w:p>
        </w:tc>
        <w:tc>
          <w:tcPr>
            <w:tcW w:w="917" w:type="pct"/>
            <w:tcBorders>
              <w:top w:val="single" w:sz="4" w:space="0" w:color="auto"/>
              <w:left w:val="single" w:sz="4" w:space="0" w:color="auto"/>
              <w:bottom w:val="single" w:sz="4" w:space="0" w:color="auto"/>
              <w:right w:val="single" w:sz="4" w:space="0" w:color="auto"/>
            </w:tcBorders>
          </w:tcPr>
          <w:p w14:paraId="57E56525" w14:textId="77777777" w:rsidR="00671BE5" w:rsidRDefault="00671BE5" w:rsidP="004E40F4">
            <w:pPr>
              <w:pStyle w:val="COMTabletext"/>
              <w:keepLines/>
              <w:jc w:val="center"/>
            </w:pPr>
          </w:p>
          <w:p w14:paraId="16661708" w14:textId="77777777" w:rsidR="00671BE5" w:rsidRDefault="00671BE5" w:rsidP="004E40F4">
            <w:pPr>
              <w:pStyle w:val="COMTabletext"/>
              <w:keepLines/>
              <w:jc w:val="center"/>
            </w:pPr>
            <w:r>
              <w:t>131 (4.5)</w:t>
            </w:r>
          </w:p>
          <w:p w14:paraId="658E5888" w14:textId="77777777" w:rsidR="00671BE5" w:rsidRDefault="00671BE5" w:rsidP="004E40F4">
            <w:pPr>
              <w:pStyle w:val="COMTabletext"/>
              <w:keepLines/>
              <w:jc w:val="center"/>
            </w:pPr>
            <w:r>
              <w:t>275 (9.5)</w:t>
            </w:r>
          </w:p>
          <w:p w14:paraId="20E75650" w14:textId="77777777" w:rsidR="00671BE5" w:rsidRDefault="00671BE5" w:rsidP="004E40F4">
            <w:pPr>
              <w:pStyle w:val="COMTabletext"/>
              <w:keepLines/>
              <w:jc w:val="center"/>
            </w:pPr>
            <w:r>
              <w:t>83 (2.9)</w:t>
            </w:r>
          </w:p>
        </w:tc>
      </w:tr>
    </w:tbl>
    <w:p w14:paraId="6BEBE12B" w14:textId="77777777" w:rsidR="00671BE5" w:rsidRDefault="00671BE5" w:rsidP="004E40F4">
      <w:pPr>
        <w:pStyle w:val="COMTablefooter"/>
        <w:keepNext/>
        <w:keepLines/>
      </w:pPr>
      <w:r>
        <w:t>Source: Table 2.5.2, p68 of the submission; Table 14.2.1.2.1, p1 of Attachment 4 of the submission.</w:t>
      </w:r>
    </w:p>
    <w:p w14:paraId="532A12B9" w14:textId="77777777" w:rsidR="00671BE5" w:rsidRDefault="00671BE5" w:rsidP="004E40F4">
      <w:pPr>
        <w:pStyle w:val="COMTablefooter"/>
        <w:keepNext/>
        <w:keepLines/>
      </w:pPr>
      <w:r>
        <w:t>Abbreviations: CI, confidence interval; MI, myocardial infarction.</w:t>
      </w:r>
    </w:p>
    <w:p w14:paraId="101D36D3" w14:textId="0A39E5D1" w:rsidR="00671BE5" w:rsidRPr="00E42FF2" w:rsidRDefault="00671BE5" w:rsidP="00671BE5">
      <w:pPr>
        <w:pStyle w:val="COMTablefooter"/>
        <w:rPr>
          <w:i/>
          <w:iCs/>
        </w:rPr>
      </w:pPr>
      <w:r>
        <w:rPr>
          <w:vertAlign w:val="superscript"/>
        </w:rPr>
        <w:t>a</w:t>
      </w:r>
      <w:r>
        <w:t xml:space="preserve"> </w:t>
      </w:r>
      <w:r w:rsidRPr="00EF58F1">
        <w:t>Based on a patient’s first post-randomi</w:t>
      </w:r>
      <w:r>
        <w:t>s</w:t>
      </w:r>
      <w:r w:rsidRPr="00EF58F1">
        <w:t xml:space="preserve">ation occurrence of the event contributing to the </w:t>
      </w:r>
      <w:r>
        <w:t>composite outcome.</w:t>
      </w:r>
      <w:r w:rsidR="001D0EEC">
        <w:t xml:space="preserve"> </w:t>
      </w:r>
      <w:r w:rsidR="001D0EEC" w:rsidRPr="00835F52">
        <w:t xml:space="preserve">The percentage reflects the number of patients experiencing an individual event divided by the total number of patients in the treatment arm (percentages included in </w:t>
      </w:r>
      <w:r w:rsidR="001D0EEC" w:rsidRPr="00835F52">
        <w:lastRenderedPageBreak/>
        <w:t>the submission tables were based on the number of patients experiencing an individual event divided by the total number of events occurring in the treatment arm).</w:t>
      </w:r>
    </w:p>
    <w:p w14:paraId="55BC8C50" w14:textId="188B1D57" w:rsidR="00671BE5" w:rsidRDefault="00671BE5" w:rsidP="0091664F">
      <w:pPr>
        <w:widowControl w:val="0"/>
        <w:numPr>
          <w:ilvl w:val="1"/>
          <w:numId w:val="1"/>
        </w:numPr>
        <w:spacing w:after="120"/>
        <w:ind w:left="720" w:hanging="720"/>
      </w:pPr>
      <w:r w:rsidRPr="001B1215">
        <w:t>Treatment</w:t>
      </w:r>
      <w:r>
        <w:t xml:space="preserve"> with icosapent ethyl in the </w:t>
      </w:r>
      <w:r w:rsidR="007C2247">
        <w:t xml:space="preserve">overall </w:t>
      </w:r>
      <w:r>
        <w:t>trial population was associated with a statistically significant improvement in the time to first occurrence of the 3-point MACE composite outcome</w:t>
      </w:r>
      <w:r w:rsidR="000C57AF">
        <w:t>.</w:t>
      </w:r>
      <w:r>
        <w:t xml:space="preserve"> </w:t>
      </w:r>
      <w:r w:rsidRPr="00835F52">
        <w:t>The results for the secondary prevention subgroup were consistent with the results for the overall trial population.</w:t>
      </w:r>
    </w:p>
    <w:p w14:paraId="4A3C5A5C" w14:textId="33B44E90" w:rsidR="00671BE5" w:rsidRPr="00AB643A" w:rsidRDefault="009F703B" w:rsidP="0091664F">
      <w:pPr>
        <w:widowControl w:val="0"/>
        <w:numPr>
          <w:ilvl w:val="1"/>
          <w:numId w:val="1"/>
        </w:numPr>
        <w:spacing w:after="120"/>
        <w:ind w:left="720" w:hanging="720"/>
      </w:pPr>
      <w:r>
        <w:fldChar w:fldCharType="begin" w:fldLock="1"/>
      </w:r>
      <w:r>
        <w:instrText xml:space="preserve"> REF _Ref144678712 \h </w:instrText>
      </w:r>
      <w:r w:rsidR="0091664F">
        <w:instrText xml:space="preserve"> \* MERGEFORMAT </w:instrText>
      </w:r>
      <w:r>
        <w:fldChar w:fldCharType="separate"/>
      </w:r>
      <w:r w:rsidR="003F1735">
        <w:t>Table 6</w:t>
      </w:r>
      <w:r>
        <w:fldChar w:fldCharType="end"/>
      </w:r>
      <w:r w:rsidR="00671BE5" w:rsidRPr="00AB643A">
        <w:t xml:space="preserve"> presents the results </w:t>
      </w:r>
      <w:r w:rsidR="00671BE5">
        <w:t xml:space="preserve">of </w:t>
      </w:r>
      <w:r w:rsidR="00671BE5" w:rsidRPr="00AB643A">
        <w:t xml:space="preserve">secondary outcomes </w:t>
      </w:r>
      <w:r w:rsidR="003450B5">
        <w:t xml:space="preserve">for the </w:t>
      </w:r>
      <w:r w:rsidR="007C2247">
        <w:t xml:space="preserve">overall </w:t>
      </w:r>
      <w:r w:rsidR="003450B5">
        <w:t>trial population</w:t>
      </w:r>
      <w:r w:rsidR="0035265E">
        <w:t xml:space="preserve"> </w:t>
      </w:r>
      <w:r w:rsidR="00FE523A">
        <w:t>and</w:t>
      </w:r>
      <w:r w:rsidR="009E6636">
        <w:t xml:space="preserve"> the secondary prevention population.</w:t>
      </w:r>
    </w:p>
    <w:p w14:paraId="664419FA" w14:textId="4BA90543" w:rsidR="009E6636" w:rsidRPr="008215FB" w:rsidRDefault="00E6235F" w:rsidP="009E6636">
      <w:pPr>
        <w:pStyle w:val="COMtablefigcaption"/>
        <w:jc w:val="both"/>
      </w:pPr>
      <w:bookmarkStart w:id="36" w:name="_Ref144678712"/>
      <w:r>
        <w:t xml:space="preserve">Table </w:t>
      </w:r>
      <w:fldSimple w:instr=" SEQ Table \* ARABIC " w:fldLock="1">
        <w:r w:rsidR="003F1735">
          <w:rPr>
            <w:noProof/>
          </w:rPr>
          <w:t>6</w:t>
        </w:r>
      </w:fldSimple>
      <w:bookmarkEnd w:id="36"/>
      <w:r w:rsidR="009E6636" w:rsidRPr="008215FB">
        <w:t>:</w:t>
      </w:r>
      <w:r w:rsidR="009E6636">
        <w:t xml:space="preserve"> Secondary outcomes in the REDUCE-IT trial</w:t>
      </w:r>
    </w:p>
    <w:tbl>
      <w:tblPr>
        <w:tblW w:w="5000" w:type="pct"/>
        <w:tblCellMar>
          <w:left w:w="28" w:type="dxa"/>
          <w:right w:w="28" w:type="dxa"/>
        </w:tblCellMar>
        <w:tblLook w:val="04A0" w:firstRow="1" w:lastRow="0" w:firstColumn="1" w:lastColumn="0" w:noHBand="0" w:noVBand="1"/>
        <w:tblCaption w:val="Table 6: Secondary outcomes in the REDUCE-IT trial"/>
        <w:tblDescription w:val="Table 6: Secondary outcomes in the REDUCE-IT trial"/>
      </w:tblPr>
      <w:tblGrid>
        <w:gridCol w:w="2434"/>
        <w:gridCol w:w="978"/>
        <w:gridCol w:w="980"/>
        <w:gridCol w:w="1390"/>
        <w:gridCol w:w="950"/>
        <w:gridCol w:w="875"/>
        <w:gridCol w:w="1410"/>
      </w:tblGrid>
      <w:tr w:rsidR="009E6636" w:rsidRPr="008215FB" w14:paraId="7C25DD22" w14:textId="77777777" w:rsidTr="00E6235F">
        <w:trPr>
          <w:tblHeader/>
        </w:trPr>
        <w:tc>
          <w:tcPr>
            <w:tcW w:w="1349"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DA57C49" w14:textId="77777777" w:rsidR="009E6636" w:rsidRDefault="009E6636" w:rsidP="001D4554">
            <w:pPr>
              <w:pStyle w:val="COMTableheadingrow"/>
            </w:pPr>
            <w:r>
              <w:t>Parameter</w:t>
            </w:r>
            <w:r w:rsidRPr="008215FB">
              <w:t xml:space="preserve"> </w:t>
            </w:r>
          </w:p>
        </w:tc>
        <w:tc>
          <w:tcPr>
            <w:tcW w:w="1856" w:type="pct"/>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09DEF03" w14:textId="77777777" w:rsidR="009E6636" w:rsidRDefault="009E6636" w:rsidP="001D4554">
            <w:pPr>
              <w:pStyle w:val="COMTableheadingrow"/>
              <w:jc w:val="center"/>
            </w:pPr>
            <w:r>
              <w:t>ITT population</w:t>
            </w:r>
          </w:p>
        </w:tc>
        <w:tc>
          <w:tcPr>
            <w:tcW w:w="1794" w:type="pct"/>
            <w:gridSpan w:val="3"/>
            <w:tcBorders>
              <w:top w:val="single" w:sz="4" w:space="0" w:color="auto"/>
              <w:left w:val="single" w:sz="4" w:space="0" w:color="auto"/>
              <w:bottom w:val="single" w:sz="4" w:space="0" w:color="auto"/>
              <w:right w:val="single" w:sz="4" w:space="0" w:color="auto"/>
            </w:tcBorders>
            <w:tcMar>
              <w:left w:w="57" w:type="dxa"/>
              <w:right w:w="57" w:type="dxa"/>
            </w:tcMar>
          </w:tcPr>
          <w:p w14:paraId="35E70E8C" w14:textId="77777777" w:rsidR="009E6636" w:rsidRDefault="009E6636" w:rsidP="001D4554">
            <w:pPr>
              <w:pStyle w:val="COMTableheadingrow"/>
              <w:jc w:val="center"/>
            </w:pPr>
            <w:r>
              <w:t>Secondary prevention population</w:t>
            </w:r>
          </w:p>
        </w:tc>
      </w:tr>
      <w:tr w:rsidR="009E6636" w:rsidRPr="008215FB" w14:paraId="5633399F" w14:textId="77777777" w:rsidTr="00E6235F">
        <w:trPr>
          <w:tblHeader/>
        </w:trPr>
        <w:tc>
          <w:tcPr>
            <w:tcW w:w="1349" w:type="pct"/>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3A15E1B" w14:textId="77777777" w:rsidR="009E6636" w:rsidRPr="008215FB" w:rsidRDefault="009E6636" w:rsidP="001D4554">
            <w:pPr>
              <w:pStyle w:val="COMTableheadingrow"/>
            </w:pPr>
          </w:p>
        </w:tc>
        <w:tc>
          <w:tcPr>
            <w:tcW w:w="5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0A41C47" w14:textId="77777777" w:rsidR="009E6636" w:rsidRDefault="009E6636" w:rsidP="001D4554">
            <w:pPr>
              <w:pStyle w:val="COMTableheadingrow"/>
              <w:jc w:val="center"/>
            </w:pPr>
            <w:r>
              <w:t>Icosapent ethyl</w:t>
            </w:r>
          </w:p>
          <w:p w14:paraId="62DDD444" w14:textId="77777777" w:rsidR="009E6636" w:rsidRPr="008215FB" w:rsidRDefault="009E6636" w:rsidP="001D4554">
            <w:pPr>
              <w:pStyle w:val="COMTableheadingrow"/>
              <w:jc w:val="center"/>
            </w:pPr>
            <w:r>
              <w:t>N=4,089</w:t>
            </w:r>
          </w:p>
        </w:tc>
        <w:tc>
          <w:tcPr>
            <w:tcW w:w="54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32513EF" w14:textId="77777777" w:rsidR="009E6636" w:rsidRDefault="009E6636" w:rsidP="001D4554">
            <w:pPr>
              <w:pStyle w:val="COMTableheadingrow"/>
              <w:jc w:val="center"/>
            </w:pPr>
            <w:r>
              <w:t>Placebo</w:t>
            </w:r>
          </w:p>
          <w:p w14:paraId="707AB2DB" w14:textId="77777777" w:rsidR="009E6636" w:rsidRPr="008215FB" w:rsidRDefault="009E6636" w:rsidP="001D4554">
            <w:pPr>
              <w:pStyle w:val="COMTableheadingrow"/>
              <w:jc w:val="center"/>
            </w:pPr>
            <w:r>
              <w:t>N=4,090</w:t>
            </w:r>
          </w:p>
        </w:tc>
        <w:tc>
          <w:tcPr>
            <w:tcW w:w="77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E2C5F4A" w14:textId="77777777" w:rsidR="009E6636" w:rsidRDefault="009E6636" w:rsidP="001D4554">
            <w:pPr>
              <w:pStyle w:val="COMTableheadingrow"/>
              <w:jc w:val="center"/>
            </w:pPr>
            <w:r>
              <w:t>Hazard ratio</w:t>
            </w:r>
          </w:p>
          <w:p w14:paraId="77506ABA" w14:textId="77777777" w:rsidR="009E6636" w:rsidRDefault="009E6636" w:rsidP="001D4554">
            <w:pPr>
              <w:pStyle w:val="COMTableheadingrow"/>
              <w:jc w:val="center"/>
            </w:pPr>
            <w:r>
              <w:t>(95% CI)</w:t>
            </w:r>
          </w:p>
        </w:tc>
        <w:tc>
          <w:tcPr>
            <w:tcW w:w="52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31B6165" w14:textId="77777777" w:rsidR="009E6636" w:rsidRDefault="009E6636" w:rsidP="001D4554">
            <w:pPr>
              <w:pStyle w:val="COMTableheadingrow"/>
              <w:jc w:val="center"/>
            </w:pPr>
            <w:r>
              <w:t>Icosapent ethyl</w:t>
            </w:r>
          </w:p>
          <w:p w14:paraId="2C745B66" w14:textId="77777777" w:rsidR="009E6636" w:rsidRDefault="009E6636" w:rsidP="001D4554">
            <w:pPr>
              <w:pStyle w:val="COMTableheadingrow"/>
              <w:jc w:val="center"/>
            </w:pPr>
            <w:r>
              <w:t>N=2,892</w:t>
            </w:r>
          </w:p>
        </w:tc>
        <w:tc>
          <w:tcPr>
            <w:tcW w:w="48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6E32DA0" w14:textId="77777777" w:rsidR="009E6636" w:rsidRDefault="009E6636" w:rsidP="001D4554">
            <w:pPr>
              <w:pStyle w:val="COMTableheadingrow"/>
              <w:jc w:val="center"/>
            </w:pPr>
            <w:r>
              <w:t>Placebo</w:t>
            </w:r>
          </w:p>
          <w:p w14:paraId="545A173C" w14:textId="77777777" w:rsidR="009E6636" w:rsidRDefault="009E6636" w:rsidP="001D4554">
            <w:pPr>
              <w:pStyle w:val="COMTableheadingrow"/>
              <w:jc w:val="center"/>
            </w:pPr>
            <w:r>
              <w:t>N=2,893</w:t>
            </w:r>
          </w:p>
        </w:tc>
        <w:tc>
          <w:tcPr>
            <w:tcW w:w="78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F3A36E9" w14:textId="77777777" w:rsidR="009E6636" w:rsidRDefault="009E6636" w:rsidP="001D4554">
            <w:pPr>
              <w:pStyle w:val="COMTableheadingrow"/>
              <w:jc w:val="center"/>
            </w:pPr>
            <w:r>
              <w:t>Hazard ratio</w:t>
            </w:r>
          </w:p>
          <w:p w14:paraId="17594185" w14:textId="77777777" w:rsidR="009E6636" w:rsidRDefault="009E6636" w:rsidP="001D4554">
            <w:pPr>
              <w:pStyle w:val="COMTableheadingrow"/>
              <w:jc w:val="center"/>
            </w:pPr>
            <w:r>
              <w:t>(95% CI)</w:t>
            </w:r>
          </w:p>
        </w:tc>
      </w:tr>
      <w:tr w:rsidR="009E6636" w:rsidRPr="008215FB" w14:paraId="43B6D89E" w14:textId="77777777" w:rsidTr="001D4554">
        <w:tc>
          <w:tcPr>
            <w:tcW w:w="13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6366C58" w14:textId="77777777" w:rsidR="009E6636" w:rsidRPr="008215FB" w:rsidRDefault="009E6636" w:rsidP="001D4554">
            <w:pPr>
              <w:pStyle w:val="COMTabletext"/>
              <w:rPr>
                <w:lang w:val="en-US"/>
              </w:rPr>
            </w:pPr>
            <w:r>
              <w:rPr>
                <w:lang w:val="en-US"/>
              </w:rPr>
              <w:t>CV death or nonfatal MI</w:t>
            </w:r>
            <w:r w:rsidRPr="00892D3E">
              <w:rPr>
                <w:lang w:val="en-US"/>
              </w:rPr>
              <w:t>, n (%)</w:t>
            </w:r>
          </w:p>
        </w:tc>
        <w:tc>
          <w:tcPr>
            <w:tcW w:w="5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0E72ECD" w14:textId="77777777" w:rsidR="009E6636" w:rsidRPr="008215FB" w:rsidRDefault="009E6636" w:rsidP="001D4554">
            <w:pPr>
              <w:pStyle w:val="COMTabletext"/>
              <w:jc w:val="center"/>
              <w:rPr>
                <w:lang w:val="en-US"/>
              </w:rPr>
            </w:pPr>
            <w:r w:rsidRPr="00264F5E">
              <w:t>392 (9.6)</w:t>
            </w:r>
          </w:p>
        </w:tc>
        <w:tc>
          <w:tcPr>
            <w:tcW w:w="54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FFB6F92" w14:textId="77777777" w:rsidR="009E6636" w:rsidRPr="008215FB" w:rsidRDefault="009E6636" w:rsidP="001D4554">
            <w:pPr>
              <w:pStyle w:val="COMTabletext"/>
              <w:jc w:val="center"/>
              <w:rPr>
                <w:lang w:val="en-US"/>
              </w:rPr>
            </w:pPr>
            <w:r w:rsidRPr="00264F5E">
              <w:t>507 (12.4)</w:t>
            </w:r>
          </w:p>
        </w:tc>
        <w:tc>
          <w:tcPr>
            <w:tcW w:w="77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BF4330C" w14:textId="77777777" w:rsidR="009E6636" w:rsidRPr="00BE7353" w:rsidRDefault="009E6636" w:rsidP="001D4554">
            <w:pPr>
              <w:pStyle w:val="COMTabletext"/>
              <w:jc w:val="center"/>
              <w:rPr>
                <w:b/>
                <w:bCs w:val="0"/>
              </w:rPr>
            </w:pPr>
            <w:r w:rsidRPr="00BE7353">
              <w:rPr>
                <w:b/>
                <w:bCs w:val="0"/>
              </w:rPr>
              <w:t>0.75 (0.66, 0.8</w:t>
            </w:r>
            <w:r>
              <w:rPr>
                <w:b/>
                <w:bCs w:val="0"/>
              </w:rPr>
              <w:t>6</w:t>
            </w:r>
            <w:r w:rsidRPr="00BE7353">
              <w:rPr>
                <w:b/>
                <w:bCs w:val="0"/>
              </w:rPr>
              <w:t>)</w:t>
            </w:r>
          </w:p>
        </w:tc>
        <w:tc>
          <w:tcPr>
            <w:tcW w:w="52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2570258" w14:textId="77777777" w:rsidR="009E6636" w:rsidRPr="00D9173B" w:rsidRDefault="009E6636" w:rsidP="001D4554">
            <w:pPr>
              <w:pStyle w:val="COMTabletext"/>
              <w:jc w:val="center"/>
            </w:pPr>
            <w:r w:rsidRPr="00D9173B">
              <w:t>310 (10.7)</w:t>
            </w:r>
          </w:p>
        </w:tc>
        <w:tc>
          <w:tcPr>
            <w:tcW w:w="48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F01992C" w14:textId="77777777" w:rsidR="009E6636" w:rsidRPr="00D9173B" w:rsidRDefault="009E6636" w:rsidP="001D4554">
            <w:pPr>
              <w:pStyle w:val="COMTabletext"/>
              <w:jc w:val="center"/>
            </w:pPr>
            <w:r w:rsidRPr="00D9173B">
              <w:t>416 (14.4)</w:t>
            </w:r>
          </w:p>
        </w:tc>
        <w:tc>
          <w:tcPr>
            <w:tcW w:w="78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B5E1775" w14:textId="77777777" w:rsidR="009E6636" w:rsidRPr="00907538" w:rsidRDefault="009E6636" w:rsidP="001D4554">
            <w:pPr>
              <w:pStyle w:val="COMTabletext"/>
              <w:jc w:val="center"/>
            </w:pPr>
            <w:r w:rsidRPr="00D9173B">
              <w:rPr>
                <w:b/>
                <w:bCs w:val="0"/>
              </w:rPr>
              <w:t>0.72 (0.63, 0.84)</w:t>
            </w:r>
          </w:p>
        </w:tc>
      </w:tr>
      <w:tr w:rsidR="009E6636" w:rsidRPr="008215FB" w14:paraId="2FF5AAF6" w14:textId="77777777" w:rsidTr="001D4554">
        <w:tc>
          <w:tcPr>
            <w:tcW w:w="13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8A0FB91" w14:textId="77777777" w:rsidR="009E6636" w:rsidRDefault="009E6636" w:rsidP="001D4554">
            <w:pPr>
              <w:pStyle w:val="COMTabletext"/>
              <w:rPr>
                <w:lang w:val="en-US"/>
              </w:rPr>
            </w:pPr>
            <w:r w:rsidRPr="004740C4">
              <w:t>Fatal or nonfatal MI</w:t>
            </w:r>
            <w:r w:rsidRPr="00892D3E">
              <w:rPr>
                <w:lang w:val="en-US"/>
              </w:rPr>
              <w:t>, n (%)</w:t>
            </w:r>
          </w:p>
        </w:tc>
        <w:tc>
          <w:tcPr>
            <w:tcW w:w="5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2DFBF2C" w14:textId="77777777" w:rsidR="009E6636" w:rsidRPr="00C62A42" w:rsidRDefault="009E6636" w:rsidP="001D4554">
            <w:pPr>
              <w:pStyle w:val="COMTabletext"/>
              <w:jc w:val="center"/>
            </w:pPr>
            <w:r w:rsidRPr="00264F5E">
              <w:t>250 (6.1)</w:t>
            </w:r>
          </w:p>
        </w:tc>
        <w:tc>
          <w:tcPr>
            <w:tcW w:w="54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CB5B820" w14:textId="77777777" w:rsidR="009E6636" w:rsidRPr="00C62A42" w:rsidRDefault="009E6636" w:rsidP="001D4554">
            <w:pPr>
              <w:pStyle w:val="COMTabletext"/>
              <w:jc w:val="center"/>
            </w:pPr>
            <w:r w:rsidRPr="00264F5E">
              <w:t>355</w:t>
            </w:r>
            <w:r>
              <w:t xml:space="preserve"> </w:t>
            </w:r>
            <w:r w:rsidRPr="00264F5E">
              <w:t>(8.7)</w:t>
            </w:r>
          </w:p>
        </w:tc>
        <w:tc>
          <w:tcPr>
            <w:tcW w:w="77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26585DA" w14:textId="77777777" w:rsidR="009E6636" w:rsidRPr="00BE7353" w:rsidRDefault="009E6636" w:rsidP="001D4554">
            <w:pPr>
              <w:pStyle w:val="COMTabletext"/>
              <w:jc w:val="center"/>
              <w:rPr>
                <w:b/>
                <w:bCs w:val="0"/>
              </w:rPr>
            </w:pPr>
            <w:r w:rsidRPr="00BE7353">
              <w:rPr>
                <w:b/>
                <w:bCs w:val="0"/>
              </w:rPr>
              <w:t>0.6</w:t>
            </w:r>
            <w:r>
              <w:rPr>
                <w:b/>
                <w:bCs w:val="0"/>
              </w:rPr>
              <w:t>9</w:t>
            </w:r>
            <w:r w:rsidRPr="00BE7353">
              <w:rPr>
                <w:b/>
                <w:bCs w:val="0"/>
              </w:rPr>
              <w:t xml:space="preserve"> (0.5</w:t>
            </w:r>
            <w:r>
              <w:rPr>
                <w:b/>
                <w:bCs w:val="0"/>
              </w:rPr>
              <w:t>9</w:t>
            </w:r>
            <w:r w:rsidRPr="00BE7353">
              <w:rPr>
                <w:b/>
                <w:bCs w:val="0"/>
              </w:rPr>
              <w:t>, 0.8</w:t>
            </w:r>
            <w:r>
              <w:rPr>
                <w:b/>
                <w:bCs w:val="0"/>
              </w:rPr>
              <w:t>1</w:t>
            </w:r>
            <w:r w:rsidRPr="00BE7353">
              <w:rPr>
                <w:b/>
                <w:bCs w:val="0"/>
              </w:rPr>
              <w:t>)</w:t>
            </w:r>
          </w:p>
        </w:tc>
        <w:tc>
          <w:tcPr>
            <w:tcW w:w="52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CD016B" w14:textId="77777777" w:rsidR="009E6636" w:rsidRPr="00D9173B" w:rsidRDefault="009E6636" w:rsidP="001D4554">
            <w:pPr>
              <w:pStyle w:val="COMTabletext"/>
              <w:jc w:val="center"/>
            </w:pPr>
            <w:r w:rsidRPr="00D9173B">
              <w:t>208 (7.2)</w:t>
            </w:r>
          </w:p>
        </w:tc>
        <w:tc>
          <w:tcPr>
            <w:tcW w:w="48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2BC3E36" w14:textId="77777777" w:rsidR="009E6636" w:rsidRPr="00D9173B" w:rsidRDefault="009E6636" w:rsidP="001D4554">
            <w:pPr>
              <w:pStyle w:val="COMTabletext"/>
              <w:jc w:val="center"/>
            </w:pPr>
            <w:r w:rsidRPr="00D9173B">
              <w:t>303 (10.5)</w:t>
            </w:r>
          </w:p>
        </w:tc>
        <w:tc>
          <w:tcPr>
            <w:tcW w:w="78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AAB7D60" w14:textId="77777777" w:rsidR="009E6636" w:rsidRPr="00907538" w:rsidRDefault="009E6636" w:rsidP="001D4554">
            <w:pPr>
              <w:pStyle w:val="COMTabletext"/>
              <w:jc w:val="center"/>
            </w:pPr>
            <w:r w:rsidRPr="00D9173B">
              <w:rPr>
                <w:b/>
                <w:bCs w:val="0"/>
              </w:rPr>
              <w:t>0.67 (0.56, 0.80)</w:t>
            </w:r>
          </w:p>
        </w:tc>
      </w:tr>
      <w:tr w:rsidR="009E6636" w:rsidRPr="008215FB" w14:paraId="12C67D46" w14:textId="77777777" w:rsidTr="001D4554">
        <w:tc>
          <w:tcPr>
            <w:tcW w:w="13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EAC6619" w14:textId="77777777" w:rsidR="009E6636" w:rsidRDefault="009E6636" w:rsidP="001D4554">
            <w:pPr>
              <w:pStyle w:val="COMTabletext"/>
              <w:rPr>
                <w:lang w:val="en-US"/>
              </w:rPr>
            </w:pPr>
            <w:r w:rsidRPr="004740C4">
              <w:t>Urgent</w:t>
            </w:r>
            <w:r>
              <w:t xml:space="preserve"> or </w:t>
            </w:r>
            <w:r w:rsidRPr="004740C4">
              <w:t>emergent revascularisation</w:t>
            </w:r>
            <w:r w:rsidRPr="00892D3E">
              <w:rPr>
                <w:lang w:val="en-US"/>
              </w:rPr>
              <w:t>, n (%)</w:t>
            </w:r>
          </w:p>
        </w:tc>
        <w:tc>
          <w:tcPr>
            <w:tcW w:w="5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6D5B8E8" w14:textId="77777777" w:rsidR="009E6636" w:rsidRPr="00C62A42" w:rsidRDefault="009E6636" w:rsidP="001D4554">
            <w:pPr>
              <w:pStyle w:val="COMTabletext"/>
              <w:jc w:val="center"/>
            </w:pPr>
            <w:r w:rsidRPr="00264F5E">
              <w:t>216 (5.3)</w:t>
            </w:r>
          </w:p>
        </w:tc>
        <w:tc>
          <w:tcPr>
            <w:tcW w:w="54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0235E71" w14:textId="77777777" w:rsidR="009E6636" w:rsidRPr="00C62A42" w:rsidRDefault="009E6636" w:rsidP="001D4554">
            <w:pPr>
              <w:pStyle w:val="COMTabletext"/>
              <w:jc w:val="center"/>
            </w:pPr>
            <w:r w:rsidRPr="00264F5E">
              <w:t>321(7.8)</w:t>
            </w:r>
          </w:p>
        </w:tc>
        <w:tc>
          <w:tcPr>
            <w:tcW w:w="77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7EAFDCD" w14:textId="77777777" w:rsidR="009E6636" w:rsidRPr="00BE7353" w:rsidRDefault="009E6636" w:rsidP="001D4554">
            <w:pPr>
              <w:pStyle w:val="COMTabletext"/>
              <w:jc w:val="center"/>
              <w:rPr>
                <w:b/>
                <w:bCs w:val="0"/>
              </w:rPr>
            </w:pPr>
            <w:r w:rsidRPr="00BE7353">
              <w:rPr>
                <w:b/>
                <w:bCs w:val="0"/>
              </w:rPr>
              <w:t>0.65</w:t>
            </w:r>
            <w:r>
              <w:rPr>
                <w:b/>
                <w:bCs w:val="0"/>
              </w:rPr>
              <w:t xml:space="preserve"> </w:t>
            </w:r>
            <w:r w:rsidRPr="00BE7353">
              <w:rPr>
                <w:b/>
                <w:bCs w:val="0"/>
              </w:rPr>
              <w:t>(0.55, 0.7</w:t>
            </w:r>
            <w:r>
              <w:rPr>
                <w:b/>
                <w:bCs w:val="0"/>
              </w:rPr>
              <w:t>8</w:t>
            </w:r>
            <w:r w:rsidRPr="00BE7353">
              <w:rPr>
                <w:b/>
                <w:bCs w:val="0"/>
              </w:rPr>
              <w:t>)</w:t>
            </w:r>
          </w:p>
        </w:tc>
        <w:tc>
          <w:tcPr>
            <w:tcW w:w="52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D1778C3" w14:textId="77777777" w:rsidR="009E6636" w:rsidRPr="00D9173B" w:rsidRDefault="009E6636" w:rsidP="001D4554">
            <w:pPr>
              <w:pStyle w:val="COMTabletext"/>
              <w:jc w:val="center"/>
            </w:pPr>
            <w:r w:rsidRPr="00D9173B">
              <w:t>178 (6.2)</w:t>
            </w:r>
          </w:p>
        </w:tc>
        <w:tc>
          <w:tcPr>
            <w:tcW w:w="48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880C223" w14:textId="77777777" w:rsidR="009E6636" w:rsidRPr="00D9173B" w:rsidRDefault="009E6636" w:rsidP="001D4554">
            <w:pPr>
              <w:pStyle w:val="COMTabletext"/>
              <w:jc w:val="center"/>
            </w:pPr>
            <w:r w:rsidRPr="00D9173B">
              <w:t>277 (9.6)</w:t>
            </w:r>
          </w:p>
        </w:tc>
        <w:tc>
          <w:tcPr>
            <w:tcW w:w="78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EA45E67" w14:textId="77777777" w:rsidR="009E6636" w:rsidRPr="00907538" w:rsidRDefault="009E6636" w:rsidP="001D4554">
            <w:pPr>
              <w:pStyle w:val="COMTabletext"/>
              <w:jc w:val="center"/>
            </w:pPr>
            <w:r w:rsidRPr="00D9173B">
              <w:rPr>
                <w:b/>
                <w:bCs w:val="0"/>
              </w:rPr>
              <w:t>0.62 (0.52, 0.75)</w:t>
            </w:r>
          </w:p>
        </w:tc>
      </w:tr>
      <w:tr w:rsidR="009E6636" w:rsidRPr="008215FB" w14:paraId="2C7170C6" w14:textId="77777777" w:rsidTr="001D4554">
        <w:tc>
          <w:tcPr>
            <w:tcW w:w="13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3C09076" w14:textId="77777777" w:rsidR="009E6636" w:rsidRDefault="009E6636" w:rsidP="001D4554">
            <w:pPr>
              <w:pStyle w:val="COMTabletext"/>
              <w:rPr>
                <w:lang w:val="en-US"/>
              </w:rPr>
            </w:pPr>
            <w:r w:rsidRPr="004740C4">
              <w:t>CV death</w:t>
            </w:r>
            <w:r w:rsidRPr="00892D3E">
              <w:rPr>
                <w:lang w:val="en-US"/>
              </w:rPr>
              <w:t>, n (%)</w:t>
            </w:r>
          </w:p>
        </w:tc>
        <w:tc>
          <w:tcPr>
            <w:tcW w:w="5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D72FB3F" w14:textId="77777777" w:rsidR="009E6636" w:rsidRPr="00C62A42" w:rsidRDefault="009E6636" w:rsidP="001D4554">
            <w:pPr>
              <w:pStyle w:val="COMTabletext"/>
              <w:jc w:val="center"/>
            </w:pPr>
            <w:r w:rsidRPr="00264F5E">
              <w:t>174 (4.3)</w:t>
            </w:r>
          </w:p>
        </w:tc>
        <w:tc>
          <w:tcPr>
            <w:tcW w:w="54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F1D8DCE" w14:textId="77777777" w:rsidR="009E6636" w:rsidRPr="00C62A42" w:rsidRDefault="009E6636" w:rsidP="001D4554">
            <w:pPr>
              <w:pStyle w:val="COMTabletext"/>
              <w:jc w:val="center"/>
            </w:pPr>
            <w:r w:rsidRPr="00264F5E">
              <w:t>213</w:t>
            </w:r>
            <w:r>
              <w:t xml:space="preserve"> </w:t>
            </w:r>
            <w:r w:rsidRPr="00C264E1">
              <w:t>(5.2)</w:t>
            </w:r>
          </w:p>
        </w:tc>
        <w:tc>
          <w:tcPr>
            <w:tcW w:w="77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BD603A8" w14:textId="77777777" w:rsidR="009E6636" w:rsidRPr="00BE7353" w:rsidRDefault="009E6636" w:rsidP="001D4554">
            <w:pPr>
              <w:pStyle w:val="COMTabletext"/>
              <w:jc w:val="center"/>
              <w:rPr>
                <w:b/>
                <w:bCs w:val="0"/>
              </w:rPr>
            </w:pPr>
            <w:r w:rsidRPr="00BE7353">
              <w:rPr>
                <w:b/>
                <w:bCs w:val="0"/>
              </w:rPr>
              <w:t>0.80 (0.6</w:t>
            </w:r>
            <w:r>
              <w:rPr>
                <w:b/>
                <w:bCs w:val="0"/>
              </w:rPr>
              <w:t>6</w:t>
            </w:r>
            <w:r w:rsidRPr="00BE7353">
              <w:rPr>
                <w:b/>
                <w:bCs w:val="0"/>
              </w:rPr>
              <w:t>, 0.98)</w:t>
            </w:r>
          </w:p>
        </w:tc>
        <w:tc>
          <w:tcPr>
            <w:tcW w:w="52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C572C8F" w14:textId="77777777" w:rsidR="009E6636" w:rsidRPr="00D9173B" w:rsidRDefault="009E6636" w:rsidP="001D4554">
            <w:pPr>
              <w:pStyle w:val="COMTabletext"/>
              <w:jc w:val="center"/>
            </w:pPr>
            <w:r w:rsidRPr="00D9173B">
              <w:t>130 (4.5)</w:t>
            </w:r>
          </w:p>
        </w:tc>
        <w:tc>
          <w:tcPr>
            <w:tcW w:w="48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552C55" w14:textId="77777777" w:rsidR="009E6636" w:rsidRPr="00D9173B" w:rsidRDefault="009E6636" w:rsidP="001D4554">
            <w:pPr>
              <w:pStyle w:val="COMTabletext"/>
              <w:jc w:val="center"/>
            </w:pPr>
            <w:r w:rsidRPr="00D9173B">
              <w:t>169 (5.8)</w:t>
            </w:r>
          </w:p>
        </w:tc>
        <w:tc>
          <w:tcPr>
            <w:tcW w:w="78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992B689" w14:textId="77777777" w:rsidR="009E6636" w:rsidRPr="00907538" w:rsidRDefault="009E6636" w:rsidP="001D4554">
            <w:pPr>
              <w:pStyle w:val="COMTabletext"/>
              <w:jc w:val="center"/>
            </w:pPr>
            <w:r w:rsidRPr="00D9173B">
              <w:rPr>
                <w:b/>
                <w:bCs w:val="0"/>
              </w:rPr>
              <w:t>0.76</w:t>
            </w:r>
            <w:r>
              <w:rPr>
                <w:b/>
                <w:bCs w:val="0"/>
              </w:rPr>
              <w:t xml:space="preserve"> </w:t>
            </w:r>
            <w:r w:rsidRPr="00D9173B">
              <w:rPr>
                <w:b/>
                <w:bCs w:val="0"/>
              </w:rPr>
              <w:t>(0.60, 0.95)</w:t>
            </w:r>
          </w:p>
        </w:tc>
      </w:tr>
      <w:tr w:rsidR="009E6636" w:rsidRPr="008215FB" w14:paraId="1BBB984E" w14:textId="77777777" w:rsidTr="001D4554">
        <w:tc>
          <w:tcPr>
            <w:tcW w:w="13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7002EF4" w14:textId="77777777" w:rsidR="009E6636" w:rsidRDefault="009E6636" w:rsidP="001D4554">
            <w:pPr>
              <w:pStyle w:val="COMTabletext"/>
              <w:rPr>
                <w:lang w:val="en-US"/>
              </w:rPr>
            </w:pPr>
            <w:r w:rsidRPr="004740C4">
              <w:t>Hospitalisation for unstable angina</w:t>
            </w:r>
            <w:r w:rsidRPr="00892D3E">
              <w:rPr>
                <w:lang w:val="en-US"/>
              </w:rPr>
              <w:t>, n (%)</w:t>
            </w:r>
            <w:r w:rsidRPr="004740C4">
              <w:t xml:space="preserve"> </w:t>
            </w:r>
          </w:p>
        </w:tc>
        <w:tc>
          <w:tcPr>
            <w:tcW w:w="5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D160401" w14:textId="77777777" w:rsidR="009E6636" w:rsidRPr="00C62A42" w:rsidRDefault="009E6636" w:rsidP="001D4554">
            <w:pPr>
              <w:pStyle w:val="COMTabletext"/>
              <w:jc w:val="center"/>
            </w:pPr>
            <w:r w:rsidRPr="00F36457">
              <w:t>108 (2.6)</w:t>
            </w:r>
          </w:p>
        </w:tc>
        <w:tc>
          <w:tcPr>
            <w:tcW w:w="54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0A49180" w14:textId="77777777" w:rsidR="009E6636" w:rsidRPr="00C62A42" w:rsidRDefault="009E6636" w:rsidP="001D4554">
            <w:pPr>
              <w:pStyle w:val="COMTabletext"/>
              <w:jc w:val="center"/>
            </w:pPr>
            <w:r>
              <w:t>157 (3.8)</w:t>
            </w:r>
          </w:p>
        </w:tc>
        <w:tc>
          <w:tcPr>
            <w:tcW w:w="77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46EAE25" w14:textId="77777777" w:rsidR="009E6636" w:rsidRPr="00BE7353" w:rsidRDefault="009E6636" w:rsidP="001D4554">
            <w:pPr>
              <w:pStyle w:val="COMTabletext"/>
              <w:jc w:val="center"/>
              <w:rPr>
                <w:b/>
                <w:bCs w:val="0"/>
              </w:rPr>
            </w:pPr>
            <w:r w:rsidRPr="00BE7353">
              <w:rPr>
                <w:b/>
                <w:bCs w:val="0"/>
              </w:rPr>
              <w:t>0.6</w:t>
            </w:r>
            <w:r>
              <w:rPr>
                <w:b/>
                <w:bCs w:val="0"/>
              </w:rPr>
              <w:t>8</w:t>
            </w:r>
            <w:r w:rsidRPr="00BE7353">
              <w:rPr>
                <w:b/>
                <w:bCs w:val="0"/>
              </w:rPr>
              <w:t xml:space="preserve"> (0.53, 0.8</w:t>
            </w:r>
            <w:r>
              <w:rPr>
                <w:b/>
                <w:bCs w:val="0"/>
              </w:rPr>
              <w:t>7</w:t>
            </w:r>
            <w:r w:rsidRPr="00BE7353">
              <w:rPr>
                <w:b/>
                <w:bCs w:val="0"/>
              </w:rPr>
              <w:t>)</w:t>
            </w:r>
          </w:p>
        </w:tc>
        <w:tc>
          <w:tcPr>
            <w:tcW w:w="52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1BA8B2" w14:textId="77777777" w:rsidR="009E6636" w:rsidRPr="00D9173B" w:rsidRDefault="009E6636" w:rsidP="001D4554">
            <w:pPr>
              <w:pStyle w:val="COMTabletext"/>
              <w:jc w:val="center"/>
            </w:pPr>
            <w:r w:rsidRPr="00D9173B">
              <w:t>93 (3.2)</w:t>
            </w:r>
          </w:p>
        </w:tc>
        <w:tc>
          <w:tcPr>
            <w:tcW w:w="48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12373AF" w14:textId="77777777" w:rsidR="009E6636" w:rsidRPr="00D9173B" w:rsidRDefault="009E6636" w:rsidP="001D4554">
            <w:pPr>
              <w:pStyle w:val="COMTabletext"/>
              <w:jc w:val="center"/>
            </w:pPr>
            <w:r w:rsidRPr="00D9173B">
              <w:t>143 (4.9)</w:t>
            </w:r>
          </w:p>
        </w:tc>
        <w:tc>
          <w:tcPr>
            <w:tcW w:w="78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19AAD5" w14:textId="77777777" w:rsidR="009E6636" w:rsidRPr="00907538" w:rsidRDefault="009E6636" w:rsidP="001D4554">
            <w:pPr>
              <w:pStyle w:val="COMTabletext"/>
              <w:jc w:val="center"/>
            </w:pPr>
            <w:r w:rsidRPr="00D9173B">
              <w:rPr>
                <w:b/>
                <w:bCs w:val="0"/>
              </w:rPr>
              <w:t>0.64 (0.49, 0.83)</w:t>
            </w:r>
          </w:p>
        </w:tc>
      </w:tr>
      <w:tr w:rsidR="009E6636" w:rsidRPr="008215FB" w14:paraId="72A511C8" w14:textId="77777777" w:rsidTr="001D4554">
        <w:tc>
          <w:tcPr>
            <w:tcW w:w="13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6CEAEFF" w14:textId="77777777" w:rsidR="009E6636" w:rsidRDefault="009E6636" w:rsidP="001D4554">
            <w:pPr>
              <w:pStyle w:val="COMTabletext"/>
              <w:rPr>
                <w:lang w:val="en-US"/>
              </w:rPr>
            </w:pPr>
            <w:r w:rsidRPr="004740C4">
              <w:t>Fatal or nonfatal stroke</w:t>
            </w:r>
            <w:r w:rsidRPr="00892D3E">
              <w:rPr>
                <w:lang w:val="en-US"/>
              </w:rPr>
              <w:t>, n (%)</w:t>
            </w:r>
            <w:r w:rsidRPr="004740C4">
              <w:t xml:space="preserve"> </w:t>
            </w:r>
          </w:p>
        </w:tc>
        <w:tc>
          <w:tcPr>
            <w:tcW w:w="5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21C2B21" w14:textId="77777777" w:rsidR="009E6636" w:rsidRPr="00C62A42" w:rsidRDefault="009E6636" w:rsidP="001D4554">
            <w:pPr>
              <w:pStyle w:val="COMTabletext"/>
              <w:jc w:val="center"/>
            </w:pPr>
            <w:r w:rsidRPr="00F36457">
              <w:t>98 (2.4)</w:t>
            </w:r>
          </w:p>
        </w:tc>
        <w:tc>
          <w:tcPr>
            <w:tcW w:w="54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DAF5732" w14:textId="77777777" w:rsidR="009E6636" w:rsidRPr="00C62A42" w:rsidRDefault="009E6636" w:rsidP="001D4554">
            <w:pPr>
              <w:pStyle w:val="COMTabletext"/>
              <w:jc w:val="center"/>
            </w:pPr>
            <w:r>
              <w:t>134 (3.3)</w:t>
            </w:r>
          </w:p>
        </w:tc>
        <w:tc>
          <w:tcPr>
            <w:tcW w:w="77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B0FA92" w14:textId="77777777" w:rsidR="009E6636" w:rsidRPr="00BE7353" w:rsidRDefault="009E6636" w:rsidP="001D4554">
            <w:pPr>
              <w:pStyle w:val="COMTabletext"/>
              <w:jc w:val="center"/>
              <w:rPr>
                <w:b/>
                <w:bCs w:val="0"/>
              </w:rPr>
            </w:pPr>
            <w:r w:rsidRPr="00BE7353">
              <w:rPr>
                <w:b/>
                <w:bCs w:val="0"/>
              </w:rPr>
              <w:t>0.72 (0.5</w:t>
            </w:r>
            <w:r>
              <w:rPr>
                <w:b/>
                <w:bCs w:val="0"/>
              </w:rPr>
              <w:t>6</w:t>
            </w:r>
            <w:r w:rsidRPr="00BE7353">
              <w:rPr>
                <w:b/>
                <w:bCs w:val="0"/>
              </w:rPr>
              <w:t>, 0.93)</w:t>
            </w:r>
          </w:p>
        </w:tc>
        <w:tc>
          <w:tcPr>
            <w:tcW w:w="52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28991F9" w14:textId="77777777" w:rsidR="009E6636" w:rsidRPr="00D9173B" w:rsidRDefault="009E6636" w:rsidP="001D4554">
            <w:pPr>
              <w:pStyle w:val="COMTabletext"/>
              <w:jc w:val="center"/>
            </w:pPr>
            <w:r w:rsidRPr="00D9173B">
              <w:t>78 (2.7)</w:t>
            </w:r>
          </w:p>
        </w:tc>
        <w:tc>
          <w:tcPr>
            <w:tcW w:w="48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2B1DC9F" w14:textId="77777777" w:rsidR="009E6636" w:rsidRPr="00D9173B" w:rsidRDefault="009E6636" w:rsidP="001D4554">
            <w:pPr>
              <w:pStyle w:val="COMTabletext"/>
              <w:jc w:val="center"/>
            </w:pPr>
            <w:r w:rsidRPr="00D9173B">
              <w:t>99 (3.4)</w:t>
            </w:r>
          </w:p>
        </w:tc>
        <w:tc>
          <w:tcPr>
            <w:tcW w:w="78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696719" w14:textId="77777777" w:rsidR="009E6636" w:rsidRPr="00907538" w:rsidRDefault="009E6636" w:rsidP="001D4554">
            <w:pPr>
              <w:pStyle w:val="COMTabletext"/>
              <w:jc w:val="center"/>
            </w:pPr>
            <w:r w:rsidRPr="00D9173B">
              <w:t>0.78</w:t>
            </w:r>
            <w:r>
              <w:t xml:space="preserve"> </w:t>
            </w:r>
            <w:r w:rsidRPr="00D9173B">
              <w:t>(0.58</w:t>
            </w:r>
            <w:r>
              <w:t xml:space="preserve">, </w:t>
            </w:r>
            <w:r w:rsidRPr="00D9173B">
              <w:t>1.05)</w:t>
            </w:r>
          </w:p>
        </w:tc>
      </w:tr>
      <w:tr w:rsidR="009E6636" w:rsidRPr="008215FB" w14:paraId="194038EB" w14:textId="77777777" w:rsidTr="001D4554">
        <w:tc>
          <w:tcPr>
            <w:tcW w:w="13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1A8258F" w14:textId="77777777" w:rsidR="009E6636" w:rsidRDefault="009E6636" w:rsidP="001D4554">
            <w:pPr>
              <w:pStyle w:val="COMTabletext"/>
              <w:rPr>
                <w:lang w:val="en-US"/>
              </w:rPr>
            </w:pPr>
            <w:r w:rsidRPr="004740C4">
              <w:t>Total mortality, nonfatal MI, or nonfatal stroke</w:t>
            </w:r>
            <w:r w:rsidRPr="00892D3E">
              <w:rPr>
                <w:lang w:val="en-US"/>
              </w:rPr>
              <w:t>, n (%)</w:t>
            </w:r>
            <w:r w:rsidRPr="004740C4">
              <w:t xml:space="preserve"> </w:t>
            </w:r>
          </w:p>
        </w:tc>
        <w:tc>
          <w:tcPr>
            <w:tcW w:w="5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AB5BB2F" w14:textId="77777777" w:rsidR="009E6636" w:rsidRPr="00C62A42" w:rsidRDefault="009E6636" w:rsidP="001D4554">
            <w:pPr>
              <w:pStyle w:val="COMTabletext"/>
              <w:jc w:val="center"/>
            </w:pPr>
            <w:r w:rsidRPr="00F36457">
              <w:t>549 (13.4)</w:t>
            </w:r>
          </w:p>
        </w:tc>
        <w:tc>
          <w:tcPr>
            <w:tcW w:w="54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8DAEAEA" w14:textId="77777777" w:rsidR="009E6636" w:rsidRPr="00C62A42" w:rsidRDefault="009E6636" w:rsidP="001D4554">
            <w:pPr>
              <w:pStyle w:val="COMTabletext"/>
              <w:jc w:val="center"/>
            </w:pPr>
            <w:r>
              <w:t>690 (16.9)</w:t>
            </w:r>
          </w:p>
        </w:tc>
        <w:tc>
          <w:tcPr>
            <w:tcW w:w="77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7301FA" w14:textId="77777777" w:rsidR="009E6636" w:rsidRPr="00BE7353" w:rsidRDefault="009E6636" w:rsidP="001D4554">
            <w:pPr>
              <w:pStyle w:val="COMTabletext"/>
              <w:jc w:val="center"/>
              <w:rPr>
                <w:b/>
                <w:bCs w:val="0"/>
              </w:rPr>
            </w:pPr>
            <w:r w:rsidRPr="00BE7353">
              <w:rPr>
                <w:b/>
                <w:bCs w:val="0"/>
              </w:rPr>
              <w:t>0.77 (0.69, 0.86)</w:t>
            </w:r>
          </w:p>
        </w:tc>
        <w:tc>
          <w:tcPr>
            <w:tcW w:w="52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1FAE09" w14:textId="77777777" w:rsidR="009E6636" w:rsidRPr="00D9173B" w:rsidRDefault="009E6636" w:rsidP="001D4554">
            <w:pPr>
              <w:pStyle w:val="COMTabletext"/>
              <w:jc w:val="center"/>
            </w:pPr>
            <w:r w:rsidRPr="00D9173B">
              <w:t>434 (15.0)</w:t>
            </w:r>
          </w:p>
        </w:tc>
        <w:tc>
          <w:tcPr>
            <w:tcW w:w="48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E645D6C" w14:textId="77777777" w:rsidR="009E6636" w:rsidRPr="00D9173B" w:rsidRDefault="009E6636" w:rsidP="001D4554">
            <w:pPr>
              <w:pStyle w:val="COMTabletext"/>
              <w:jc w:val="center"/>
            </w:pPr>
            <w:r w:rsidRPr="00D9173B">
              <w:t>551 (19.0)</w:t>
            </w:r>
          </w:p>
        </w:tc>
        <w:tc>
          <w:tcPr>
            <w:tcW w:w="78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B60BD06" w14:textId="77777777" w:rsidR="009E6636" w:rsidRPr="00907538" w:rsidRDefault="009E6636" w:rsidP="001D4554">
            <w:pPr>
              <w:pStyle w:val="COMTabletext"/>
              <w:jc w:val="center"/>
            </w:pPr>
            <w:r w:rsidRPr="006A731F">
              <w:rPr>
                <w:b/>
                <w:bCs w:val="0"/>
              </w:rPr>
              <w:t>0.76</w:t>
            </w:r>
            <w:r>
              <w:rPr>
                <w:b/>
                <w:bCs w:val="0"/>
              </w:rPr>
              <w:t xml:space="preserve"> </w:t>
            </w:r>
            <w:r w:rsidRPr="006A731F">
              <w:rPr>
                <w:b/>
                <w:bCs w:val="0"/>
              </w:rPr>
              <w:t>(0.67</w:t>
            </w:r>
            <w:r>
              <w:rPr>
                <w:b/>
                <w:bCs w:val="0"/>
              </w:rPr>
              <w:t xml:space="preserve">, </w:t>
            </w:r>
            <w:r w:rsidRPr="006A731F">
              <w:rPr>
                <w:b/>
                <w:bCs w:val="0"/>
              </w:rPr>
              <w:t>0.87)</w:t>
            </w:r>
          </w:p>
        </w:tc>
      </w:tr>
      <w:tr w:rsidR="009E6636" w:rsidRPr="008215FB" w14:paraId="2CEDBE5D" w14:textId="77777777" w:rsidTr="001D4554">
        <w:tc>
          <w:tcPr>
            <w:tcW w:w="13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FD44984" w14:textId="77777777" w:rsidR="009E6636" w:rsidRDefault="009E6636" w:rsidP="001D4554">
            <w:pPr>
              <w:pStyle w:val="COMTabletext"/>
              <w:rPr>
                <w:lang w:val="en-US"/>
              </w:rPr>
            </w:pPr>
            <w:r w:rsidRPr="004740C4">
              <w:t>Total (all-cause) mortality</w:t>
            </w:r>
            <w:r w:rsidRPr="00892D3E">
              <w:rPr>
                <w:lang w:val="en-US"/>
              </w:rPr>
              <w:t>, n (%)</w:t>
            </w:r>
          </w:p>
        </w:tc>
        <w:tc>
          <w:tcPr>
            <w:tcW w:w="5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E1524FF" w14:textId="77777777" w:rsidR="009E6636" w:rsidRPr="00C62A42" w:rsidRDefault="009E6636" w:rsidP="001D4554">
            <w:pPr>
              <w:pStyle w:val="COMTabletext"/>
              <w:jc w:val="center"/>
            </w:pPr>
            <w:r w:rsidRPr="00C264E1">
              <w:t>274 (6.7)</w:t>
            </w:r>
          </w:p>
        </w:tc>
        <w:tc>
          <w:tcPr>
            <w:tcW w:w="54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C390E86" w14:textId="77777777" w:rsidR="009E6636" w:rsidRPr="00C62A42" w:rsidRDefault="009E6636" w:rsidP="001D4554">
            <w:pPr>
              <w:pStyle w:val="COMTabletext"/>
              <w:jc w:val="center"/>
            </w:pPr>
            <w:r>
              <w:t>310 (7.6)</w:t>
            </w:r>
          </w:p>
        </w:tc>
        <w:tc>
          <w:tcPr>
            <w:tcW w:w="77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EEF3E3" w14:textId="77777777" w:rsidR="009E6636" w:rsidRPr="00C62A42" w:rsidRDefault="009E6636" w:rsidP="001D4554">
            <w:pPr>
              <w:pStyle w:val="COMTabletext"/>
              <w:jc w:val="center"/>
            </w:pPr>
            <w:r w:rsidRPr="00C264E1">
              <w:t xml:space="preserve">0.87 </w:t>
            </w:r>
            <w:r>
              <w:t>(</w:t>
            </w:r>
            <w:r w:rsidRPr="00C264E1">
              <w:t>0.7</w:t>
            </w:r>
            <w:r>
              <w:t>4</w:t>
            </w:r>
            <w:r w:rsidRPr="00C264E1">
              <w:t>, 1.02</w:t>
            </w:r>
            <w:r>
              <w:t>)</w:t>
            </w:r>
          </w:p>
        </w:tc>
        <w:tc>
          <w:tcPr>
            <w:tcW w:w="52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10F10B3" w14:textId="77777777" w:rsidR="009E6636" w:rsidRPr="00D9173B" w:rsidRDefault="009E6636" w:rsidP="001D4554">
            <w:pPr>
              <w:pStyle w:val="COMTabletext"/>
              <w:jc w:val="center"/>
            </w:pPr>
            <w:r w:rsidRPr="00D9173B">
              <w:t>212 (7.3)</w:t>
            </w:r>
          </w:p>
        </w:tc>
        <w:tc>
          <w:tcPr>
            <w:tcW w:w="48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007692" w14:textId="77777777" w:rsidR="009E6636" w:rsidRPr="00D9173B" w:rsidRDefault="009E6636" w:rsidP="001D4554">
            <w:pPr>
              <w:pStyle w:val="COMTabletext"/>
              <w:jc w:val="center"/>
            </w:pPr>
            <w:r w:rsidRPr="00D9173B">
              <w:t>242 (8.4)</w:t>
            </w:r>
          </w:p>
        </w:tc>
        <w:tc>
          <w:tcPr>
            <w:tcW w:w="78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ED1AD2F" w14:textId="77777777" w:rsidR="009E6636" w:rsidRPr="00C264E1" w:rsidRDefault="009E6636" w:rsidP="001D4554">
            <w:pPr>
              <w:pStyle w:val="COMTabletext"/>
              <w:jc w:val="center"/>
            </w:pPr>
            <w:r w:rsidRPr="006A731F">
              <w:t>0.86</w:t>
            </w:r>
            <w:r>
              <w:t xml:space="preserve">, </w:t>
            </w:r>
            <w:r w:rsidRPr="006A731F">
              <w:t>(0.72</w:t>
            </w:r>
            <w:r>
              <w:t xml:space="preserve">, </w:t>
            </w:r>
            <w:r w:rsidRPr="006A731F">
              <w:t>1.04)</w:t>
            </w:r>
          </w:p>
        </w:tc>
      </w:tr>
    </w:tbl>
    <w:p w14:paraId="37ACCAE8" w14:textId="77777777" w:rsidR="009E6636" w:rsidRDefault="009E6636" w:rsidP="009E6636">
      <w:pPr>
        <w:pStyle w:val="COMTablefooter"/>
      </w:pPr>
      <w:r>
        <w:t>Source: Table 2.5.3, p70 of the submission.</w:t>
      </w:r>
    </w:p>
    <w:p w14:paraId="7AF0E6F1" w14:textId="77777777" w:rsidR="009E6636" w:rsidRDefault="009E6636" w:rsidP="009E6636">
      <w:pPr>
        <w:pStyle w:val="COMTablefooter"/>
      </w:pPr>
      <w:r>
        <w:t>Abbreviations: CI, confidence interval; CV, cardiovascular; MI, myocardial infarction.</w:t>
      </w:r>
    </w:p>
    <w:p w14:paraId="06D8A264" w14:textId="77777777" w:rsidR="009E6636" w:rsidRPr="008A443C" w:rsidRDefault="009E6636" w:rsidP="009E6636">
      <w:pPr>
        <w:pStyle w:val="COMTablefooter"/>
      </w:pPr>
      <w:r>
        <w:t>Bolded results for the ITT population reflect statistically significant results. Bolded results for the secondary prevention population reflect nominal statistical significance</w:t>
      </w:r>
      <w:r w:rsidRPr="00400AF1">
        <w:t xml:space="preserve"> (results for the secondary prevention population were not prespecified and were not adjusted for multiplicity).</w:t>
      </w:r>
    </w:p>
    <w:p w14:paraId="51F53052" w14:textId="6BADF415" w:rsidR="000F668D" w:rsidRPr="000F668D" w:rsidRDefault="009E6636" w:rsidP="0091664F">
      <w:pPr>
        <w:widowControl w:val="0"/>
        <w:numPr>
          <w:ilvl w:val="1"/>
          <w:numId w:val="1"/>
        </w:numPr>
        <w:spacing w:after="120"/>
        <w:ind w:left="720" w:hanging="720"/>
      </w:pPr>
      <w:r>
        <w:t xml:space="preserve">In the </w:t>
      </w:r>
      <w:r w:rsidR="007C2247">
        <w:t xml:space="preserve">overall </w:t>
      </w:r>
      <w:r>
        <w:t>trial population,</w:t>
      </w:r>
      <w:r w:rsidR="00BC5F70" w:rsidRPr="00BC5F70">
        <w:t xml:space="preserve"> </w:t>
      </w:r>
      <w:r w:rsidR="00BC5F70">
        <w:t>t</w:t>
      </w:r>
      <w:r w:rsidR="00BC5F70" w:rsidRPr="00BC5F70">
        <w:t>reatment with icosapent ethyl was associated with a statistically significant reduction in cardiovascular death or nonfatal myocardial infarction; fatal or nonfatal myocardial infarction; urgent or emergent (non-elective) revascularisation; cardiovascular death; hospitalisation for unstable angina; fatal or nonfatal stroke; and the composite of total mortality, nonfatal myocardial infarction, or nonfatal stroke. There was no statistically significant difference for the outcome of all-cause mortality (the last secondary outcome in the hierarch</w:t>
      </w:r>
      <w:r w:rsidR="00FE523A">
        <w:t>ical testing sequence</w:t>
      </w:r>
      <w:r w:rsidR="00BC5F70" w:rsidRPr="00BC5F70">
        <w:t xml:space="preserve">), although the point estimate favoured icosapent ethyl. </w:t>
      </w:r>
      <w:r w:rsidRPr="00835F52">
        <w:t>The results for the secondary prevention subgroup were generally consistent with the results for the ITT population</w:t>
      </w:r>
      <w:r w:rsidR="00775053" w:rsidRPr="00835F52">
        <w:t>. The results were considered exploratory and statistical testing was carried out at a nominal 5% level without adjustment for multiplicity.</w:t>
      </w:r>
    </w:p>
    <w:p w14:paraId="2F3ED1A7" w14:textId="012B8E01" w:rsidR="00BC5F70" w:rsidRDefault="009F703B" w:rsidP="00BC5F70">
      <w:pPr>
        <w:widowControl w:val="0"/>
        <w:numPr>
          <w:ilvl w:val="1"/>
          <w:numId w:val="1"/>
        </w:numPr>
        <w:spacing w:after="120"/>
        <w:ind w:left="720" w:hanging="720"/>
      </w:pPr>
      <w:r>
        <w:fldChar w:fldCharType="begin" w:fldLock="1"/>
      </w:r>
      <w:r>
        <w:instrText xml:space="preserve"> REF _Ref144678729 \h </w:instrText>
      </w:r>
      <w:r w:rsidR="0091664F">
        <w:instrText xml:space="preserve"> \* MERGEFORMAT </w:instrText>
      </w:r>
      <w:r>
        <w:fldChar w:fldCharType="separate"/>
      </w:r>
      <w:r w:rsidR="003F1735">
        <w:t>Table 7</w:t>
      </w:r>
      <w:r>
        <w:fldChar w:fldCharType="end"/>
      </w:r>
      <w:r w:rsidR="00BC5F70">
        <w:t xml:space="preserve"> presents a summary of the c</w:t>
      </w:r>
      <w:r w:rsidR="00BC5F70" w:rsidRPr="00C715AD">
        <w:t xml:space="preserve">hange over time in lipid </w:t>
      </w:r>
      <w:r w:rsidR="00775053">
        <w:t>parameters</w:t>
      </w:r>
      <w:r w:rsidR="00BC5F70" w:rsidRPr="00C715AD">
        <w:t xml:space="preserve"> in the REDUCE-IT trial</w:t>
      </w:r>
      <w:r w:rsidR="00BC5F70">
        <w:t xml:space="preserve"> for the </w:t>
      </w:r>
      <w:r w:rsidR="007C2247">
        <w:t xml:space="preserve">overall </w:t>
      </w:r>
      <w:r w:rsidR="00BC5F70">
        <w:t>trial population. Lipid results for the secondary prevention population were not included in the submission.</w:t>
      </w:r>
    </w:p>
    <w:p w14:paraId="17FDBD07" w14:textId="14723C62" w:rsidR="00BC5F70" w:rsidRPr="008215FB" w:rsidRDefault="00E6235F" w:rsidP="00BC5F70">
      <w:pPr>
        <w:pStyle w:val="COMtablefigcaption"/>
        <w:jc w:val="both"/>
      </w:pPr>
      <w:bookmarkStart w:id="37" w:name="_Ref144678729"/>
      <w:r>
        <w:lastRenderedPageBreak/>
        <w:t xml:space="preserve">Table </w:t>
      </w:r>
      <w:fldSimple w:instr=" SEQ Table \* ARABIC " w:fldLock="1">
        <w:r w:rsidR="003F1735">
          <w:rPr>
            <w:noProof/>
          </w:rPr>
          <w:t>7</w:t>
        </w:r>
      </w:fldSimple>
      <w:bookmarkEnd w:id="37"/>
      <w:r w:rsidR="00BC5F70" w:rsidRPr="008215FB">
        <w:t>:</w:t>
      </w:r>
      <w:r w:rsidR="00BC5F70">
        <w:t xml:space="preserve"> Change over time in lipid levels in the REDUCE-IT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7: Change over time in lipid levels in the REDUCE-IT trial"/>
        <w:tblDescription w:val="Table 7: Change over time in lipid levels in the REDUCE-IT trial"/>
      </w:tblPr>
      <w:tblGrid>
        <w:gridCol w:w="1471"/>
        <w:gridCol w:w="838"/>
        <w:gridCol w:w="839"/>
        <w:gridCol w:w="840"/>
        <w:gridCol w:w="839"/>
        <w:gridCol w:w="839"/>
        <w:gridCol w:w="840"/>
        <w:gridCol w:w="839"/>
        <w:gridCol w:w="839"/>
        <w:gridCol w:w="833"/>
      </w:tblGrid>
      <w:tr w:rsidR="00BC5F70" w:rsidRPr="008215FB" w14:paraId="32D17A91" w14:textId="77777777" w:rsidTr="001D4554">
        <w:trPr>
          <w:trHeight w:val="162"/>
          <w:tblHeader/>
        </w:trPr>
        <w:tc>
          <w:tcPr>
            <w:tcW w:w="816" w:type="pct"/>
            <w:vMerge w:val="restart"/>
            <w:tcMar>
              <w:top w:w="0" w:type="dxa"/>
              <w:left w:w="108" w:type="dxa"/>
              <w:bottom w:w="0" w:type="dxa"/>
              <w:right w:w="108" w:type="dxa"/>
            </w:tcMar>
            <w:vAlign w:val="center"/>
            <w:hideMark/>
          </w:tcPr>
          <w:p w14:paraId="7C496259" w14:textId="77777777" w:rsidR="00BC5F70" w:rsidRPr="008215FB" w:rsidRDefault="00BC5F70" w:rsidP="001D4554">
            <w:pPr>
              <w:pStyle w:val="COMTableheadingrow"/>
            </w:pPr>
            <w:r>
              <w:t>Parameter</w:t>
            </w:r>
            <w:r w:rsidRPr="008215FB">
              <w:t xml:space="preserve"> </w:t>
            </w:r>
          </w:p>
        </w:tc>
        <w:tc>
          <w:tcPr>
            <w:tcW w:w="1396" w:type="pct"/>
            <w:gridSpan w:val="3"/>
            <w:tcMar>
              <w:top w:w="0" w:type="dxa"/>
              <w:left w:w="108" w:type="dxa"/>
              <w:bottom w:w="0" w:type="dxa"/>
              <w:right w:w="108" w:type="dxa"/>
            </w:tcMar>
            <w:hideMark/>
          </w:tcPr>
          <w:p w14:paraId="264EE200" w14:textId="77777777" w:rsidR="00BC5F70" w:rsidRDefault="00BC5F70" w:rsidP="001D4554">
            <w:pPr>
              <w:pStyle w:val="COMTableheadingrow"/>
              <w:jc w:val="center"/>
            </w:pPr>
            <w:r>
              <w:t>Icosapent ethyl</w:t>
            </w:r>
          </w:p>
          <w:p w14:paraId="3B40E29B" w14:textId="77777777" w:rsidR="00BC5F70" w:rsidRDefault="00BC5F70" w:rsidP="001D4554">
            <w:pPr>
              <w:pStyle w:val="COMTableheadingrow"/>
              <w:jc w:val="center"/>
            </w:pPr>
            <w:r>
              <w:t>N=4,089</w:t>
            </w:r>
          </w:p>
        </w:tc>
        <w:tc>
          <w:tcPr>
            <w:tcW w:w="1396" w:type="pct"/>
            <w:gridSpan w:val="3"/>
          </w:tcPr>
          <w:p w14:paraId="43422E86" w14:textId="77777777" w:rsidR="00BC5F70" w:rsidRDefault="00BC5F70" w:rsidP="001D4554">
            <w:pPr>
              <w:pStyle w:val="COMTableheadingrow"/>
              <w:jc w:val="center"/>
            </w:pPr>
            <w:r>
              <w:t>Placebo</w:t>
            </w:r>
          </w:p>
          <w:p w14:paraId="5CFF98D4" w14:textId="77777777" w:rsidR="00BC5F70" w:rsidRDefault="00BC5F70" w:rsidP="001D4554">
            <w:pPr>
              <w:pStyle w:val="COMTableheadingrow"/>
              <w:jc w:val="center"/>
            </w:pPr>
            <w:r>
              <w:t>N=4,090</w:t>
            </w:r>
          </w:p>
        </w:tc>
        <w:tc>
          <w:tcPr>
            <w:tcW w:w="1392" w:type="pct"/>
            <w:gridSpan w:val="3"/>
          </w:tcPr>
          <w:p w14:paraId="5496E82A" w14:textId="77777777" w:rsidR="00BC5F70" w:rsidRDefault="00BC5F70" w:rsidP="001D4554">
            <w:pPr>
              <w:pStyle w:val="COMTableheadingrow"/>
              <w:jc w:val="center"/>
            </w:pPr>
            <w:r>
              <w:t>Between group difference</w:t>
            </w:r>
          </w:p>
          <w:p w14:paraId="3C55635B" w14:textId="77777777" w:rsidR="00BC5F70" w:rsidRDefault="00BC5F70" w:rsidP="001D4554">
            <w:pPr>
              <w:pStyle w:val="COMTableheadingrow"/>
              <w:jc w:val="center"/>
            </w:pPr>
            <w:r>
              <w:t>(95% CI)</w:t>
            </w:r>
          </w:p>
        </w:tc>
      </w:tr>
      <w:tr w:rsidR="00BC5F70" w:rsidRPr="008215FB" w14:paraId="0FD7A2F1" w14:textId="77777777" w:rsidTr="001D4554">
        <w:tc>
          <w:tcPr>
            <w:tcW w:w="816" w:type="pct"/>
            <w:vMerge/>
            <w:tcMar>
              <w:top w:w="0" w:type="dxa"/>
              <w:left w:w="108" w:type="dxa"/>
              <w:bottom w:w="0" w:type="dxa"/>
              <w:right w:w="108" w:type="dxa"/>
            </w:tcMar>
            <w:vAlign w:val="center"/>
          </w:tcPr>
          <w:p w14:paraId="2957E4B8" w14:textId="77777777" w:rsidR="00BC5F70" w:rsidRDefault="00BC5F70" w:rsidP="001D4554">
            <w:pPr>
              <w:pStyle w:val="COMTabletext"/>
            </w:pPr>
          </w:p>
        </w:tc>
        <w:tc>
          <w:tcPr>
            <w:tcW w:w="465" w:type="pct"/>
            <w:tcMar>
              <w:top w:w="0" w:type="dxa"/>
              <w:left w:w="108" w:type="dxa"/>
              <w:bottom w:w="0" w:type="dxa"/>
              <w:right w:w="108" w:type="dxa"/>
            </w:tcMar>
            <w:vAlign w:val="center"/>
          </w:tcPr>
          <w:p w14:paraId="2BEE2ABB" w14:textId="77777777" w:rsidR="00BC5F70" w:rsidRPr="00A230A3" w:rsidRDefault="00BC5F70" w:rsidP="001D4554">
            <w:pPr>
              <w:pStyle w:val="COMTabletext"/>
              <w:jc w:val="center"/>
              <w:rPr>
                <w:b/>
                <w:bCs w:val="0"/>
              </w:rPr>
            </w:pPr>
            <w:r w:rsidRPr="00A230A3">
              <w:rPr>
                <w:b/>
                <w:bCs w:val="0"/>
              </w:rPr>
              <w:t>Median value</w:t>
            </w:r>
          </w:p>
        </w:tc>
        <w:tc>
          <w:tcPr>
            <w:tcW w:w="465" w:type="pct"/>
            <w:vAlign w:val="center"/>
          </w:tcPr>
          <w:p w14:paraId="6AEA1123" w14:textId="77777777" w:rsidR="00BC5F70" w:rsidRPr="00A230A3" w:rsidRDefault="00BC5F70" w:rsidP="001D4554">
            <w:pPr>
              <w:pStyle w:val="COMTabletext"/>
              <w:jc w:val="center"/>
              <w:rPr>
                <w:b/>
                <w:bCs w:val="0"/>
              </w:rPr>
            </w:pPr>
            <w:r>
              <w:rPr>
                <w:b/>
                <w:bCs w:val="0"/>
              </w:rPr>
              <w:t>Absolute change</w:t>
            </w:r>
          </w:p>
        </w:tc>
        <w:tc>
          <w:tcPr>
            <w:tcW w:w="466" w:type="pct"/>
            <w:vAlign w:val="center"/>
          </w:tcPr>
          <w:p w14:paraId="30A05750" w14:textId="77777777" w:rsidR="00BC5F70" w:rsidRDefault="00BC5F70" w:rsidP="001D4554">
            <w:pPr>
              <w:pStyle w:val="COMTabletext"/>
              <w:jc w:val="center"/>
              <w:rPr>
                <w:b/>
                <w:bCs w:val="0"/>
              </w:rPr>
            </w:pPr>
            <w:r w:rsidRPr="00A230A3">
              <w:rPr>
                <w:b/>
                <w:bCs w:val="0"/>
              </w:rPr>
              <w:t xml:space="preserve">% </w:t>
            </w:r>
          </w:p>
          <w:p w14:paraId="12426B9C" w14:textId="77777777" w:rsidR="00BC5F70" w:rsidRPr="00A230A3" w:rsidRDefault="00BC5F70" w:rsidP="001D4554">
            <w:pPr>
              <w:pStyle w:val="COMTabletext"/>
              <w:jc w:val="center"/>
              <w:rPr>
                <w:b/>
                <w:bCs w:val="0"/>
              </w:rPr>
            </w:pPr>
            <w:r w:rsidRPr="00A230A3">
              <w:rPr>
                <w:b/>
                <w:bCs w:val="0"/>
              </w:rPr>
              <w:t>change</w:t>
            </w:r>
          </w:p>
        </w:tc>
        <w:tc>
          <w:tcPr>
            <w:tcW w:w="465" w:type="pct"/>
            <w:vAlign w:val="center"/>
          </w:tcPr>
          <w:p w14:paraId="19270775" w14:textId="77777777" w:rsidR="00BC5F70" w:rsidRPr="00A230A3" w:rsidRDefault="00BC5F70" w:rsidP="001D4554">
            <w:pPr>
              <w:pStyle w:val="COMTabletext"/>
              <w:jc w:val="center"/>
              <w:rPr>
                <w:b/>
                <w:bCs w:val="0"/>
              </w:rPr>
            </w:pPr>
            <w:r w:rsidRPr="00A230A3">
              <w:rPr>
                <w:b/>
                <w:bCs w:val="0"/>
              </w:rPr>
              <w:t>Median value</w:t>
            </w:r>
          </w:p>
        </w:tc>
        <w:tc>
          <w:tcPr>
            <w:tcW w:w="465" w:type="pct"/>
            <w:vAlign w:val="center"/>
          </w:tcPr>
          <w:p w14:paraId="0955C76F" w14:textId="77777777" w:rsidR="00BC5F70" w:rsidRPr="00A230A3" w:rsidRDefault="00BC5F70" w:rsidP="001D4554">
            <w:pPr>
              <w:pStyle w:val="COMTabletext"/>
              <w:jc w:val="center"/>
              <w:rPr>
                <w:b/>
                <w:bCs w:val="0"/>
              </w:rPr>
            </w:pPr>
            <w:r>
              <w:rPr>
                <w:b/>
                <w:bCs w:val="0"/>
              </w:rPr>
              <w:t>Absolute change</w:t>
            </w:r>
          </w:p>
        </w:tc>
        <w:tc>
          <w:tcPr>
            <w:tcW w:w="466" w:type="pct"/>
            <w:tcMar>
              <w:top w:w="0" w:type="dxa"/>
              <w:left w:w="108" w:type="dxa"/>
              <w:bottom w:w="0" w:type="dxa"/>
              <w:right w:w="108" w:type="dxa"/>
            </w:tcMar>
            <w:vAlign w:val="center"/>
          </w:tcPr>
          <w:p w14:paraId="3AD09C15" w14:textId="77777777" w:rsidR="00BC5F70" w:rsidRDefault="00BC5F70" w:rsidP="001D4554">
            <w:pPr>
              <w:pStyle w:val="COMTabletext"/>
              <w:jc w:val="center"/>
              <w:rPr>
                <w:b/>
                <w:bCs w:val="0"/>
              </w:rPr>
            </w:pPr>
            <w:r w:rsidRPr="00A230A3">
              <w:rPr>
                <w:b/>
                <w:bCs w:val="0"/>
              </w:rPr>
              <w:t xml:space="preserve">% </w:t>
            </w:r>
          </w:p>
          <w:p w14:paraId="7000924A" w14:textId="77777777" w:rsidR="00BC5F70" w:rsidRPr="00A230A3" w:rsidRDefault="00BC5F70" w:rsidP="001D4554">
            <w:pPr>
              <w:pStyle w:val="COMTabletext"/>
              <w:jc w:val="center"/>
              <w:rPr>
                <w:b/>
                <w:bCs w:val="0"/>
              </w:rPr>
            </w:pPr>
            <w:r w:rsidRPr="00A230A3">
              <w:rPr>
                <w:b/>
                <w:bCs w:val="0"/>
              </w:rPr>
              <w:t>change</w:t>
            </w:r>
          </w:p>
        </w:tc>
        <w:tc>
          <w:tcPr>
            <w:tcW w:w="465" w:type="pct"/>
            <w:vAlign w:val="center"/>
          </w:tcPr>
          <w:p w14:paraId="60F917B8" w14:textId="77777777" w:rsidR="00BC5F70" w:rsidRPr="00A230A3" w:rsidRDefault="00BC5F70" w:rsidP="001D4554">
            <w:pPr>
              <w:pStyle w:val="COMTabletext"/>
              <w:jc w:val="center"/>
              <w:rPr>
                <w:b/>
                <w:bCs w:val="0"/>
              </w:rPr>
            </w:pPr>
            <w:r w:rsidRPr="00A230A3">
              <w:rPr>
                <w:b/>
                <w:bCs w:val="0"/>
              </w:rPr>
              <w:t>Absolute change</w:t>
            </w:r>
          </w:p>
        </w:tc>
        <w:tc>
          <w:tcPr>
            <w:tcW w:w="465" w:type="pct"/>
            <w:vAlign w:val="center"/>
          </w:tcPr>
          <w:p w14:paraId="4F0FCAFB" w14:textId="77777777" w:rsidR="00BC5F70" w:rsidRDefault="00BC5F70" w:rsidP="001D4554">
            <w:pPr>
              <w:pStyle w:val="COMTabletext"/>
              <w:jc w:val="center"/>
              <w:rPr>
                <w:b/>
                <w:bCs w:val="0"/>
              </w:rPr>
            </w:pPr>
            <w:r w:rsidRPr="00A230A3">
              <w:rPr>
                <w:b/>
                <w:bCs w:val="0"/>
              </w:rPr>
              <w:t xml:space="preserve">% </w:t>
            </w:r>
          </w:p>
          <w:p w14:paraId="2BEAD08F" w14:textId="77777777" w:rsidR="00BC5F70" w:rsidRPr="00A230A3" w:rsidRDefault="00BC5F70" w:rsidP="001D4554">
            <w:pPr>
              <w:pStyle w:val="COMTabletext"/>
              <w:jc w:val="center"/>
              <w:rPr>
                <w:b/>
                <w:bCs w:val="0"/>
              </w:rPr>
            </w:pPr>
            <w:r w:rsidRPr="00A230A3">
              <w:rPr>
                <w:b/>
                <w:bCs w:val="0"/>
              </w:rPr>
              <w:t>change</w:t>
            </w:r>
          </w:p>
        </w:tc>
        <w:tc>
          <w:tcPr>
            <w:tcW w:w="462" w:type="pct"/>
            <w:vAlign w:val="center"/>
          </w:tcPr>
          <w:p w14:paraId="6A4FBB77" w14:textId="77777777" w:rsidR="00BC5F70" w:rsidRPr="00A230A3" w:rsidRDefault="00BC5F70" w:rsidP="001D4554">
            <w:pPr>
              <w:pStyle w:val="COMTabletext"/>
              <w:jc w:val="center"/>
              <w:rPr>
                <w:b/>
                <w:bCs w:val="0"/>
              </w:rPr>
            </w:pPr>
            <w:r w:rsidRPr="00A230A3">
              <w:rPr>
                <w:b/>
                <w:bCs w:val="0"/>
              </w:rPr>
              <w:t>p-value</w:t>
            </w:r>
          </w:p>
        </w:tc>
      </w:tr>
      <w:tr w:rsidR="00BC5F70" w:rsidRPr="008215FB" w14:paraId="3F21D5E6" w14:textId="77777777" w:rsidTr="001D4554">
        <w:tc>
          <w:tcPr>
            <w:tcW w:w="5000" w:type="pct"/>
            <w:gridSpan w:val="10"/>
            <w:tcMar>
              <w:top w:w="0" w:type="dxa"/>
              <w:left w:w="108" w:type="dxa"/>
              <w:bottom w:w="0" w:type="dxa"/>
              <w:right w:w="108" w:type="dxa"/>
            </w:tcMar>
            <w:vAlign w:val="center"/>
          </w:tcPr>
          <w:p w14:paraId="5E92C1CE" w14:textId="77777777" w:rsidR="00BC5F70" w:rsidRPr="00B468D8" w:rsidRDefault="00BC5F70" w:rsidP="001D4554">
            <w:pPr>
              <w:pStyle w:val="COMTabletext"/>
              <w:rPr>
                <w:b/>
                <w:bCs w:val="0"/>
              </w:rPr>
            </w:pPr>
            <w:r>
              <w:rPr>
                <w:b/>
                <w:bCs w:val="0"/>
              </w:rPr>
              <w:t>Triglycerides (mg/dL)</w:t>
            </w:r>
          </w:p>
        </w:tc>
      </w:tr>
      <w:tr w:rsidR="00BC5F70" w:rsidRPr="008215FB" w14:paraId="66D21D3A" w14:textId="77777777" w:rsidTr="001D4554">
        <w:tc>
          <w:tcPr>
            <w:tcW w:w="816" w:type="pct"/>
            <w:tcMar>
              <w:top w:w="0" w:type="dxa"/>
              <w:left w:w="108" w:type="dxa"/>
              <w:bottom w:w="0" w:type="dxa"/>
              <w:right w:w="108" w:type="dxa"/>
            </w:tcMar>
            <w:vAlign w:val="center"/>
          </w:tcPr>
          <w:p w14:paraId="1017BF23" w14:textId="77777777" w:rsidR="00BC5F70" w:rsidRPr="000668FE" w:rsidRDefault="00BC5F70" w:rsidP="001D4554">
            <w:pPr>
              <w:pStyle w:val="COMTabletext"/>
              <w:rPr>
                <w:lang w:val="en-US"/>
              </w:rPr>
            </w:pPr>
            <w:r w:rsidRPr="000668FE">
              <w:rPr>
                <w:lang w:val="en-US"/>
              </w:rPr>
              <w:t>Baseline</w:t>
            </w:r>
          </w:p>
        </w:tc>
        <w:tc>
          <w:tcPr>
            <w:tcW w:w="465" w:type="pct"/>
            <w:tcMar>
              <w:top w:w="0" w:type="dxa"/>
              <w:left w:w="108" w:type="dxa"/>
              <w:bottom w:w="0" w:type="dxa"/>
              <w:right w:w="108" w:type="dxa"/>
            </w:tcMar>
            <w:vAlign w:val="center"/>
          </w:tcPr>
          <w:p w14:paraId="7A0C4860" w14:textId="77777777" w:rsidR="00BC5F70" w:rsidRPr="000668FE" w:rsidRDefault="00BC5F70" w:rsidP="001D4554">
            <w:pPr>
              <w:pStyle w:val="COMTabletext"/>
              <w:jc w:val="center"/>
              <w:rPr>
                <w:lang w:val="en-US"/>
              </w:rPr>
            </w:pPr>
            <w:r w:rsidRPr="000668FE">
              <w:rPr>
                <w:lang w:val="en-US"/>
              </w:rPr>
              <w:t>216.5</w:t>
            </w:r>
          </w:p>
        </w:tc>
        <w:tc>
          <w:tcPr>
            <w:tcW w:w="465" w:type="pct"/>
            <w:vAlign w:val="center"/>
          </w:tcPr>
          <w:p w14:paraId="44418096" w14:textId="77777777" w:rsidR="00BC5F70" w:rsidRPr="000668FE" w:rsidRDefault="00BC5F70" w:rsidP="001D4554">
            <w:pPr>
              <w:pStyle w:val="COMTabletext"/>
              <w:jc w:val="center"/>
            </w:pPr>
            <w:r w:rsidRPr="000668FE">
              <w:t>-</w:t>
            </w:r>
          </w:p>
        </w:tc>
        <w:tc>
          <w:tcPr>
            <w:tcW w:w="466" w:type="pct"/>
          </w:tcPr>
          <w:p w14:paraId="1FEEE21F" w14:textId="77777777" w:rsidR="00BC5F70" w:rsidRPr="000668FE" w:rsidRDefault="00BC5F70" w:rsidP="001D4554">
            <w:pPr>
              <w:pStyle w:val="COMTabletext"/>
              <w:jc w:val="center"/>
            </w:pPr>
            <w:r w:rsidRPr="000668FE">
              <w:t>-</w:t>
            </w:r>
          </w:p>
        </w:tc>
        <w:tc>
          <w:tcPr>
            <w:tcW w:w="465" w:type="pct"/>
            <w:vAlign w:val="center"/>
          </w:tcPr>
          <w:p w14:paraId="2A657AC2" w14:textId="77777777" w:rsidR="00BC5F70" w:rsidRPr="000668FE" w:rsidRDefault="00BC5F70" w:rsidP="001D4554">
            <w:pPr>
              <w:pStyle w:val="COMTabletext"/>
              <w:jc w:val="center"/>
            </w:pPr>
            <w:r w:rsidRPr="000668FE">
              <w:t>216.0</w:t>
            </w:r>
          </w:p>
        </w:tc>
        <w:tc>
          <w:tcPr>
            <w:tcW w:w="465" w:type="pct"/>
          </w:tcPr>
          <w:p w14:paraId="1223207F" w14:textId="77777777" w:rsidR="00BC5F70" w:rsidRPr="000668FE" w:rsidRDefault="00BC5F70" w:rsidP="001D4554">
            <w:pPr>
              <w:pStyle w:val="COMTabletext"/>
              <w:jc w:val="center"/>
            </w:pPr>
            <w:r w:rsidRPr="000668FE">
              <w:t>-</w:t>
            </w:r>
          </w:p>
        </w:tc>
        <w:tc>
          <w:tcPr>
            <w:tcW w:w="466" w:type="pct"/>
            <w:tcMar>
              <w:top w:w="0" w:type="dxa"/>
              <w:left w:w="108" w:type="dxa"/>
              <w:bottom w:w="0" w:type="dxa"/>
              <w:right w:w="108" w:type="dxa"/>
            </w:tcMar>
            <w:vAlign w:val="center"/>
          </w:tcPr>
          <w:p w14:paraId="68A26E91" w14:textId="77777777" w:rsidR="00BC5F70" w:rsidRPr="000668FE" w:rsidRDefault="00BC5F70" w:rsidP="001D4554">
            <w:pPr>
              <w:pStyle w:val="COMTabletext"/>
              <w:jc w:val="center"/>
            </w:pPr>
            <w:r w:rsidRPr="000668FE">
              <w:t>-</w:t>
            </w:r>
          </w:p>
        </w:tc>
        <w:tc>
          <w:tcPr>
            <w:tcW w:w="465" w:type="pct"/>
            <w:vAlign w:val="center"/>
          </w:tcPr>
          <w:p w14:paraId="3A78A6FD" w14:textId="77777777" w:rsidR="00BC5F70" w:rsidRPr="000668FE" w:rsidRDefault="00BC5F70" w:rsidP="001D4554">
            <w:pPr>
              <w:pStyle w:val="COMTabletext"/>
              <w:jc w:val="center"/>
            </w:pPr>
            <w:r w:rsidRPr="000668FE">
              <w:t>-</w:t>
            </w:r>
          </w:p>
        </w:tc>
        <w:tc>
          <w:tcPr>
            <w:tcW w:w="465" w:type="pct"/>
          </w:tcPr>
          <w:p w14:paraId="41AB0A7B" w14:textId="77777777" w:rsidR="00BC5F70" w:rsidRPr="000668FE" w:rsidRDefault="00BC5F70" w:rsidP="001D4554">
            <w:pPr>
              <w:pStyle w:val="COMTabletext"/>
              <w:jc w:val="center"/>
            </w:pPr>
            <w:r w:rsidRPr="000668FE">
              <w:t>-</w:t>
            </w:r>
          </w:p>
        </w:tc>
        <w:tc>
          <w:tcPr>
            <w:tcW w:w="462" w:type="pct"/>
          </w:tcPr>
          <w:p w14:paraId="59BDF0F7" w14:textId="77777777" w:rsidR="00BC5F70" w:rsidRPr="000668FE" w:rsidRDefault="00BC5F70" w:rsidP="001D4554">
            <w:pPr>
              <w:pStyle w:val="COMTabletext"/>
              <w:jc w:val="center"/>
            </w:pPr>
            <w:r w:rsidRPr="000668FE">
              <w:t>-</w:t>
            </w:r>
          </w:p>
        </w:tc>
      </w:tr>
      <w:tr w:rsidR="00BC5F70" w:rsidRPr="008215FB" w14:paraId="3E6722C3" w14:textId="77777777" w:rsidTr="001D4554">
        <w:tc>
          <w:tcPr>
            <w:tcW w:w="816" w:type="pct"/>
            <w:tcMar>
              <w:top w:w="0" w:type="dxa"/>
              <w:left w:w="108" w:type="dxa"/>
              <w:bottom w:w="0" w:type="dxa"/>
              <w:right w:w="108" w:type="dxa"/>
            </w:tcMar>
            <w:vAlign w:val="center"/>
          </w:tcPr>
          <w:p w14:paraId="25B830AF" w14:textId="77777777" w:rsidR="00BC5F70" w:rsidRPr="000668FE" w:rsidRDefault="00BC5F70" w:rsidP="001D4554">
            <w:pPr>
              <w:pStyle w:val="COMTabletext"/>
              <w:rPr>
                <w:lang w:val="en-US"/>
              </w:rPr>
            </w:pPr>
            <w:r>
              <w:rPr>
                <w:lang w:val="en-US"/>
              </w:rPr>
              <w:t>Month 4</w:t>
            </w:r>
          </w:p>
        </w:tc>
        <w:tc>
          <w:tcPr>
            <w:tcW w:w="465" w:type="pct"/>
            <w:tcMar>
              <w:top w:w="0" w:type="dxa"/>
              <w:left w:w="108" w:type="dxa"/>
              <w:bottom w:w="0" w:type="dxa"/>
              <w:right w:w="108" w:type="dxa"/>
            </w:tcMar>
            <w:vAlign w:val="center"/>
          </w:tcPr>
          <w:p w14:paraId="263071A8" w14:textId="77777777" w:rsidR="00BC5F70" w:rsidRPr="000668FE" w:rsidRDefault="00BC5F70" w:rsidP="001D4554">
            <w:pPr>
              <w:pStyle w:val="COMTabletext"/>
              <w:jc w:val="center"/>
            </w:pPr>
            <w:r w:rsidRPr="000668FE">
              <w:t>177.0</w:t>
            </w:r>
          </w:p>
        </w:tc>
        <w:tc>
          <w:tcPr>
            <w:tcW w:w="465" w:type="pct"/>
            <w:vAlign w:val="center"/>
          </w:tcPr>
          <w:p w14:paraId="2B8509D5" w14:textId="77777777" w:rsidR="00BC5F70" w:rsidRPr="000668FE" w:rsidRDefault="00BC5F70" w:rsidP="001D4554">
            <w:pPr>
              <w:pStyle w:val="COMTabletext"/>
              <w:jc w:val="center"/>
            </w:pPr>
            <w:r w:rsidRPr="000668FE">
              <w:t>-37.5</w:t>
            </w:r>
          </w:p>
        </w:tc>
        <w:tc>
          <w:tcPr>
            <w:tcW w:w="466" w:type="pct"/>
          </w:tcPr>
          <w:p w14:paraId="29D6F504" w14:textId="77777777" w:rsidR="00BC5F70" w:rsidRPr="000668FE" w:rsidRDefault="00BC5F70" w:rsidP="001D4554">
            <w:pPr>
              <w:pStyle w:val="COMTabletext"/>
              <w:jc w:val="center"/>
            </w:pPr>
            <w:r w:rsidRPr="000668FE">
              <w:t>-18.6</w:t>
            </w:r>
            <w:r>
              <w:t>%</w:t>
            </w:r>
          </w:p>
        </w:tc>
        <w:tc>
          <w:tcPr>
            <w:tcW w:w="465" w:type="pct"/>
            <w:vAlign w:val="center"/>
          </w:tcPr>
          <w:p w14:paraId="36825C9E" w14:textId="77777777" w:rsidR="00BC5F70" w:rsidRPr="000668FE" w:rsidRDefault="00BC5F70" w:rsidP="001D4554">
            <w:pPr>
              <w:pStyle w:val="COMTabletext"/>
              <w:jc w:val="center"/>
            </w:pPr>
            <w:r w:rsidRPr="000668FE">
              <w:t>221.0</w:t>
            </w:r>
          </w:p>
        </w:tc>
        <w:tc>
          <w:tcPr>
            <w:tcW w:w="465" w:type="pct"/>
          </w:tcPr>
          <w:p w14:paraId="4227DBC9" w14:textId="77777777" w:rsidR="00BC5F70" w:rsidRPr="000668FE" w:rsidRDefault="00BC5F70" w:rsidP="001D4554">
            <w:pPr>
              <w:pStyle w:val="COMTabletext"/>
              <w:jc w:val="center"/>
            </w:pPr>
            <w:r w:rsidRPr="000668FE">
              <w:t>5.5</w:t>
            </w:r>
          </w:p>
        </w:tc>
        <w:tc>
          <w:tcPr>
            <w:tcW w:w="466" w:type="pct"/>
            <w:tcMar>
              <w:top w:w="0" w:type="dxa"/>
              <w:left w:w="108" w:type="dxa"/>
              <w:bottom w:w="0" w:type="dxa"/>
              <w:right w:w="108" w:type="dxa"/>
            </w:tcMar>
            <w:vAlign w:val="center"/>
          </w:tcPr>
          <w:p w14:paraId="0E278550" w14:textId="77777777" w:rsidR="00BC5F70" w:rsidRPr="000668FE" w:rsidRDefault="00BC5F70" w:rsidP="001D4554">
            <w:pPr>
              <w:pStyle w:val="COMTabletext"/>
              <w:jc w:val="center"/>
            </w:pPr>
            <w:r>
              <w:t>2.7%</w:t>
            </w:r>
          </w:p>
        </w:tc>
        <w:tc>
          <w:tcPr>
            <w:tcW w:w="465" w:type="pct"/>
            <w:vAlign w:val="center"/>
          </w:tcPr>
          <w:p w14:paraId="1D3218FE" w14:textId="77777777" w:rsidR="00BC5F70" w:rsidRPr="000668FE" w:rsidRDefault="00BC5F70" w:rsidP="001D4554">
            <w:pPr>
              <w:pStyle w:val="COMTabletext"/>
              <w:jc w:val="center"/>
            </w:pPr>
            <w:r>
              <w:t>-45.5</w:t>
            </w:r>
          </w:p>
        </w:tc>
        <w:tc>
          <w:tcPr>
            <w:tcW w:w="465" w:type="pct"/>
          </w:tcPr>
          <w:p w14:paraId="25F59454" w14:textId="77777777" w:rsidR="00BC5F70" w:rsidRPr="000668FE" w:rsidRDefault="00BC5F70" w:rsidP="001D4554">
            <w:pPr>
              <w:pStyle w:val="COMTabletext"/>
              <w:jc w:val="center"/>
            </w:pPr>
            <w:r>
              <w:t>-20.1%</w:t>
            </w:r>
          </w:p>
        </w:tc>
        <w:tc>
          <w:tcPr>
            <w:tcW w:w="462" w:type="pct"/>
          </w:tcPr>
          <w:p w14:paraId="59481C00" w14:textId="77777777" w:rsidR="00BC5F70" w:rsidRPr="000668FE" w:rsidRDefault="00BC5F70" w:rsidP="001D4554">
            <w:pPr>
              <w:pStyle w:val="COMTabletext"/>
              <w:jc w:val="center"/>
            </w:pPr>
            <w:r w:rsidRPr="00A2409E">
              <w:t>&lt;0.001</w:t>
            </w:r>
          </w:p>
        </w:tc>
      </w:tr>
      <w:tr w:rsidR="00BC5F70" w:rsidRPr="008215FB" w14:paraId="79034CE3" w14:textId="77777777" w:rsidTr="001D4554">
        <w:tc>
          <w:tcPr>
            <w:tcW w:w="816" w:type="pct"/>
            <w:tcMar>
              <w:top w:w="0" w:type="dxa"/>
              <w:left w:w="108" w:type="dxa"/>
              <w:bottom w:w="0" w:type="dxa"/>
              <w:right w:w="108" w:type="dxa"/>
            </w:tcMar>
            <w:vAlign w:val="center"/>
          </w:tcPr>
          <w:p w14:paraId="15AD68DC" w14:textId="77777777" w:rsidR="00BC5F70" w:rsidRPr="000668FE" w:rsidRDefault="00BC5F70" w:rsidP="001D4554">
            <w:pPr>
              <w:pStyle w:val="COMTabletext"/>
              <w:rPr>
                <w:lang w:val="en-US"/>
              </w:rPr>
            </w:pPr>
            <w:r w:rsidRPr="000668FE">
              <w:rPr>
                <w:lang w:val="en-US"/>
              </w:rPr>
              <w:t>Year 1</w:t>
            </w:r>
          </w:p>
        </w:tc>
        <w:tc>
          <w:tcPr>
            <w:tcW w:w="465" w:type="pct"/>
            <w:tcMar>
              <w:top w:w="0" w:type="dxa"/>
              <w:left w:w="108" w:type="dxa"/>
              <w:bottom w:w="0" w:type="dxa"/>
              <w:right w:w="108" w:type="dxa"/>
            </w:tcMar>
            <w:vAlign w:val="center"/>
          </w:tcPr>
          <w:p w14:paraId="389C877B" w14:textId="77777777" w:rsidR="00BC5F70" w:rsidRPr="000668FE" w:rsidRDefault="00BC5F70" w:rsidP="001D4554">
            <w:pPr>
              <w:pStyle w:val="COMTabletext"/>
              <w:jc w:val="center"/>
            </w:pPr>
            <w:r w:rsidRPr="000668FE">
              <w:t>175.0</w:t>
            </w:r>
          </w:p>
        </w:tc>
        <w:tc>
          <w:tcPr>
            <w:tcW w:w="465" w:type="pct"/>
            <w:vAlign w:val="center"/>
          </w:tcPr>
          <w:p w14:paraId="68063F11" w14:textId="77777777" w:rsidR="00BC5F70" w:rsidRPr="000668FE" w:rsidRDefault="00BC5F70" w:rsidP="001D4554">
            <w:pPr>
              <w:pStyle w:val="COMTabletext"/>
              <w:jc w:val="center"/>
            </w:pPr>
            <w:r w:rsidRPr="000668FE">
              <w:t>-39.0</w:t>
            </w:r>
          </w:p>
        </w:tc>
        <w:tc>
          <w:tcPr>
            <w:tcW w:w="466" w:type="pct"/>
          </w:tcPr>
          <w:p w14:paraId="52AE50A8" w14:textId="77777777" w:rsidR="00BC5F70" w:rsidRPr="000668FE" w:rsidRDefault="00BC5F70" w:rsidP="001D4554">
            <w:pPr>
              <w:pStyle w:val="COMTabletext"/>
              <w:jc w:val="center"/>
            </w:pPr>
            <w:r w:rsidRPr="000668FE">
              <w:t>-18.3</w:t>
            </w:r>
            <w:r>
              <w:t>%</w:t>
            </w:r>
          </w:p>
        </w:tc>
        <w:tc>
          <w:tcPr>
            <w:tcW w:w="465" w:type="pct"/>
            <w:vAlign w:val="center"/>
          </w:tcPr>
          <w:p w14:paraId="045922F0" w14:textId="77777777" w:rsidR="00BC5F70" w:rsidRPr="000668FE" w:rsidRDefault="00BC5F70" w:rsidP="001D4554">
            <w:pPr>
              <w:pStyle w:val="COMTabletext"/>
              <w:jc w:val="center"/>
            </w:pPr>
            <w:r w:rsidRPr="000668FE">
              <w:t>221.0</w:t>
            </w:r>
          </w:p>
        </w:tc>
        <w:tc>
          <w:tcPr>
            <w:tcW w:w="465" w:type="pct"/>
          </w:tcPr>
          <w:p w14:paraId="6A9E05DC" w14:textId="77777777" w:rsidR="00BC5F70" w:rsidRPr="000668FE" w:rsidRDefault="00BC5F70" w:rsidP="001D4554">
            <w:pPr>
              <w:pStyle w:val="COMTabletext"/>
              <w:jc w:val="center"/>
            </w:pPr>
            <w:r>
              <w:t>4.5</w:t>
            </w:r>
          </w:p>
        </w:tc>
        <w:tc>
          <w:tcPr>
            <w:tcW w:w="466" w:type="pct"/>
            <w:tcMar>
              <w:top w:w="0" w:type="dxa"/>
              <w:left w:w="108" w:type="dxa"/>
              <w:bottom w:w="0" w:type="dxa"/>
              <w:right w:w="108" w:type="dxa"/>
            </w:tcMar>
            <w:vAlign w:val="center"/>
          </w:tcPr>
          <w:p w14:paraId="4B53BD5C" w14:textId="77777777" w:rsidR="00BC5F70" w:rsidRPr="000668FE" w:rsidRDefault="00BC5F70" w:rsidP="001D4554">
            <w:pPr>
              <w:pStyle w:val="COMTabletext"/>
              <w:jc w:val="center"/>
            </w:pPr>
            <w:r>
              <w:t>2.2%</w:t>
            </w:r>
          </w:p>
        </w:tc>
        <w:tc>
          <w:tcPr>
            <w:tcW w:w="465" w:type="pct"/>
            <w:vAlign w:val="center"/>
          </w:tcPr>
          <w:p w14:paraId="66945699" w14:textId="77777777" w:rsidR="00BC5F70" w:rsidRPr="000668FE" w:rsidRDefault="00BC5F70" w:rsidP="001D4554">
            <w:pPr>
              <w:pStyle w:val="COMTabletext"/>
              <w:jc w:val="center"/>
            </w:pPr>
            <w:r>
              <w:t>-44.5</w:t>
            </w:r>
          </w:p>
        </w:tc>
        <w:tc>
          <w:tcPr>
            <w:tcW w:w="465" w:type="pct"/>
          </w:tcPr>
          <w:p w14:paraId="63CB262A" w14:textId="77777777" w:rsidR="00BC5F70" w:rsidRPr="000668FE" w:rsidRDefault="00BC5F70" w:rsidP="001D4554">
            <w:pPr>
              <w:pStyle w:val="COMTabletext"/>
              <w:jc w:val="center"/>
            </w:pPr>
            <w:r>
              <w:t>-19.7%</w:t>
            </w:r>
          </w:p>
        </w:tc>
        <w:tc>
          <w:tcPr>
            <w:tcW w:w="462" w:type="pct"/>
          </w:tcPr>
          <w:p w14:paraId="0383F965" w14:textId="77777777" w:rsidR="00BC5F70" w:rsidRPr="000668FE" w:rsidRDefault="00BC5F70" w:rsidP="001D4554">
            <w:pPr>
              <w:pStyle w:val="COMTabletext"/>
              <w:jc w:val="center"/>
            </w:pPr>
            <w:r w:rsidRPr="00A2409E">
              <w:t>&lt;0.001</w:t>
            </w:r>
          </w:p>
        </w:tc>
      </w:tr>
      <w:tr w:rsidR="00BC5F70" w:rsidRPr="008215FB" w14:paraId="68800C69" w14:textId="77777777" w:rsidTr="001D4554">
        <w:tc>
          <w:tcPr>
            <w:tcW w:w="816" w:type="pct"/>
            <w:tcMar>
              <w:top w:w="0" w:type="dxa"/>
              <w:left w:w="108" w:type="dxa"/>
              <w:bottom w:w="0" w:type="dxa"/>
              <w:right w:w="108" w:type="dxa"/>
            </w:tcMar>
            <w:vAlign w:val="center"/>
          </w:tcPr>
          <w:p w14:paraId="0EA99F52" w14:textId="77777777" w:rsidR="00BC5F70" w:rsidRPr="000668FE" w:rsidRDefault="00BC5F70" w:rsidP="001D4554">
            <w:pPr>
              <w:pStyle w:val="COMTabletext"/>
              <w:rPr>
                <w:lang w:val="en-US"/>
              </w:rPr>
            </w:pPr>
            <w:r w:rsidRPr="000668FE">
              <w:rPr>
                <w:lang w:val="en-US"/>
              </w:rPr>
              <w:t>Year 2</w:t>
            </w:r>
          </w:p>
        </w:tc>
        <w:tc>
          <w:tcPr>
            <w:tcW w:w="465" w:type="pct"/>
            <w:tcMar>
              <w:top w:w="0" w:type="dxa"/>
              <w:left w:w="108" w:type="dxa"/>
              <w:bottom w:w="0" w:type="dxa"/>
              <w:right w:w="108" w:type="dxa"/>
            </w:tcMar>
            <w:vAlign w:val="center"/>
          </w:tcPr>
          <w:p w14:paraId="1C51D433" w14:textId="77777777" w:rsidR="00BC5F70" w:rsidRPr="000668FE" w:rsidRDefault="00BC5F70" w:rsidP="001D4554">
            <w:pPr>
              <w:pStyle w:val="COMTabletext"/>
              <w:jc w:val="center"/>
            </w:pPr>
            <w:r w:rsidRPr="000668FE">
              <w:t>173.0</w:t>
            </w:r>
          </w:p>
        </w:tc>
        <w:tc>
          <w:tcPr>
            <w:tcW w:w="465" w:type="pct"/>
            <w:vAlign w:val="center"/>
          </w:tcPr>
          <w:p w14:paraId="0A465FFA" w14:textId="77777777" w:rsidR="00BC5F70" w:rsidRPr="000668FE" w:rsidRDefault="00BC5F70" w:rsidP="001D4554">
            <w:pPr>
              <w:pStyle w:val="COMTabletext"/>
              <w:jc w:val="center"/>
            </w:pPr>
            <w:r w:rsidRPr="000668FE">
              <w:t>-38.5</w:t>
            </w:r>
          </w:p>
        </w:tc>
        <w:tc>
          <w:tcPr>
            <w:tcW w:w="466" w:type="pct"/>
          </w:tcPr>
          <w:p w14:paraId="48DCBD2E" w14:textId="77777777" w:rsidR="00BC5F70" w:rsidRPr="000668FE" w:rsidRDefault="00BC5F70" w:rsidP="001D4554">
            <w:pPr>
              <w:pStyle w:val="COMTabletext"/>
              <w:jc w:val="center"/>
            </w:pPr>
            <w:r w:rsidRPr="000668FE">
              <w:t>-18.9</w:t>
            </w:r>
            <w:r>
              <w:t>%</w:t>
            </w:r>
          </w:p>
        </w:tc>
        <w:tc>
          <w:tcPr>
            <w:tcW w:w="465" w:type="pct"/>
            <w:vAlign w:val="center"/>
          </w:tcPr>
          <w:p w14:paraId="575272DD" w14:textId="77777777" w:rsidR="00BC5F70" w:rsidRPr="000668FE" w:rsidRDefault="00BC5F70" w:rsidP="001D4554">
            <w:pPr>
              <w:pStyle w:val="COMTabletext"/>
              <w:jc w:val="center"/>
            </w:pPr>
            <w:r w:rsidRPr="000668FE">
              <w:t>220.0</w:t>
            </w:r>
          </w:p>
        </w:tc>
        <w:tc>
          <w:tcPr>
            <w:tcW w:w="465" w:type="pct"/>
          </w:tcPr>
          <w:p w14:paraId="110D6A5F" w14:textId="77777777" w:rsidR="00BC5F70" w:rsidRPr="000668FE" w:rsidRDefault="00BC5F70" w:rsidP="001D4554">
            <w:pPr>
              <w:pStyle w:val="COMTabletext"/>
              <w:jc w:val="center"/>
            </w:pPr>
            <w:r>
              <w:t>4.3</w:t>
            </w:r>
          </w:p>
        </w:tc>
        <w:tc>
          <w:tcPr>
            <w:tcW w:w="466" w:type="pct"/>
            <w:tcMar>
              <w:top w:w="0" w:type="dxa"/>
              <w:left w:w="108" w:type="dxa"/>
              <w:bottom w:w="0" w:type="dxa"/>
              <w:right w:w="108" w:type="dxa"/>
            </w:tcMar>
            <w:vAlign w:val="center"/>
          </w:tcPr>
          <w:p w14:paraId="4AB66912" w14:textId="77777777" w:rsidR="00BC5F70" w:rsidRPr="000668FE" w:rsidRDefault="00BC5F70" w:rsidP="001D4554">
            <w:pPr>
              <w:pStyle w:val="COMTabletext"/>
              <w:jc w:val="center"/>
            </w:pPr>
            <w:r>
              <w:t>2.1%</w:t>
            </w:r>
          </w:p>
        </w:tc>
        <w:tc>
          <w:tcPr>
            <w:tcW w:w="465" w:type="pct"/>
            <w:vAlign w:val="center"/>
          </w:tcPr>
          <w:p w14:paraId="52E9B7F9" w14:textId="77777777" w:rsidR="00BC5F70" w:rsidRPr="000668FE" w:rsidRDefault="00BC5F70" w:rsidP="001D4554">
            <w:pPr>
              <w:pStyle w:val="COMTabletext"/>
              <w:jc w:val="center"/>
            </w:pPr>
            <w:r>
              <w:t>-43.8</w:t>
            </w:r>
          </w:p>
        </w:tc>
        <w:tc>
          <w:tcPr>
            <w:tcW w:w="465" w:type="pct"/>
            <w:vAlign w:val="center"/>
          </w:tcPr>
          <w:p w14:paraId="6B439C87" w14:textId="77777777" w:rsidR="00BC5F70" w:rsidRPr="000668FE" w:rsidRDefault="00BC5F70" w:rsidP="001D4554">
            <w:pPr>
              <w:pStyle w:val="COMTabletext"/>
              <w:jc w:val="center"/>
            </w:pPr>
            <w:r>
              <w:t>-19.7%</w:t>
            </w:r>
          </w:p>
        </w:tc>
        <w:tc>
          <w:tcPr>
            <w:tcW w:w="462" w:type="pct"/>
            <w:vAlign w:val="center"/>
          </w:tcPr>
          <w:p w14:paraId="1BD8D56A" w14:textId="77777777" w:rsidR="00BC5F70" w:rsidRPr="000668FE" w:rsidRDefault="00BC5F70" w:rsidP="001D4554">
            <w:pPr>
              <w:pStyle w:val="COMTabletext"/>
              <w:jc w:val="center"/>
            </w:pPr>
            <w:r w:rsidRPr="00A2409E">
              <w:t>&lt;0.001</w:t>
            </w:r>
          </w:p>
        </w:tc>
      </w:tr>
      <w:tr w:rsidR="00BC5F70" w:rsidRPr="008215FB" w14:paraId="033772EC" w14:textId="77777777" w:rsidTr="001D4554">
        <w:tc>
          <w:tcPr>
            <w:tcW w:w="816" w:type="pct"/>
            <w:tcMar>
              <w:top w:w="0" w:type="dxa"/>
              <w:left w:w="108" w:type="dxa"/>
              <w:bottom w:w="0" w:type="dxa"/>
              <w:right w:w="108" w:type="dxa"/>
            </w:tcMar>
            <w:vAlign w:val="center"/>
          </w:tcPr>
          <w:p w14:paraId="13690E3C" w14:textId="77777777" w:rsidR="00BC5F70" w:rsidRPr="000668FE" w:rsidRDefault="00BC5F70" w:rsidP="001D4554">
            <w:pPr>
              <w:pStyle w:val="COMTabletext"/>
              <w:rPr>
                <w:lang w:val="en-US"/>
              </w:rPr>
            </w:pPr>
            <w:r w:rsidRPr="000668FE">
              <w:rPr>
                <w:lang w:val="en-US"/>
              </w:rPr>
              <w:t>Year 3</w:t>
            </w:r>
          </w:p>
        </w:tc>
        <w:tc>
          <w:tcPr>
            <w:tcW w:w="465" w:type="pct"/>
            <w:tcMar>
              <w:top w:w="0" w:type="dxa"/>
              <w:left w:w="108" w:type="dxa"/>
              <w:bottom w:w="0" w:type="dxa"/>
              <w:right w:w="108" w:type="dxa"/>
            </w:tcMar>
            <w:vAlign w:val="center"/>
          </w:tcPr>
          <w:p w14:paraId="4053D177" w14:textId="77777777" w:rsidR="00BC5F70" w:rsidRPr="000668FE" w:rsidRDefault="00BC5F70" w:rsidP="001D4554">
            <w:pPr>
              <w:pStyle w:val="COMTabletext"/>
              <w:jc w:val="center"/>
            </w:pPr>
            <w:r w:rsidRPr="000668FE">
              <w:t>167.0</w:t>
            </w:r>
          </w:p>
        </w:tc>
        <w:tc>
          <w:tcPr>
            <w:tcW w:w="465" w:type="pct"/>
            <w:vAlign w:val="center"/>
          </w:tcPr>
          <w:p w14:paraId="6A978883" w14:textId="77777777" w:rsidR="00BC5F70" w:rsidRPr="000668FE" w:rsidRDefault="00BC5F70" w:rsidP="001D4554">
            <w:pPr>
              <w:pStyle w:val="COMTabletext"/>
              <w:jc w:val="center"/>
            </w:pPr>
            <w:r w:rsidRPr="000668FE">
              <w:t>-44.0</w:t>
            </w:r>
          </w:p>
        </w:tc>
        <w:tc>
          <w:tcPr>
            <w:tcW w:w="466" w:type="pct"/>
          </w:tcPr>
          <w:p w14:paraId="525CF1F7" w14:textId="77777777" w:rsidR="00BC5F70" w:rsidRPr="000668FE" w:rsidRDefault="00BC5F70" w:rsidP="001D4554">
            <w:pPr>
              <w:pStyle w:val="COMTabletext"/>
              <w:jc w:val="center"/>
            </w:pPr>
            <w:r w:rsidRPr="000668FE">
              <w:t>-21.7</w:t>
            </w:r>
            <w:r>
              <w:t>%</w:t>
            </w:r>
          </w:p>
        </w:tc>
        <w:tc>
          <w:tcPr>
            <w:tcW w:w="465" w:type="pct"/>
            <w:vAlign w:val="center"/>
          </w:tcPr>
          <w:p w14:paraId="52BB6B8B" w14:textId="77777777" w:rsidR="00BC5F70" w:rsidRPr="000668FE" w:rsidRDefault="00BC5F70" w:rsidP="001D4554">
            <w:pPr>
              <w:pStyle w:val="COMTabletext"/>
              <w:jc w:val="center"/>
            </w:pPr>
            <w:r w:rsidRPr="000668FE">
              <w:t>212.0</w:t>
            </w:r>
          </w:p>
        </w:tc>
        <w:tc>
          <w:tcPr>
            <w:tcW w:w="465" w:type="pct"/>
          </w:tcPr>
          <w:p w14:paraId="7B199307" w14:textId="77777777" w:rsidR="00BC5F70" w:rsidRPr="000668FE" w:rsidRDefault="00BC5F70" w:rsidP="001D4554">
            <w:pPr>
              <w:pStyle w:val="COMTabletext"/>
              <w:jc w:val="center"/>
            </w:pPr>
            <w:r>
              <w:t>1.0</w:t>
            </w:r>
          </w:p>
        </w:tc>
        <w:tc>
          <w:tcPr>
            <w:tcW w:w="466" w:type="pct"/>
            <w:tcMar>
              <w:top w:w="0" w:type="dxa"/>
              <w:left w:w="108" w:type="dxa"/>
              <w:bottom w:w="0" w:type="dxa"/>
              <w:right w:w="108" w:type="dxa"/>
            </w:tcMar>
            <w:vAlign w:val="center"/>
          </w:tcPr>
          <w:p w14:paraId="1F2A6416" w14:textId="77777777" w:rsidR="00BC5F70" w:rsidRPr="000668FE" w:rsidRDefault="00BC5F70" w:rsidP="001D4554">
            <w:pPr>
              <w:pStyle w:val="COMTabletext"/>
              <w:jc w:val="center"/>
            </w:pPr>
            <w:r>
              <w:t>0.4%</w:t>
            </w:r>
          </w:p>
        </w:tc>
        <w:tc>
          <w:tcPr>
            <w:tcW w:w="465" w:type="pct"/>
            <w:vAlign w:val="center"/>
          </w:tcPr>
          <w:p w14:paraId="384E733D" w14:textId="77777777" w:rsidR="00BC5F70" w:rsidRPr="000668FE" w:rsidRDefault="00BC5F70" w:rsidP="001D4554">
            <w:pPr>
              <w:pStyle w:val="COMTabletext"/>
              <w:jc w:val="center"/>
            </w:pPr>
            <w:r>
              <w:t>-45.5</w:t>
            </w:r>
          </w:p>
        </w:tc>
        <w:tc>
          <w:tcPr>
            <w:tcW w:w="465" w:type="pct"/>
          </w:tcPr>
          <w:p w14:paraId="34A7BD6F" w14:textId="77777777" w:rsidR="00BC5F70" w:rsidRPr="000668FE" w:rsidRDefault="00BC5F70" w:rsidP="001D4554">
            <w:pPr>
              <w:pStyle w:val="COMTabletext"/>
              <w:jc w:val="center"/>
            </w:pPr>
            <w:r>
              <w:t>-20.3%</w:t>
            </w:r>
          </w:p>
        </w:tc>
        <w:tc>
          <w:tcPr>
            <w:tcW w:w="462" w:type="pct"/>
          </w:tcPr>
          <w:p w14:paraId="221B0FBC" w14:textId="77777777" w:rsidR="00BC5F70" w:rsidRPr="000668FE" w:rsidRDefault="00BC5F70" w:rsidP="001D4554">
            <w:pPr>
              <w:pStyle w:val="COMTabletext"/>
              <w:jc w:val="center"/>
            </w:pPr>
            <w:r w:rsidRPr="00A2409E">
              <w:t>&lt;0.001</w:t>
            </w:r>
          </w:p>
        </w:tc>
      </w:tr>
      <w:tr w:rsidR="00BC5F70" w:rsidRPr="008215FB" w14:paraId="07ECAAE4" w14:textId="77777777" w:rsidTr="001D4554">
        <w:tc>
          <w:tcPr>
            <w:tcW w:w="816" w:type="pct"/>
            <w:tcMar>
              <w:top w:w="0" w:type="dxa"/>
              <w:left w:w="108" w:type="dxa"/>
              <w:bottom w:w="0" w:type="dxa"/>
              <w:right w:w="108" w:type="dxa"/>
            </w:tcMar>
            <w:vAlign w:val="center"/>
          </w:tcPr>
          <w:p w14:paraId="01407020" w14:textId="77777777" w:rsidR="00BC5F70" w:rsidRPr="000668FE" w:rsidRDefault="00BC5F70" w:rsidP="001D4554">
            <w:pPr>
              <w:pStyle w:val="COMTabletext"/>
              <w:rPr>
                <w:lang w:val="en-US"/>
              </w:rPr>
            </w:pPr>
            <w:r w:rsidRPr="000668FE">
              <w:rPr>
                <w:lang w:val="en-US"/>
              </w:rPr>
              <w:t>Year 4</w:t>
            </w:r>
          </w:p>
        </w:tc>
        <w:tc>
          <w:tcPr>
            <w:tcW w:w="465" w:type="pct"/>
            <w:tcMar>
              <w:top w:w="0" w:type="dxa"/>
              <w:left w:w="108" w:type="dxa"/>
              <w:bottom w:w="0" w:type="dxa"/>
              <w:right w:w="108" w:type="dxa"/>
            </w:tcMar>
            <w:vAlign w:val="center"/>
          </w:tcPr>
          <w:p w14:paraId="201A2B6F" w14:textId="77777777" w:rsidR="00BC5F70" w:rsidRPr="000668FE" w:rsidRDefault="00BC5F70" w:rsidP="001D4554">
            <w:pPr>
              <w:pStyle w:val="COMTabletext"/>
              <w:jc w:val="center"/>
            </w:pPr>
            <w:r w:rsidRPr="000668FE">
              <w:t>163.0</w:t>
            </w:r>
          </w:p>
        </w:tc>
        <w:tc>
          <w:tcPr>
            <w:tcW w:w="465" w:type="pct"/>
            <w:vAlign w:val="center"/>
          </w:tcPr>
          <w:p w14:paraId="27010774" w14:textId="77777777" w:rsidR="00BC5F70" w:rsidRPr="000668FE" w:rsidRDefault="00BC5F70" w:rsidP="001D4554">
            <w:pPr>
              <w:pStyle w:val="COMTabletext"/>
              <w:jc w:val="center"/>
            </w:pPr>
            <w:r w:rsidRPr="000668FE">
              <w:t>-42.5</w:t>
            </w:r>
          </w:p>
        </w:tc>
        <w:tc>
          <w:tcPr>
            <w:tcW w:w="466" w:type="pct"/>
          </w:tcPr>
          <w:p w14:paraId="6D87B46F" w14:textId="77777777" w:rsidR="00BC5F70" w:rsidRPr="000668FE" w:rsidRDefault="00BC5F70" w:rsidP="001D4554">
            <w:pPr>
              <w:pStyle w:val="COMTabletext"/>
              <w:jc w:val="center"/>
            </w:pPr>
            <w:r w:rsidRPr="000668FE">
              <w:t>-21.7</w:t>
            </w:r>
            <w:r>
              <w:t>%</w:t>
            </w:r>
          </w:p>
        </w:tc>
        <w:tc>
          <w:tcPr>
            <w:tcW w:w="465" w:type="pct"/>
            <w:vAlign w:val="center"/>
          </w:tcPr>
          <w:p w14:paraId="0A21ECDE" w14:textId="77777777" w:rsidR="00BC5F70" w:rsidRPr="000668FE" w:rsidRDefault="00BC5F70" w:rsidP="001D4554">
            <w:pPr>
              <w:pStyle w:val="COMTabletext"/>
              <w:jc w:val="center"/>
            </w:pPr>
            <w:r w:rsidRPr="000668FE">
              <w:t>200.0</w:t>
            </w:r>
          </w:p>
        </w:tc>
        <w:tc>
          <w:tcPr>
            <w:tcW w:w="465" w:type="pct"/>
          </w:tcPr>
          <w:p w14:paraId="5288B71F" w14:textId="77777777" w:rsidR="00BC5F70" w:rsidRPr="000668FE" w:rsidRDefault="00BC5F70" w:rsidP="001D4554">
            <w:pPr>
              <w:pStyle w:val="COMTabletext"/>
              <w:jc w:val="center"/>
            </w:pPr>
            <w:r>
              <w:t>-7.0</w:t>
            </w:r>
          </w:p>
        </w:tc>
        <w:tc>
          <w:tcPr>
            <w:tcW w:w="466" w:type="pct"/>
            <w:tcMar>
              <w:top w:w="0" w:type="dxa"/>
              <w:left w:w="108" w:type="dxa"/>
              <w:bottom w:w="0" w:type="dxa"/>
              <w:right w:w="108" w:type="dxa"/>
            </w:tcMar>
            <w:vAlign w:val="center"/>
          </w:tcPr>
          <w:p w14:paraId="61E5FC1F" w14:textId="77777777" w:rsidR="00BC5F70" w:rsidRPr="000668FE" w:rsidRDefault="00BC5F70" w:rsidP="001D4554">
            <w:pPr>
              <w:pStyle w:val="COMTabletext"/>
              <w:jc w:val="center"/>
            </w:pPr>
            <w:r>
              <w:t>-3.7%</w:t>
            </w:r>
          </w:p>
        </w:tc>
        <w:tc>
          <w:tcPr>
            <w:tcW w:w="465" w:type="pct"/>
            <w:vAlign w:val="center"/>
          </w:tcPr>
          <w:p w14:paraId="4F0625A0" w14:textId="77777777" w:rsidR="00BC5F70" w:rsidRPr="000668FE" w:rsidRDefault="00BC5F70" w:rsidP="001D4554">
            <w:pPr>
              <w:pStyle w:val="COMTabletext"/>
              <w:jc w:val="center"/>
            </w:pPr>
            <w:r>
              <w:t>-38.0</w:t>
            </w:r>
          </w:p>
        </w:tc>
        <w:tc>
          <w:tcPr>
            <w:tcW w:w="465" w:type="pct"/>
          </w:tcPr>
          <w:p w14:paraId="39DE4856" w14:textId="77777777" w:rsidR="00BC5F70" w:rsidRPr="000668FE" w:rsidRDefault="00BC5F70" w:rsidP="001D4554">
            <w:pPr>
              <w:pStyle w:val="COMTabletext"/>
              <w:jc w:val="center"/>
            </w:pPr>
            <w:r>
              <w:t>-17.4%</w:t>
            </w:r>
          </w:p>
        </w:tc>
        <w:tc>
          <w:tcPr>
            <w:tcW w:w="462" w:type="pct"/>
          </w:tcPr>
          <w:p w14:paraId="1F89E396" w14:textId="77777777" w:rsidR="00BC5F70" w:rsidRPr="000668FE" w:rsidRDefault="00BC5F70" w:rsidP="001D4554">
            <w:pPr>
              <w:pStyle w:val="COMTabletext"/>
              <w:jc w:val="center"/>
            </w:pPr>
            <w:r w:rsidRPr="00A2409E">
              <w:t>&lt;0.001</w:t>
            </w:r>
          </w:p>
        </w:tc>
      </w:tr>
      <w:tr w:rsidR="00BC5F70" w:rsidRPr="008215FB" w14:paraId="1AD8B150" w14:textId="77777777" w:rsidTr="001D4554">
        <w:tc>
          <w:tcPr>
            <w:tcW w:w="816" w:type="pct"/>
            <w:tcMar>
              <w:top w:w="0" w:type="dxa"/>
              <w:left w:w="108" w:type="dxa"/>
              <w:bottom w:w="0" w:type="dxa"/>
              <w:right w:w="108" w:type="dxa"/>
            </w:tcMar>
            <w:vAlign w:val="center"/>
          </w:tcPr>
          <w:p w14:paraId="1D64A58D" w14:textId="77777777" w:rsidR="00BC5F70" w:rsidRPr="000668FE" w:rsidRDefault="00BC5F70" w:rsidP="001D4554">
            <w:pPr>
              <w:pStyle w:val="COMTabletext"/>
            </w:pPr>
            <w:r w:rsidRPr="000668FE">
              <w:rPr>
                <w:lang w:val="en-US"/>
              </w:rPr>
              <w:t>Year 5</w:t>
            </w:r>
          </w:p>
        </w:tc>
        <w:tc>
          <w:tcPr>
            <w:tcW w:w="465" w:type="pct"/>
            <w:tcMar>
              <w:top w:w="0" w:type="dxa"/>
              <w:left w:w="108" w:type="dxa"/>
              <w:bottom w:w="0" w:type="dxa"/>
              <w:right w:w="108" w:type="dxa"/>
            </w:tcMar>
            <w:vAlign w:val="center"/>
          </w:tcPr>
          <w:p w14:paraId="392FD8F5" w14:textId="77777777" w:rsidR="00BC5F70" w:rsidRPr="000668FE" w:rsidRDefault="00BC5F70" w:rsidP="001D4554">
            <w:pPr>
              <w:pStyle w:val="COMTabletext"/>
              <w:jc w:val="center"/>
            </w:pPr>
            <w:r w:rsidRPr="000668FE">
              <w:t>158.0</w:t>
            </w:r>
          </w:p>
        </w:tc>
        <w:tc>
          <w:tcPr>
            <w:tcW w:w="465" w:type="pct"/>
            <w:vAlign w:val="center"/>
          </w:tcPr>
          <w:p w14:paraId="7BA2F476" w14:textId="77777777" w:rsidR="00BC5F70" w:rsidRPr="000668FE" w:rsidRDefault="00BC5F70" w:rsidP="001D4554">
            <w:pPr>
              <w:pStyle w:val="COMTabletext"/>
              <w:jc w:val="center"/>
            </w:pPr>
            <w:r w:rsidRPr="000668FE">
              <w:t>-38.0</w:t>
            </w:r>
          </w:p>
        </w:tc>
        <w:tc>
          <w:tcPr>
            <w:tcW w:w="466" w:type="pct"/>
          </w:tcPr>
          <w:p w14:paraId="35893B51" w14:textId="77777777" w:rsidR="00BC5F70" w:rsidRPr="000668FE" w:rsidRDefault="00BC5F70" w:rsidP="001D4554">
            <w:pPr>
              <w:pStyle w:val="COMTabletext"/>
              <w:jc w:val="center"/>
            </w:pPr>
            <w:r w:rsidRPr="000668FE">
              <w:t>-20.0</w:t>
            </w:r>
            <w:r>
              <w:t>%</w:t>
            </w:r>
          </w:p>
        </w:tc>
        <w:tc>
          <w:tcPr>
            <w:tcW w:w="465" w:type="pct"/>
            <w:vAlign w:val="center"/>
          </w:tcPr>
          <w:p w14:paraId="6CB5745B" w14:textId="77777777" w:rsidR="00BC5F70" w:rsidRPr="000668FE" w:rsidRDefault="00BC5F70" w:rsidP="001D4554">
            <w:pPr>
              <w:pStyle w:val="COMTabletext"/>
              <w:jc w:val="center"/>
            </w:pPr>
            <w:r w:rsidRPr="000668FE">
              <w:t>193.0</w:t>
            </w:r>
          </w:p>
        </w:tc>
        <w:tc>
          <w:tcPr>
            <w:tcW w:w="465" w:type="pct"/>
          </w:tcPr>
          <w:p w14:paraId="083DB069" w14:textId="77777777" w:rsidR="00BC5F70" w:rsidRPr="000668FE" w:rsidRDefault="00BC5F70" w:rsidP="001D4554">
            <w:pPr>
              <w:pStyle w:val="COMTabletext"/>
              <w:jc w:val="center"/>
            </w:pPr>
            <w:r>
              <w:t>-3.0</w:t>
            </w:r>
          </w:p>
        </w:tc>
        <w:tc>
          <w:tcPr>
            <w:tcW w:w="466" w:type="pct"/>
            <w:tcMar>
              <w:top w:w="0" w:type="dxa"/>
              <w:left w:w="108" w:type="dxa"/>
              <w:bottom w:w="0" w:type="dxa"/>
              <w:right w:w="108" w:type="dxa"/>
            </w:tcMar>
            <w:vAlign w:val="center"/>
          </w:tcPr>
          <w:p w14:paraId="41A56E9B" w14:textId="77777777" w:rsidR="00BC5F70" w:rsidRPr="000668FE" w:rsidRDefault="00BC5F70" w:rsidP="001D4554">
            <w:pPr>
              <w:pStyle w:val="COMTabletext"/>
              <w:jc w:val="center"/>
            </w:pPr>
            <w:r>
              <w:t>-1.5%</w:t>
            </w:r>
          </w:p>
        </w:tc>
        <w:tc>
          <w:tcPr>
            <w:tcW w:w="465" w:type="pct"/>
            <w:vAlign w:val="center"/>
          </w:tcPr>
          <w:p w14:paraId="02910E93" w14:textId="77777777" w:rsidR="00BC5F70" w:rsidRPr="000668FE" w:rsidRDefault="00BC5F70" w:rsidP="001D4554">
            <w:pPr>
              <w:pStyle w:val="COMTabletext"/>
              <w:jc w:val="center"/>
            </w:pPr>
            <w:r>
              <w:t>-33.5</w:t>
            </w:r>
          </w:p>
        </w:tc>
        <w:tc>
          <w:tcPr>
            <w:tcW w:w="465" w:type="pct"/>
          </w:tcPr>
          <w:p w14:paraId="11E8BDD9" w14:textId="77777777" w:rsidR="00BC5F70" w:rsidRPr="000668FE" w:rsidRDefault="00BC5F70" w:rsidP="001D4554">
            <w:pPr>
              <w:pStyle w:val="COMTabletext"/>
              <w:jc w:val="center"/>
            </w:pPr>
            <w:r>
              <w:t>-16.7%</w:t>
            </w:r>
          </w:p>
        </w:tc>
        <w:tc>
          <w:tcPr>
            <w:tcW w:w="462" w:type="pct"/>
          </w:tcPr>
          <w:p w14:paraId="28C7FA43" w14:textId="77777777" w:rsidR="00BC5F70" w:rsidRPr="000668FE" w:rsidRDefault="00BC5F70" w:rsidP="001D4554">
            <w:pPr>
              <w:pStyle w:val="COMTabletext"/>
              <w:jc w:val="center"/>
            </w:pPr>
            <w:r w:rsidRPr="00A2409E">
              <w:t>&lt;0.001</w:t>
            </w:r>
          </w:p>
        </w:tc>
      </w:tr>
      <w:tr w:rsidR="00BC5F70" w:rsidRPr="008215FB" w14:paraId="59F61C94" w14:textId="77777777" w:rsidTr="001D4554">
        <w:tc>
          <w:tcPr>
            <w:tcW w:w="816" w:type="pct"/>
            <w:tcMar>
              <w:top w:w="0" w:type="dxa"/>
              <w:left w:w="108" w:type="dxa"/>
              <w:bottom w:w="0" w:type="dxa"/>
              <w:right w:w="108" w:type="dxa"/>
            </w:tcMar>
            <w:vAlign w:val="center"/>
          </w:tcPr>
          <w:p w14:paraId="0616FCCB" w14:textId="77777777" w:rsidR="00BC5F70" w:rsidRPr="000668FE" w:rsidRDefault="00BC5F70" w:rsidP="001D4554">
            <w:pPr>
              <w:pStyle w:val="COMTabletext"/>
            </w:pPr>
            <w:r w:rsidRPr="000668FE">
              <w:t>Last visit</w:t>
            </w:r>
          </w:p>
        </w:tc>
        <w:tc>
          <w:tcPr>
            <w:tcW w:w="465" w:type="pct"/>
            <w:tcMar>
              <w:top w:w="0" w:type="dxa"/>
              <w:left w:w="108" w:type="dxa"/>
              <w:bottom w:w="0" w:type="dxa"/>
              <w:right w:w="108" w:type="dxa"/>
            </w:tcMar>
            <w:vAlign w:val="center"/>
          </w:tcPr>
          <w:p w14:paraId="3AECAA19" w14:textId="77777777" w:rsidR="00BC5F70" w:rsidRPr="000668FE" w:rsidRDefault="00BC5F70" w:rsidP="001D4554">
            <w:pPr>
              <w:pStyle w:val="COMTabletext"/>
              <w:jc w:val="center"/>
            </w:pPr>
            <w:r w:rsidRPr="000668FE">
              <w:t>170.0</w:t>
            </w:r>
          </w:p>
        </w:tc>
        <w:tc>
          <w:tcPr>
            <w:tcW w:w="465" w:type="pct"/>
            <w:vAlign w:val="center"/>
          </w:tcPr>
          <w:p w14:paraId="24465D52" w14:textId="77777777" w:rsidR="00BC5F70" w:rsidRPr="000668FE" w:rsidRDefault="00BC5F70" w:rsidP="001D4554">
            <w:pPr>
              <w:pStyle w:val="COMTabletext"/>
              <w:jc w:val="center"/>
            </w:pPr>
            <w:r w:rsidRPr="000668FE">
              <w:t>-45.0</w:t>
            </w:r>
          </w:p>
        </w:tc>
        <w:tc>
          <w:tcPr>
            <w:tcW w:w="466" w:type="pct"/>
          </w:tcPr>
          <w:p w14:paraId="3A76DD45" w14:textId="77777777" w:rsidR="00BC5F70" w:rsidRPr="000668FE" w:rsidRDefault="00BC5F70" w:rsidP="001D4554">
            <w:pPr>
              <w:pStyle w:val="COMTabletext"/>
              <w:jc w:val="center"/>
            </w:pPr>
            <w:r w:rsidRPr="000668FE">
              <w:t>-21.6</w:t>
            </w:r>
            <w:r>
              <w:t>%</w:t>
            </w:r>
          </w:p>
        </w:tc>
        <w:tc>
          <w:tcPr>
            <w:tcW w:w="465" w:type="pct"/>
            <w:vAlign w:val="center"/>
          </w:tcPr>
          <w:p w14:paraId="7D1368AB" w14:textId="77777777" w:rsidR="00BC5F70" w:rsidRPr="000668FE" w:rsidRDefault="00BC5F70" w:rsidP="001D4554">
            <w:pPr>
              <w:pStyle w:val="COMTabletext"/>
              <w:jc w:val="center"/>
            </w:pPr>
            <w:r w:rsidRPr="000668FE">
              <w:t>202.0</w:t>
            </w:r>
          </w:p>
        </w:tc>
        <w:tc>
          <w:tcPr>
            <w:tcW w:w="465" w:type="pct"/>
          </w:tcPr>
          <w:p w14:paraId="6CA368B2" w14:textId="77777777" w:rsidR="00BC5F70" w:rsidRPr="000668FE" w:rsidRDefault="00BC5F70" w:rsidP="001D4554">
            <w:pPr>
              <w:pStyle w:val="COMTabletext"/>
              <w:jc w:val="center"/>
            </w:pPr>
            <w:r>
              <w:t>-13.0</w:t>
            </w:r>
          </w:p>
        </w:tc>
        <w:tc>
          <w:tcPr>
            <w:tcW w:w="466" w:type="pct"/>
            <w:tcMar>
              <w:top w:w="0" w:type="dxa"/>
              <w:left w:w="108" w:type="dxa"/>
              <w:bottom w:w="0" w:type="dxa"/>
              <w:right w:w="108" w:type="dxa"/>
            </w:tcMar>
            <w:vAlign w:val="center"/>
          </w:tcPr>
          <w:p w14:paraId="53F4692D" w14:textId="77777777" w:rsidR="00BC5F70" w:rsidRPr="000668FE" w:rsidRDefault="00BC5F70" w:rsidP="001D4554">
            <w:pPr>
              <w:pStyle w:val="COMTabletext"/>
              <w:jc w:val="center"/>
            </w:pPr>
            <w:r>
              <w:t>-6.5%</w:t>
            </w:r>
          </w:p>
        </w:tc>
        <w:tc>
          <w:tcPr>
            <w:tcW w:w="465" w:type="pct"/>
            <w:vAlign w:val="center"/>
          </w:tcPr>
          <w:p w14:paraId="6273CE91" w14:textId="77777777" w:rsidR="00BC5F70" w:rsidRPr="000668FE" w:rsidRDefault="00BC5F70" w:rsidP="001D4554">
            <w:pPr>
              <w:pStyle w:val="COMTabletext"/>
              <w:jc w:val="center"/>
            </w:pPr>
            <w:r>
              <w:t>-32.0</w:t>
            </w:r>
          </w:p>
        </w:tc>
        <w:tc>
          <w:tcPr>
            <w:tcW w:w="465" w:type="pct"/>
          </w:tcPr>
          <w:p w14:paraId="0FC88E1C" w14:textId="77777777" w:rsidR="00BC5F70" w:rsidRPr="000668FE" w:rsidRDefault="00BC5F70" w:rsidP="001D4554">
            <w:pPr>
              <w:pStyle w:val="COMTabletext"/>
              <w:jc w:val="center"/>
            </w:pPr>
            <w:r>
              <w:t>-14.1%</w:t>
            </w:r>
          </w:p>
        </w:tc>
        <w:tc>
          <w:tcPr>
            <w:tcW w:w="462" w:type="pct"/>
          </w:tcPr>
          <w:p w14:paraId="1C007E33" w14:textId="77777777" w:rsidR="00BC5F70" w:rsidRPr="000668FE" w:rsidRDefault="00BC5F70" w:rsidP="001D4554">
            <w:pPr>
              <w:pStyle w:val="COMTabletext"/>
              <w:jc w:val="center"/>
            </w:pPr>
            <w:r w:rsidRPr="00A2409E">
              <w:t>&lt;0.001</w:t>
            </w:r>
          </w:p>
        </w:tc>
      </w:tr>
      <w:tr w:rsidR="00BC5F70" w:rsidRPr="008215FB" w14:paraId="64BDFCBC" w14:textId="77777777" w:rsidTr="001D4554">
        <w:tc>
          <w:tcPr>
            <w:tcW w:w="5000" w:type="pct"/>
            <w:gridSpan w:val="10"/>
            <w:tcMar>
              <w:top w:w="0" w:type="dxa"/>
              <w:left w:w="108" w:type="dxa"/>
              <w:bottom w:w="0" w:type="dxa"/>
              <w:right w:w="108" w:type="dxa"/>
            </w:tcMar>
            <w:vAlign w:val="center"/>
          </w:tcPr>
          <w:p w14:paraId="51B3407E" w14:textId="77777777" w:rsidR="00BC5F70" w:rsidRPr="00A2409E" w:rsidRDefault="00BC5F70" w:rsidP="001D4554">
            <w:pPr>
              <w:pStyle w:val="COMTabletext"/>
              <w:rPr>
                <w:b/>
                <w:bCs w:val="0"/>
              </w:rPr>
            </w:pPr>
            <w:r>
              <w:rPr>
                <w:b/>
                <w:bCs w:val="0"/>
              </w:rPr>
              <w:t>Non-HDL cholesterol (mg/dL)</w:t>
            </w:r>
          </w:p>
        </w:tc>
      </w:tr>
      <w:tr w:rsidR="00BC5F70" w:rsidRPr="008215FB" w14:paraId="061838BA" w14:textId="77777777" w:rsidTr="001D4554">
        <w:tc>
          <w:tcPr>
            <w:tcW w:w="816" w:type="pct"/>
            <w:tcMar>
              <w:top w:w="0" w:type="dxa"/>
              <w:left w:w="108" w:type="dxa"/>
              <w:bottom w:w="0" w:type="dxa"/>
              <w:right w:w="108" w:type="dxa"/>
            </w:tcMar>
            <w:vAlign w:val="center"/>
          </w:tcPr>
          <w:p w14:paraId="6795A5C4" w14:textId="77777777" w:rsidR="00BC5F70" w:rsidRPr="000668FE" w:rsidRDefault="00BC5F70" w:rsidP="001D4554">
            <w:pPr>
              <w:pStyle w:val="COMTabletext"/>
            </w:pPr>
            <w:r w:rsidRPr="000668FE">
              <w:rPr>
                <w:lang w:val="en-US"/>
              </w:rPr>
              <w:t>Baseline</w:t>
            </w:r>
          </w:p>
        </w:tc>
        <w:tc>
          <w:tcPr>
            <w:tcW w:w="465" w:type="pct"/>
            <w:tcMar>
              <w:top w:w="0" w:type="dxa"/>
              <w:left w:w="108" w:type="dxa"/>
              <w:bottom w:w="0" w:type="dxa"/>
              <w:right w:w="108" w:type="dxa"/>
            </w:tcMar>
            <w:vAlign w:val="center"/>
          </w:tcPr>
          <w:p w14:paraId="73053880" w14:textId="77777777" w:rsidR="00BC5F70" w:rsidRPr="000668FE" w:rsidRDefault="00BC5F70" w:rsidP="001D4554">
            <w:pPr>
              <w:pStyle w:val="COMTabletext"/>
              <w:jc w:val="center"/>
            </w:pPr>
            <w:r>
              <w:t>118.0</w:t>
            </w:r>
          </w:p>
        </w:tc>
        <w:tc>
          <w:tcPr>
            <w:tcW w:w="465" w:type="pct"/>
            <w:vAlign w:val="center"/>
          </w:tcPr>
          <w:p w14:paraId="2A5580B6" w14:textId="77777777" w:rsidR="00BC5F70" w:rsidRPr="000668FE" w:rsidRDefault="00BC5F70" w:rsidP="001D4554">
            <w:pPr>
              <w:pStyle w:val="COMTabletext"/>
              <w:jc w:val="center"/>
            </w:pPr>
            <w:r>
              <w:t>-</w:t>
            </w:r>
          </w:p>
        </w:tc>
        <w:tc>
          <w:tcPr>
            <w:tcW w:w="466" w:type="pct"/>
          </w:tcPr>
          <w:p w14:paraId="2D37837C" w14:textId="77777777" w:rsidR="00BC5F70" w:rsidRPr="000668FE" w:rsidRDefault="00BC5F70" w:rsidP="001D4554">
            <w:pPr>
              <w:pStyle w:val="COMTabletext"/>
              <w:jc w:val="center"/>
            </w:pPr>
            <w:r>
              <w:t>-</w:t>
            </w:r>
          </w:p>
        </w:tc>
        <w:tc>
          <w:tcPr>
            <w:tcW w:w="465" w:type="pct"/>
            <w:vAlign w:val="center"/>
          </w:tcPr>
          <w:p w14:paraId="45BBFCD2" w14:textId="77777777" w:rsidR="00BC5F70" w:rsidRPr="000668FE" w:rsidRDefault="00BC5F70" w:rsidP="001D4554">
            <w:pPr>
              <w:pStyle w:val="COMTabletext"/>
              <w:jc w:val="center"/>
            </w:pPr>
            <w:r w:rsidRPr="006E099A">
              <w:t>118.5</w:t>
            </w:r>
          </w:p>
        </w:tc>
        <w:tc>
          <w:tcPr>
            <w:tcW w:w="465" w:type="pct"/>
          </w:tcPr>
          <w:p w14:paraId="57DED6C9" w14:textId="77777777" w:rsidR="00BC5F70" w:rsidRPr="000668FE" w:rsidRDefault="00BC5F70" w:rsidP="001D4554">
            <w:pPr>
              <w:pStyle w:val="COMTabletext"/>
              <w:jc w:val="center"/>
            </w:pPr>
            <w:r>
              <w:t>-</w:t>
            </w:r>
          </w:p>
        </w:tc>
        <w:tc>
          <w:tcPr>
            <w:tcW w:w="466" w:type="pct"/>
            <w:tcMar>
              <w:top w:w="0" w:type="dxa"/>
              <w:left w:w="108" w:type="dxa"/>
              <w:bottom w:w="0" w:type="dxa"/>
              <w:right w:w="108" w:type="dxa"/>
            </w:tcMar>
            <w:vAlign w:val="center"/>
          </w:tcPr>
          <w:p w14:paraId="1AE2B656" w14:textId="77777777" w:rsidR="00BC5F70" w:rsidRPr="000668FE" w:rsidRDefault="00BC5F70" w:rsidP="001D4554">
            <w:pPr>
              <w:pStyle w:val="COMTabletext"/>
              <w:jc w:val="center"/>
            </w:pPr>
            <w:r>
              <w:t>-</w:t>
            </w:r>
          </w:p>
        </w:tc>
        <w:tc>
          <w:tcPr>
            <w:tcW w:w="465" w:type="pct"/>
            <w:vAlign w:val="center"/>
          </w:tcPr>
          <w:p w14:paraId="0679C881" w14:textId="77777777" w:rsidR="00BC5F70" w:rsidRPr="000668FE" w:rsidRDefault="00BC5F70" w:rsidP="001D4554">
            <w:pPr>
              <w:pStyle w:val="COMTabletext"/>
              <w:jc w:val="center"/>
            </w:pPr>
            <w:r>
              <w:t>-</w:t>
            </w:r>
          </w:p>
        </w:tc>
        <w:tc>
          <w:tcPr>
            <w:tcW w:w="465" w:type="pct"/>
          </w:tcPr>
          <w:p w14:paraId="090DA661" w14:textId="77777777" w:rsidR="00BC5F70" w:rsidRPr="000668FE" w:rsidRDefault="00BC5F70" w:rsidP="001D4554">
            <w:pPr>
              <w:pStyle w:val="COMTabletext"/>
              <w:jc w:val="center"/>
            </w:pPr>
            <w:r>
              <w:t>-</w:t>
            </w:r>
          </w:p>
        </w:tc>
        <w:tc>
          <w:tcPr>
            <w:tcW w:w="462" w:type="pct"/>
          </w:tcPr>
          <w:p w14:paraId="6BB47C7A" w14:textId="77777777" w:rsidR="00BC5F70" w:rsidRPr="000668FE" w:rsidRDefault="00BC5F70" w:rsidP="001D4554">
            <w:pPr>
              <w:pStyle w:val="COMTabletext"/>
              <w:jc w:val="center"/>
            </w:pPr>
            <w:r>
              <w:t>-</w:t>
            </w:r>
          </w:p>
        </w:tc>
      </w:tr>
      <w:tr w:rsidR="00BC5F70" w:rsidRPr="008215FB" w14:paraId="0FBF884F" w14:textId="77777777" w:rsidTr="001D4554">
        <w:tc>
          <w:tcPr>
            <w:tcW w:w="816" w:type="pct"/>
            <w:tcMar>
              <w:top w:w="0" w:type="dxa"/>
              <w:left w:w="108" w:type="dxa"/>
              <w:bottom w:w="0" w:type="dxa"/>
              <w:right w:w="108" w:type="dxa"/>
            </w:tcMar>
            <w:vAlign w:val="center"/>
          </w:tcPr>
          <w:p w14:paraId="6A44FA54" w14:textId="77777777" w:rsidR="00BC5F70" w:rsidRPr="000668FE" w:rsidRDefault="00BC5F70" w:rsidP="001D4554">
            <w:pPr>
              <w:pStyle w:val="COMTabletext"/>
            </w:pPr>
            <w:r>
              <w:rPr>
                <w:lang w:val="en-US"/>
              </w:rPr>
              <w:t>Month 4</w:t>
            </w:r>
          </w:p>
        </w:tc>
        <w:tc>
          <w:tcPr>
            <w:tcW w:w="465" w:type="pct"/>
            <w:tcMar>
              <w:top w:w="0" w:type="dxa"/>
              <w:left w:w="108" w:type="dxa"/>
              <w:bottom w:w="0" w:type="dxa"/>
              <w:right w:w="108" w:type="dxa"/>
            </w:tcMar>
            <w:vAlign w:val="center"/>
          </w:tcPr>
          <w:p w14:paraId="734462A5" w14:textId="77777777" w:rsidR="00BC5F70" w:rsidRPr="000668FE" w:rsidRDefault="00BC5F70" w:rsidP="001D4554">
            <w:pPr>
              <w:pStyle w:val="COMTabletext"/>
              <w:jc w:val="center"/>
            </w:pPr>
            <w:r>
              <w:t>113.0</w:t>
            </w:r>
          </w:p>
        </w:tc>
        <w:tc>
          <w:tcPr>
            <w:tcW w:w="465" w:type="pct"/>
            <w:vAlign w:val="center"/>
          </w:tcPr>
          <w:p w14:paraId="218956FE" w14:textId="77777777" w:rsidR="00BC5F70" w:rsidRPr="000668FE" w:rsidRDefault="00BC5F70" w:rsidP="001D4554">
            <w:pPr>
              <w:pStyle w:val="COMTabletext"/>
              <w:jc w:val="center"/>
            </w:pPr>
            <w:r>
              <w:t>-4.5</w:t>
            </w:r>
          </w:p>
        </w:tc>
        <w:tc>
          <w:tcPr>
            <w:tcW w:w="466" w:type="pct"/>
          </w:tcPr>
          <w:p w14:paraId="2CDB1C46" w14:textId="77777777" w:rsidR="00BC5F70" w:rsidRPr="000668FE" w:rsidRDefault="00BC5F70" w:rsidP="001D4554">
            <w:pPr>
              <w:pStyle w:val="COMTabletext"/>
              <w:jc w:val="center"/>
            </w:pPr>
            <w:r>
              <w:t>-4.0%</w:t>
            </w:r>
          </w:p>
        </w:tc>
        <w:tc>
          <w:tcPr>
            <w:tcW w:w="465" w:type="pct"/>
            <w:vAlign w:val="center"/>
          </w:tcPr>
          <w:p w14:paraId="6CD886A3" w14:textId="77777777" w:rsidR="00BC5F70" w:rsidRPr="000668FE" w:rsidRDefault="00BC5F70" w:rsidP="001D4554">
            <w:pPr>
              <w:pStyle w:val="COMTabletext"/>
              <w:jc w:val="center"/>
            </w:pPr>
            <w:r w:rsidRPr="006E099A">
              <w:t>128.0</w:t>
            </w:r>
          </w:p>
        </w:tc>
        <w:tc>
          <w:tcPr>
            <w:tcW w:w="465" w:type="pct"/>
          </w:tcPr>
          <w:p w14:paraId="49B219EB" w14:textId="77777777" w:rsidR="00BC5F70" w:rsidRPr="000668FE" w:rsidRDefault="00BC5F70" w:rsidP="001D4554">
            <w:pPr>
              <w:pStyle w:val="COMTabletext"/>
              <w:jc w:val="center"/>
            </w:pPr>
            <w:r w:rsidRPr="006E099A">
              <w:t>9.5</w:t>
            </w:r>
          </w:p>
        </w:tc>
        <w:tc>
          <w:tcPr>
            <w:tcW w:w="466" w:type="pct"/>
            <w:tcMar>
              <w:top w:w="0" w:type="dxa"/>
              <w:left w:w="108" w:type="dxa"/>
              <w:bottom w:w="0" w:type="dxa"/>
              <w:right w:w="108" w:type="dxa"/>
            </w:tcMar>
            <w:vAlign w:val="center"/>
          </w:tcPr>
          <w:p w14:paraId="50992C34" w14:textId="77777777" w:rsidR="00BC5F70" w:rsidRPr="000668FE" w:rsidRDefault="00BC5F70" w:rsidP="001D4554">
            <w:pPr>
              <w:pStyle w:val="COMTabletext"/>
              <w:jc w:val="center"/>
            </w:pPr>
            <w:r w:rsidRPr="006E099A">
              <w:t>8.2</w:t>
            </w:r>
            <w:r>
              <w:t>%</w:t>
            </w:r>
          </w:p>
        </w:tc>
        <w:tc>
          <w:tcPr>
            <w:tcW w:w="465" w:type="pct"/>
            <w:vAlign w:val="center"/>
          </w:tcPr>
          <w:p w14:paraId="1F41ACF2" w14:textId="77777777" w:rsidR="00BC5F70" w:rsidRPr="000668FE" w:rsidRDefault="00BC5F70" w:rsidP="001D4554">
            <w:pPr>
              <w:pStyle w:val="COMTabletext"/>
              <w:jc w:val="center"/>
            </w:pPr>
            <w:r w:rsidRPr="00EC7857">
              <w:t>-14.3</w:t>
            </w:r>
          </w:p>
        </w:tc>
        <w:tc>
          <w:tcPr>
            <w:tcW w:w="465" w:type="pct"/>
          </w:tcPr>
          <w:p w14:paraId="35948287" w14:textId="77777777" w:rsidR="00BC5F70" w:rsidRPr="000668FE" w:rsidRDefault="00BC5F70" w:rsidP="001D4554">
            <w:pPr>
              <w:pStyle w:val="COMTabletext"/>
              <w:jc w:val="center"/>
            </w:pPr>
            <w:r w:rsidRPr="00EC7857">
              <w:t>-12.2</w:t>
            </w:r>
            <w:r>
              <w:t>%</w:t>
            </w:r>
          </w:p>
        </w:tc>
        <w:tc>
          <w:tcPr>
            <w:tcW w:w="462" w:type="pct"/>
          </w:tcPr>
          <w:p w14:paraId="1D603AE1" w14:textId="77777777" w:rsidR="00BC5F70" w:rsidRPr="000668FE" w:rsidRDefault="00BC5F70" w:rsidP="001D4554">
            <w:pPr>
              <w:pStyle w:val="COMTabletext"/>
              <w:jc w:val="center"/>
            </w:pPr>
            <w:r w:rsidRPr="00A2409E">
              <w:t>&lt;0.001</w:t>
            </w:r>
          </w:p>
        </w:tc>
      </w:tr>
      <w:tr w:rsidR="00BC5F70" w:rsidRPr="008215FB" w14:paraId="13D8D6EF" w14:textId="77777777" w:rsidTr="001D4554">
        <w:tc>
          <w:tcPr>
            <w:tcW w:w="816" w:type="pct"/>
            <w:tcMar>
              <w:top w:w="0" w:type="dxa"/>
              <w:left w:w="108" w:type="dxa"/>
              <w:bottom w:w="0" w:type="dxa"/>
              <w:right w:w="108" w:type="dxa"/>
            </w:tcMar>
            <w:vAlign w:val="center"/>
          </w:tcPr>
          <w:p w14:paraId="41DCE583" w14:textId="77777777" w:rsidR="00BC5F70" w:rsidRPr="000668FE" w:rsidRDefault="00BC5F70" w:rsidP="001D4554">
            <w:pPr>
              <w:pStyle w:val="COMTabletext"/>
            </w:pPr>
            <w:r w:rsidRPr="000668FE">
              <w:rPr>
                <w:lang w:val="en-US"/>
              </w:rPr>
              <w:t>Year 1</w:t>
            </w:r>
          </w:p>
        </w:tc>
        <w:tc>
          <w:tcPr>
            <w:tcW w:w="465" w:type="pct"/>
            <w:tcMar>
              <w:top w:w="0" w:type="dxa"/>
              <w:left w:w="108" w:type="dxa"/>
              <w:bottom w:w="0" w:type="dxa"/>
              <w:right w:w="108" w:type="dxa"/>
            </w:tcMar>
            <w:vAlign w:val="center"/>
          </w:tcPr>
          <w:p w14:paraId="525DAFE0" w14:textId="77777777" w:rsidR="00BC5F70" w:rsidRPr="000668FE" w:rsidRDefault="00BC5F70" w:rsidP="001D4554">
            <w:pPr>
              <w:pStyle w:val="COMTabletext"/>
              <w:jc w:val="center"/>
            </w:pPr>
            <w:r>
              <w:t>113.0</w:t>
            </w:r>
          </w:p>
        </w:tc>
        <w:tc>
          <w:tcPr>
            <w:tcW w:w="465" w:type="pct"/>
            <w:vAlign w:val="center"/>
          </w:tcPr>
          <w:p w14:paraId="6F3103AE" w14:textId="77777777" w:rsidR="00BC5F70" w:rsidRPr="000668FE" w:rsidRDefault="00BC5F70" w:rsidP="001D4554">
            <w:pPr>
              <w:pStyle w:val="COMTabletext"/>
              <w:jc w:val="center"/>
            </w:pPr>
            <w:r>
              <w:t>-4.0</w:t>
            </w:r>
          </w:p>
        </w:tc>
        <w:tc>
          <w:tcPr>
            <w:tcW w:w="466" w:type="pct"/>
          </w:tcPr>
          <w:p w14:paraId="46672C36" w14:textId="77777777" w:rsidR="00BC5F70" w:rsidRPr="000668FE" w:rsidRDefault="00BC5F70" w:rsidP="001D4554">
            <w:pPr>
              <w:pStyle w:val="COMTabletext"/>
              <w:jc w:val="center"/>
            </w:pPr>
            <w:r>
              <w:t>-3.6%</w:t>
            </w:r>
          </w:p>
        </w:tc>
        <w:tc>
          <w:tcPr>
            <w:tcW w:w="465" w:type="pct"/>
            <w:vAlign w:val="center"/>
          </w:tcPr>
          <w:p w14:paraId="7F17F326" w14:textId="77777777" w:rsidR="00BC5F70" w:rsidRPr="000668FE" w:rsidRDefault="00BC5F70" w:rsidP="001D4554">
            <w:pPr>
              <w:pStyle w:val="COMTabletext"/>
              <w:jc w:val="center"/>
            </w:pPr>
            <w:r w:rsidRPr="006E099A">
              <w:t>130.0</w:t>
            </w:r>
          </w:p>
        </w:tc>
        <w:tc>
          <w:tcPr>
            <w:tcW w:w="465" w:type="pct"/>
          </w:tcPr>
          <w:p w14:paraId="54D7E959" w14:textId="77777777" w:rsidR="00BC5F70" w:rsidRPr="000668FE" w:rsidRDefault="00BC5F70" w:rsidP="001D4554">
            <w:pPr>
              <w:pStyle w:val="COMTabletext"/>
              <w:jc w:val="center"/>
            </w:pPr>
            <w:r w:rsidRPr="006E099A">
              <w:t>12.0</w:t>
            </w:r>
          </w:p>
        </w:tc>
        <w:tc>
          <w:tcPr>
            <w:tcW w:w="466" w:type="pct"/>
            <w:tcMar>
              <w:top w:w="0" w:type="dxa"/>
              <w:left w:w="108" w:type="dxa"/>
              <w:bottom w:w="0" w:type="dxa"/>
              <w:right w:w="108" w:type="dxa"/>
            </w:tcMar>
            <w:vAlign w:val="center"/>
          </w:tcPr>
          <w:p w14:paraId="7A1FCE93" w14:textId="77777777" w:rsidR="00BC5F70" w:rsidRPr="000668FE" w:rsidRDefault="00BC5F70" w:rsidP="001D4554">
            <w:pPr>
              <w:pStyle w:val="COMTabletext"/>
              <w:jc w:val="center"/>
            </w:pPr>
            <w:r w:rsidRPr="006E099A">
              <w:t>10.4</w:t>
            </w:r>
            <w:r>
              <w:t>%</w:t>
            </w:r>
          </w:p>
        </w:tc>
        <w:tc>
          <w:tcPr>
            <w:tcW w:w="465" w:type="pct"/>
            <w:vAlign w:val="center"/>
          </w:tcPr>
          <w:p w14:paraId="3144D60A" w14:textId="77777777" w:rsidR="00BC5F70" w:rsidRPr="000668FE" w:rsidRDefault="00BC5F70" w:rsidP="001D4554">
            <w:pPr>
              <w:pStyle w:val="COMTabletext"/>
              <w:jc w:val="center"/>
            </w:pPr>
            <w:r w:rsidRPr="00EC7857">
              <w:t>-15.5</w:t>
            </w:r>
          </w:p>
        </w:tc>
        <w:tc>
          <w:tcPr>
            <w:tcW w:w="465" w:type="pct"/>
          </w:tcPr>
          <w:p w14:paraId="38D40231" w14:textId="77777777" w:rsidR="00BC5F70" w:rsidRPr="000668FE" w:rsidRDefault="00BC5F70" w:rsidP="001D4554">
            <w:pPr>
              <w:pStyle w:val="COMTabletext"/>
              <w:jc w:val="center"/>
            </w:pPr>
            <w:r w:rsidRPr="00EC7857">
              <w:t>-13.1</w:t>
            </w:r>
            <w:r>
              <w:t>%</w:t>
            </w:r>
          </w:p>
        </w:tc>
        <w:tc>
          <w:tcPr>
            <w:tcW w:w="462" w:type="pct"/>
          </w:tcPr>
          <w:p w14:paraId="3864F35C" w14:textId="77777777" w:rsidR="00BC5F70" w:rsidRPr="000668FE" w:rsidRDefault="00BC5F70" w:rsidP="001D4554">
            <w:pPr>
              <w:pStyle w:val="COMTabletext"/>
              <w:jc w:val="center"/>
            </w:pPr>
            <w:r w:rsidRPr="00A2409E">
              <w:t>&lt;0.001</w:t>
            </w:r>
          </w:p>
        </w:tc>
      </w:tr>
      <w:tr w:rsidR="00BC5F70" w:rsidRPr="008215FB" w14:paraId="3B38C8F7" w14:textId="77777777" w:rsidTr="001D4554">
        <w:tc>
          <w:tcPr>
            <w:tcW w:w="816" w:type="pct"/>
            <w:tcMar>
              <w:top w:w="0" w:type="dxa"/>
              <w:left w:w="108" w:type="dxa"/>
              <w:bottom w:w="0" w:type="dxa"/>
              <w:right w:w="108" w:type="dxa"/>
            </w:tcMar>
            <w:vAlign w:val="center"/>
          </w:tcPr>
          <w:p w14:paraId="00BA3F62" w14:textId="77777777" w:rsidR="00BC5F70" w:rsidRPr="000668FE" w:rsidRDefault="00BC5F70" w:rsidP="001D4554">
            <w:pPr>
              <w:pStyle w:val="COMTabletext"/>
            </w:pPr>
            <w:r w:rsidRPr="000668FE">
              <w:rPr>
                <w:lang w:val="en-US"/>
              </w:rPr>
              <w:t>Year 2</w:t>
            </w:r>
          </w:p>
        </w:tc>
        <w:tc>
          <w:tcPr>
            <w:tcW w:w="465" w:type="pct"/>
            <w:tcMar>
              <w:top w:w="0" w:type="dxa"/>
              <w:left w:w="108" w:type="dxa"/>
              <w:bottom w:w="0" w:type="dxa"/>
              <w:right w:w="108" w:type="dxa"/>
            </w:tcMar>
            <w:vAlign w:val="center"/>
          </w:tcPr>
          <w:p w14:paraId="041E3AB1" w14:textId="77777777" w:rsidR="00BC5F70" w:rsidRPr="000668FE" w:rsidRDefault="00BC5F70" w:rsidP="001D4554">
            <w:pPr>
              <w:pStyle w:val="COMTabletext"/>
              <w:jc w:val="center"/>
            </w:pPr>
            <w:r>
              <w:t>113.0</w:t>
            </w:r>
          </w:p>
        </w:tc>
        <w:tc>
          <w:tcPr>
            <w:tcW w:w="465" w:type="pct"/>
            <w:vAlign w:val="center"/>
          </w:tcPr>
          <w:p w14:paraId="16BE5299" w14:textId="77777777" w:rsidR="00BC5F70" w:rsidRPr="000668FE" w:rsidRDefault="00BC5F70" w:rsidP="001D4554">
            <w:pPr>
              <w:pStyle w:val="COMTabletext"/>
              <w:jc w:val="center"/>
            </w:pPr>
            <w:r>
              <w:t>-3.5</w:t>
            </w:r>
          </w:p>
        </w:tc>
        <w:tc>
          <w:tcPr>
            <w:tcW w:w="466" w:type="pct"/>
          </w:tcPr>
          <w:p w14:paraId="1E7382B2" w14:textId="77777777" w:rsidR="00BC5F70" w:rsidRPr="000668FE" w:rsidRDefault="00BC5F70" w:rsidP="001D4554">
            <w:pPr>
              <w:pStyle w:val="COMTabletext"/>
              <w:jc w:val="center"/>
            </w:pPr>
            <w:r>
              <w:t>-3.1%</w:t>
            </w:r>
          </w:p>
        </w:tc>
        <w:tc>
          <w:tcPr>
            <w:tcW w:w="465" w:type="pct"/>
            <w:vAlign w:val="center"/>
          </w:tcPr>
          <w:p w14:paraId="5069A955" w14:textId="77777777" w:rsidR="00BC5F70" w:rsidRPr="000668FE" w:rsidRDefault="00BC5F70" w:rsidP="001D4554">
            <w:pPr>
              <w:pStyle w:val="COMTabletext"/>
              <w:jc w:val="center"/>
            </w:pPr>
            <w:r w:rsidRPr="006E099A">
              <w:t>129.0</w:t>
            </w:r>
          </w:p>
        </w:tc>
        <w:tc>
          <w:tcPr>
            <w:tcW w:w="465" w:type="pct"/>
          </w:tcPr>
          <w:p w14:paraId="0091F68D" w14:textId="77777777" w:rsidR="00BC5F70" w:rsidRPr="000668FE" w:rsidRDefault="00BC5F70" w:rsidP="001D4554">
            <w:pPr>
              <w:pStyle w:val="COMTabletext"/>
              <w:jc w:val="center"/>
            </w:pPr>
            <w:r w:rsidRPr="006E099A">
              <w:t>11.5</w:t>
            </w:r>
          </w:p>
        </w:tc>
        <w:tc>
          <w:tcPr>
            <w:tcW w:w="466" w:type="pct"/>
            <w:tcMar>
              <w:top w:w="0" w:type="dxa"/>
              <w:left w:w="108" w:type="dxa"/>
              <w:bottom w:w="0" w:type="dxa"/>
              <w:right w:w="108" w:type="dxa"/>
            </w:tcMar>
            <w:vAlign w:val="center"/>
          </w:tcPr>
          <w:p w14:paraId="7AAC3C70" w14:textId="77777777" w:rsidR="00BC5F70" w:rsidRPr="000668FE" w:rsidRDefault="00BC5F70" w:rsidP="001D4554">
            <w:pPr>
              <w:pStyle w:val="COMTabletext"/>
              <w:jc w:val="center"/>
            </w:pPr>
            <w:r w:rsidRPr="006E099A">
              <w:t>9.8</w:t>
            </w:r>
            <w:r>
              <w:t>%</w:t>
            </w:r>
          </w:p>
        </w:tc>
        <w:tc>
          <w:tcPr>
            <w:tcW w:w="465" w:type="pct"/>
            <w:vAlign w:val="center"/>
          </w:tcPr>
          <w:p w14:paraId="3C977DE3" w14:textId="77777777" w:rsidR="00BC5F70" w:rsidRPr="000668FE" w:rsidRDefault="00BC5F70" w:rsidP="001D4554">
            <w:pPr>
              <w:pStyle w:val="COMTabletext"/>
              <w:jc w:val="center"/>
            </w:pPr>
            <w:r w:rsidRPr="00EC7857">
              <w:t>-14.5</w:t>
            </w:r>
          </w:p>
        </w:tc>
        <w:tc>
          <w:tcPr>
            <w:tcW w:w="465" w:type="pct"/>
          </w:tcPr>
          <w:p w14:paraId="1AC553BF" w14:textId="77777777" w:rsidR="00BC5F70" w:rsidRPr="000668FE" w:rsidRDefault="00BC5F70" w:rsidP="001D4554">
            <w:pPr>
              <w:pStyle w:val="COMTabletext"/>
              <w:jc w:val="center"/>
            </w:pPr>
            <w:r w:rsidRPr="00EC7857">
              <w:t>-12.5</w:t>
            </w:r>
            <w:r>
              <w:t>%</w:t>
            </w:r>
          </w:p>
        </w:tc>
        <w:tc>
          <w:tcPr>
            <w:tcW w:w="462" w:type="pct"/>
            <w:vAlign w:val="center"/>
          </w:tcPr>
          <w:p w14:paraId="1F2A778B" w14:textId="77777777" w:rsidR="00BC5F70" w:rsidRPr="000668FE" w:rsidRDefault="00BC5F70" w:rsidP="001D4554">
            <w:pPr>
              <w:pStyle w:val="COMTabletext"/>
              <w:jc w:val="center"/>
            </w:pPr>
            <w:r w:rsidRPr="00A2409E">
              <w:t>&lt;0.001</w:t>
            </w:r>
          </w:p>
        </w:tc>
      </w:tr>
      <w:tr w:rsidR="00BC5F70" w:rsidRPr="008215FB" w14:paraId="055755B9" w14:textId="77777777" w:rsidTr="001D4554">
        <w:tc>
          <w:tcPr>
            <w:tcW w:w="816" w:type="pct"/>
            <w:tcMar>
              <w:top w:w="0" w:type="dxa"/>
              <w:left w:w="108" w:type="dxa"/>
              <w:bottom w:w="0" w:type="dxa"/>
              <w:right w:w="108" w:type="dxa"/>
            </w:tcMar>
            <w:vAlign w:val="center"/>
          </w:tcPr>
          <w:p w14:paraId="0C8291C9" w14:textId="77777777" w:rsidR="00BC5F70" w:rsidRPr="000668FE" w:rsidRDefault="00BC5F70" w:rsidP="001D4554">
            <w:pPr>
              <w:pStyle w:val="COMTabletext"/>
            </w:pPr>
            <w:r w:rsidRPr="000668FE">
              <w:rPr>
                <w:lang w:val="en-US"/>
              </w:rPr>
              <w:t>Year 3</w:t>
            </w:r>
          </w:p>
        </w:tc>
        <w:tc>
          <w:tcPr>
            <w:tcW w:w="465" w:type="pct"/>
            <w:tcMar>
              <w:top w:w="0" w:type="dxa"/>
              <w:left w:w="108" w:type="dxa"/>
              <w:bottom w:w="0" w:type="dxa"/>
              <w:right w:w="108" w:type="dxa"/>
            </w:tcMar>
            <w:vAlign w:val="center"/>
          </w:tcPr>
          <w:p w14:paraId="081F8EA2" w14:textId="77777777" w:rsidR="00BC5F70" w:rsidRPr="000668FE" w:rsidRDefault="00BC5F70" w:rsidP="001D4554">
            <w:pPr>
              <w:pStyle w:val="COMTabletext"/>
              <w:jc w:val="center"/>
            </w:pPr>
            <w:r>
              <w:t>112.0</w:t>
            </w:r>
          </w:p>
        </w:tc>
        <w:tc>
          <w:tcPr>
            <w:tcW w:w="465" w:type="pct"/>
            <w:vAlign w:val="center"/>
          </w:tcPr>
          <w:p w14:paraId="3DAFA2AF" w14:textId="77777777" w:rsidR="00BC5F70" w:rsidRPr="000668FE" w:rsidRDefault="00BC5F70" w:rsidP="001D4554">
            <w:pPr>
              <w:pStyle w:val="COMTabletext"/>
              <w:jc w:val="center"/>
            </w:pPr>
            <w:r>
              <w:t>-4.8</w:t>
            </w:r>
          </w:p>
        </w:tc>
        <w:tc>
          <w:tcPr>
            <w:tcW w:w="466" w:type="pct"/>
          </w:tcPr>
          <w:p w14:paraId="1600F881" w14:textId="77777777" w:rsidR="00BC5F70" w:rsidRPr="000668FE" w:rsidRDefault="00BC5F70" w:rsidP="001D4554">
            <w:pPr>
              <w:pStyle w:val="COMTabletext"/>
              <w:jc w:val="center"/>
            </w:pPr>
            <w:r>
              <w:t>-4.2%</w:t>
            </w:r>
          </w:p>
        </w:tc>
        <w:tc>
          <w:tcPr>
            <w:tcW w:w="465" w:type="pct"/>
            <w:vAlign w:val="center"/>
          </w:tcPr>
          <w:p w14:paraId="3E4A3A0A" w14:textId="77777777" w:rsidR="00BC5F70" w:rsidRPr="000668FE" w:rsidRDefault="00BC5F70" w:rsidP="001D4554">
            <w:pPr>
              <w:pStyle w:val="COMTabletext"/>
              <w:jc w:val="center"/>
            </w:pPr>
            <w:r w:rsidRPr="006E099A">
              <w:t>128.0</w:t>
            </w:r>
          </w:p>
        </w:tc>
        <w:tc>
          <w:tcPr>
            <w:tcW w:w="465" w:type="pct"/>
          </w:tcPr>
          <w:p w14:paraId="40A16EEB" w14:textId="77777777" w:rsidR="00BC5F70" w:rsidRPr="000668FE" w:rsidRDefault="00BC5F70" w:rsidP="001D4554">
            <w:pPr>
              <w:pStyle w:val="COMTabletext"/>
              <w:jc w:val="center"/>
            </w:pPr>
            <w:r w:rsidRPr="006E099A">
              <w:t>10.5</w:t>
            </w:r>
          </w:p>
        </w:tc>
        <w:tc>
          <w:tcPr>
            <w:tcW w:w="466" w:type="pct"/>
            <w:tcMar>
              <w:top w:w="0" w:type="dxa"/>
              <w:left w:w="108" w:type="dxa"/>
              <w:bottom w:w="0" w:type="dxa"/>
              <w:right w:w="108" w:type="dxa"/>
            </w:tcMar>
            <w:vAlign w:val="center"/>
          </w:tcPr>
          <w:p w14:paraId="0C290CAF" w14:textId="77777777" w:rsidR="00BC5F70" w:rsidRPr="000668FE" w:rsidRDefault="00BC5F70" w:rsidP="001D4554">
            <w:pPr>
              <w:pStyle w:val="COMTabletext"/>
              <w:jc w:val="center"/>
            </w:pPr>
            <w:r w:rsidRPr="006E099A">
              <w:t>9.2</w:t>
            </w:r>
            <w:r>
              <w:t>%</w:t>
            </w:r>
          </w:p>
        </w:tc>
        <w:tc>
          <w:tcPr>
            <w:tcW w:w="465" w:type="pct"/>
            <w:vAlign w:val="center"/>
          </w:tcPr>
          <w:p w14:paraId="1DD84ADA" w14:textId="77777777" w:rsidR="00BC5F70" w:rsidRPr="000668FE" w:rsidRDefault="00BC5F70" w:rsidP="001D4554">
            <w:pPr>
              <w:pStyle w:val="COMTabletext"/>
              <w:jc w:val="center"/>
            </w:pPr>
            <w:r w:rsidRPr="00EC7857">
              <w:t>-14.5</w:t>
            </w:r>
          </w:p>
        </w:tc>
        <w:tc>
          <w:tcPr>
            <w:tcW w:w="465" w:type="pct"/>
          </w:tcPr>
          <w:p w14:paraId="0DBC464B" w14:textId="77777777" w:rsidR="00BC5F70" w:rsidRPr="000668FE" w:rsidRDefault="00BC5F70" w:rsidP="001D4554">
            <w:pPr>
              <w:pStyle w:val="COMTabletext"/>
              <w:jc w:val="center"/>
            </w:pPr>
            <w:r w:rsidRPr="00EC7857">
              <w:t>-12.4</w:t>
            </w:r>
            <w:r>
              <w:t>%</w:t>
            </w:r>
          </w:p>
        </w:tc>
        <w:tc>
          <w:tcPr>
            <w:tcW w:w="462" w:type="pct"/>
          </w:tcPr>
          <w:p w14:paraId="0AE16E76" w14:textId="77777777" w:rsidR="00BC5F70" w:rsidRPr="000668FE" w:rsidRDefault="00BC5F70" w:rsidP="001D4554">
            <w:pPr>
              <w:pStyle w:val="COMTabletext"/>
              <w:jc w:val="center"/>
            </w:pPr>
            <w:r w:rsidRPr="00A2409E">
              <w:t>&lt;0.001</w:t>
            </w:r>
          </w:p>
        </w:tc>
      </w:tr>
      <w:tr w:rsidR="00BC5F70" w:rsidRPr="008215FB" w14:paraId="2078D89A" w14:textId="77777777" w:rsidTr="001D4554">
        <w:tc>
          <w:tcPr>
            <w:tcW w:w="816" w:type="pct"/>
            <w:tcMar>
              <w:top w:w="0" w:type="dxa"/>
              <w:left w:w="108" w:type="dxa"/>
              <w:bottom w:w="0" w:type="dxa"/>
              <w:right w:w="108" w:type="dxa"/>
            </w:tcMar>
            <w:vAlign w:val="center"/>
          </w:tcPr>
          <w:p w14:paraId="02805E2C" w14:textId="77777777" w:rsidR="00BC5F70" w:rsidRPr="000668FE" w:rsidRDefault="00BC5F70" w:rsidP="001D4554">
            <w:pPr>
              <w:pStyle w:val="COMTabletext"/>
            </w:pPr>
            <w:r w:rsidRPr="000668FE">
              <w:rPr>
                <w:lang w:val="en-US"/>
              </w:rPr>
              <w:t>Year 4</w:t>
            </w:r>
          </w:p>
        </w:tc>
        <w:tc>
          <w:tcPr>
            <w:tcW w:w="465" w:type="pct"/>
            <w:tcMar>
              <w:top w:w="0" w:type="dxa"/>
              <w:left w:w="108" w:type="dxa"/>
              <w:bottom w:w="0" w:type="dxa"/>
              <w:right w:w="108" w:type="dxa"/>
            </w:tcMar>
            <w:vAlign w:val="center"/>
          </w:tcPr>
          <w:p w14:paraId="11A967CC" w14:textId="77777777" w:rsidR="00BC5F70" w:rsidRPr="000668FE" w:rsidRDefault="00BC5F70" w:rsidP="001D4554">
            <w:pPr>
              <w:pStyle w:val="COMTabletext"/>
              <w:jc w:val="center"/>
            </w:pPr>
            <w:r>
              <w:t>110.5</w:t>
            </w:r>
          </w:p>
        </w:tc>
        <w:tc>
          <w:tcPr>
            <w:tcW w:w="465" w:type="pct"/>
            <w:vAlign w:val="center"/>
          </w:tcPr>
          <w:p w14:paraId="2AFFBE3A" w14:textId="77777777" w:rsidR="00BC5F70" w:rsidRPr="000668FE" w:rsidRDefault="00BC5F70" w:rsidP="001D4554">
            <w:pPr>
              <w:pStyle w:val="COMTabletext"/>
              <w:jc w:val="center"/>
            </w:pPr>
            <w:r>
              <w:t>-5.0</w:t>
            </w:r>
          </w:p>
        </w:tc>
        <w:tc>
          <w:tcPr>
            <w:tcW w:w="466" w:type="pct"/>
          </w:tcPr>
          <w:p w14:paraId="30317BA2" w14:textId="77777777" w:rsidR="00BC5F70" w:rsidRPr="000668FE" w:rsidRDefault="00BC5F70" w:rsidP="001D4554">
            <w:pPr>
              <w:pStyle w:val="COMTabletext"/>
              <w:jc w:val="center"/>
            </w:pPr>
            <w:r>
              <w:t>-4.2%</w:t>
            </w:r>
          </w:p>
        </w:tc>
        <w:tc>
          <w:tcPr>
            <w:tcW w:w="465" w:type="pct"/>
            <w:vAlign w:val="center"/>
          </w:tcPr>
          <w:p w14:paraId="7560B10B" w14:textId="77777777" w:rsidR="00BC5F70" w:rsidRPr="000668FE" w:rsidRDefault="00BC5F70" w:rsidP="001D4554">
            <w:pPr>
              <w:pStyle w:val="COMTabletext"/>
              <w:jc w:val="center"/>
            </w:pPr>
            <w:r w:rsidRPr="006E099A">
              <w:t>126.0</w:t>
            </w:r>
          </w:p>
        </w:tc>
        <w:tc>
          <w:tcPr>
            <w:tcW w:w="465" w:type="pct"/>
          </w:tcPr>
          <w:p w14:paraId="1974DFDF" w14:textId="77777777" w:rsidR="00BC5F70" w:rsidRPr="000668FE" w:rsidRDefault="00BC5F70" w:rsidP="001D4554">
            <w:pPr>
              <w:pStyle w:val="COMTabletext"/>
              <w:jc w:val="center"/>
            </w:pPr>
            <w:r w:rsidRPr="006E099A">
              <w:t>9.5</w:t>
            </w:r>
          </w:p>
        </w:tc>
        <w:tc>
          <w:tcPr>
            <w:tcW w:w="466" w:type="pct"/>
            <w:tcMar>
              <w:top w:w="0" w:type="dxa"/>
              <w:left w:w="108" w:type="dxa"/>
              <w:bottom w:w="0" w:type="dxa"/>
              <w:right w:w="108" w:type="dxa"/>
            </w:tcMar>
            <w:vAlign w:val="center"/>
          </w:tcPr>
          <w:p w14:paraId="33BD1EA4" w14:textId="77777777" w:rsidR="00BC5F70" w:rsidRPr="000668FE" w:rsidRDefault="00BC5F70" w:rsidP="001D4554">
            <w:pPr>
              <w:pStyle w:val="COMTabletext"/>
              <w:jc w:val="center"/>
            </w:pPr>
            <w:r w:rsidRPr="006E099A">
              <w:t>8.1</w:t>
            </w:r>
            <w:r>
              <w:t>%</w:t>
            </w:r>
          </w:p>
        </w:tc>
        <w:tc>
          <w:tcPr>
            <w:tcW w:w="465" w:type="pct"/>
            <w:vAlign w:val="center"/>
          </w:tcPr>
          <w:p w14:paraId="794D4EFE" w14:textId="77777777" w:rsidR="00BC5F70" w:rsidRPr="000668FE" w:rsidRDefault="00BC5F70" w:rsidP="001D4554">
            <w:pPr>
              <w:pStyle w:val="COMTabletext"/>
              <w:jc w:val="center"/>
            </w:pPr>
            <w:r w:rsidRPr="00EC7857">
              <w:t>-14.0</w:t>
            </w:r>
          </w:p>
        </w:tc>
        <w:tc>
          <w:tcPr>
            <w:tcW w:w="465" w:type="pct"/>
          </w:tcPr>
          <w:p w14:paraId="25DC692D" w14:textId="77777777" w:rsidR="00BC5F70" w:rsidRPr="000668FE" w:rsidRDefault="00BC5F70" w:rsidP="001D4554">
            <w:pPr>
              <w:pStyle w:val="COMTabletext"/>
              <w:jc w:val="center"/>
            </w:pPr>
            <w:r w:rsidRPr="00EC7857">
              <w:t>-12.0</w:t>
            </w:r>
            <w:r>
              <w:t>%</w:t>
            </w:r>
          </w:p>
        </w:tc>
        <w:tc>
          <w:tcPr>
            <w:tcW w:w="462" w:type="pct"/>
          </w:tcPr>
          <w:p w14:paraId="13BBA36A" w14:textId="77777777" w:rsidR="00BC5F70" w:rsidRPr="000668FE" w:rsidRDefault="00BC5F70" w:rsidP="001D4554">
            <w:pPr>
              <w:pStyle w:val="COMTabletext"/>
              <w:jc w:val="center"/>
            </w:pPr>
            <w:r w:rsidRPr="00A2409E">
              <w:t>&lt;0.001</w:t>
            </w:r>
          </w:p>
        </w:tc>
      </w:tr>
      <w:tr w:rsidR="00BC5F70" w:rsidRPr="008215FB" w14:paraId="0D1CA6DC" w14:textId="77777777" w:rsidTr="001D4554">
        <w:tc>
          <w:tcPr>
            <w:tcW w:w="816" w:type="pct"/>
            <w:tcMar>
              <w:top w:w="0" w:type="dxa"/>
              <w:left w:w="108" w:type="dxa"/>
              <w:bottom w:w="0" w:type="dxa"/>
              <w:right w:w="108" w:type="dxa"/>
            </w:tcMar>
            <w:vAlign w:val="center"/>
          </w:tcPr>
          <w:p w14:paraId="571A3D2C" w14:textId="77777777" w:rsidR="00BC5F70" w:rsidRPr="000668FE" w:rsidRDefault="00BC5F70" w:rsidP="001D4554">
            <w:pPr>
              <w:pStyle w:val="COMTabletext"/>
            </w:pPr>
            <w:r w:rsidRPr="000668FE">
              <w:rPr>
                <w:lang w:val="en-US"/>
              </w:rPr>
              <w:t>Year 5</w:t>
            </w:r>
          </w:p>
        </w:tc>
        <w:tc>
          <w:tcPr>
            <w:tcW w:w="465" w:type="pct"/>
            <w:tcMar>
              <w:top w:w="0" w:type="dxa"/>
              <w:left w:w="108" w:type="dxa"/>
              <w:bottom w:w="0" w:type="dxa"/>
              <w:right w:w="108" w:type="dxa"/>
            </w:tcMar>
            <w:vAlign w:val="center"/>
          </w:tcPr>
          <w:p w14:paraId="24A9A7CA" w14:textId="77777777" w:rsidR="00BC5F70" w:rsidRPr="000668FE" w:rsidRDefault="00BC5F70" w:rsidP="001D4554">
            <w:pPr>
              <w:pStyle w:val="COMTabletext"/>
              <w:jc w:val="center"/>
            </w:pPr>
            <w:r>
              <w:t>109.0</w:t>
            </w:r>
          </w:p>
        </w:tc>
        <w:tc>
          <w:tcPr>
            <w:tcW w:w="465" w:type="pct"/>
            <w:vAlign w:val="center"/>
          </w:tcPr>
          <w:p w14:paraId="1B96ABF4" w14:textId="77777777" w:rsidR="00BC5F70" w:rsidRPr="000668FE" w:rsidRDefault="00BC5F70" w:rsidP="001D4554">
            <w:pPr>
              <w:pStyle w:val="COMTabletext"/>
              <w:jc w:val="center"/>
            </w:pPr>
            <w:r>
              <w:t>-5.0</w:t>
            </w:r>
          </w:p>
        </w:tc>
        <w:tc>
          <w:tcPr>
            <w:tcW w:w="466" w:type="pct"/>
          </w:tcPr>
          <w:p w14:paraId="7E4F729F" w14:textId="77777777" w:rsidR="00BC5F70" w:rsidRPr="000668FE" w:rsidRDefault="00BC5F70" w:rsidP="001D4554">
            <w:pPr>
              <w:pStyle w:val="COMTabletext"/>
              <w:jc w:val="center"/>
            </w:pPr>
            <w:r>
              <w:t>-4.4%</w:t>
            </w:r>
          </w:p>
        </w:tc>
        <w:tc>
          <w:tcPr>
            <w:tcW w:w="465" w:type="pct"/>
            <w:vAlign w:val="center"/>
          </w:tcPr>
          <w:p w14:paraId="48ED4CCD" w14:textId="77777777" w:rsidR="00BC5F70" w:rsidRPr="000668FE" w:rsidRDefault="00BC5F70" w:rsidP="001D4554">
            <w:pPr>
              <w:pStyle w:val="COMTabletext"/>
              <w:jc w:val="center"/>
            </w:pPr>
            <w:r w:rsidRPr="006E099A">
              <w:t>123.0</w:t>
            </w:r>
          </w:p>
        </w:tc>
        <w:tc>
          <w:tcPr>
            <w:tcW w:w="465" w:type="pct"/>
          </w:tcPr>
          <w:p w14:paraId="52A824DF" w14:textId="77777777" w:rsidR="00BC5F70" w:rsidRPr="000668FE" w:rsidRDefault="00BC5F70" w:rsidP="001D4554">
            <w:pPr>
              <w:pStyle w:val="COMTabletext"/>
              <w:jc w:val="center"/>
            </w:pPr>
            <w:r w:rsidRPr="006E099A">
              <w:t>7.0</w:t>
            </w:r>
          </w:p>
        </w:tc>
        <w:tc>
          <w:tcPr>
            <w:tcW w:w="466" w:type="pct"/>
            <w:tcMar>
              <w:top w:w="0" w:type="dxa"/>
              <w:left w:w="108" w:type="dxa"/>
              <w:bottom w:w="0" w:type="dxa"/>
              <w:right w:w="108" w:type="dxa"/>
            </w:tcMar>
            <w:vAlign w:val="center"/>
          </w:tcPr>
          <w:p w14:paraId="179B5508" w14:textId="77777777" w:rsidR="00BC5F70" w:rsidRPr="000668FE" w:rsidRDefault="00BC5F70" w:rsidP="001D4554">
            <w:pPr>
              <w:pStyle w:val="COMTabletext"/>
              <w:jc w:val="center"/>
            </w:pPr>
            <w:r w:rsidRPr="006E099A">
              <w:t>6.1</w:t>
            </w:r>
            <w:r>
              <w:t>%</w:t>
            </w:r>
          </w:p>
        </w:tc>
        <w:tc>
          <w:tcPr>
            <w:tcW w:w="465" w:type="pct"/>
            <w:vAlign w:val="center"/>
          </w:tcPr>
          <w:p w14:paraId="3D19DB77" w14:textId="77777777" w:rsidR="00BC5F70" w:rsidRPr="000668FE" w:rsidRDefault="00BC5F70" w:rsidP="001D4554">
            <w:pPr>
              <w:pStyle w:val="COMTabletext"/>
              <w:jc w:val="center"/>
            </w:pPr>
            <w:r w:rsidRPr="00EC7857">
              <w:t>-11.0</w:t>
            </w:r>
          </w:p>
        </w:tc>
        <w:tc>
          <w:tcPr>
            <w:tcW w:w="465" w:type="pct"/>
          </w:tcPr>
          <w:p w14:paraId="2405299E" w14:textId="77777777" w:rsidR="00BC5F70" w:rsidRPr="000668FE" w:rsidRDefault="00BC5F70" w:rsidP="001D4554">
            <w:pPr>
              <w:pStyle w:val="COMTabletext"/>
              <w:jc w:val="center"/>
            </w:pPr>
            <w:r w:rsidRPr="00EC7857">
              <w:t>-9.9</w:t>
            </w:r>
            <w:r>
              <w:t>%</w:t>
            </w:r>
          </w:p>
        </w:tc>
        <w:tc>
          <w:tcPr>
            <w:tcW w:w="462" w:type="pct"/>
          </w:tcPr>
          <w:p w14:paraId="751A4D84" w14:textId="77777777" w:rsidR="00BC5F70" w:rsidRPr="000668FE" w:rsidRDefault="00BC5F70" w:rsidP="001D4554">
            <w:pPr>
              <w:pStyle w:val="COMTabletext"/>
              <w:jc w:val="center"/>
            </w:pPr>
            <w:r w:rsidRPr="00A2409E">
              <w:t>&lt;0.001</w:t>
            </w:r>
          </w:p>
        </w:tc>
      </w:tr>
      <w:tr w:rsidR="00BC5F70" w:rsidRPr="008215FB" w14:paraId="24EBF7C6" w14:textId="77777777" w:rsidTr="001D4554">
        <w:tc>
          <w:tcPr>
            <w:tcW w:w="816" w:type="pct"/>
            <w:tcMar>
              <w:top w:w="0" w:type="dxa"/>
              <w:left w:w="108" w:type="dxa"/>
              <w:bottom w:w="0" w:type="dxa"/>
              <w:right w:w="108" w:type="dxa"/>
            </w:tcMar>
            <w:vAlign w:val="center"/>
          </w:tcPr>
          <w:p w14:paraId="1F39FA99" w14:textId="77777777" w:rsidR="00BC5F70" w:rsidRPr="000668FE" w:rsidRDefault="00BC5F70" w:rsidP="001D4554">
            <w:pPr>
              <w:pStyle w:val="COMTabletext"/>
            </w:pPr>
            <w:r w:rsidRPr="000668FE">
              <w:t>Last visit</w:t>
            </w:r>
          </w:p>
        </w:tc>
        <w:tc>
          <w:tcPr>
            <w:tcW w:w="465" w:type="pct"/>
            <w:tcMar>
              <w:top w:w="0" w:type="dxa"/>
              <w:left w:w="108" w:type="dxa"/>
              <w:bottom w:w="0" w:type="dxa"/>
              <w:right w:w="108" w:type="dxa"/>
            </w:tcMar>
            <w:vAlign w:val="center"/>
          </w:tcPr>
          <w:p w14:paraId="0E4F8DA9" w14:textId="77777777" w:rsidR="00BC5F70" w:rsidRPr="000668FE" w:rsidRDefault="00BC5F70" w:rsidP="001D4554">
            <w:pPr>
              <w:pStyle w:val="COMTabletext"/>
              <w:jc w:val="center"/>
            </w:pPr>
            <w:r>
              <w:t>112.0</w:t>
            </w:r>
          </w:p>
        </w:tc>
        <w:tc>
          <w:tcPr>
            <w:tcW w:w="465" w:type="pct"/>
            <w:vAlign w:val="center"/>
          </w:tcPr>
          <w:p w14:paraId="1CFA4A36" w14:textId="77777777" w:rsidR="00BC5F70" w:rsidRPr="000668FE" w:rsidRDefault="00BC5F70" w:rsidP="001D4554">
            <w:pPr>
              <w:pStyle w:val="COMTabletext"/>
              <w:jc w:val="center"/>
            </w:pPr>
            <w:r>
              <w:t>-5.0</w:t>
            </w:r>
          </w:p>
        </w:tc>
        <w:tc>
          <w:tcPr>
            <w:tcW w:w="466" w:type="pct"/>
          </w:tcPr>
          <w:p w14:paraId="48FDCDD6" w14:textId="77777777" w:rsidR="00BC5F70" w:rsidRPr="000668FE" w:rsidRDefault="00BC5F70" w:rsidP="001D4554">
            <w:pPr>
              <w:pStyle w:val="COMTabletext"/>
              <w:jc w:val="center"/>
            </w:pPr>
            <w:r>
              <w:t>-4.4%</w:t>
            </w:r>
          </w:p>
        </w:tc>
        <w:tc>
          <w:tcPr>
            <w:tcW w:w="465" w:type="pct"/>
            <w:vAlign w:val="center"/>
          </w:tcPr>
          <w:p w14:paraId="4BCE6AE0" w14:textId="77777777" w:rsidR="00BC5F70" w:rsidRPr="000668FE" w:rsidRDefault="00BC5F70" w:rsidP="001D4554">
            <w:pPr>
              <w:pStyle w:val="COMTabletext"/>
              <w:jc w:val="center"/>
            </w:pPr>
            <w:r w:rsidRPr="006E099A">
              <w:t>124.0</w:t>
            </w:r>
          </w:p>
        </w:tc>
        <w:tc>
          <w:tcPr>
            <w:tcW w:w="465" w:type="pct"/>
          </w:tcPr>
          <w:p w14:paraId="48E6EEF0" w14:textId="77777777" w:rsidR="00BC5F70" w:rsidRPr="000668FE" w:rsidRDefault="00BC5F70" w:rsidP="001D4554">
            <w:pPr>
              <w:pStyle w:val="COMTabletext"/>
              <w:jc w:val="center"/>
            </w:pPr>
            <w:r w:rsidRPr="006E099A">
              <w:t>6.0</w:t>
            </w:r>
          </w:p>
        </w:tc>
        <w:tc>
          <w:tcPr>
            <w:tcW w:w="466" w:type="pct"/>
            <w:tcMar>
              <w:top w:w="0" w:type="dxa"/>
              <w:left w:w="108" w:type="dxa"/>
              <w:bottom w:w="0" w:type="dxa"/>
              <w:right w:w="108" w:type="dxa"/>
            </w:tcMar>
            <w:vAlign w:val="center"/>
          </w:tcPr>
          <w:p w14:paraId="5E6945AD" w14:textId="77777777" w:rsidR="00BC5F70" w:rsidRPr="000668FE" w:rsidRDefault="00BC5F70" w:rsidP="001D4554">
            <w:pPr>
              <w:pStyle w:val="COMTabletext"/>
              <w:jc w:val="center"/>
            </w:pPr>
            <w:r w:rsidRPr="006E099A">
              <w:t>5.1</w:t>
            </w:r>
            <w:r>
              <w:t>%</w:t>
            </w:r>
          </w:p>
        </w:tc>
        <w:tc>
          <w:tcPr>
            <w:tcW w:w="465" w:type="pct"/>
            <w:vAlign w:val="center"/>
          </w:tcPr>
          <w:p w14:paraId="07A2EB8C" w14:textId="77777777" w:rsidR="00BC5F70" w:rsidRPr="000668FE" w:rsidRDefault="00BC5F70" w:rsidP="001D4554">
            <w:pPr>
              <w:pStyle w:val="COMTabletext"/>
              <w:jc w:val="center"/>
            </w:pPr>
            <w:r w:rsidRPr="00EC7857">
              <w:t>-10.0</w:t>
            </w:r>
          </w:p>
        </w:tc>
        <w:tc>
          <w:tcPr>
            <w:tcW w:w="465" w:type="pct"/>
          </w:tcPr>
          <w:p w14:paraId="10330A57" w14:textId="77777777" w:rsidR="00BC5F70" w:rsidRPr="000668FE" w:rsidRDefault="00BC5F70" w:rsidP="001D4554">
            <w:pPr>
              <w:pStyle w:val="COMTabletext"/>
              <w:jc w:val="center"/>
            </w:pPr>
            <w:r w:rsidRPr="00EC7857">
              <w:t>-8.6</w:t>
            </w:r>
            <w:r>
              <w:t>%</w:t>
            </w:r>
          </w:p>
        </w:tc>
        <w:tc>
          <w:tcPr>
            <w:tcW w:w="462" w:type="pct"/>
          </w:tcPr>
          <w:p w14:paraId="11207317" w14:textId="77777777" w:rsidR="00BC5F70" w:rsidRPr="000668FE" w:rsidRDefault="00BC5F70" w:rsidP="001D4554">
            <w:pPr>
              <w:pStyle w:val="COMTabletext"/>
              <w:jc w:val="center"/>
            </w:pPr>
            <w:r w:rsidRPr="00A2409E">
              <w:t>&lt;0.001</w:t>
            </w:r>
          </w:p>
        </w:tc>
      </w:tr>
      <w:tr w:rsidR="00BC5F70" w:rsidRPr="008215FB" w14:paraId="40FE2526" w14:textId="77777777" w:rsidTr="001D4554">
        <w:tc>
          <w:tcPr>
            <w:tcW w:w="5000" w:type="pct"/>
            <w:gridSpan w:val="10"/>
            <w:tcMar>
              <w:top w:w="0" w:type="dxa"/>
              <w:left w:w="108" w:type="dxa"/>
              <w:bottom w:w="0" w:type="dxa"/>
              <w:right w:w="108" w:type="dxa"/>
            </w:tcMar>
            <w:vAlign w:val="center"/>
          </w:tcPr>
          <w:p w14:paraId="0B8D262C" w14:textId="77777777" w:rsidR="00BC5F70" w:rsidRPr="0037365D" w:rsidRDefault="00BC5F70" w:rsidP="001D4554">
            <w:pPr>
              <w:pStyle w:val="COMTabletext"/>
              <w:rPr>
                <w:b/>
                <w:bCs w:val="0"/>
                <w:vertAlign w:val="superscript"/>
              </w:rPr>
            </w:pPr>
            <w:r>
              <w:rPr>
                <w:b/>
                <w:bCs w:val="0"/>
              </w:rPr>
              <w:t xml:space="preserve">LDL cholesterol, Hopkins (mg/dL) </w:t>
            </w:r>
            <w:r>
              <w:rPr>
                <w:b/>
                <w:bCs w:val="0"/>
                <w:vertAlign w:val="superscript"/>
              </w:rPr>
              <w:t>a</w:t>
            </w:r>
          </w:p>
        </w:tc>
      </w:tr>
      <w:tr w:rsidR="00BC5F70" w:rsidRPr="008215FB" w14:paraId="195C66F2" w14:textId="77777777" w:rsidTr="001D4554">
        <w:tc>
          <w:tcPr>
            <w:tcW w:w="816" w:type="pct"/>
            <w:tcMar>
              <w:top w:w="0" w:type="dxa"/>
              <w:left w:w="108" w:type="dxa"/>
              <w:bottom w:w="0" w:type="dxa"/>
              <w:right w:w="108" w:type="dxa"/>
            </w:tcMar>
            <w:vAlign w:val="center"/>
          </w:tcPr>
          <w:p w14:paraId="70E4015D" w14:textId="77777777" w:rsidR="00BC5F70" w:rsidRPr="000668FE" w:rsidRDefault="00BC5F70" w:rsidP="001D4554">
            <w:pPr>
              <w:pStyle w:val="COMTabletext"/>
            </w:pPr>
            <w:r w:rsidRPr="000668FE">
              <w:rPr>
                <w:lang w:val="en-US"/>
              </w:rPr>
              <w:t>Baseline</w:t>
            </w:r>
          </w:p>
        </w:tc>
        <w:tc>
          <w:tcPr>
            <w:tcW w:w="465" w:type="pct"/>
            <w:tcMar>
              <w:top w:w="0" w:type="dxa"/>
              <w:left w:w="108" w:type="dxa"/>
              <w:bottom w:w="0" w:type="dxa"/>
              <w:right w:w="108" w:type="dxa"/>
            </w:tcMar>
            <w:vAlign w:val="center"/>
          </w:tcPr>
          <w:p w14:paraId="76152F76" w14:textId="77777777" w:rsidR="00BC5F70" w:rsidRPr="000668FE" w:rsidRDefault="00BC5F70" w:rsidP="001D4554">
            <w:pPr>
              <w:pStyle w:val="COMTabletext"/>
              <w:jc w:val="center"/>
            </w:pPr>
            <w:r w:rsidRPr="002470C3">
              <w:t>85.8</w:t>
            </w:r>
          </w:p>
        </w:tc>
        <w:tc>
          <w:tcPr>
            <w:tcW w:w="465" w:type="pct"/>
            <w:vAlign w:val="center"/>
          </w:tcPr>
          <w:p w14:paraId="25CACA9D" w14:textId="77777777" w:rsidR="00BC5F70" w:rsidRPr="000668FE" w:rsidRDefault="00BC5F70" w:rsidP="001D4554">
            <w:pPr>
              <w:pStyle w:val="COMTabletext"/>
              <w:jc w:val="center"/>
            </w:pPr>
            <w:r>
              <w:t>-</w:t>
            </w:r>
          </w:p>
        </w:tc>
        <w:tc>
          <w:tcPr>
            <w:tcW w:w="466" w:type="pct"/>
          </w:tcPr>
          <w:p w14:paraId="6FCBAF8A" w14:textId="77777777" w:rsidR="00BC5F70" w:rsidRPr="000668FE" w:rsidRDefault="00BC5F70" w:rsidP="001D4554">
            <w:pPr>
              <w:pStyle w:val="COMTabletext"/>
              <w:jc w:val="center"/>
            </w:pPr>
            <w:r>
              <w:t>-</w:t>
            </w:r>
          </w:p>
        </w:tc>
        <w:tc>
          <w:tcPr>
            <w:tcW w:w="465" w:type="pct"/>
            <w:vAlign w:val="center"/>
          </w:tcPr>
          <w:p w14:paraId="741A3E69" w14:textId="77777777" w:rsidR="00BC5F70" w:rsidRPr="000668FE" w:rsidRDefault="00BC5F70" w:rsidP="001D4554">
            <w:pPr>
              <w:pStyle w:val="COMTabletext"/>
              <w:jc w:val="center"/>
            </w:pPr>
            <w:r w:rsidRPr="002470C3">
              <w:t>86.7</w:t>
            </w:r>
          </w:p>
        </w:tc>
        <w:tc>
          <w:tcPr>
            <w:tcW w:w="465" w:type="pct"/>
          </w:tcPr>
          <w:p w14:paraId="2DD936F6" w14:textId="77777777" w:rsidR="00BC5F70" w:rsidRPr="000668FE" w:rsidRDefault="00BC5F70" w:rsidP="001D4554">
            <w:pPr>
              <w:pStyle w:val="COMTabletext"/>
              <w:jc w:val="center"/>
            </w:pPr>
            <w:r>
              <w:t>-</w:t>
            </w:r>
          </w:p>
        </w:tc>
        <w:tc>
          <w:tcPr>
            <w:tcW w:w="466" w:type="pct"/>
            <w:tcMar>
              <w:top w:w="0" w:type="dxa"/>
              <w:left w:w="108" w:type="dxa"/>
              <w:bottom w:w="0" w:type="dxa"/>
              <w:right w:w="108" w:type="dxa"/>
            </w:tcMar>
            <w:vAlign w:val="center"/>
          </w:tcPr>
          <w:p w14:paraId="011E35BE" w14:textId="77777777" w:rsidR="00BC5F70" w:rsidRPr="000668FE" w:rsidRDefault="00BC5F70" w:rsidP="001D4554">
            <w:pPr>
              <w:pStyle w:val="COMTabletext"/>
              <w:jc w:val="center"/>
            </w:pPr>
            <w:r>
              <w:t>-</w:t>
            </w:r>
          </w:p>
        </w:tc>
        <w:tc>
          <w:tcPr>
            <w:tcW w:w="465" w:type="pct"/>
            <w:vAlign w:val="center"/>
          </w:tcPr>
          <w:p w14:paraId="7F005A3D" w14:textId="77777777" w:rsidR="00BC5F70" w:rsidRPr="000668FE" w:rsidRDefault="00BC5F70" w:rsidP="001D4554">
            <w:pPr>
              <w:pStyle w:val="COMTabletext"/>
              <w:jc w:val="center"/>
            </w:pPr>
            <w:r>
              <w:t>-</w:t>
            </w:r>
          </w:p>
        </w:tc>
        <w:tc>
          <w:tcPr>
            <w:tcW w:w="465" w:type="pct"/>
          </w:tcPr>
          <w:p w14:paraId="4B92DA69" w14:textId="77777777" w:rsidR="00BC5F70" w:rsidRPr="000668FE" w:rsidRDefault="00BC5F70" w:rsidP="001D4554">
            <w:pPr>
              <w:pStyle w:val="COMTabletext"/>
              <w:jc w:val="center"/>
            </w:pPr>
            <w:r>
              <w:t>-</w:t>
            </w:r>
          </w:p>
        </w:tc>
        <w:tc>
          <w:tcPr>
            <w:tcW w:w="462" w:type="pct"/>
          </w:tcPr>
          <w:p w14:paraId="5BD1C416" w14:textId="77777777" w:rsidR="00BC5F70" w:rsidRPr="000668FE" w:rsidRDefault="00BC5F70" w:rsidP="001D4554">
            <w:pPr>
              <w:pStyle w:val="COMTabletext"/>
              <w:jc w:val="center"/>
            </w:pPr>
            <w:r>
              <w:t>-</w:t>
            </w:r>
          </w:p>
        </w:tc>
      </w:tr>
      <w:tr w:rsidR="00BC5F70" w:rsidRPr="008215FB" w14:paraId="59815D0B" w14:textId="77777777" w:rsidTr="001D4554">
        <w:tc>
          <w:tcPr>
            <w:tcW w:w="816" w:type="pct"/>
            <w:tcMar>
              <w:top w:w="0" w:type="dxa"/>
              <w:left w:w="108" w:type="dxa"/>
              <w:bottom w:w="0" w:type="dxa"/>
              <w:right w:w="108" w:type="dxa"/>
            </w:tcMar>
            <w:vAlign w:val="center"/>
          </w:tcPr>
          <w:p w14:paraId="08E61B6C" w14:textId="77777777" w:rsidR="00BC5F70" w:rsidRPr="000668FE" w:rsidRDefault="00BC5F70" w:rsidP="001D4554">
            <w:pPr>
              <w:pStyle w:val="COMTabletext"/>
            </w:pPr>
            <w:r>
              <w:rPr>
                <w:lang w:val="en-US"/>
              </w:rPr>
              <w:t>Month 4</w:t>
            </w:r>
          </w:p>
        </w:tc>
        <w:tc>
          <w:tcPr>
            <w:tcW w:w="465" w:type="pct"/>
            <w:tcMar>
              <w:top w:w="0" w:type="dxa"/>
              <w:left w:w="108" w:type="dxa"/>
              <w:bottom w:w="0" w:type="dxa"/>
              <w:right w:w="108" w:type="dxa"/>
            </w:tcMar>
            <w:vAlign w:val="center"/>
          </w:tcPr>
          <w:p w14:paraId="7EB6B8FA" w14:textId="77777777" w:rsidR="00BC5F70" w:rsidRPr="000668FE" w:rsidRDefault="00BC5F70" w:rsidP="001D4554">
            <w:pPr>
              <w:pStyle w:val="COMTabletext"/>
              <w:jc w:val="center"/>
            </w:pPr>
            <w:r w:rsidRPr="002470C3">
              <w:t>83.6</w:t>
            </w:r>
          </w:p>
        </w:tc>
        <w:tc>
          <w:tcPr>
            <w:tcW w:w="465" w:type="pct"/>
            <w:vAlign w:val="center"/>
          </w:tcPr>
          <w:p w14:paraId="42E3383F" w14:textId="77777777" w:rsidR="00BC5F70" w:rsidRPr="000668FE" w:rsidRDefault="00BC5F70" w:rsidP="001D4554">
            <w:pPr>
              <w:pStyle w:val="COMTabletext"/>
              <w:jc w:val="center"/>
            </w:pPr>
            <w:r w:rsidRPr="002470C3">
              <w:t>-1.6</w:t>
            </w:r>
          </w:p>
        </w:tc>
        <w:tc>
          <w:tcPr>
            <w:tcW w:w="466" w:type="pct"/>
          </w:tcPr>
          <w:p w14:paraId="21F1923E" w14:textId="77777777" w:rsidR="00BC5F70" w:rsidRPr="000668FE" w:rsidRDefault="00BC5F70" w:rsidP="001D4554">
            <w:pPr>
              <w:pStyle w:val="COMTabletext"/>
              <w:jc w:val="center"/>
            </w:pPr>
            <w:r w:rsidRPr="002470C3">
              <w:t>-2.0</w:t>
            </w:r>
            <w:r>
              <w:t>%</w:t>
            </w:r>
          </w:p>
        </w:tc>
        <w:tc>
          <w:tcPr>
            <w:tcW w:w="465" w:type="pct"/>
            <w:vAlign w:val="center"/>
          </w:tcPr>
          <w:p w14:paraId="4B8427B2" w14:textId="77777777" w:rsidR="00BC5F70" w:rsidRPr="000668FE" w:rsidRDefault="00BC5F70" w:rsidP="001D4554">
            <w:pPr>
              <w:pStyle w:val="COMTabletext"/>
              <w:jc w:val="center"/>
            </w:pPr>
            <w:r w:rsidRPr="00D9742C">
              <w:t>93.7</w:t>
            </w:r>
          </w:p>
        </w:tc>
        <w:tc>
          <w:tcPr>
            <w:tcW w:w="465" w:type="pct"/>
          </w:tcPr>
          <w:p w14:paraId="27F3A2F8" w14:textId="77777777" w:rsidR="00BC5F70" w:rsidRPr="000668FE" w:rsidRDefault="00BC5F70" w:rsidP="001D4554">
            <w:pPr>
              <w:pStyle w:val="COMTabletext"/>
              <w:jc w:val="center"/>
            </w:pPr>
            <w:r w:rsidRPr="00D9742C">
              <w:t>7.3</w:t>
            </w:r>
          </w:p>
        </w:tc>
        <w:tc>
          <w:tcPr>
            <w:tcW w:w="466" w:type="pct"/>
            <w:tcMar>
              <w:top w:w="0" w:type="dxa"/>
              <w:left w:w="108" w:type="dxa"/>
              <w:bottom w:w="0" w:type="dxa"/>
              <w:right w:w="108" w:type="dxa"/>
            </w:tcMar>
            <w:vAlign w:val="center"/>
          </w:tcPr>
          <w:p w14:paraId="48BFCCA0" w14:textId="77777777" w:rsidR="00BC5F70" w:rsidRPr="000668FE" w:rsidRDefault="00BC5F70" w:rsidP="001D4554">
            <w:pPr>
              <w:pStyle w:val="COMTabletext"/>
              <w:jc w:val="center"/>
            </w:pPr>
            <w:r w:rsidRPr="00D9742C">
              <w:t>8.7</w:t>
            </w:r>
            <w:r>
              <w:t>%</w:t>
            </w:r>
          </w:p>
        </w:tc>
        <w:tc>
          <w:tcPr>
            <w:tcW w:w="465" w:type="pct"/>
            <w:vAlign w:val="center"/>
          </w:tcPr>
          <w:p w14:paraId="0119E960" w14:textId="77777777" w:rsidR="00BC5F70" w:rsidRPr="000668FE" w:rsidRDefault="00BC5F70" w:rsidP="001D4554">
            <w:pPr>
              <w:pStyle w:val="COMTabletext"/>
              <w:jc w:val="center"/>
            </w:pPr>
            <w:r w:rsidRPr="00D9742C">
              <w:t>-8.7</w:t>
            </w:r>
          </w:p>
        </w:tc>
        <w:tc>
          <w:tcPr>
            <w:tcW w:w="465" w:type="pct"/>
          </w:tcPr>
          <w:p w14:paraId="5A1AB3C8" w14:textId="77777777" w:rsidR="00BC5F70" w:rsidRPr="000668FE" w:rsidRDefault="00BC5F70" w:rsidP="001D4554">
            <w:pPr>
              <w:pStyle w:val="COMTabletext"/>
              <w:jc w:val="center"/>
            </w:pPr>
            <w:r w:rsidRPr="00D9742C">
              <w:t>-10.3</w:t>
            </w:r>
            <w:r>
              <w:t>%</w:t>
            </w:r>
          </w:p>
        </w:tc>
        <w:tc>
          <w:tcPr>
            <w:tcW w:w="462" w:type="pct"/>
          </w:tcPr>
          <w:p w14:paraId="4D6FEA6E" w14:textId="77777777" w:rsidR="00BC5F70" w:rsidRPr="000668FE" w:rsidRDefault="00BC5F70" w:rsidP="001D4554">
            <w:pPr>
              <w:pStyle w:val="COMTabletext"/>
              <w:jc w:val="center"/>
            </w:pPr>
            <w:r w:rsidRPr="00A2409E">
              <w:t>&lt;0.001</w:t>
            </w:r>
          </w:p>
        </w:tc>
      </w:tr>
      <w:tr w:rsidR="00BC5F70" w:rsidRPr="008215FB" w14:paraId="64F5E377" w14:textId="77777777" w:rsidTr="001D4554">
        <w:tc>
          <w:tcPr>
            <w:tcW w:w="816" w:type="pct"/>
            <w:tcMar>
              <w:top w:w="0" w:type="dxa"/>
              <w:left w:w="108" w:type="dxa"/>
              <w:bottom w:w="0" w:type="dxa"/>
              <w:right w:w="108" w:type="dxa"/>
            </w:tcMar>
            <w:vAlign w:val="center"/>
          </w:tcPr>
          <w:p w14:paraId="52DB5C17" w14:textId="77777777" w:rsidR="00BC5F70" w:rsidRPr="000668FE" w:rsidRDefault="00BC5F70" w:rsidP="001D4554">
            <w:pPr>
              <w:pStyle w:val="COMTabletext"/>
            </w:pPr>
            <w:r w:rsidRPr="000668FE">
              <w:rPr>
                <w:lang w:val="en-US"/>
              </w:rPr>
              <w:t>Year 1</w:t>
            </w:r>
          </w:p>
        </w:tc>
        <w:tc>
          <w:tcPr>
            <w:tcW w:w="465" w:type="pct"/>
            <w:tcMar>
              <w:top w:w="0" w:type="dxa"/>
              <w:left w:w="108" w:type="dxa"/>
              <w:bottom w:w="0" w:type="dxa"/>
              <w:right w:w="108" w:type="dxa"/>
            </w:tcMar>
            <w:vAlign w:val="center"/>
          </w:tcPr>
          <w:p w14:paraId="4468CA2D" w14:textId="77777777" w:rsidR="00BC5F70" w:rsidRPr="000668FE" w:rsidRDefault="00BC5F70" w:rsidP="001D4554">
            <w:pPr>
              <w:pStyle w:val="COMTabletext"/>
              <w:jc w:val="center"/>
            </w:pPr>
            <w:r w:rsidRPr="002470C3">
              <w:t>85.3</w:t>
            </w:r>
          </w:p>
        </w:tc>
        <w:tc>
          <w:tcPr>
            <w:tcW w:w="465" w:type="pct"/>
            <w:vAlign w:val="center"/>
          </w:tcPr>
          <w:p w14:paraId="032108CD" w14:textId="77777777" w:rsidR="00BC5F70" w:rsidRPr="000668FE" w:rsidRDefault="00BC5F70" w:rsidP="001D4554">
            <w:pPr>
              <w:pStyle w:val="COMTabletext"/>
              <w:jc w:val="center"/>
            </w:pPr>
            <w:r w:rsidRPr="002470C3">
              <w:t>-1.1</w:t>
            </w:r>
          </w:p>
        </w:tc>
        <w:tc>
          <w:tcPr>
            <w:tcW w:w="466" w:type="pct"/>
          </w:tcPr>
          <w:p w14:paraId="255B5BE5" w14:textId="77777777" w:rsidR="00BC5F70" w:rsidRPr="000668FE" w:rsidRDefault="00BC5F70" w:rsidP="001D4554">
            <w:pPr>
              <w:pStyle w:val="COMTabletext"/>
              <w:jc w:val="center"/>
            </w:pPr>
            <w:r w:rsidRPr="002470C3">
              <w:t>-1.2</w:t>
            </w:r>
            <w:r>
              <w:t>%</w:t>
            </w:r>
          </w:p>
        </w:tc>
        <w:tc>
          <w:tcPr>
            <w:tcW w:w="465" w:type="pct"/>
            <w:vAlign w:val="center"/>
          </w:tcPr>
          <w:p w14:paraId="3CE1153E" w14:textId="77777777" w:rsidR="00BC5F70" w:rsidRPr="000668FE" w:rsidRDefault="00BC5F70" w:rsidP="001D4554">
            <w:pPr>
              <w:pStyle w:val="COMTabletext"/>
              <w:jc w:val="center"/>
            </w:pPr>
            <w:r w:rsidRPr="00D9742C">
              <w:t>95.8</w:t>
            </w:r>
          </w:p>
        </w:tc>
        <w:tc>
          <w:tcPr>
            <w:tcW w:w="465" w:type="pct"/>
          </w:tcPr>
          <w:p w14:paraId="21F8CD15" w14:textId="77777777" w:rsidR="00BC5F70" w:rsidRPr="000668FE" w:rsidRDefault="00BC5F70" w:rsidP="001D4554">
            <w:pPr>
              <w:pStyle w:val="COMTabletext"/>
              <w:jc w:val="center"/>
            </w:pPr>
            <w:r w:rsidRPr="00D9742C">
              <w:t>9.3</w:t>
            </w:r>
          </w:p>
        </w:tc>
        <w:tc>
          <w:tcPr>
            <w:tcW w:w="466" w:type="pct"/>
            <w:tcMar>
              <w:top w:w="0" w:type="dxa"/>
              <w:left w:w="108" w:type="dxa"/>
              <w:bottom w:w="0" w:type="dxa"/>
              <w:right w:w="108" w:type="dxa"/>
            </w:tcMar>
            <w:vAlign w:val="center"/>
          </w:tcPr>
          <w:p w14:paraId="60E06522" w14:textId="77777777" w:rsidR="00BC5F70" w:rsidRPr="000668FE" w:rsidRDefault="00BC5F70" w:rsidP="001D4554">
            <w:pPr>
              <w:pStyle w:val="COMTabletext"/>
              <w:jc w:val="center"/>
            </w:pPr>
            <w:r w:rsidRPr="00D9742C">
              <w:t>10.9</w:t>
            </w:r>
            <w:r>
              <w:t>%</w:t>
            </w:r>
          </w:p>
        </w:tc>
        <w:tc>
          <w:tcPr>
            <w:tcW w:w="465" w:type="pct"/>
            <w:vAlign w:val="center"/>
          </w:tcPr>
          <w:p w14:paraId="1B94C6A2" w14:textId="77777777" w:rsidR="00BC5F70" w:rsidRPr="000668FE" w:rsidRDefault="00BC5F70" w:rsidP="001D4554">
            <w:pPr>
              <w:pStyle w:val="COMTabletext"/>
              <w:jc w:val="center"/>
            </w:pPr>
            <w:r w:rsidRPr="00D9742C">
              <w:t>-9.6</w:t>
            </w:r>
          </w:p>
        </w:tc>
        <w:tc>
          <w:tcPr>
            <w:tcW w:w="465" w:type="pct"/>
          </w:tcPr>
          <w:p w14:paraId="3595034D" w14:textId="77777777" w:rsidR="00BC5F70" w:rsidRPr="000668FE" w:rsidRDefault="00BC5F70" w:rsidP="001D4554">
            <w:pPr>
              <w:pStyle w:val="COMTabletext"/>
              <w:jc w:val="center"/>
            </w:pPr>
            <w:r w:rsidRPr="00D9742C">
              <w:t>-11.4</w:t>
            </w:r>
            <w:r>
              <w:t>%</w:t>
            </w:r>
          </w:p>
        </w:tc>
        <w:tc>
          <w:tcPr>
            <w:tcW w:w="462" w:type="pct"/>
          </w:tcPr>
          <w:p w14:paraId="30AC81A2" w14:textId="77777777" w:rsidR="00BC5F70" w:rsidRPr="000668FE" w:rsidRDefault="00BC5F70" w:rsidP="001D4554">
            <w:pPr>
              <w:pStyle w:val="COMTabletext"/>
              <w:jc w:val="center"/>
            </w:pPr>
            <w:r w:rsidRPr="00A2409E">
              <w:t>&lt;0.001</w:t>
            </w:r>
          </w:p>
        </w:tc>
      </w:tr>
      <w:tr w:rsidR="00BC5F70" w:rsidRPr="008215FB" w14:paraId="73BF844B" w14:textId="77777777" w:rsidTr="001D4554">
        <w:tc>
          <w:tcPr>
            <w:tcW w:w="816" w:type="pct"/>
            <w:tcMar>
              <w:top w:w="0" w:type="dxa"/>
              <w:left w:w="108" w:type="dxa"/>
              <w:bottom w:w="0" w:type="dxa"/>
              <w:right w:w="108" w:type="dxa"/>
            </w:tcMar>
            <w:vAlign w:val="center"/>
          </w:tcPr>
          <w:p w14:paraId="48242E3D" w14:textId="77777777" w:rsidR="00BC5F70" w:rsidRPr="000668FE" w:rsidRDefault="00BC5F70" w:rsidP="001D4554">
            <w:pPr>
              <w:pStyle w:val="COMTabletext"/>
            </w:pPr>
            <w:r w:rsidRPr="000668FE">
              <w:rPr>
                <w:lang w:val="en-US"/>
              </w:rPr>
              <w:t>Year 2</w:t>
            </w:r>
          </w:p>
        </w:tc>
        <w:tc>
          <w:tcPr>
            <w:tcW w:w="465" w:type="pct"/>
            <w:tcMar>
              <w:top w:w="0" w:type="dxa"/>
              <w:left w:w="108" w:type="dxa"/>
              <w:bottom w:w="0" w:type="dxa"/>
              <w:right w:w="108" w:type="dxa"/>
            </w:tcMar>
            <w:vAlign w:val="center"/>
          </w:tcPr>
          <w:p w14:paraId="2F0EA41E" w14:textId="77777777" w:rsidR="00BC5F70" w:rsidRPr="000668FE" w:rsidRDefault="00BC5F70" w:rsidP="001D4554">
            <w:pPr>
              <w:pStyle w:val="COMTabletext"/>
              <w:jc w:val="center"/>
            </w:pPr>
            <w:r w:rsidRPr="002470C3">
              <w:t>85.5</w:t>
            </w:r>
          </w:p>
        </w:tc>
        <w:tc>
          <w:tcPr>
            <w:tcW w:w="465" w:type="pct"/>
            <w:vAlign w:val="center"/>
          </w:tcPr>
          <w:p w14:paraId="5FBAD116" w14:textId="77777777" w:rsidR="00BC5F70" w:rsidRPr="000668FE" w:rsidRDefault="00BC5F70" w:rsidP="001D4554">
            <w:pPr>
              <w:pStyle w:val="COMTabletext"/>
              <w:jc w:val="center"/>
            </w:pPr>
            <w:r w:rsidRPr="002470C3">
              <w:t>-0.1</w:t>
            </w:r>
          </w:p>
        </w:tc>
        <w:tc>
          <w:tcPr>
            <w:tcW w:w="466" w:type="pct"/>
          </w:tcPr>
          <w:p w14:paraId="1CF4300E" w14:textId="77777777" w:rsidR="00BC5F70" w:rsidRPr="000668FE" w:rsidRDefault="00BC5F70" w:rsidP="001D4554">
            <w:pPr>
              <w:pStyle w:val="COMTabletext"/>
              <w:jc w:val="center"/>
            </w:pPr>
            <w:r w:rsidRPr="002470C3">
              <w:t>-0.2</w:t>
            </w:r>
            <w:r>
              <w:t>%</w:t>
            </w:r>
          </w:p>
        </w:tc>
        <w:tc>
          <w:tcPr>
            <w:tcW w:w="465" w:type="pct"/>
            <w:vAlign w:val="center"/>
          </w:tcPr>
          <w:p w14:paraId="5EE4549D" w14:textId="77777777" w:rsidR="00BC5F70" w:rsidRPr="000668FE" w:rsidRDefault="00BC5F70" w:rsidP="001D4554">
            <w:pPr>
              <w:pStyle w:val="COMTabletext"/>
              <w:jc w:val="center"/>
            </w:pPr>
            <w:r w:rsidRPr="00D9742C">
              <w:t>96.1</w:t>
            </w:r>
          </w:p>
        </w:tc>
        <w:tc>
          <w:tcPr>
            <w:tcW w:w="465" w:type="pct"/>
          </w:tcPr>
          <w:p w14:paraId="788EE878" w14:textId="77777777" w:rsidR="00BC5F70" w:rsidRPr="000668FE" w:rsidRDefault="00BC5F70" w:rsidP="001D4554">
            <w:pPr>
              <w:pStyle w:val="COMTabletext"/>
              <w:jc w:val="center"/>
            </w:pPr>
            <w:r w:rsidRPr="00D9742C">
              <w:t>9.5</w:t>
            </w:r>
          </w:p>
        </w:tc>
        <w:tc>
          <w:tcPr>
            <w:tcW w:w="466" w:type="pct"/>
            <w:tcMar>
              <w:top w:w="0" w:type="dxa"/>
              <w:left w:w="108" w:type="dxa"/>
              <w:bottom w:w="0" w:type="dxa"/>
              <w:right w:w="108" w:type="dxa"/>
            </w:tcMar>
            <w:vAlign w:val="center"/>
          </w:tcPr>
          <w:p w14:paraId="1D7930D7" w14:textId="77777777" w:rsidR="00BC5F70" w:rsidRPr="000668FE" w:rsidRDefault="00BC5F70" w:rsidP="001D4554">
            <w:pPr>
              <w:pStyle w:val="COMTabletext"/>
              <w:jc w:val="center"/>
            </w:pPr>
            <w:r w:rsidRPr="00D9742C">
              <w:t>11.4</w:t>
            </w:r>
            <w:r>
              <w:t>%</w:t>
            </w:r>
          </w:p>
        </w:tc>
        <w:tc>
          <w:tcPr>
            <w:tcW w:w="465" w:type="pct"/>
            <w:vAlign w:val="center"/>
          </w:tcPr>
          <w:p w14:paraId="4D537BA6" w14:textId="77777777" w:rsidR="00BC5F70" w:rsidRPr="000668FE" w:rsidRDefault="00BC5F70" w:rsidP="001D4554">
            <w:pPr>
              <w:pStyle w:val="COMTabletext"/>
              <w:jc w:val="center"/>
            </w:pPr>
            <w:r w:rsidRPr="00D9742C">
              <w:t>-9.4</w:t>
            </w:r>
          </w:p>
        </w:tc>
        <w:tc>
          <w:tcPr>
            <w:tcW w:w="465" w:type="pct"/>
          </w:tcPr>
          <w:p w14:paraId="16BB7D74" w14:textId="77777777" w:rsidR="00BC5F70" w:rsidRPr="000668FE" w:rsidRDefault="00BC5F70" w:rsidP="001D4554">
            <w:pPr>
              <w:pStyle w:val="COMTabletext"/>
              <w:jc w:val="center"/>
            </w:pPr>
            <w:r w:rsidRPr="00D9742C">
              <w:t>-11.1</w:t>
            </w:r>
            <w:r>
              <w:t>%</w:t>
            </w:r>
          </w:p>
        </w:tc>
        <w:tc>
          <w:tcPr>
            <w:tcW w:w="462" w:type="pct"/>
            <w:vAlign w:val="center"/>
          </w:tcPr>
          <w:p w14:paraId="31C87F11" w14:textId="77777777" w:rsidR="00BC5F70" w:rsidRPr="000668FE" w:rsidRDefault="00BC5F70" w:rsidP="001D4554">
            <w:pPr>
              <w:pStyle w:val="COMTabletext"/>
              <w:jc w:val="center"/>
            </w:pPr>
            <w:r w:rsidRPr="00A2409E">
              <w:t>&lt;0.001</w:t>
            </w:r>
          </w:p>
        </w:tc>
      </w:tr>
      <w:tr w:rsidR="00BC5F70" w:rsidRPr="008215FB" w14:paraId="1EE1B67E" w14:textId="77777777" w:rsidTr="001D4554">
        <w:tc>
          <w:tcPr>
            <w:tcW w:w="816" w:type="pct"/>
            <w:tcMar>
              <w:top w:w="0" w:type="dxa"/>
              <w:left w:w="108" w:type="dxa"/>
              <w:bottom w:w="0" w:type="dxa"/>
              <w:right w:w="108" w:type="dxa"/>
            </w:tcMar>
            <w:vAlign w:val="center"/>
          </w:tcPr>
          <w:p w14:paraId="15431847" w14:textId="77777777" w:rsidR="00BC5F70" w:rsidRPr="000668FE" w:rsidRDefault="00BC5F70" w:rsidP="001D4554">
            <w:pPr>
              <w:pStyle w:val="COMTabletext"/>
            </w:pPr>
            <w:r w:rsidRPr="000668FE">
              <w:rPr>
                <w:lang w:val="en-US"/>
              </w:rPr>
              <w:t>Year 3</w:t>
            </w:r>
          </w:p>
        </w:tc>
        <w:tc>
          <w:tcPr>
            <w:tcW w:w="465" w:type="pct"/>
            <w:tcMar>
              <w:top w:w="0" w:type="dxa"/>
              <w:left w:w="108" w:type="dxa"/>
              <w:bottom w:w="0" w:type="dxa"/>
              <w:right w:w="108" w:type="dxa"/>
            </w:tcMar>
            <w:vAlign w:val="center"/>
          </w:tcPr>
          <w:p w14:paraId="4A0705FA" w14:textId="77777777" w:rsidR="00BC5F70" w:rsidRPr="000668FE" w:rsidRDefault="00BC5F70" w:rsidP="001D4554">
            <w:pPr>
              <w:pStyle w:val="COMTabletext"/>
              <w:jc w:val="center"/>
            </w:pPr>
            <w:r w:rsidRPr="002470C3">
              <w:t>84.6</w:t>
            </w:r>
          </w:p>
        </w:tc>
        <w:tc>
          <w:tcPr>
            <w:tcW w:w="465" w:type="pct"/>
            <w:vAlign w:val="center"/>
          </w:tcPr>
          <w:p w14:paraId="0A7D2BC7" w14:textId="77777777" w:rsidR="00BC5F70" w:rsidRPr="000668FE" w:rsidRDefault="00BC5F70" w:rsidP="001D4554">
            <w:pPr>
              <w:pStyle w:val="COMTabletext"/>
              <w:jc w:val="center"/>
            </w:pPr>
            <w:r w:rsidRPr="002470C3">
              <w:t>-1.0</w:t>
            </w:r>
          </w:p>
        </w:tc>
        <w:tc>
          <w:tcPr>
            <w:tcW w:w="466" w:type="pct"/>
          </w:tcPr>
          <w:p w14:paraId="7F05309B" w14:textId="77777777" w:rsidR="00BC5F70" w:rsidRPr="000668FE" w:rsidRDefault="00BC5F70" w:rsidP="001D4554">
            <w:pPr>
              <w:pStyle w:val="COMTabletext"/>
              <w:jc w:val="center"/>
            </w:pPr>
            <w:r w:rsidRPr="002470C3">
              <w:t>-1.2</w:t>
            </w:r>
            <w:r>
              <w:t>%</w:t>
            </w:r>
          </w:p>
        </w:tc>
        <w:tc>
          <w:tcPr>
            <w:tcW w:w="465" w:type="pct"/>
            <w:vAlign w:val="center"/>
          </w:tcPr>
          <w:p w14:paraId="052696CF" w14:textId="77777777" w:rsidR="00BC5F70" w:rsidRPr="000668FE" w:rsidRDefault="00BC5F70" w:rsidP="001D4554">
            <w:pPr>
              <w:pStyle w:val="COMTabletext"/>
              <w:jc w:val="center"/>
            </w:pPr>
            <w:r w:rsidRPr="00D9742C">
              <w:t>95.7</w:t>
            </w:r>
          </w:p>
        </w:tc>
        <w:tc>
          <w:tcPr>
            <w:tcW w:w="465" w:type="pct"/>
          </w:tcPr>
          <w:p w14:paraId="34743747" w14:textId="77777777" w:rsidR="00BC5F70" w:rsidRPr="000668FE" w:rsidRDefault="00BC5F70" w:rsidP="001D4554">
            <w:pPr>
              <w:pStyle w:val="COMTabletext"/>
              <w:jc w:val="center"/>
            </w:pPr>
            <w:r w:rsidRPr="00D9742C">
              <w:t>9.0</w:t>
            </w:r>
          </w:p>
        </w:tc>
        <w:tc>
          <w:tcPr>
            <w:tcW w:w="466" w:type="pct"/>
            <w:tcMar>
              <w:top w:w="0" w:type="dxa"/>
              <w:left w:w="108" w:type="dxa"/>
              <w:bottom w:w="0" w:type="dxa"/>
              <w:right w:w="108" w:type="dxa"/>
            </w:tcMar>
            <w:vAlign w:val="center"/>
          </w:tcPr>
          <w:p w14:paraId="69795B7C" w14:textId="77777777" w:rsidR="00BC5F70" w:rsidRPr="000668FE" w:rsidRDefault="00BC5F70" w:rsidP="001D4554">
            <w:pPr>
              <w:pStyle w:val="COMTabletext"/>
              <w:jc w:val="center"/>
            </w:pPr>
            <w:r w:rsidRPr="00D9742C">
              <w:t>10.5</w:t>
            </w:r>
            <w:r>
              <w:t>%</w:t>
            </w:r>
          </w:p>
        </w:tc>
        <w:tc>
          <w:tcPr>
            <w:tcW w:w="465" w:type="pct"/>
            <w:vAlign w:val="center"/>
          </w:tcPr>
          <w:p w14:paraId="6FB782D4" w14:textId="77777777" w:rsidR="00BC5F70" w:rsidRPr="000668FE" w:rsidRDefault="00BC5F70" w:rsidP="001D4554">
            <w:pPr>
              <w:pStyle w:val="COMTabletext"/>
              <w:jc w:val="center"/>
            </w:pPr>
            <w:r w:rsidRPr="00D9742C">
              <w:t>-8.7</w:t>
            </w:r>
          </w:p>
        </w:tc>
        <w:tc>
          <w:tcPr>
            <w:tcW w:w="465" w:type="pct"/>
          </w:tcPr>
          <w:p w14:paraId="6E22F699" w14:textId="77777777" w:rsidR="00BC5F70" w:rsidRPr="000668FE" w:rsidRDefault="00BC5F70" w:rsidP="001D4554">
            <w:pPr>
              <w:pStyle w:val="COMTabletext"/>
              <w:jc w:val="center"/>
            </w:pPr>
            <w:r w:rsidRPr="00D9742C">
              <w:t>-10.4</w:t>
            </w:r>
            <w:r>
              <w:t>%</w:t>
            </w:r>
          </w:p>
        </w:tc>
        <w:tc>
          <w:tcPr>
            <w:tcW w:w="462" w:type="pct"/>
          </w:tcPr>
          <w:p w14:paraId="4E5B47E3" w14:textId="77777777" w:rsidR="00BC5F70" w:rsidRPr="000668FE" w:rsidRDefault="00BC5F70" w:rsidP="001D4554">
            <w:pPr>
              <w:pStyle w:val="COMTabletext"/>
              <w:jc w:val="center"/>
            </w:pPr>
            <w:r w:rsidRPr="00A2409E">
              <w:t>&lt;0.001</w:t>
            </w:r>
          </w:p>
        </w:tc>
      </w:tr>
      <w:tr w:rsidR="00BC5F70" w:rsidRPr="008215FB" w14:paraId="3FA41D77" w14:textId="77777777" w:rsidTr="001D4554">
        <w:tc>
          <w:tcPr>
            <w:tcW w:w="816" w:type="pct"/>
            <w:tcMar>
              <w:top w:w="0" w:type="dxa"/>
              <w:left w:w="108" w:type="dxa"/>
              <w:bottom w:w="0" w:type="dxa"/>
              <w:right w:w="108" w:type="dxa"/>
            </w:tcMar>
            <w:vAlign w:val="center"/>
          </w:tcPr>
          <w:p w14:paraId="5422D03F" w14:textId="77777777" w:rsidR="00BC5F70" w:rsidRPr="000668FE" w:rsidRDefault="00BC5F70" w:rsidP="001D4554">
            <w:pPr>
              <w:pStyle w:val="COMTabletext"/>
            </w:pPr>
            <w:r w:rsidRPr="000668FE">
              <w:rPr>
                <w:lang w:val="en-US"/>
              </w:rPr>
              <w:t>Year 4</w:t>
            </w:r>
          </w:p>
        </w:tc>
        <w:tc>
          <w:tcPr>
            <w:tcW w:w="465" w:type="pct"/>
            <w:tcMar>
              <w:top w:w="0" w:type="dxa"/>
              <w:left w:w="108" w:type="dxa"/>
              <w:bottom w:w="0" w:type="dxa"/>
              <w:right w:w="108" w:type="dxa"/>
            </w:tcMar>
            <w:vAlign w:val="center"/>
          </w:tcPr>
          <w:p w14:paraId="569BDDDF" w14:textId="77777777" w:rsidR="00BC5F70" w:rsidRPr="000668FE" w:rsidRDefault="00BC5F70" w:rsidP="001D4554">
            <w:pPr>
              <w:pStyle w:val="COMTabletext"/>
              <w:jc w:val="center"/>
            </w:pPr>
            <w:r w:rsidRPr="002470C3">
              <w:t>83.6</w:t>
            </w:r>
          </w:p>
        </w:tc>
        <w:tc>
          <w:tcPr>
            <w:tcW w:w="465" w:type="pct"/>
            <w:vAlign w:val="center"/>
          </w:tcPr>
          <w:p w14:paraId="349B9DD0" w14:textId="77777777" w:rsidR="00BC5F70" w:rsidRPr="000668FE" w:rsidRDefault="00BC5F70" w:rsidP="001D4554">
            <w:pPr>
              <w:pStyle w:val="COMTabletext"/>
              <w:jc w:val="center"/>
            </w:pPr>
            <w:r w:rsidRPr="002470C3">
              <w:t>-0.5</w:t>
            </w:r>
          </w:p>
        </w:tc>
        <w:tc>
          <w:tcPr>
            <w:tcW w:w="466" w:type="pct"/>
          </w:tcPr>
          <w:p w14:paraId="5101FA52" w14:textId="77777777" w:rsidR="00BC5F70" w:rsidRPr="000668FE" w:rsidRDefault="00BC5F70" w:rsidP="001D4554">
            <w:pPr>
              <w:pStyle w:val="COMTabletext"/>
              <w:jc w:val="center"/>
            </w:pPr>
            <w:r w:rsidRPr="002470C3">
              <w:t>-0.6</w:t>
            </w:r>
            <w:r>
              <w:t>%</w:t>
            </w:r>
          </w:p>
        </w:tc>
        <w:tc>
          <w:tcPr>
            <w:tcW w:w="465" w:type="pct"/>
            <w:vAlign w:val="center"/>
          </w:tcPr>
          <w:p w14:paraId="53ECF9C0" w14:textId="77777777" w:rsidR="00BC5F70" w:rsidRPr="000668FE" w:rsidRDefault="00BC5F70" w:rsidP="001D4554">
            <w:pPr>
              <w:pStyle w:val="COMTabletext"/>
              <w:jc w:val="center"/>
            </w:pPr>
            <w:r w:rsidRPr="00D9742C">
              <w:t>94.7</w:t>
            </w:r>
          </w:p>
        </w:tc>
        <w:tc>
          <w:tcPr>
            <w:tcW w:w="465" w:type="pct"/>
          </w:tcPr>
          <w:p w14:paraId="45360C0C" w14:textId="77777777" w:rsidR="00BC5F70" w:rsidRPr="000668FE" w:rsidRDefault="00BC5F70" w:rsidP="001D4554">
            <w:pPr>
              <w:pStyle w:val="COMTabletext"/>
              <w:jc w:val="center"/>
            </w:pPr>
            <w:r w:rsidRPr="00D9742C">
              <w:t>8.8</w:t>
            </w:r>
          </w:p>
        </w:tc>
        <w:tc>
          <w:tcPr>
            <w:tcW w:w="466" w:type="pct"/>
            <w:tcMar>
              <w:top w:w="0" w:type="dxa"/>
              <w:left w:w="108" w:type="dxa"/>
              <w:bottom w:w="0" w:type="dxa"/>
              <w:right w:w="108" w:type="dxa"/>
            </w:tcMar>
            <w:vAlign w:val="center"/>
          </w:tcPr>
          <w:p w14:paraId="45790545" w14:textId="77777777" w:rsidR="00BC5F70" w:rsidRPr="000668FE" w:rsidRDefault="00BC5F70" w:rsidP="001D4554">
            <w:pPr>
              <w:pStyle w:val="COMTabletext"/>
              <w:jc w:val="center"/>
            </w:pPr>
            <w:r w:rsidRPr="00D9742C">
              <w:t>10.1</w:t>
            </w:r>
            <w:r>
              <w:t>%</w:t>
            </w:r>
          </w:p>
        </w:tc>
        <w:tc>
          <w:tcPr>
            <w:tcW w:w="465" w:type="pct"/>
            <w:vAlign w:val="center"/>
          </w:tcPr>
          <w:p w14:paraId="4ECC0AE5" w14:textId="77777777" w:rsidR="00BC5F70" w:rsidRPr="000668FE" w:rsidRDefault="00BC5F70" w:rsidP="001D4554">
            <w:pPr>
              <w:pStyle w:val="COMTabletext"/>
              <w:jc w:val="center"/>
            </w:pPr>
            <w:r w:rsidRPr="00D9742C">
              <w:t>-8.9</w:t>
            </w:r>
          </w:p>
        </w:tc>
        <w:tc>
          <w:tcPr>
            <w:tcW w:w="465" w:type="pct"/>
          </w:tcPr>
          <w:p w14:paraId="04CAE370" w14:textId="77777777" w:rsidR="00BC5F70" w:rsidRPr="000668FE" w:rsidRDefault="00BC5F70" w:rsidP="001D4554">
            <w:pPr>
              <w:pStyle w:val="COMTabletext"/>
              <w:jc w:val="center"/>
            </w:pPr>
            <w:r w:rsidRPr="00D9742C">
              <w:t>-10.6</w:t>
            </w:r>
            <w:r>
              <w:t>%</w:t>
            </w:r>
          </w:p>
        </w:tc>
        <w:tc>
          <w:tcPr>
            <w:tcW w:w="462" w:type="pct"/>
          </w:tcPr>
          <w:p w14:paraId="7683F6E8" w14:textId="77777777" w:rsidR="00BC5F70" w:rsidRPr="000668FE" w:rsidRDefault="00BC5F70" w:rsidP="001D4554">
            <w:pPr>
              <w:pStyle w:val="COMTabletext"/>
              <w:jc w:val="center"/>
            </w:pPr>
            <w:r w:rsidRPr="00A2409E">
              <w:t>&lt;0.001</w:t>
            </w:r>
          </w:p>
        </w:tc>
      </w:tr>
      <w:tr w:rsidR="00BC5F70" w:rsidRPr="008215FB" w14:paraId="32D63B04" w14:textId="77777777" w:rsidTr="001D4554">
        <w:tc>
          <w:tcPr>
            <w:tcW w:w="816" w:type="pct"/>
            <w:tcMar>
              <w:top w:w="0" w:type="dxa"/>
              <w:left w:w="108" w:type="dxa"/>
              <w:bottom w:w="0" w:type="dxa"/>
              <w:right w:w="108" w:type="dxa"/>
            </w:tcMar>
            <w:vAlign w:val="center"/>
          </w:tcPr>
          <w:p w14:paraId="160B2963" w14:textId="77777777" w:rsidR="00BC5F70" w:rsidRPr="000668FE" w:rsidRDefault="00BC5F70" w:rsidP="001D4554">
            <w:pPr>
              <w:pStyle w:val="COMTabletext"/>
            </w:pPr>
            <w:r w:rsidRPr="000668FE">
              <w:rPr>
                <w:lang w:val="en-US"/>
              </w:rPr>
              <w:t>Year 5</w:t>
            </w:r>
          </w:p>
        </w:tc>
        <w:tc>
          <w:tcPr>
            <w:tcW w:w="465" w:type="pct"/>
            <w:tcMar>
              <w:top w:w="0" w:type="dxa"/>
              <w:left w:w="108" w:type="dxa"/>
              <w:bottom w:w="0" w:type="dxa"/>
              <w:right w:w="108" w:type="dxa"/>
            </w:tcMar>
            <w:vAlign w:val="center"/>
          </w:tcPr>
          <w:p w14:paraId="453F758F" w14:textId="77777777" w:rsidR="00BC5F70" w:rsidRPr="000668FE" w:rsidRDefault="00BC5F70" w:rsidP="001D4554">
            <w:pPr>
              <w:pStyle w:val="COMTabletext"/>
              <w:jc w:val="center"/>
            </w:pPr>
            <w:r w:rsidRPr="002470C3">
              <w:t>82.2</w:t>
            </w:r>
          </w:p>
        </w:tc>
        <w:tc>
          <w:tcPr>
            <w:tcW w:w="465" w:type="pct"/>
            <w:vAlign w:val="center"/>
          </w:tcPr>
          <w:p w14:paraId="2E8DCA70" w14:textId="77777777" w:rsidR="00BC5F70" w:rsidRPr="000668FE" w:rsidRDefault="00BC5F70" w:rsidP="001D4554">
            <w:pPr>
              <w:pStyle w:val="COMTabletext"/>
              <w:jc w:val="center"/>
            </w:pPr>
            <w:r w:rsidRPr="002470C3">
              <w:t>-0.8</w:t>
            </w:r>
          </w:p>
        </w:tc>
        <w:tc>
          <w:tcPr>
            <w:tcW w:w="466" w:type="pct"/>
          </w:tcPr>
          <w:p w14:paraId="109BFC36" w14:textId="77777777" w:rsidR="00BC5F70" w:rsidRPr="000668FE" w:rsidRDefault="00BC5F70" w:rsidP="001D4554">
            <w:pPr>
              <w:pStyle w:val="COMTabletext"/>
              <w:jc w:val="center"/>
            </w:pPr>
            <w:r w:rsidRPr="002470C3">
              <w:t>-0.7</w:t>
            </w:r>
            <w:r>
              <w:t>%</w:t>
            </w:r>
          </w:p>
        </w:tc>
        <w:tc>
          <w:tcPr>
            <w:tcW w:w="465" w:type="pct"/>
            <w:vAlign w:val="center"/>
          </w:tcPr>
          <w:p w14:paraId="4B276F12" w14:textId="77777777" w:rsidR="00BC5F70" w:rsidRPr="000668FE" w:rsidRDefault="00BC5F70" w:rsidP="001D4554">
            <w:pPr>
              <w:pStyle w:val="COMTabletext"/>
              <w:jc w:val="center"/>
            </w:pPr>
            <w:r w:rsidRPr="00D9742C">
              <w:t>91.6</w:t>
            </w:r>
          </w:p>
        </w:tc>
        <w:tc>
          <w:tcPr>
            <w:tcW w:w="465" w:type="pct"/>
          </w:tcPr>
          <w:p w14:paraId="42DCDC02" w14:textId="77777777" w:rsidR="00BC5F70" w:rsidRPr="000668FE" w:rsidRDefault="00BC5F70" w:rsidP="001D4554">
            <w:pPr>
              <w:pStyle w:val="COMTabletext"/>
              <w:jc w:val="center"/>
            </w:pPr>
            <w:r w:rsidRPr="00D9742C">
              <w:t>6.2</w:t>
            </w:r>
          </w:p>
        </w:tc>
        <w:tc>
          <w:tcPr>
            <w:tcW w:w="466" w:type="pct"/>
            <w:tcMar>
              <w:top w:w="0" w:type="dxa"/>
              <w:left w:w="108" w:type="dxa"/>
              <w:bottom w:w="0" w:type="dxa"/>
              <w:right w:w="108" w:type="dxa"/>
            </w:tcMar>
            <w:vAlign w:val="center"/>
          </w:tcPr>
          <w:p w14:paraId="2DF103BB" w14:textId="77777777" w:rsidR="00BC5F70" w:rsidRPr="000668FE" w:rsidRDefault="00BC5F70" w:rsidP="001D4554">
            <w:pPr>
              <w:pStyle w:val="COMTabletext"/>
              <w:jc w:val="center"/>
            </w:pPr>
            <w:r w:rsidRPr="00D9742C">
              <w:t>6.9</w:t>
            </w:r>
            <w:r>
              <w:t>%</w:t>
            </w:r>
          </w:p>
        </w:tc>
        <w:tc>
          <w:tcPr>
            <w:tcW w:w="465" w:type="pct"/>
            <w:vAlign w:val="center"/>
          </w:tcPr>
          <w:p w14:paraId="1228EFF5" w14:textId="77777777" w:rsidR="00BC5F70" w:rsidRPr="000668FE" w:rsidRDefault="00BC5F70" w:rsidP="001D4554">
            <w:pPr>
              <w:pStyle w:val="COMTabletext"/>
              <w:jc w:val="center"/>
            </w:pPr>
            <w:r w:rsidRPr="00D9742C">
              <w:t>-6.6</w:t>
            </w:r>
          </w:p>
        </w:tc>
        <w:tc>
          <w:tcPr>
            <w:tcW w:w="465" w:type="pct"/>
          </w:tcPr>
          <w:p w14:paraId="478A475F" w14:textId="77777777" w:rsidR="00BC5F70" w:rsidRPr="000668FE" w:rsidRDefault="00BC5F70" w:rsidP="001D4554">
            <w:pPr>
              <w:pStyle w:val="COMTabletext"/>
              <w:jc w:val="center"/>
            </w:pPr>
            <w:r w:rsidRPr="00D9742C">
              <w:t>-8.0</w:t>
            </w:r>
            <w:r>
              <w:t>%</w:t>
            </w:r>
          </w:p>
        </w:tc>
        <w:tc>
          <w:tcPr>
            <w:tcW w:w="462" w:type="pct"/>
          </w:tcPr>
          <w:p w14:paraId="1EE0D849" w14:textId="77777777" w:rsidR="00BC5F70" w:rsidRPr="000668FE" w:rsidRDefault="00BC5F70" w:rsidP="001D4554">
            <w:pPr>
              <w:pStyle w:val="COMTabletext"/>
              <w:jc w:val="center"/>
            </w:pPr>
            <w:r w:rsidRPr="00A2409E">
              <w:t>&lt;0.001</w:t>
            </w:r>
          </w:p>
        </w:tc>
      </w:tr>
      <w:tr w:rsidR="00BC5F70" w:rsidRPr="008215FB" w14:paraId="15749DB6" w14:textId="77777777" w:rsidTr="001D4554">
        <w:tc>
          <w:tcPr>
            <w:tcW w:w="816" w:type="pct"/>
            <w:tcMar>
              <w:top w:w="0" w:type="dxa"/>
              <w:left w:w="108" w:type="dxa"/>
              <w:bottom w:w="0" w:type="dxa"/>
              <w:right w:w="108" w:type="dxa"/>
            </w:tcMar>
            <w:vAlign w:val="center"/>
          </w:tcPr>
          <w:p w14:paraId="5FA2E1C4" w14:textId="77777777" w:rsidR="00BC5F70" w:rsidRPr="000668FE" w:rsidRDefault="00BC5F70" w:rsidP="001D4554">
            <w:pPr>
              <w:pStyle w:val="COMTabletext"/>
            </w:pPr>
            <w:r w:rsidRPr="000668FE">
              <w:t>Last visit</w:t>
            </w:r>
          </w:p>
        </w:tc>
        <w:tc>
          <w:tcPr>
            <w:tcW w:w="465" w:type="pct"/>
            <w:tcMar>
              <w:top w:w="0" w:type="dxa"/>
              <w:left w:w="108" w:type="dxa"/>
              <w:bottom w:w="0" w:type="dxa"/>
              <w:right w:w="108" w:type="dxa"/>
            </w:tcMar>
            <w:vAlign w:val="center"/>
          </w:tcPr>
          <w:p w14:paraId="06BC09D4" w14:textId="77777777" w:rsidR="00BC5F70" w:rsidRPr="000668FE" w:rsidRDefault="00BC5F70" w:rsidP="001D4554">
            <w:pPr>
              <w:pStyle w:val="COMTabletext"/>
              <w:jc w:val="center"/>
            </w:pPr>
            <w:r w:rsidRPr="002470C3">
              <w:t>84.0</w:t>
            </w:r>
          </w:p>
        </w:tc>
        <w:tc>
          <w:tcPr>
            <w:tcW w:w="465" w:type="pct"/>
            <w:vAlign w:val="center"/>
          </w:tcPr>
          <w:p w14:paraId="76D1B386" w14:textId="77777777" w:rsidR="00BC5F70" w:rsidRPr="000668FE" w:rsidRDefault="00BC5F70" w:rsidP="001D4554">
            <w:pPr>
              <w:pStyle w:val="COMTabletext"/>
              <w:jc w:val="center"/>
            </w:pPr>
            <w:r w:rsidRPr="002470C3">
              <w:t>-1.0</w:t>
            </w:r>
          </w:p>
        </w:tc>
        <w:tc>
          <w:tcPr>
            <w:tcW w:w="466" w:type="pct"/>
          </w:tcPr>
          <w:p w14:paraId="65E10DA5" w14:textId="77777777" w:rsidR="00BC5F70" w:rsidRPr="000668FE" w:rsidRDefault="00BC5F70" w:rsidP="001D4554">
            <w:pPr>
              <w:pStyle w:val="COMTabletext"/>
              <w:jc w:val="center"/>
            </w:pPr>
            <w:r w:rsidRPr="002470C3">
              <w:t>-1.2</w:t>
            </w:r>
            <w:r>
              <w:t>%</w:t>
            </w:r>
          </w:p>
        </w:tc>
        <w:tc>
          <w:tcPr>
            <w:tcW w:w="465" w:type="pct"/>
            <w:vAlign w:val="center"/>
          </w:tcPr>
          <w:p w14:paraId="05D5576D" w14:textId="77777777" w:rsidR="00BC5F70" w:rsidRPr="000668FE" w:rsidRDefault="00BC5F70" w:rsidP="001D4554">
            <w:pPr>
              <w:pStyle w:val="COMTabletext"/>
              <w:jc w:val="center"/>
            </w:pPr>
            <w:r w:rsidRPr="00D9742C">
              <w:t>92.1</w:t>
            </w:r>
          </w:p>
        </w:tc>
        <w:tc>
          <w:tcPr>
            <w:tcW w:w="465" w:type="pct"/>
          </w:tcPr>
          <w:p w14:paraId="648793F6" w14:textId="77777777" w:rsidR="00BC5F70" w:rsidRPr="000668FE" w:rsidRDefault="00BC5F70" w:rsidP="001D4554">
            <w:pPr>
              <w:pStyle w:val="COMTabletext"/>
              <w:jc w:val="center"/>
            </w:pPr>
            <w:r w:rsidRPr="00D9742C">
              <w:t>5.7</w:t>
            </w:r>
          </w:p>
        </w:tc>
        <w:tc>
          <w:tcPr>
            <w:tcW w:w="466" w:type="pct"/>
            <w:tcMar>
              <w:top w:w="0" w:type="dxa"/>
              <w:left w:w="108" w:type="dxa"/>
              <w:bottom w:w="0" w:type="dxa"/>
              <w:right w:w="108" w:type="dxa"/>
            </w:tcMar>
            <w:vAlign w:val="center"/>
          </w:tcPr>
          <w:p w14:paraId="40443A61" w14:textId="77777777" w:rsidR="00BC5F70" w:rsidRPr="000668FE" w:rsidRDefault="00BC5F70" w:rsidP="001D4554">
            <w:pPr>
              <w:pStyle w:val="COMTabletext"/>
              <w:jc w:val="center"/>
            </w:pPr>
            <w:r w:rsidRPr="00D9742C">
              <w:t>6.5</w:t>
            </w:r>
            <w:r>
              <w:t>%</w:t>
            </w:r>
          </w:p>
        </w:tc>
        <w:tc>
          <w:tcPr>
            <w:tcW w:w="465" w:type="pct"/>
            <w:vAlign w:val="center"/>
          </w:tcPr>
          <w:p w14:paraId="1480784D" w14:textId="77777777" w:rsidR="00BC5F70" w:rsidRPr="000668FE" w:rsidRDefault="00BC5F70" w:rsidP="001D4554">
            <w:pPr>
              <w:pStyle w:val="COMTabletext"/>
              <w:jc w:val="center"/>
            </w:pPr>
            <w:r w:rsidRPr="00D9742C">
              <w:t>-6.2</w:t>
            </w:r>
          </w:p>
        </w:tc>
        <w:tc>
          <w:tcPr>
            <w:tcW w:w="465" w:type="pct"/>
          </w:tcPr>
          <w:p w14:paraId="1F93EC61" w14:textId="77777777" w:rsidR="00BC5F70" w:rsidRPr="000668FE" w:rsidRDefault="00BC5F70" w:rsidP="001D4554">
            <w:pPr>
              <w:pStyle w:val="COMTabletext"/>
              <w:jc w:val="center"/>
            </w:pPr>
            <w:r w:rsidRPr="00D9742C">
              <w:t>-7.4</w:t>
            </w:r>
            <w:r>
              <w:t>%</w:t>
            </w:r>
          </w:p>
        </w:tc>
        <w:tc>
          <w:tcPr>
            <w:tcW w:w="462" w:type="pct"/>
          </w:tcPr>
          <w:p w14:paraId="08E006E1" w14:textId="77777777" w:rsidR="00BC5F70" w:rsidRPr="000668FE" w:rsidRDefault="00BC5F70" w:rsidP="001D4554">
            <w:pPr>
              <w:pStyle w:val="COMTabletext"/>
              <w:jc w:val="center"/>
            </w:pPr>
            <w:r w:rsidRPr="00A2409E">
              <w:t>&lt;0.001</w:t>
            </w:r>
          </w:p>
        </w:tc>
      </w:tr>
      <w:tr w:rsidR="00BC5F70" w:rsidRPr="008215FB" w14:paraId="7F08457E" w14:textId="77777777" w:rsidTr="001D4554">
        <w:tc>
          <w:tcPr>
            <w:tcW w:w="5000" w:type="pct"/>
            <w:gridSpan w:val="10"/>
            <w:tcMar>
              <w:top w:w="0" w:type="dxa"/>
              <w:left w:w="108" w:type="dxa"/>
              <w:bottom w:w="0" w:type="dxa"/>
              <w:right w:w="108" w:type="dxa"/>
            </w:tcMar>
            <w:vAlign w:val="center"/>
          </w:tcPr>
          <w:p w14:paraId="35D31CE5" w14:textId="77777777" w:rsidR="00BC5F70" w:rsidRPr="001D4BE9" w:rsidRDefault="00BC5F70" w:rsidP="001D4554">
            <w:pPr>
              <w:pStyle w:val="COMTabletext"/>
              <w:rPr>
                <w:b/>
                <w:bCs w:val="0"/>
              </w:rPr>
            </w:pPr>
            <w:r>
              <w:rPr>
                <w:b/>
                <w:bCs w:val="0"/>
              </w:rPr>
              <w:t>LDL cholesterol, derived (mg/dL)</w:t>
            </w:r>
          </w:p>
        </w:tc>
      </w:tr>
      <w:tr w:rsidR="00BC5F70" w:rsidRPr="008215FB" w14:paraId="45D6CB77" w14:textId="77777777" w:rsidTr="001D4554">
        <w:tc>
          <w:tcPr>
            <w:tcW w:w="816" w:type="pct"/>
            <w:tcMar>
              <w:top w:w="0" w:type="dxa"/>
              <w:left w:w="108" w:type="dxa"/>
              <w:bottom w:w="0" w:type="dxa"/>
              <w:right w:w="108" w:type="dxa"/>
            </w:tcMar>
            <w:vAlign w:val="center"/>
          </w:tcPr>
          <w:p w14:paraId="7B5EFDD6" w14:textId="77777777" w:rsidR="00BC5F70" w:rsidRPr="000668FE" w:rsidRDefault="00BC5F70" w:rsidP="001D4554">
            <w:pPr>
              <w:pStyle w:val="COMTabletext"/>
            </w:pPr>
            <w:r w:rsidRPr="001D4BE9">
              <w:t>Baseline</w:t>
            </w:r>
          </w:p>
        </w:tc>
        <w:tc>
          <w:tcPr>
            <w:tcW w:w="465" w:type="pct"/>
            <w:tcMar>
              <w:top w:w="0" w:type="dxa"/>
              <w:left w:w="108" w:type="dxa"/>
              <w:bottom w:w="0" w:type="dxa"/>
              <w:right w:w="108" w:type="dxa"/>
            </w:tcMar>
            <w:vAlign w:val="center"/>
          </w:tcPr>
          <w:p w14:paraId="063CFFBE" w14:textId="77777777" w:rsidR="00BC5F70" w:rsidRPr="002470C3" w:rsidRDefault="00BC5F70" w:rsidP="001D4554">
            <w:pPr>
              <w:pStyle w:val="COMTabletext"/>
              <w:jc w:val="center"/>
            </w:pPr>
            <w:r w:rsidRPr="004E5AF4">
              <w:t>74.0</w:t>
            </w:r>
          </w:p>
        </w:tc>
        <w:tc>
          <w:tcPr>
            <w:tcW w:w="465" w:type="pct"/>
            <w:vAlign w:val="center"/>
          </w:tcPr>
          <w:p w14:paraId="6D2BDF62" w14:textId="77777777" w:rsidR="00BC5F70" w:rsidRPr="002470C3" w:rsidRDefault="00BC5F70" w:rsidP="001D4554">
            <w:pPr>
              <w:pStyle w:val="COMTabletext"/>
              <w:jc w:val="center"/>
            </w:pPr>
            <w:r>
              <w:t>-</w:t>
            </w:r>
          </w:p>
        </w:tc>
        <w:tc>
          <w:tcPr>
            <w:tcW w:w="466" w:type="pct"/>
          </w:tcPr>
          <w:p w14:paraId="472597C1" w14:textId="77777777" w:rsidR="00BC5F70" w:rsidRPr="002470C3" w:rsidRDefault="00BC5F70" w:rsidP="001D4554">
            <w:pPr>
              <w:pStyle w:val="COMTabletext"/>
              <w:jc w:val="center"/>
            </w:pPr>
            <w:r>
              <w:t>-</w:t>
            </w:r>
          </w:p>
        </w:tc>
        <w:tc>
          <w:tcPr>
            <w:tcW w:w="465" w:type="pct"/>
            <w:vAlign w:val="center"/>
          </w:tcPr>
          <w:p w14:paraId="083BA959" w14:textId="77777777" w:rsidR="00BC5F70" w:rsidRPr="00D9742C" w:rsidRDefault="00BC5F70" w:rsidP="001D4554">
            <w:pPr>
              <w:pStyle w:val="COMTabletext"/>
              <w:jc w:val="center"/>
            </w:pPr>
            <w:r w:rsidRPr="004E5AF4">
              <w:t>76.0</w:t>
            </w:r>
          </w:p>
        </w:tc>
        <w:tc>
          <w:tcPr>
            <w:tcW w:w="465" w:type="pct"/>
          </w:tcPr>
          <w:p w14:paraId="73DC73D3" w14:textId="77777777" w:rsidR="00BC5F70" w:rsidRPr="00D9742C" w:rsidRDefault="00BC5F70" w:rsidP="001D4554">
            <w:pPr>
              <w:pStyle w:val="COMTabletext"/>
              <w:jc w:val="center"/>
            </w:pPr>
            <w:r>
              <w:t>-</w:t>
            </w:r>
          </w:p>
        </w:tc>
        <w:tc>
          <w:tcPr>
            <w:tcW w:w="466" w:type="pct"/>
            <w:tcMar>
              <w:top w:w="0" w:type="dxa"/>
              <w:left w:w="108" w:type="dxa"/>
              <w:bottom w:w="0" w:type="dxa"/>
              <w:right w:w="108" w:type="dxa"/>
            </w:tcMar>
            <w:vAlign w:val="center"/>
          </w:tcPr>
          <w:p w14:paraId="6B546434" w14:textId="77777777" w:rsidR="00BC5F70" w:rsidRPr="00D9742C" w:rsidRDefault="00BC5F70" w:rsidP="001D4554">
            <w:pPr>
              <w:pStyle w:val="COMTabletext"/>
              <w:jc w:val="center"/>
            </w:pPr>
            <w:r>
              <w:t>-</w:t>
            </w:r>
          </w:p>
        </w:tc>
        <w:tc>
          <w:tcPr>
            <w:tcW w:w="465" w:type="pct"/>
            <w:vAlign w:val="center"/>
          </w:tcPr>
          <w:p w14:paraId="1F951727" w14:textId="77777777" w:rsidR="00BC5F70" w:rsidRPr="00D9742C" w:rsidRDefault="00BC5F70" w:rsidP="001D4554">
            <w:pPr>
              <w:pStyle w:val="COMTabletext"/>
              <w:jc w:val="center"/>
            </w:pPr>
            <w:r>
              <w:t>-</w:t>
            </w:r>
          </w:p>
        </w:tc>
        <w:tc>
          <w:tcPr>
            <w:tcW w:w="465" w:type="pct"/>
          </w:tcPr>
          <w:p w14:paraId="35A5FB2D" w14:textId="77777777" w:rsidR="00BC5F70" w:rsidRPr="00D9742C" w:rsidRDefault="00BC5F70" w:rsidP="001D4554">
            <w:pPr>
              <w:pStyle w:val="COMTabletext"/>
              <w:jc w:val="center"/>
            </w:pPr>
            <w:r>
              <w:t>-</w:t>
            </w:r>
          </w:p>
        </w:tc>
        <w:tc>
          <w:tcPr>
            <w:tcW w:w="462" w:type="pct"/>
          </w:tcPr>
          <w:p w14:paraId="3BA1B62E" w14:textId="77777777" w:rsidR="00BC5F70" w:rsidRPr="00A2409E" w:rsidRDefault="00BC5F70" w:rsidP="001D4554">
            <w:pPr>
              <w:pStyle w:val="COMTabletext"/>
              <w:jc w:val="center"/>
            </w:pPr>
            <w:r>
              <w:t>-</w:t>
            </w:r>
          </w:p>
        </w:tc>
      </w:tr>
      <w:tr w:rsidR="00BC5F70" w:rsidRPr="008215FB" w14:paraId="6ED2EE64" w14:textId="77777777" w:rsidTr="001D4554">
        <w:tc>
          <w:tcPr>
            <w:tcW w:w="816" w:type="pct"/>
            <w:tcMar>
              <w:top w:w="0" w:type="dxa"/>
              <w:left w:w="108" w:type="dxa"/>
              <w:bottom w:w="0" w:type="dxa"/>
              <w:right w:w="108" w:type="dxa"/>
            </w:tcMar>
            <w:vAlign w:val="center"/>
          </w:tcPr>
          <w:p w14:paraId="5C487C61" w14:textId="77777777" w:rsidR="00BC5F70" w:rsidRPr="000668FE" w:rsidRDefault="00BC5F70" w:rsidP="001D4554">
            <w:pPr>
              <w:pStyle w:val="COMTabletext"/>
            </w:pPr>
            <w:r w:rsidRPr="000668FE">
              <w:rPr>
                <w:lang w:val="en-US"/>
              </w:rPr>
              <w:t>Year 1</w:t>
            </w:r>
          </w:p>
        </w:tc>
        <w:tc>
          <w:tcPr>
            <w:tcW w:w="465" w:type="pct"/>
            <w:tcMar>
              <w:top w:w="0" w:type="dxa"/>
              <w:left w:w="108" w:type="dxa"/>
              <w:bottom w:w="0" w:type="dxa"/>
              <w:right w:w="108" w:type="dxa"/>
            </w:tcMar>
            <w:vAlign w:val="center"/>
          </w:tcPr>
          <w:p w14:paraId="63D88182" w14:textId="77777777" w:rsidR="00BC5F70" w:rsidRPr="002470C3" w:rsidRDefault="00BC5F70" w:rsidP="001D4554">
            <w:pPr>
              <w:pStyle w:val="COMTabletext"/>
              <w:jc w:val="center"/>
            </w:pPr>
            <w:r w:rsidRPr="004E5AF4">
              <w:t>77.0</w:t>
            </w:r>
          </w:p>
        </w:tc>
        <w:tc>
          <w:tcPr>
            <w:tcW w:w="465" w:type="pct"/>
            <w:vAlign w:val="center"/>
          </w:tcPr>
          <w:p w14:paraId="03ED4421" w14:textId="77777777" w:rsidR="00BC5F70" w:rsidRPr="002470C3" w:rsidRDefault="00BC5F70" w:rsidP="001D4554">
            <w:pPr>
              <w:pStyle w:val="COMTabletext"/>
              <w:jc w:val="center"/>
            </w:pPr>
            <w:r w:rsidRPr="004E5AF4">
              <w:t>2.0</w:t>
            </w:r>
          </w:p>
        </w:tc>
        <w:tc>
          <w:tcPr>
            <w:tcW w:w="466" w:type="pct"/>
          </w:tcPr>
          <w:p w14:paraId="405B48AE" w14:textId="77777777" w:rsidR="00BC5F70" w:rsidRPr="002470C3" w:rsidRDefault="00BC5F70" w:rsidP="001D4554">
            <w:pPr>
              <w:pStyle w:val="COMTabletext"/>
              <w:jc w:val="center"/>
            </w:pPr>
            <w:r w:rsidRPr="004E5AF4">
              <w:t>3.1</w:t>
            </w:r>
            <w:r>
              <w:t>%</w:t>
            </w:r>
          </w:p>
        </w:tc>
        <w:tc>
          <w:tcPr>
            <w:tcW w:w="465" w:type="pct"/>
            <w:vAlign w:val="center"/>
          </w:tcPr>
          <w:p w14:paraId="090018E0" w14:textId="77777777" w:rsidR="00BC5F70" w:rsidRPr="00D9742C" w:rsidRDefault="00BC5F70" w:rsidP="001D4554">
            <w:pPr>
              <w:pStyle w:val="COMTabletext"/>
              <w:jc w:val="center"/>
            </w:pPr>
            <w:r w:rsidRPr="004E5AF4">
              <w:t>84.0</w:t>
            </w:r>
          </w:p>
        </w:tc>
        <w:tc>
          <w:tcPr>
            <w:tcW w:w="465" w:type="pct"/>
          </w:tcPr>
          <w:p w14:paraId="63C6FECC" w14:textId="77777777" w:rsidR="00BC5F70" w:rsidRPr="00D9742C" w:rsidRDefault="00BC5F70" w:rsidP="001D4554">
            <w:pPr>
              <w:pStyle w:val="COMTabletext"/>
              <w:jc w:val="center"/>
            </w:pPr>
            <w:r w:rsidRPr="004E5AF4">
              <w:t>7.0</w:t>
            </w:r>
          </w:p>
        </w:tc>
        <w:tc>
          <w:tcPr>
            <w:tcW w:w="466" w:type="pct"/>
            <w:tcMar>
              <w:top w:w="0" w:type="dxa"/>
              <w:left w:w="108" w:type="dxa"/>
              <w:bottom w:w="0" w:type="dxa"/>
              <w:right w:w="108" w:type="dxa"/>
            </w:tcMar>
            <w:vAlign w:val="center"/>
          </w:tcPr>
          <w:p w14:paraId="6429C581" w14:textId="77777777" w:rsidR="00BC5F70" w:rsidRPr="00D9742C" w:rsidRDefault="00BC5F70" w:rsidP="001D4554">
            <w:pPr>
              <w:pStyle w:val="COMTabletext"/>
              <w:jc w:val="center"/>
            </w:pPr>
            <w:r w:rsidRPr="004E5AF4">
              <w:t>10.2</w:t>
            </w:r>
            <w:r>
              <w:t>%</w:t>
            </w:r>
          </w:p>
        </w:tc>
        <w:tc>
          <w:tcPr>
            <w:tcW w:w="465" w:type="pct"/>
            <w:vAlign w:val="center"/>
          </w:tcPr>
          <w:p w14:paraId="318AC732" w14:textId="77777777" w:rsidR="00BC5F70" w:rsidRPr="00D9742C" w:rsidRDefault="00BC5F70" w:rsidP="001D4554">
            <w:pPr>
              <w:pStyle w:val="COMTabletext"/>
              <w:jc w:val="center"/>
            </w:pPr>
            <w:r w:rsidRPr="004E5AF4">
              <w:t>-5.0</w:t>
            </w:r>
          </w:p>
        </w:tc>
        <w:tc>
          <w:tcPr>
            <w:tcW w:w="465" w:type="pct"/>
          </w:tcPr>
          <w:p w14:paraId="3408A122" w14:textId="77777777" w:rsidR="00BC5F70" w:rsidRPr="00D9742C" w:rsidRDefault="00BC5F70" w:rsidP="001D4554">
            <w:pPr>
              <w:pStyle w:val="COMTabletext"/>
              <w:jc w:val="center"/>
            </w:pPr>
            <w:r w:rsidRPr="004E5AF4">
              <w:t>-6.6</w:t>
            </w:r>
            <w:r>
              <w:t>%</w:t>
            </w:r>
          </w:p>
        </w:tc>
        <w:tc>
          <w:tcPr>
            <w:tcW w:w="462" w:type="pct"/>
          </w:tcPr>
          <w:p w14:paraId="4A1A5245" w14:textId="77777777" w:rsidR="00BC5F70" w:rsidRPr="00A2409E" w:rsidRDefault="00BC5F70" w:rsidP="001D4554">
            <w:pPr>
              <w:pStyle w:val="COMTabletext"/>
              <w:jc w:val="center"/>
            </w:pPr>
            <w:r w:rsidRPr="004E5AF4">
              <w:t>&lt;0.001</w:t>
            </w:r>
          </w:p>
        </w:tc>
      </w:tr>
      <w:tr w:rsidR="00BC5F70" w:rsidRPr="008215FB" w14:paraId="5FD23943" w14:textId="77777777" w:rsidTr="001D4554">
        <w:tc>
          <w:tcPr>
            <w:tcW w:w="816" w:type="pct"/>
            <w:tcMar>
              <w:top w:w="0" w:type="dxa"/>
              <w:left w:w="108" w:type="dxa"/>
              <w:bottom w:w="0" w:type="dxa"/>
              <w:right w:w="108" w:type="dxa"/>
            </w:tcMar>
            <w:vAlign w:val="center"/>
          </w:tcPr>
          <w:p w14:paraId="2D105D8D" w14:textId="77777777" w:rsidR="00BC5F70" w:rsidRPr="000668FE" w:rsidRDefault="00BC5F70" w:rsidP="001D4554">
            <w:pPr>
              <w:pStyle w:val="COMTabletext"/>
            </w:pPr>
            <w:r w:rsidRPr="000668FE">
              <w:t>Last visit</w:t>
            </w:r>
          </w:p>
        </w:tc>
        <w:tc>
          <w:tcPr>
            <w:tcW w:w="465" w:type="pct"/>
            <w:tcMar>
              <w:top w:w="0" w:type="dxa"/>
              <w:left w:w="108" w:type="dxa"/>
              <w:bottom w:w="0" w:type="dxa"/>
              <w:right w:w="108" w:type="dxa"/>
            </w:tcMar>
            <w:vAlign w:val="center"/>
          </w:tcPr>
          <w:p w14:paraId="67E1C15D" w14:textId="77777777" w:rsidR="00BC5F70" w:rsidRPr="002470C3" w:rsidRDefault="00BC5F70" w:rsidP="001D4554">
            <w:pPr>
              <w:pStyle w:val="COMTabletext"/>
              <w:jc w:val="center"/>
            </w:pPr>
            <w:r w:rsidRPr="004E5AF4">
              <w:t>77.0</w:t>
            </w:r>
          </w:p>
        </w:tc>
        <w:tc>
          <w:tcPr>
            <w:tcW w:w="465" w:type="pct"/>
            <w:vAlign w:val="center"/>
          </w:tcPr>
          <w:p w14:paraId="5AC3F024" w14:textId="77777777" w:rsidR="00BC5F70" w:rsidRPr="002470C3" w:rsidRDefault="00BC5F70" w:rsidP="001D4554">
            <w:pPr>
              <w:pStyle w:val="COMTabletext"/>
              <w:jc w:val="center"/>
            </w:pPr>
            <w:r w:rsidRPr="004E5AF4">
              <w:t>2.0</w:t>
            </w:r>
          </w:p>
        </w:tc>
        <w:tc>
          <w:tcPr>
            <w:tcW w:w="466" w:type="pct"/>
          </w:tcPr>
          <w:p w14:paraId="29E06960" w14:textId="77777777" w:rsidR="00BC5F70" w:rsidRPr="002470C3" w:rsidRDefault="00BC5F70" w:rsidP="001D4554">
            <w:pPr>
              <w:pStyle w:val="COMTabletext"/>
              <w:jc w:val="center"/>
            </w:pPr>
            <w:r w:rsidRPr="004E5AF4">
              <w:t>3.1</w:t>
            </w:r>
            <w:r>
              <w:t>%</w:t>
            </w:r>
          </w:p>
        </w:tc>
        <w:tc>
          <w:tcPr>
            <w:tcW w:w="465" w:type="pct"/>
            <w:vAlign w:val="center"/>
          </w:tcPr>
          <w:p w14:paraId="2137489E" w14:textId="77777777" w:rsidR="00BC5F70" w:rsidRPr="00D9742C" w:rsidRDefault="00BC5F70" w:rsidP="001D4554">
            <w:pPr>
              <w:pStyle w:val="COMTabletext"/>
              <w:jc w:val="center"/>
            </w:pPr>
            <w:r w:rsidRPr="004E5AF4">
              <w:t>84.0</w:t>
            </w:r>
          </w:p>
        </w:tc>
        <w:tc>
          <w:tcPr>
            <w:tcW w:w="465" w:type="pct"/>
          </w:tcPr>
          <w:p w14:paraId="60E9867A" w14:textId="77777777" w:rsidR="00BC5F70" w:rsidRPr="00D9742C" w:rsidRDefault="00BC5F70" w:rsidP="001D4554">
            <w:pPr>
              <w:pStyle w:val="COMTabletext"/>
              <w:jc w:val="center"/>
            </w:pPr>
            <w:r w:rsidRPr="004E5AF4">
              <w:t>7.0</w:t>
            </w:r>
          </w:p>
        </w:tc>
        <w:tc>
          <w:tcPr>
            <w:tcW w:w="466" w:type="pct"/>
            <w:tcMar>
              <w:top w:w="0" w:type="dxa"/>
              <w:left w:w="108" w:type="dxa"/>
              <w:bottom w:w="0" w:type="dxa"/>
              <w:right w:w="108" w:type="dxa"/>
            </w:tcMar>
            <w:vAlign w:val="center"/>
          </w:tcPr>
          <w:p w14:paraId="79D8CF2F" w14:textId="77777777" w:rsidR="00BC5F70" w:rsidRPr="00D9742C" w:rsidRDefault="00BC5F70" w:rsidP="001D4554">
            <w:pPr>
              <w:pStyle w:val="COMTabletext"/>
              <w:jc w:val="center"/>
            </w:pPr>
            <w:r w:rsidRPr="004E5AF4">
              <w:t>10.2</w:t>
            </w:r>
            <w:r>
              <w:t>%</w:t>
            </w:r>
          </w:p>
        </w:tc>
        <w:tc>
          <w:tcPr>
            <w:tcW w:w="465" w:type="pct"/>
            <w:vAlign w:val="center"/>
          </w:tcPr>
          <w:p w14:paraId="0D912840" w14:textId="77777777" w:rsidR="00BC5F70" w:rsidRPr="00D9742C" w:rsidRDefault="00BC5F70" w:rsidP="001D4554">
            <w:pPr>
              <w:pStyle w:val="COMTabletext"/>
              <w:jc w:val="center"/>
            </w:pPr>
            <w:r w:rsidRPr="004E5AF4">
              <w:t>-5.0</w:t>
            </w:r>
          </w:p>
        </w:tc>
        <w:tc>
          <w:tcPr>
            <w:tcW w:w="465" w:type="pct"/>
          </w:tcPr>
          <w:p w14:paraId="14C1E191" w14:textId="77777777" w:rsidR="00BC5F70" w:rsidRPr="00D9742C" w:rsidRDefault="00BC5F70" w:rsidP="001D4554">
            <w:pPr>
              <w:pStyle w:val="COMTabletext"/>
              <w:jc w:val="center"/>
            </w:pPr>
            <w:r w:rsidRPr="004E5AF4">
              <w:t>-6.6</w:t>
            </w:r>
            <w:r>
              <w:t>%</w:t>
            </w:r>
          </w:p>
        </w:tc>
        <w:tc>
          <w:tcPr>
            <w:tcW w:w="462" w:type="pct"/>
          </w:tcPr>
          <w:p w14:paraId="6CF721A2" w14:textId="77777777" w:rsidR="00BC5F70" w:rsidRPr="00A2409E" w:rsidRDefault="00BC5F70" w:rsidP="001D4554">
            <w:pPr>
              <w:pStyle w:val="COMTabletext"/>
              <w:jc w:val="center"/>
            </w:pPr>
            <w:r w:rsidRPr="004E5AF4">
              <w:t>&lt;0.001</w:t>
            </w:r>
          </w:p>
        </w:tc>
      </w:tr>
      <w:tr w:rsidR="00BC5F70" w:rsidRPr="008215FB" w14:paraId="5303A17B" w14:textId="77777777" w:rsidTr="001D4554">
        <w:tc>
          <w:tcPr>
            <w:tcW w:w="5000" w:type="pct"/>
            <w:gridSpan w:val="10"/>
            <w:tcMar>
              <w:top w:w="0" w:type="dxa"/>
              <w:left w:w="108" w:type="dxa"/>
              <w:bottom w:w="0" w:type="dxa"/>
              <w:right w:w="108" w:type="dxa"/>
            </w:tcMar>
            <w:vAlign w:val="center"/>
          </w:tcPr>
          <w:p w14:paraId="1EEBB175" w14:textId="77777777" w:rsidR="00BC5F70" w:rsidRPr="00D9742C" w:rsidRDefault="00BC5F70" w:rsidP="001D4554">
            <w:pPr>
              <w:pStyle w:val="COMTabletext"/>
              <w:rPr>
                <w:b/>
                <w:bCs w:val="0"/>
              </w:rPr>
            </w:pPr>
            <w:r>
              <w:rPr>
                <w:b/>
                <w:bCs w:val="0"/>
              </w:rPr>
              <w:t>HDL cholesterol (mg/dL)</w:t>
            </w:r>
          </w:p>
        </w:tc>
      </w:tr>
      <w:tr w:rsidR="00BC5F70" w:rsidRPr="008215FB" w14:paraId="31897248" w14:textId="77777777" w:rsidTr="001D4554">
        <w:tc>
          <w:tcPr>
            <w:tcW w:w="816" w:type="pct"/>
            <w:tcMar>
              <w:top w:w="0" w:type="dxa"/>
              <w:left w:w="108" w:type="dxa"/>
              <w:bottom w:w="0" w:type="dxa"/>
              <w:right w:w="108" w:type="dxa"/>
            </w:tcMar>
            <w:vAlign w:val="center"/>
          </w:tcPr>
          <w:p w14:paraId="4D56CC91" w14:textId="77777777" w:rsidR="00BC5F70" w:rsidRPr="000668FE" w:rsidRDefault="00BC5F70" w:rsidP="001D4554">
            <w:pPr>
              <w:pStyle w:val="COMTabletext"/>
            </w:pPr>
            <w:r w:rsidRPr="000668FE">
              <w:rPr>
                <w:lang w:val="en-US"/>
              </w:rPr>
              <w:t>Baseline</w:t>
            </w:r>
          </w:p>
        </w:tc>
        <w:tc>
          <w:tcPr>
            <w:tcW w:w="465" w:type="pct"/>
            <w:tcMar>
              <w:top w:w="0" w:type="dxa"/>
              <w:left w:w="108" w:type="dxa"/>
              <w:bottom w:w="0" w:type="dxa"/>
              <w:right w:w="108" w:type="dxa"/>
            </w:tcMar>
            <w:vAlign w:val="center"/>
          </w:tcPr>
          <w:p w14:paraId="15F2AB33" w14:textId="77777777" w:rsidR="00BC5F70" w:rsidRPr="000668FE" w:rsidRDefault="00BC5F70" w:rsidP="001D4554">
            <w:pPr>
              <w:pStyle w:val="COMTabletext"/>
              <w:jc w:val="center"/>
            </w:pPr>
            <w:r w:rsidRPr="00A868AA">
              <w:t>40.0</w:t>
            </w:r>
          </w:p>
        </w:tc>
        <w:tc>
          <w:tcPr>
            <w:tcW w:w="465" w:type="pct"/>
            <w:vAlign w:val="center"/>
          </w:tcPr>
          <w:p w14:paraId="199E72CF" w14:textId="77777777" w:rsidR="00BC5F70" w:rsidRPr="000668FE" w:rsidRDefault="00BC5F70" w:rsidP="001D4554">
            <w:pPr>
              <w:pStyle w:val="COMTabletext"/>
              <w:jc w:val="center"/>
            </w:pPr>
            <w:r>
              <w:t>-</w:t>
            </w:r>
          </w:p>
        </w:tc>
        <w:tc>
          <w:tcPr>
            <w:tcW w:w="466" w:type="pct"/>
          </w:tcPr>
          <w:p w14:paraId="6EA73A46" w14:textId="77777777" w:rsidR="00BC5F70" w:rsidRPr="000668FE" w:rsidRDefault="00BC5F70" w:rsidP="001D4554">
            <w:pPr>
              <w:pStyle w:val="COMTabletext"/>
              <w:jc w:val="center"/>
            </w:pPr>
            <w:r>
              <w:t>-</w:t>
            </w:r>
          </w:p>
        </w:tc>
        <w:tc>
          <w:tcPr>
            <w:tcW w:w="465" w:type="pct"/>
            <w:vAlign w:val="center"/>
          </w:tcPr>
          <w:p w14:paraId="20738FC9" w14:textId="77777777" w:rsidR="00BC5F70" w:rsidRPr="000668FE" w:rsidRDefault="00BC5F70" w:rsidP="001D4554">
            <w:pPr>
              <w:pStyle w:val="COMTabletext"/>
              <w:jc w:val="center"/>
            </w:pPr>
            <w:r w:rsidRPr="00A868AA">
              <w:t>40.0</w:t>
            </w:r>
          </w:p>
        </w:tc>
        <w:tc>
          <w:tcPr>
            <w:tcW w:w="465" w:type="pct"/>
          </w:tcPr>
          <w:p w14:paraId="0C5FCB58" w14:textId="77777777" w:rsidR="00BC5F70" w:rsidRPr="000668FE" w:rsidRDefault="00BC5F70" w:rsidP="001D4554">
            <w:pPr>
              <w:pStyle w:val="COMTabletext"/>
              <w:jc w:val="center"/>
            </w:pPr>
            <w:r>
              <w:t>-</w:t>
            </w:r>
          </w:p>
        </w:tc>
        <w:tc>
          <w:tcPr>
            <w:tcW w:w="466" w:type="pct"/>
            <w:tcMar>
              <w:top w:w="0" w:type="dxa"/>
              <w:left w:w="108" w:type="dxa"/>
              <w:bottom w:w="0" w:type="dxa"/>
              <w:right w:w="108" w:type="dxa"/>
            </w:tcMar>
            <w:vAlign w:val="center"/>
          </w:tcPr>
          <w:p w14:paraId="5208A0B8" w14:textId="77777777" w:rsidR="00BC5F70" w:rsidRPr="000668FE" w:rsidRDefault="00BC5F70" w:rsidP="001D4554">
            <w:pPr>
              <w:pStyle w:val="COMTabletext"/>
              <w:jc w:val="center"/>
            </w:pPr>
            <w:r>
              <w:t>-</w:t>
            </w:r>
          </w:p>
        </w:tc>
        <w:tc>
          <w:tcPr>
            <w:tcW w:w="465" w:type="pct"/>
            <w:vAlign w:val="center"/>
          </w:tcPr>
          <w:p w14:paraId="300AA410" w14:textId="77777777" w:rsidR="00BC5F70" w:rsidRPr="000668FE" w:rsidRDefault="00BC5F70" w:rsidP="001D4554">
            <w:pPr>
              <w:pStyle w:val="COMTabletext"/>
              <w:jc w:val="center"/>
            </w:pPr>
            <w:r>
              <w:t>-</w:t>
            </w:r>
          </w:p>
        </w:tc>
        <w:tc>
          <w:tcPr>
            <w:tcW w:w="465" w:type="pct"/>
          </w:tcPr>
          <w:p w14:paraId="2344BEE6" w14:textId="77777777" w:rsidR="00BC5F70" w:rsidRPr="000668FE" w:rsidRDefault="00BC5F70" w:rsidP="001D4554">
            <w:pPr>
              <w:pStyle w:val="COMTabletext"/>
              <w:jc w:val="center"/>
            </w:pPr>
            <w:r>
              <w:t>-</w:t>
            </w:r>
          </w:p>
        </w:tc>
        <w:tc>
          <w:tcPr>
            <w:tcW w:w="462" w:type="pct"/>
          </w:tcPr>
          <w:p w14:paraId="1F5C432A" w14:textId="77777777" w:rsidR="00BC5F70" w:rsidRPr="000668FE" w:rsidRDefault="00BC5F70" w:rsidP="001D4554">
            <w:pPr>
              <w:pStyle w:val="COMTabletext"/>
              <w:jc w:val="center"/>
            </w:pPr>
            <w:r>
              <w:t>-</w:t>
            </w:r>
          </w:p>
        </w:tc>
      </w:tr>
      <w:tr w:rsidR="00BC5F70" w:rsidRPr="008215FB" w14:paraId="5641CACA" w14:textId="77777777" w:rsidTr="001D4554">
        <w:tc>
          <w:tcPr>
            <w:tcW w:w="816" w:type="pct"/>
            <w:tcMar>
              <w:top w:w="0" w:type="dxa"/>
              <w:left w:w="108" w:type="dxa"/>
              <w:bottom w:w="0" w:type="dxa"/>
              <w:right w:w="108" w:type="dxa"/>
            </w:tcMar>
            <w:vAlign w:val="center"/>
          </w:tcPr>
          <w:p w14:paraId="00F20DB3" w14:textId="77777777" w:rsidR="00BC5F70" w:rsidRPr="000668FE" w:rsidRDefault="00BC5F70" w:rsidP="001D4554">
            <w:pPr>
              <w:pStyle w:val="COMTabletext"/>
            </w:pPr>
            <w:r>
              <w:rPr>
                <w:lang w:val="en-US"/>
              </w:rPr>
              <w:t>Month 4</w:t>
            </w:r>
          </w:p>
        </w:tc>
        <w:tc>
          <w:tcPr>
            <w:tcW w:w="465" w:type="pct"/>
            <w:tcMar>
              <w:top w:w="0" w:type="dxa"/>
              <w:left w:w="108" w:type="dxa"/>
              <w:bottom w:w="0" w:type="dxa"/>
              <w:right w:w="108" w:type="dxa"/>
            </w:tcMar>
            <w:vAlign w:val="center"/>
          </w:tcPr>
          <w:p w14:paraId="610441D3" w14:textId="77777777" w:rsidR="00BC5F70" w:rsidRPr="000668FE" w:rsidRDefault="00BC5F70" w:rsidP="001D4554">
            <w:pPr>
              <w:pStyle w:val="COMTabletext"/>
              <w:jc w:val="center"/>
            </w:pPr>
            <w:r w:rsidRPr="007C7AA7">
              <w:t>39.0</w:t>
            </w:r>
          </w:p>
        </w:tc>
        <w:tc>
          <w:tcPr>
            <w:tcW w:w="465" w:type="pct"/>
            <w:vAlign w:val="center"/>
          </w:tcPr>
          <w:p w14:paraId="7B5E2586" w14:textId="77777777" w:rsidR="00BC5F70" w:rsidRPr="000668FE" w:rsidRDefault="00BC5F70" w:rsidP="001D4554">
            <w:pPr>
              <w:pStyle w:val="COMTabletext"/>
              <w:jc w:val="center"/>
            </w:pPr>
            <w:r w:rsidRPr="001A73F9">
              <w:t>-1.0</w:t>
            </w:r>
          </w:p>
        </w:tc>
        <w:tc>
          <w:tcPr>
            <w:tcW w:w="466" w:type="pct"/>
          </w:tcPr>
          <w:p w14:paraId="65D2843B" w14:textId="77777777" w:rsidR="00BC5F70" w:rsidRPr="000668FE" w:rsidRDefault="00BC5F70" w:rsidP="001D4554">
            <w:pPr>
              <w:pStyle w:val="COMTabletext"/>
              <w:jc w:val="center"/>
            </w:pPr>
            <w:r w:rsidRPr="001A73F9">
              <w:t>-2.8</w:t>
            </w:r>
            <w:r>
              <w:t>%</w:t>
            </w:r>
          </w:p>
        </w:tc>
        <w:tc>
          <w:tcPr>
            <w:tcW w:w="465" w:type="pct"/>
            <w:vAlign w:val="center"/>
          </w:tcPr>
          <w:p w14:paraId="5827C3B1" w14:textId="77777777" w:rsidR="00BC5F70" w:rsidRPr="000668FE" w:rsidRDefault="00BC5F70" w:rsidP="001D4554">
            <w:pPr>
              <w:pStyle w:val="COMTabletext"/>
              <w:jc w:val="center"/>
            </w:pPr>
            <w:r w:rsidRPr="001A73F9">
              <w:t>42.0</w:t>
            </w:r>
          </w:p>
        </w:tc>
        <w:tc>
          <w:tcPr>
            <w:tcW w:w="465" w:type="pct"/>
          </w:tcPr>
          <w:p w14:paraId="088B4B99" w14:textId="77777777" w:rsidR="00BC5F70" w:rsidRPr="000668FE" w:rsidRDefault="00BC5F70" w:rsidP="001D4554">
            <w:pPr>
              <w:pStyle w:val="COMTabletext"/>
              <w:jc w:val="center"/>
            </w:pPr>
            <w:r w:rsidRPr="001A73F9">
              <w:t>2.0</w:t>
            </w:r>
          </w:p>
        </w:tc>
        <w:tc>
          <w:tcPr>
            <w:tcW w:w="466" w:type="pct"/>
            <w:tcMar>
              <w:top w:w="0" w:type="dxa"/>
              <w:left w:w="108" w:type="dxa"/>
              <w:bottom w:w="0" w:type="dxa"/>
              <w:right w:w="108" w:type="dxa"/>
            </w:tcMar>
            <w:vAlign w:val="center"/>
          </w:tcPr>
          <w:p w14:paraId="62DFEE71" w14:textId="77777777" w:rsidR="00BC5F70" w:rsidRPr="000668FE" w:rsidRDefault="00BC5F70" w:rsidP="001D4554">
            <w:pPr>
              <w:pStyle w:val="COMTabletext"/>
              <w:jc w:val="center"/>
            </w:pPr>
            <w:r w:rsidRPr="00AA0097">
              <w:t>4.7</w:t>
            </w:r>
            <w:r>
              <w:t>%</w:t>
            </w:r>
          </w:p>
        </w:tc>
        <w:tc>
          <w:tcPr>
            <w:tcW w:w="465" w:type="pct"/>
            <w:vAlign w:val="center"/>
          </w:tcPr>
          <w:p w14:paraId="43CB584A" w14:textId="77777777" w:rsidR="00BC5F70" w:rsidRPr="000668FE" w:rsidRDefault="00BC5F70" w:rsidP="001D4554">
            <w:pPr>
              <w:pStyle w:val="COMTabletext"/>
              <w:jc w:val="center"/>
            </w:pPr>
            <w:r w:rsidRPr="00AA0097">
              <w:t>-3.0</w:t>
            </w:r>
          </w:p>
        </w:tc>
        <w:tc>
          <w:tcPr>
            <w:tcW w:w="465" w:type="pct"/>
          </w:tcPr>
          <w:p w14:paraId="6B06F6A8" w14:textId="77777777" w:rsidR="00BC5F70" w:rsidRPr="000668FE" w:rsidRDefault="00BC5F70" w:rsidP="001D4554">
            <w:pPr>
              <w:pStyle w:val="COMTabletext"/>
              <w:jc w:val="center"/>
            </w:pPr>
            <w:r w:rsidRPr="00AA0097">
              <w:t>-7.2</w:t>
            </w:r>
            <w:r>
              <w:t>%</w:t>
            </w:r>
          </w:p>
        </w:tc>
        <w:tc>
          <w:tcPr>
            <w:tcW w:w="462" w:type="pct"/>
          </w:tcPr>
          <w:p w14:paraId="05317AD4" w14:textId="77777777" w:rsidR="00BC5F70" w:rsidRPr="000668FE" w:rsidRDefault="00BC5F70" w:rsidP="001D4554">
            <w:pPr>
              <w:pStyle w:val="COMTabletext"/>
              <w:jc w:val="center"/>
            </w:pPr>
            <w:r w:rsidRPr="00A2409E">
              <w:t>&lt;0.001</w:t>
            </w:r>
          </w:p>
        </w:tc>
      </w:tr>
      <w:tr w:rsidR="00BC5F70" w:rsidRPr="008215FB" w14:paraId="403B5CA5" w14:textId="77777777" w:rsidTr="001D4554">
        <w:tc>
          <w:tcPr>
            <w:tcW w:w="816" w:type="pct"/>
            <w:tcMar>
              <w:top w:w="0" w:type="dxa"/>
              <w:left w:w="108" w:type="dxa"/>
              <w:bottom w:w="0" w:type="dxa"/>
              <w:right w:w="108" w:type="dxa"/>
            </w:tcMar>
            <w:vAlign w:val="center"/>
          </w:tcPr>
          <w:p w14:paraId="350D94EE" w14:textId="77777777" w:rsidR="00BC5F70" w:rsidRPr="000668FE" w:rsidRDefault="00BC5F70" w:rsidP="001D4554">
            <w:pPr>
              <w:pStyle w:val="COMTabletext"/>
            </w:pPr>
            <w:r w:rsidRPr="000668FE">
              <w:rPr>
                <w:lang w:val="en-US"/>
              </w:rPr>
              <w:t>Year 1</w:t>
            </w:r>
          </w:p>
        </w:tc>
        <w:tc>
          <w:tcPr>
            <w:tcW w:w="465" w:type="pct"/>
            <w:tcMar>
              <w:top w:w="0" w:type="dxa"/>
              <w:left w:w="108" w:type="dxa"/>
              <w:bottom w:w="0" w:type="dxa"/>
              <w:right w:w="108" w:type="dxa"/>
            </w:tcMar>
            <w:vAlign w:val="center"/>
          </w:tcPr>
          <w:p w14:paraId="6517375D" w14:textId="77777777" w:rsidR="00BC5F70" w:rsidRPr="000668FE" w:rsidRDefault="00BC5F70" w:rsidP="001D4554">
            <w:pPr>
              <w:pStyle w:val="COMTabletext"/>
              <w:jc w:val="center"/>
            </w:pPr>
            <w:r w:rsidRPr="007C7AA7">
              <w:t>39.0</w:t>
            </w:r>
          </w:p>
        </w:tc>
        <w:tc>
          <w:tcPr>
            <w:tcW w:w="465" w:type="pct"/>
            <w:vAlign w:val="center"/>
          </w:tcPr>
          <w:p w14:paraId="46B3E0DF" w14:textId="77777777" w:rsidR="00BC5F70" w:rsidRPr="000668FE" w:rsidRDefault="00BC5F70" w:rsidP="001D4554">
            <w:pPr>
              <w:pStyle w:val="COMTabletext"/>
              <w:jc w:val="center"/>
            </w:pPr>
            <w:r w:rsidRPr="001A73F9">
              <w:t>-1.0</w:t>
            </w:r>
          </w:p>
        </w:tc>
        <w:tc>
          <w:tcPr>
            <w:tcW w:w="466" w:type="pct"/>
          </w:tcPr>
          <w:p w14:paraId="7DC6AF0A" w14:textId="77777777" w:rsidR="00BC5F70" w:rsidRPr="000668FE" w:rsidRDefault="00BC5F70" w:rsidP="001D4554">
            <w:pPr>
              <w:pStyle w:val="COMTabletext"/>
              <w:jc w:val="center"/>
            </w:pPr>
            <w:r w:rsidRPr="001A73F9">
              <w:t>-2.6</w:t>
            </w:r>
            <w:r>
              <w:t>%</w:t>
            </w:r>
          </w:p>
        </w:tc>
        <w:tc>
          <w:tcPr>
            <w:tcW w:w="465" w:type="pct"/>
            <w:vAlign w:val="center"/>
          </w:tcPr>
          <w:p w14:paraId="4A35FF47" w14:textId="77777777" w:rsidR="00BC5F70" w:rsidRPr="000668FE" w:rsidRDefault="00BC5F70" w:rsidP="001D4554">
            <w:pPr>
              <w:pStyle w:val="COMTabletext"/>
              <w:jc w:val="center"/>
            </w:pPr>
            <w:r w:rsidRPr="001A73F9">
              <w:t>42.0</w:t>
            </w:r>
          </w:p>
        </w:tc>
        <w:tc>
          <w:tcPr>
            <w:tcW w:w="465" w:type="pct"/>
          </w:tcPr>
          <w:p w14:paraId="148F2F52" w14:textId="77777777" w:rsidR="00BC5F70" w:rsidRPr="000668FE" w:rsidRDefault="00BC5F70" w:rsidP="001D4554">
            <w:pPr>
              <w:pStyle w:val="COMTabletext"/>
              <w:jc w:val="center"/>
            </w:pPr>
            <w:r w:rsidRPr="001A73F9">
              <w:t>1.5</w:t>
            </w:r>
          </w:p>
        </w:tc>
        <w:tc>
          <w:tcPr>
            <w:tcW w:w="466" w:type="pct"/>
            <w:tcMar>
              <w:top w:w="0" w:type="dxa"/>
              <w:left w:w="108" w:type="dxa"/>
              <w:bottom w:w="0" w:type="dxa"/>
              <w:right w:w="108" w:type="dxa"/>
            </w:tcMar>
            <w:vAlign w:val="center"/>
          </w:tcPr>
          <w:p w14:paraId="54171F2D" w14:textId="77777777" w:rsidR="00BC5F70" w:rsidRPr="000668FE" w:rsidRDefault="00BC5F70" w:rsidP="001D4554">
            <w:pPr>
              <w:pStyle w:val="COMTabletext"/>
              <w:jc w:val="center"/>
            </w:pPr>
            <w:r w:rsidRPr="00AA0097">
              <w:t>3.8</w:t>
            </w:r>
            <w:r>
              <w:t>%</w:t>
            </w:r>
          </w:p>
        </w:tc>
        <w:tc>
          <w:tcPr>
            <w:tcW w:w="465" w:type="pct"/>
            <w:vAlign w:val="center"/>
          </w:tcPr>
          <w:p w14:paraId="1613D8A4" w14:textId="77777777" w:rsidR="00BC5F70" w:rsidRPr="000668FE" w:rsidRDefault="00BC5F70" w:rsidP="001D4554">
            <w:pPr>
              <w:pStyle w:val="COMTabletext"/>
              <w:jc w:val="center"/>
            </w:pPr>
            <w:r w:rsidRPr="00AA0097">
              <w:t>-2.5</w:t>
            </w:r>
          </w:p>
        </w:tc>
        <w:tc>
          <w:tcPr>
            <w:tcW w:w="465" w:type="pct"/>
          </w:tcPr>
          <w:p w14:paraId="126AD682" w14:textId="77777777" w:rsidR="00BC5F70" w:rsidRPr="000668FE" w:rsidRDefault="00BC5F70" w:rsidP="001D4554">
            <w:pPr>
              <w:pStyle w:val="COMTabletext"/>
              <w:jc w:val="center"/>
            </w:pPr>
            <w:r w:rsidRPr="00AA0097">
              <w:t>-6.3</w:t>
            </w:r>
            <w:r>
              <w:t>%</w:t>
            </w:r>
          </w:p>
        </w:tc>
        <w:tc>
          <w:tcPr>
            <w:tcW w:w="462" w:type="pct"/>
          </w:tcPr>
          <w:p w14:paraId="27B40548" w14:textId="77777777" w:rsidR="00BC5F70" w:rsidRPr="000668FE" w:rsidRDefault="00BC5F70" w:rsidP="001D4554">
            <w:pPr>
              <w:pStyle w:val="COMTabletext"/>
              <w:jc w:val="center"/>
            </w:pPr>
            <w:r w:rsidRPr="00A2409E">
              <w:t>&lt;0.001</w:t>
            </w:r>
          </w:p>
        </w:tc>
      </w:tr>
      <w:tr w:rsidR="00BC5F70" w:rsidRPr="008215FB" w14:paraId="5385EA04" w14:textId="77777777" w:rsidTr="001D4554">
        <w:tc>
          <w:tcPr>
            <w:tcW w:w="816" w:type="pct"/>
            <w:tcMar>
              <w:top w:w="0" w:type="dxa"/>
              <w:left w:w="108" w:type="dxa"/>
              <w:bottom w:w="0" w:type="dxa"/>
              <w:right w:w="108" w:type="dxa"/>
            </w:tcMar>
            <w:vAlign w:val="center"/>
          </w:tcPr>
          <w:p w14:paraId="405DF657" w14:textId="77777777" w:rsidR="00BC5F70" w:rsidRPr="000668FE" w:rsidRDefault="00BC5F70" w:rsidP="001D4554">
            <w:pPr>
              <w:pStyle w:val="COMTabletext"/>
            </w:pPr>
            <w:r w:rsidRPr="000668FE">
              <w:rPr>
                <w:lang w:val="en-US"/>
              </w:rPr>
              <w:t>Year 2</w:t>
            </w:r>
          </w:p>
        </w:tc>
        <w:tc>
          <w:tcPr>
            <w:tcW w:w="465" w:type="pct"/>
            <w:tcMar>
              <w:top w:w="0" w:type="dxa"/>
              <w:left w:w="108" w:type="dxa"/>
              <w:bottom w:w="0" w:type="dxa"/>
              <w:right w:w="108" w:type="dxa"/>
            </w:tcMar>
            <w:vAlign w:val="center"/>
          </w:tcPr>
          <w:p w14:paraId="6FC03D9F" w14:textId="77777777" w:rsidR="00BC5F70" w:rsidRPr="000668FE" w:rsidRDefault="00BC5F70" w:rsidP="001D4554">
            <w:pPr>
              <w:pStyle w:val="COMTabletext"/>
              <w:jc w:val="center"/>
            </w:pPr>
            <w:r w:rsidRPr="007C7AA7">
              <w:t>40.0</w:t>
            </w:r>
          </w:p>
        </w:tc>
        <w:tc>
          <w:tcPr>
            <w:tcW w:w="465" w:type="pct"/>
            <w:vAlign w:val="center"/>
          </w:tcPr>
          <w:p w14:paraId="3D08EAAF" w14:textId="77777777" w:rsidR="00BC5F70" w:rsidRPr="000668FE" w:rsidRDefault="00BC5F70" w:rsidP="001D4554">
            <w:pPr>
              <w:pStyle w:val="COMTabletext"/>
              <w:jc w:val="center"/>
            </w:pPr>
            <w:r>
              <w:t>0.0</w:t>
            </w:r>
          </w:p>
        </w:tc>
        <w:tc>
          <w:tcPr>
            <w:tcW w:w="466" w:type="pct"/>
          </w:tcPr>
          <w:p w14:paraId="1A200109" w14:textId="77777777" w:rsidR="00BC5F70" w:rsidRPr="000668FE" w:rsidRDefault="00BC5F70" w:rsidP="001D4554">
            <w:pPr>
              <w:pStyle w:val="COMTabletext"/>
              <w:jc w:val="center"/>
            </w:pPr>
            <w:r w:rsidRPr="001A73F9">
              <w:t>0.0</w:t>
            </w:r>
            <w:r>
              <w:t>%</w:t>
            </w:r>
          </w:p>
        </w:tc>
        <w:tc>
          <w:tcPr>
            <w:tcW w:w="465" w:type="pct"/>
            <w:vAlign w:val="center"/>
          </w:tcPr>
          <w:p w14:paraId="58D4785B" w14:textId="77777777" w:rsidR="00BC5F70" w:rsidRPr="000668FE" w:rsidRDefault="00BC5F70" w:rsidP="001D4554">
            <w:pPr>
              <w:pStyle w:val="COMTabletext"/>
              <w:jc w:val="center"/>
            </w:pPr>
            <w:r w:rsidRPr="001A73F9">
              <w:t>42.0</w:t>
            </w:r>
          </w:p>
        </w:tc>
        <w:tc>
          <w:tcPr>
            <w:tcW w:w="465" w:type="pct"/>
          </w:tcPr>
          <w:p w14:paraId="6A1A1CD6" w14:textId="77777777" w:rsidR="00BC5F70" w:rsidRPr="000668FE" w:rsidRDefault="00BC5F70" w:rsidP="001D4554">
            <w:pPr>
              <w:pStyle w:val="COMTabletext"/>
              <w:jc w:val="center"/>
            </w:pPr>
            <w:r w:rsidRPr="001A73F9">
              <w:t>1.5</w:t>
            </w:r>
          </w:p>
        </w:tc>
        <w:tc>
          <w:tcPr>
            <w:tcW w:w="466" w:type="pct"/>
            <w:tcMar>
              <w:top w:w="0" w:type="dxa"/>
              <w:left w:w="108" w:type="dxa"/>
              <w:bottom w:w="0" w:type="dxa"/>
              <w:right w:w="108" w:type="dxa"/>
            </w:tcMar>
            <w:vAlign w:val="center"/>
          </w:tcPr>
          <w:p w14:paraId="06D13F86" w14:textId="77777777" w:rsidR="00BC5F70" w:rsidRPr="000668FE" w:rsidRDefault="00BC5F70" w:rsidP="001D4554">
            <w:pPr>
              <w:pStyle w:val="COMTabletext"/>
              <w:jc w:val="center"/>
            </w:pPr>
            <w:r w:rsidRPr="00AA0097">
              <w:t>4.2</w:t>
            </w:r>
            <w:r>
              <w:t>%</w:t>
            </w:r>
          </w:p>
        </w:tc>
        <w:tc>
          <w:tcPr>
            <w:tcW w:w="465" w:type="pct"/>
            <w:vAlign w:val="center"/>
          </w:tcPr>
          <w:p w14:paraId="247E9BDF" w14:textId="77777777" w:rsidR="00BC5F70" w:rsidRPr="000668FE" w:rsidRDefault="00BC5F70" w:rsidP="001D4554">
            <w:pPr>
              <w:pStyle w:val="COMTabletext"/>
              <w:jc w:val="center"/>
            </w:pPr>
            <w:r w:rsidRPr="00AA0097">
              <w:t>-2.0</w:t>
            </w:r>
          </w:p>
        </w:tc>
        <w:tc>
          <w:tcPr>
            <w:tcW w:w="465" w:type="pct"/>
          </w:tcPr>
          <w:p w14:paraId="282E8996" w14:textId="77777777" w:rsidR="00BC5F70" w:rsidRPr="000668FE" w:rsidRDefault="00BC5F70" w:rsidP="001D4554">
            <w:pPr>
              <w:pStyle w:val="COMTabletext"/>
              <w:jc w:val="center"/>
            </w:pPr>
            <w:r w:rsidRPr="00AA0097">
              <w:t>-4.6</w:t>
            </w:r>
            <w:r>
              <w:t>%</w:t>
            </w:r>
          </w:p>
        </w:tc>
        <w:tc>
          <w:tcPr>
            <w:tcW w:w="462" w:type="pct"/>
            <w:vAlign w:val="center"/>
          </w:tcPr>
          <w:p w14:paraId="1C611596" w14:textId="77777777" w:rsidR="00BC5F70" w:rsidRPr="000668FE" w:rsidRDefault="00BC5F70" w:rsidP="001D4554">
            <w:pPr>
              <w:pStyle w:val="COMTabletext"/>
              <w:jc w:val="center"/>
            </w:pPr>
            <w:r w:rsidRPr="00A2409E">
              <w:t>&lt;0.001</w:t>
            </w:r>
          </w:p>
        </w:tc>
      </w:tr>
      <w:tr w:rsidR="00BC5F70" w:rsidRPr="008215FB" w14:paraId="1B303DA7" w14:textId="77777777" w:rsidTr="001D4554">
        <w:tc>
          <w:tcPr>
            <w:tcW w:w="816" w:type="pct"/>
            <w:tcMar>
              <w:top w:w="0" w:type="dxa"/>
              <w:left w:w="108" w:type="dxa"/>
              <w:bottom w:w="0" w:type="dxa"/>
              <w:right w:w="108" w:type="dxa"/>
            </w:tcMar>
            <w:vAlign w:val="center"/>
          </w:tcPr>
          <w:p w14:paraId="536F8314" w14:textId="77777777" w:rsidR="00BC5F70" w:rsidRPr="000668FE" w:rsidRDefault="00BC5F70" w:rsidP="001D4554">
            <w:pPr>
              <w:pStyle w:val="COMTabletext"/>
            </w:pPr>
            <w:r w:rsidRPr="000668FE">
              <w:rPr>
                <w:lang w:val="en-US"/>
              </w:rPr>
              <w:t>Year 3</w:t>
            </w:r>
          </w:p>
        </w:tc>
        <w:tc>
          <w:tcPr>
            <w:tcW w:w="465" w:type="pct"/>
            <w:tcMar>
              <w:top w:w="0" w:type="dxa"/>
              <w:left w:w="108" w:type="dxa"/>
              <w:bottom w:w="0" w:type="dxa"/>
              <w:right w:w="108" w:type="dxa"/>
            </w:tcMar>
            <w:vAlign w:val="center"/>
          </w:tcPr>
          <w:p w14:paraId="7804781E" w14:textId="77777777" w:rsidR="00BC5F70" w:rsidRPr="000668FE" w:rsidRDefault="00BC5F70" w:rsidP="001D4554">
            <w:pPr>
              <w:pStyle w:val="COMTabletext"/>
              <w:jc w:val="center"/>
            </w:pPr>
            <w:r w:rsidRPr="007C7AA7">
              <w:t>40.0</w:t>
            </w:r>
          </w:p>
        </w:tc>
        <w:tc>
          <w:tcPr>
            <w:tcW w:w="465" w:type="pct"/>
            <w:vAlign w:val="center"/>
          </w:tcPr>
          <w:p w14:paraId="5E811FA4" w14:textId="77777777" w:rsidR="00BC5F70" w:rsidRPr="000668FE" w:rsidRDefault="00BC5F70" w:rsidP="001D4554">
            <w:pPr>
              <w:pStyle w:val="COMTabletext"/>
              <w:jc w:val="center"/>
            </w:pPr>
            <w:r>
              <w:t>0.0</w:t>
            </w:r>
          </w:p>
        </w:tc>
        <w:tc>
          <w:tcPr>
            <w:tcW w:w="466" w:type="pct"/>
          </w:tcPr>
          <w:p w14:paraId="1AA7C374" w14:textId="77777777" w:rsidR="00BC5F70" w:rsidRPr="000668FE" w:rsidRDefault="00BC5F70" w:rsidP="001D4554">
            <w:pPr>
              <w:pStyle w:val="COMTabletext"/>
              <w:jc w:val="center"/>
            </w:pPr>
            <w:r w:rsidRPr="001A73F9">
              <w:t>0.0</w:t>
            </w:r>
            <w:r>
              <w:t>%</w:t>
            </w:r>
          </w:p>
        </w:tc>
        <w:tc>
          <w:tcPr>
            <w:tcW w:w="465" w:type="pct"/>
            <w:vAlign w:val="center"/>
          </w:tcPr>
          <w:p w14:paraId="3101E9B2" w14:textId="77777777" w:rsidR="00BC5F70" w:rsidRPr="000668FE" w:rsidRDefault="00BC5F70" w:rsidP="001D4554">
            <w:pPr>
              <w:pStyle w:val="COMTabletext"/>
              <w:jc w:val="center"/>
            </w:pPr>
            <w:r w:rsidRPr="001A73F9">
              <w:t>42.0</w:t>
            </w:r>
          </w:p>
        </w:tc>
        <w:tc>
          <w:tcPr>
            <w:tcW w:w="465" w:type="pct"/>
          </w:tcPr>
          <w:p w14:paraId="316F201D" w14:textId="77777777" w:rsidR="00BC5F70" w:rsidRPr="000668FE" w:rsidRDefault="00BC5F70" w:rsidP="001D4554">
            <w:pPr>
              <w:pStyle w:val="COMTabletext"/>
              <w:jc w:val="center"/>
            </w:pPr>
            <w:r w:rsidRPr="001A73F9">
              <w:t>1.5</w:t>
            </w:r>
          </w:p>
        </w:tc>
        <w:tc>
          <w:tcPr>
            <w:tcW w:w="466" w:type="pct"/>
            <w:tcMar>
              <w:top w:w="0" w:type="dxa"/>
              <w:left w:w="108" w:type="dxa"/>
              <w:bottom w:w="0" w:type="dxa"/>
              <w:right w:w="108" w:type="dxa"/>
            </w:tcMar>
            <w:vAlign w:val="center"/>
          </w:tcPr>
          <w:p w14:paraId="0F2FD932" w14:textId="77777777" w:rsidR="00BC5F70" w:rsidRPr="000668FE" w:rsidRDefault="00BC5F70" w:rsidP="001D4554">
            <w:pPr>
              <w:pStyle w:val="COMTabletext"/>
              <w:jc w:val="center"/>
            </w:pPr>
            <w:r w:rsidRPr="00AA0097">
              <w:t>4.0</w:t>
            </w:r>
            <w:r>
              <w:t>%</w:t>
            </w:r>
          </w:p>
        </w:tc>
        <w:tc>
          <w:tcPr>
            <w:tcW w:w="465" w:type="pct"/>
            <w:vAlign w:val="center"/>
          </w:tcPr>
          <w:p w14:paraId="39AC12C7" w14:textId="77777777" w:rsidR="00BC5F70" w:rsidRPr="000668FE" w:rsidRDefault="00BC5F70" w:rsidP="001D4554">
            <w:pPr>
              <w:pStyle w:val="COMTabletext"/>
              <w:jc w:val="center"/>
            </w:pPr>
            <w:r w:rsidRPr="00AA0097">
              <w:t>-1.5</w:t>
            </w:r>
          </w:p>
        </w:tc>
        <w:tc>
          <w:tcPr>
            <w:tcW w:w="465" w:type="pct"/>
          </w:tcPr>
          <w:p w14:paraId="19593E4D" w14:textId="77777777" w:rsidR="00BC5F70" w:rsidRPr="000668FE" w:rsidRDefault="00BC5F70" w:rsidP="001D4554">
            <w:pPr>
              <w:pStyle w:val="COMTabletext"/>
              <w:jc w:val="center"/>
            </w:pPr>
            <w:r w:rsidRPr="00AA0097">
              <w:t>-3.8</w:t>
            </w:r>
            <w:r>
              <w:t>%</w:t>
            </w:r>
          </w:p>
        </w:tc>
        <w:tc>
          <w:tcPr>
            <w:tcW w:w="462" w:type="pct"/>
          </w:tcPr>
          <w:p w14:paraId="0FB7D9EE" w14:textId="77777777" w:rsidR="00BC5F70" w:rsidRPr="000668FE" w:rsidRDefault="00BC5F70" w:rsidP="001D4554">
            <w:pPr>
              <w:pStyle w:val="COMTabletext"/>
              <w:jc w:val="center"/>
            </w:pPr>
            <w:r w:rsidRPr="00A2409E">
              <w:t>&lt;0.001</w:t>
            </w:r>
          </w:p>
        </w:tc>
      </w:tr>
      <w:tr w:rsidR="00BC5F70" w:rsidRPr="008215FB" w14:paraId="6BFB7CAF" w14:textId="77777777" w:rsidTr="001D4554">
        <w:tc>
          <w:tcPr>
            <w:tcW w:w="816" w:type="pct"/>
            <w:tcMar>
              <w:top w:w="0" w:type="dxa"/>
              <w:left w:w="108" w:type="dxa"/>
              <w:bottom w:w="0" w:type="dxa"/>
              <w:right w:w="108" w:type="dxa"/>
            </w:tcMar>
            <w:vAlign w:val="center"/>
          </w:tcPr>
          <w:p w14:paraId="24BA005E" w14:textId="77777777" w:rsidR="00BC5F70" w:rsidRPr="000668FE" w:rsidRDefault="00BC5F70" w:rsidP="001D4554">
            <w:pPr>
              <w:pStyle w:val="COMTabletext"/>
            </w:pPr>
            <w:r w:rsidRPr="000668FE">
              <w:rPr>
                <w:lang w:val="en-US"/>
              </w:rPr>
              <w:t>Year 4</w:t>
            </w:r>
          </w:p>
        </w:tc>
        <w:tc>
          <w:tcPr>
            <w:tcW w:w="465" w:type="pct"/>
            <w:tcMar>
              <w:top w:w="0" w:type="dxa"/>
              <w:left w:w="108" w:type="dxa"/>
              <w:bottom w:w="0" w:type="dxa"/>
              <w:right w:w="108" w:type="dxa"/>
            </w:tcMar>
            <w:vAlign w:val="center"/>
          </w:tcPr>
          <w:p w14:paraId="0EACE1AE" w14:textId="77777777" w:rsidR="00BC5F70" w:rsidRPr="000668FE" w:rsidRDefault="00BC5F70" w:rsidP="001D4554">
            <w:pPr>
              <w:pStyle w:val="COMTabletext"/>
              <w:jc w:val="center"/>
            </w:pPr>
            <w:r w:rsidRPr="007C7AA7">
              <w:t>40.5</w:t>
            </w:r>
          </w:p>
        </w:tc>
        <w:tc>
          <w:tcPr>
            <w:tcW w:w="465" w:type="pct"/>
            <w:vAlign w:val="center"/>
          </w:tcPr>
          <w:p w14:paraId="195A8749" w14:textId="77777777" w:rsidR="00BC5F70" w:rsidRPr="000668FE" w:rsidRDefault="00BC5F70" w:rsidP="001D4554">
            <w:pPr>
              <w:pStyle w:val="COMTabletext"/>
              <w:jc w:val="center"/>
            </w:pPr>
            <w:r w:rsidRPr="001A73F9">
              <w:t>0.5</w:t>
            </w:r>
          </w:p>
        </w:tc>
        <w:tc>
          <w:tcPr>
            <w:tcW w:w="466" w:type="pct"/>
          </w:tcPr>
          <w:p w14:paraId="4104C267" w14:textId="77777777" w:rsidR="00BC5F70" w:rsidRPr="000668FE" w:rsidRDefault="00BC5F70" w:rsidP="001D4554">
            <w:pPr>
              <w:pStyle w:val="COMTabletext"/>
              <w:jc w:val="center"/>
            </w:pPr>
            <w:r w:rsidRPr="001A73F9">
              <w:t>1.0</w:t>
            </w:r>
            <w:r>
              <w:t>%</w:t>
            </w:r>
          </w:p>
        </w:tc>
        <w:tc>
          <w:tcPr>
            <w:tcW w:w="465" w:type="pct"/>
            <w:vAlign w:val="center"/>
          </w:tcPr>
          <w:p w14:paraId="6EA2BCD0" w14:textId="77777777" w:rsidR="00BC5F70" w:rsidRPr="000668FE" w:rsidRDefault="00BC5F70" w:rsidP="001D4554">
            <w:pPr>
              <w:pStyle w:val="COMTabletext"/>
              <w:jc w:val="center"/>
            </w:pPr>
            <w:r w:rsidRPr="001A73F9">
              <w:t>43.0</w:t>
            </w:r>
          </w:p>
        </w:tc>
        <w:tc>
          <w:tcPr>
            <w:tcW w:w="465" w:type="pct"/>
          </w:tcPr>
          <w:p w14:paraId="743257C4" w14:textId="77777777" w:rsidR="00BC5F70" w:rsidRPr="000668FE" w:rsidRDefault="00BC5F70" w:rsidP="001D4554">
            <w:pPr>
              <w:pStyle w:val="COMTabletext"/>
              <w:jc w:val="center"/>
            </w:pPr>
            <w:r w:rsidRPr="001A73F9">
              <w:t>2.0</w:t>
            </w:r>
          </w:p>
        </w:tc>
        <w:tc>
          <w:tcPr>
            <w:tcW w:w="466" w:type="pct"/>
            <w:tcMar>
              <w:top w:w="0" w:type="dxa"/>
              <w:left w:w="108" w:type="dxa"/>
              <w:bottom w:w="0" w:type="dxa"/>
              <w:right w:w="108" w:type="dxa"/>
            </w:tcMar>
            <w:vAlign w:val="center"/>
          </w:tcPr>
          <w:p w14:paraId="4A5E0319" w14:textId="77777777" w:rsidR="00BC5F70" w:rsidRPr="000668FE" w:rsidRDefault="00BC5F70" w:rsidP="001D4554">
            <w:pPr>
              <w:pStyle w:val="COMTabletext"/>
              <w:jc w:val="center"/>
            </w:pPr>
            <w:r w:rsidRPr="00AA0097">
              <w:t>4.8</w:t>
            </w:r>
            <w:r>
              <w:t>%</w:t>
            </w:r>
          </w:p>
        </w:tc>
        <w:tc>
          <w:tcPr>
            <w:tcW w:w="465" w:type="pct"/>
            <w:vAlign w:val="center"/>
          </w:tcPr>
          <w:p w14:paraId="13A9AA87" w14:textId="77777777" w:rsidR="00BC5F70" w:rsidRPr="000668FE" w:rsidRDefault="00BC5F70" w:rsidP="001D4554">
            <w:pPr>
              <w:pStyle w:val="COMTabletext"/>
              <w:jc w:val="center"/>
            </w:pPr>
            <w:r w:rsidRPr="00AA0097">
              <w:t>-1.5</w:t>
            </w:r>
          </w:p>
        </w:tc>
        <w:tc>
          <w:tcPr>
            <w:tcW w:w="465" w:type="pct"/>
          </w:tcPr>
          <w:p w14:paraId="6EFFCBB7" w14:textId="77777777" w:rsidR="00BC5F70" w:rsidRPr="000668FE" w:rsidRDefault="00BC5F70" w:rsidP="001D4554">
            <w:pPr>
              <w:pStyle w:val="COMTabletext"/>
              <w:jc w:val="center"/>
            </w:pPr>
            <w:r w:rsidRPr="00AA0097">
              <w:t>-3.9</w:t>
            </w:r>
            <w:r>
              <w:t>%</w:t>
            </w:r>
          </w:p>
        </w:tc>
        <w:tc>
          <w:tcPr>
            <w:tcW w:w="462" w:type="pct"/>
          </w:tcPr>
          <w:p w14:paraId="6637210A" w14:textId="77777777" w:rsidR="00BC5F70" w:rsidRPr="000668FE" w:rsidRDefault="00BC5F70" w:rsidP="001D4554">
            <w:pPr>
              <w:pStyle w:val="COMTabletext"/>
              <w:jc w:val="center"/>
            </w:pPr>
            <w:r w:rsidRPr="00A2409E">
              <w:t>&lt;0.001</w:t>
            </w:r>
          </w:p>
        </w:tc>
      </w:tr>
      <w:tr w:rsidR="00BC5F70" w:rsidRPr="008215FB" w14:paraId="51DBCECA" w14:textId="77777777" w:rsidTr="001D4554">
        <w:tc>
          <w:tcPr>
            <w:tcW w:w="816" w:type="pct"/>
            <w:tcMar>
              <w:top w:w="0" w:type="dxa"/>
              <w:left w:w="108" w:type="dxa"/>
              <w:bottom w:w="0" w:type="dxa"/>
              <w:right w:w="108" w:type="dxa"/>
            </w:tcMar>
            <w:vAlign w:val="center"/>
          </w:tcPr>
          <w:p w14:paraId="29EB2FAD" w14:textId="77777777" w:rsidR="00BC5F70" w:rsidRPr="000668FE" w:rsidRDefault="00BC5F70" w:rsidP="001D4554">
            <w:pPr>
              <w:pStyle w:val="COMTabletext"/>
            </w:pPr>
            <w:r w:rsidRPr="000668FE">
              <w:rPr>
                <w:lang w:val="en-US"/>
              </w:rPr>
              <w:t>Year 5</w:t>
            </w:r>
          </w:p>
        </w:tc>
        <w:tc>
          <w:tcPr>
            <w:tcW w:w="465" w:type="pct"/>
            <w:tcMar>
              <w:top w:w="0" w:type="dxa"/>
              <w:left w:w="108" w:type="dxa"/>
              <w:bottom w:w="0" w:type="dxa"/>
              <w:right w:w="108" w:type="dxa"/>
            </w:tcMar>
            <w:vAlign w:val="center"/>
          </w:tcPr>
          <w:p w14:paraId="3E90BB1E" w14:textId="77777777" w:rsidR="00BC5F70" w:rsidRPr="000668FE" w:rsidRDefault="00BC5F70" w:rsidP="001D4554">
            <w:pPr>
              <w:pStyle w:val="COMTabletext"/>
              <w:jc w:val="center"/>
            </w:pPr>
            <w:r w:rsidRPr="007C7AA7">
              <w:t>41.0</w:t>
            </w:r>
          </w:p>
        </w:tc>
        <w:tc>
          <w:tcPr>
            <w:tcW w:w="465" w:type="pct"/>
            <w:vAlign w:val="center"/>
          </w:tcPr>
          <w:p w14:paraId="51673B60" w14:textId="77777777" w:rsidR="00BC5F70" w:rsidRPr="000668FE" w:rsidRDefault="00BC5F70" w:rsidP="001D4554">
            <w:pPr>
              <w:pStyle w:val="COMTabletext"/>
              <w:jc w:val="center"/>
            </w:pPr>
            <w:r w:rsidRPr="001A73F9">
              <w:t>0.0</w:t>
            </w:r>
          </w:p>
        </w:tc>
        <w:tc>
          <w:tcPr>
            <w:tcW w:w="466" w:type="pct"/>
          </w:tcPr>
          <w:p w14:paraId="005DA4AD" w14:textId="77777777" w:rsidR="00BC5F70" w:rsidRPr="000668FE" w:rsidRDefault="00BC5F70" w:rsidP="001D4554">
            <w:pPr>
              <w:pStyle w:val="COMTabletext"/>
              <w:jc w:val="center"/>
            </w:pPr>
            <w:r w:rsidRPr="001A73F9">
              <w:t>0.0</w:t>
            </w:r>
            <w:r>
              <w:t>%</w:t>
            </w:r>
          </w:p>
        </w:tc>
        <w:tc>
          <w:tcPr>
            <w:tcW w:w="465" w:type="pct"/>
            <w:vAlign w:val="center"/>
          </w:tcPr>
          <w:p w14:paraId="23832950" w14:textId="77777777" w:rsidR="00BC5F70" w:rsidRPr="000668FE" w:rsidRDefault="00BC5F70" w:rsidP="001D4554">
            <w:pPr>
              <w:pStyle w:val="COMTabletext"/>
              <w:jc w:val="center"/>
            </w:pPr>
            <w:r w:rsidRPr="001A73F9">
              <w:t>43.0</w:t>
            </w:r>
          </w:p>
        </w:tc>
        <w:tc>
          <w:tcPr>
            <w:tcW w:w="465" w:type="pct"/>
          </w:tcPr>
          <w:p w14:paraId="79D498D5" w14:textId="77777777" w:rsidR="00BC5F70" w:rsidRPr="000668FE" w:rsidRDefault="00BC5F70" w:rsidP="001D4554">
            <w:pPr>
              <w:pStyle w:val="COMTabletext"/>
              <w:jc w:val="center"/>
            </w:pPr>
            <w:r w:rsidRPr="001A73F9">
              <w:t>1.5</w:t>
            </w:r>
          </w:p>
        </w:tc>
        <w:tc>
          <w:tcPr>
            <w:tcW w:w="466" w:type="pct"/>
            <w:tcMar>
              <w:top w:w="0" w:type="dxa"/>
              <w:left w:w="108" w:type="dxa"/>
              <w:bottom w:w="0" w:type="dxa"/>
              <w:right w:w="108" w:type="dxa"/>
            </w:tcMar>
            <w:vAlign w:val="center"/>
          </w:tcPr>
          <w:p w14:paraId="6BF82980" w14:textId="77777777" w:rsidR="00BC5F70" w:rsidRPr="000668FE" w:rsidRDefault="00BC5F70" w:rsidP="001D4554">
            <w:pPr>
              <w:pStyle w:val="COMTabletext"/>
              <w:jc w:val="center"/>
            </w:pPr>
            <w:r w:rsidRPr="00AA0097">
              <w:t>3.0</w:t>
            </w:r>
            <w:r>
              <w:t>%</w:t>
            </w:r>
          </w:p>
        </w:tc>
        <w:tc>
          <w:tcPr>
            <w:tcW w:w="465" w:type="pct"/>
            <w:vAlign w:val="center"/>
          </w:tcPr>
          <w:p w14:paraId="2A5CF2BC" w14:textId="77777777" w:rsidR="00BC5F70" w:rsidRPr="000668FE" w:rsidRDefault="00BC5F70" w:rsidP="001D4554">
            <w:pPr>
              <w:pStyle w:val="COMTabletext"/>
              <w:jc w:val="center"/>
            </w:pPr>
            <w:r w:rsidRPr="00AA0097">
              <w:t>-1.5</w:t>
            </w:r>
          </w:p>
        </w:tc>
        <w:tc>
          <w:tcPr>
            <w:tcW w:w="465" w:type="pct"/>
          </w:tcPr>
          <w:p w14:paraId="4AD8EB0A" w14:textId="77777777" w:rsidR="00BC5F70" w:rsidRPr="000668FE" w:rsidRDefault="00BC5F70" w:rsidP="001D4554">
            <w:pPr>
              <w:pStyle w:val="COMTabletext"/>
              <w:jc w:val="center"/>
            </w:pPr>
            <w:r w:rsidRPr="00AA0097">
              <w:t>-3.0</w:t>
            </w:r>
            <w:r>
              <w:t>%</w:t>
            </w:r>
          </w:p>
        </w:tc>
        <w:tc>
          <w:tcPr>
            <w:tcW w:w="462" w:type="pct"/>
          </w:tcPr>
          <w:p w14:paraId="7EBDC92D" w14:textId="77777777" w:rsidR="00BC5F70" w:rsidRPr="000668FE" w:rsidRDefault="00BC5F70" w:rsidP="001D4554">
            <w:pPr>
              <w:pStyle w:val="COMTabletext"/>
              <w:jc w:val="center"/>
            </w:pPr>
            <w:r w:rsidRPr="00A2409E">
              <w:t>&lt;0.001</w:t>
            </w:r>
          </w:p>
        </w:tc>
      </w:tr>
      <w:tr w:rsidR="00BC5F70" w:rsidRPr="008215FB" w14:paraId="1E9C1C33" w14:textId="77777777" w:rsidTr="001D4554">
        <w:tc>
          <w:tcPr>
            <w:tcW w:w="816" w:type="pct"/>
            <w:tcMar>
              <w:top w:w="0" w:type="dxa"/>
              <w:left w:w="108" w:type="dxa"/>
              <w:bottom w:w="0" w:type="dxa"/>
              <w:right w:w="108" w:type="dxa"/>
            </w:tcMar>
            <w:vAlign w:val="center"/>
          </w:tcPr>
          <w:p w14:paraId="7898F691" w14:textId="77777777" w:rsidR="00BC5F70" w:rsidRPr="000668FE" w:rsidRDefault="00BC5F70" w:rsidP="001D4554">
            <w:pPr>
              <w:pStyle w:val="COMTabletext"/>
            </w:pPr>
            <w:r w:rsidRPr="000668FE">
              <w:t>Last visit</w:t>
            </w:r>
          </w:p>
        </w:tc>
        <w:tc>
          <w:tcPr>
            <w:tcW w:w="465" w:type="pct"/>
            <w:tcMar>
              <w:top w:w="0" w:type="dxa"/>
              <w:left w:w="108" w:type="dxa"/>
              <w:bottom w:w="0" w:type="dxa"/>
              <w:right w:w="108" w:type="dxa"/>
            </w:tcMar>
            <w:vAlign w:val="center"/>
          </w:tcPr>
          <w:p w14:paraId="1F381B0E" w14:textId="77777777" w:rsidR="00BC5F70" w:rsidRPr="000668FE" w:rsidRDefault="00BC5F70" w:rsidP="001D4554">
            <w:pPr>
              <w:pStyle w:val="COMTabletext"/>
              <w:jc w:val="center"/>
            </w:pPr>
            <w:r w:rsidRPr="007C7AA7">
              <w:t>41.0</w:t>
            </w:r>
          </w:p>
        </w:tc>
        <w:tc>
          <w:tcPr>
            <w:tcW w:w="465" w:type="pct"/>
            <w:vAlign w:val="center"/>
          </w:tcPr>
          <w:p w14:paraId="46729DA9" w14:textId="77777777" w:rsidR="00BC5F70" w:rsidRPr="000668FE" w:rsidRDefault="00BC5F70" w:rsidP="001D4554">
            <w:pPr>
              <w:pStyle w:val="COMTabletext"/>
              <w:jc w:val="center"/>
            </w:pPr>
            <w:r w:rsidRPr="001A73F9">
              <w:t>1.0</w:t>
            </w:r>
          </w:p>
        </w:tc>
        <w:tc>
          <w:tcPr>
            <w:tcW w:w="466" w:type="pct"/>
          </w:tcPr>
          <w:p w14:paraId="3617315D" w14:textId="77777777" w:rsidR="00BC5F70" w:rsidRPr="000668FE" w:rsidRDefault="00BC5F70" w:rsidP="001D4554">
            <w:pPr>
              <w:pStyle w:val="COMTabletext"/>
              <w:jc w:val="center"/>
            </w:pPr>
            <w:r w:rsidRPr="001A73F9">
              <w:t>2.5</w:t>
            </w:r>
            <w:r>
              <w:t>%</w:t>
            </w:r>
          </w:p>
        </w:tc>
        <w:tc>
          <w:tcPr>
            <w:tcW w:w="465" w:type="pct"/>
            <w:vAlign w:val="center"/>
          </w:tcPr>
          <w:p w14:paraId="32CD95E0" w14:textId="77777777" w:rsidR="00BC5F70" w:rsidRPr="000668FE" w:rsidRDefault="00BC5F70" w:rsidP="001D4554">
            <w:pPr>
              <w:pStyle w:val="COMTabletext"/>
              <w:jc w:val="center"/>
            </w:pPr>
            <w:r w:rsidRPr="001A73F9">
              <w:t>42.0</w:t>
            </w:r>
          </w:p>
        </w:tc>
        <w:tc>
          <w:tcPr>
            <w:tcW w:w="465" w:type="pct"/>
          </w:tcPr>
          <w:p w14:paraId="13FB8B18" w14:textId="77777777" w:rsidR="00BC5F70" w:rsidRPr="000668FE" w:rsidRDefault="00BC5F70" w:rsidP="001D4554">
            <w:pPr>
              <w:pStyle w:val="COMTabletext"/>
              <w:jc w:val="center"/>
            </w:pPr>
            <w:r w:rsidRPr="001A73F9">
              <w:t>2.0</w:t>
            </w:r>
          </w:p>
        </w:tc>
        <w:tc>
          <w:tcPr>
            <w:tcW w:w="466" w:type="pct"/>
            <w:tcMar>
              <w:top w:w="0" w:type="dxa"/>
              <w:left w:w="108" w:type="dxa"/>
              <w:bottom w:w="0" w:type="dxa"/>
              <w:right w:w="108" w:type="dxa"/>
            </w:tcMar>
            <w:vAlign w:val="center"/>
          </w:tcPr>
          <w:p w14:paraId="3413CD98" w14:textId="77777777" w:rsidR="00BC5F70" w:rsidRPr="000668FE" w:rsidRDefault="00BC5F70" w:rsidP="001D4554">
            <w:pPr>
              <w:pStyle w:val="COMTabletext"/>
              <w:jc w:val="center"/>
            </w:pPr>
            <w:r w:rsidRPr="00AA0097">
              <w:t>5.7</w:t>
            </w:r>
            <w:r>
              <w:t>%</w:t>
            </w:r>
          </w:p>
        </w:tc>
        <w:tc>
          <w:tcPr>
            <w:tcW w:w="465" w:type="pct"/>
            <w:vAlign w:val="center"/>
          </w:tcPr>
          <w:p w14:paraId="76C30AB2" w14:textId="77777777" w:rsidR="00BC5F70" w:rsidRPr="000668FE" w:rsidRDefault="00BC5F70" w:rsidP="001D4554">
            <w:pPr>
              <w:pStyle w:val="COMTabletext"/>
              <w:jc w:val="center"/>
            </w:pPr>
            <w:r w:rsidRPr="00AA0097">
              <w:t>-1.0</w:t>
            </w:r>
          </w:p>
        </w:tc>
        <w:tc>
          <w:tcPr>
            <w:tcW w:w="465" w:type="pct"/>
          </w:tcPr>
          <w:p w14:paraId="337E3DA2" w14:textId="77777777" w:rsidR="00BC5F70" w:rsidRPr="000668FE" w:rsidRDefault="00BC5F70" w:rsidP="001D4554">
            <w:pPr>
              <w:pStyle w:val="COMTabletext"/>
              <w:jc w:val="center"/>
            </w:pPr>
            <w:r w:rsidRPr="00AA0097">
              <w:t>-3.0</w:t>
            </w:r>
            <w:r>
              <w:t>%</w:t>
            </w:r>
          </w:p>
        </w:tc>
        <w:tc>
          <w:tcPr>
            <w:tcW w:w="462" w:type="pct"/>
          </w:tcPr>
          <w:p w14:paraId="0D0F4A25" w14:textId="77777777" w:rsidR="00BC5F70" w:rsidRPr="000668FE" w:rsidRDefault="00BC5F70" w:rsidP="001D4554">
            <w:pPr>
              <w:pStyle w:val="COMTabletext"/>
              <w:jc w:val="center"/>
            </w:pPr>
            <w:r w:rsidRPr="00A2409E">
              <w:t>&lt;0.001</w:t>
            </w:r>
          </w:p>
        </w:tc>
      </w:tr>
    </w:tbl>
    <w:p w14:paraId="65F29130" w14:textId="77777777" w:rsidR="00BC5F70" w:rsidRDefault="00BC5F70" w:rsidP="00BC5F70">
      <w:pPr>
        <w:pStyle w:val="COMTablefooter"/>
      </w:pPr>
      <w:r>
        <w:t xml:space="preserve">Source: Supplementary Table 4, p38 of the Bhatt </w:t>
      </w:r>
      <w:r w:rsidRPr="00A87F7D">
        <w:rPr>
          <w:i/>
          <w:iCs/>
        </w:rPr>
        <w:t>et al</w:t>
      </w:r>
      <w:r>
        <w:t>. (2019) supplementary appendix.</w:t>
      </w:r>
    </w:p>
    <w:p w14:paraId="25B8D547" w14:textId="77777777" w:rsidR="00BC5F70" w:rsidRDefault="00BC5F70" w:rsidP="00BC5F70">
      <w:pPr>
        <w:pStyle w:val="COMTablefooter"/>
      </w:pPr>
      <w:r>
        <w:t>Abbreviations: HDL, high-density lipoprotein; LDL, low-density lipoprotein.</w:t>
      </w:r>
    </w:p>
    <w:p w14:paraId="67F79BC5" w14:textId="3EDABB6B" w:rsidR="00671BE5" w:rsidRPr="006F7350" w:rsidRDefault="00BC5F70" w:rsidP="006C2A08">
      <w:pPr>
        <w:pStyle w:val="COMTablefooter"/>
      </w:pPr>
      <w:r>
        <w:rPr>
          <w:vertAlign w:val="superscript"/>
        </w:rPr>
        <w:t>a</w:t>
      </w:r>
      <w:r>
        <w:t xml:space="preserve"> </w:t>
      </w:r>
      <w:r w:rsidRPr="00B1233A">
        <w:t xml:space="preserve">The </w:t>
      </w:r>
      <w:r>
        <w:t xml:space="preserve">Hopkins method of measurement is based on replacement of the </w:t>
      </w:r>
      <w:r w:rsidRPr="00B1233A">
        <w:t xml:space="preserve">fixed factor of 5 </w:t>
      </w:r>
      <w:r>
        <w:t>(</w:t>
      </w:r>
      <w:r w:rsidRPr="00B1233A">
        <w:t xml:space="preserve">used to estimate </w:t>
      </w:r>
      <w:r>
        <w:t xml:space="preserve">very low-density lipoprotein cholesterol) </w:t>
      </w:r>
      <w:r w:rsidRPr="00B1233A">
        <w:t>by an adjustable factor based on a patient's non-HDL</w:t>
      </w:r>
      <w:r>
        <w:t xml:space="preserve"> cholesterol</w:t>
      </w:r>
      <w:r w:rsidRPr="00B1233A">
        <w:t xml:space="preserve"> and </w:t>
      </w:r>
      <w:r>
        <w:t xml:space="preserve">triglyceride </w:t>
      </w:r>
      <w:r w:rsidRPr="00B1233A">
        <w:t>values.</w:t>
      </w:r>
    </w:p>
    <w:p w14:paraId="1A5C2D06" w14:textId="2F2F1DCB" w:rsidR="006C2A08" w:rsidRPr="00E211D2" w:rsidRDefault="006C2A08" w:rsidP="0091664F">
      <w:pPr>
        <w:widowControl w:val="0"/>
        <w:numPr>
          <w:ilvl w:val="1"/>
          <w:numId w:val="1"/>
        </w:numPr>
        <w:spacing w:after="120"/>
        <w:ind w:left="720" w:hanging="720"/>
      </w:pPr>
      <w:r w:rsidRPr="00E211D2">
        <w:t xml:space="preserve">At one year, treatment with icosapent ethyl was associated with a -19.7% difference in triglycerides, a -13.1% difference in non-HDL cholesterol, a -6.6% difference in derived LDL cholesterol, a -11.4% difference </w:t>
      </w:r>
      <w:r w:rsidR="00775053" w:rsidRPr="00E211D2">
        <w:t xml:space="preserve">in </w:t>
      </w:r>
      <w:r w:rsidRPr="00E211D2">
        <w:t xml:space="preserve">Hopkins </w:t>
      </w:r>
      <w:r w:rsidR="00775053" w:rsidRPr="00E211D2">
        <w:t xml:space="preserve">method </w:t>
      </w:r>
      <w:r w:rsidRPr="00E211D2">
        <w:t xml:space="preserve">LDL cholesterol, and </w:t>
      </w:r>
      <w:r w:rsidRPr="00E211D2">
        <w:lastRenderedPageBreak/>
        <w:t xml:space="preserve">a -6.3% difference in HDL cholesterol compared to placebo. The differences in triglyceride, non-HDL cholesterol, and LDL cholesterol were generally maintained until Year 4. The results were considered exploratory and statistical testing was carried out at a nominal 5% level without adjustment for multiplicity. The difference in LDL cholesterol was </w:t>
      </w:r>
      <w:r w:rsidR="007E7A59" w:rsidRPr="00E211D2">
        <w:t xml:space="preserve">almost completely </w:t>
      </w:r>
      <w:r w:rsidRPr="00E211D2">
        <w:t xml:space="preserve">due to increases in LDL cholesterol levels in the placebo arm, rather than </w:t>
      </w:r>
      <w:r w:rsidR="00EE146A" w:rsidRPr="00E211D2">
        <w:t>a reduction</w:t>
      </w:r>
      <w:r w:rsidRPr="00E211D2">
        <w:t xml:space="preserve"> in LDL cholesterol levels in the icosapent ethyl arm. </w:t>
      </w:r>
    </w:p>
    <w:p w14:paraId="164C17F8" w14:textId="78509A2D" w:rsidR="006C2A08" w:rsidRPr="00E211D2" w:rsidRDefault="00F60C8D" w:rsidP="0091664F">
      <w:pPr>
        <w:widowControl w:val="0"/>
        <w:numPr>
          <w:ilvl w:val="1"/>
          <w:numId w:val="1"/>
        </w:numPr>
        <w:spacing w:after="120"/>
        <w:ind w:left="720" w:hanging="720"/>
        <w:rPr>
          <w:rFonts w:cstheme="minorHAnsi"/>
        </w:rPr>
      </w:pPr>
      <w:bookmarkStart w:id="38" w:name="_Ref151020149"/>
      <w:r w:rsidRPr="00E211D2">
        <w:t xml:space="preserve">The ESC </w:t>
      </w:r>
      <w:r w:rsidR="007E7A59" w:rsidRPr="00E211D2">
        <w:t>noted that there was uncertainty surrounding the relative magnitude of the benefit of icosapent ethyl</w:t>
      </w:r>
      <w:r w:rsidR="00317768" w:rsidRPr="00E211D2">
        <w:t>, noting</w:t>
      </w:r>
      <w:r w:rsidRPr="00E211D2">
        <w:t xml:space="preserve"> that p</w:t>
      </w:r>
      <w:r w:rsidR="006C2A08" w:rsidRPr="00E211D2">
        <w:t xml:space="preserve">atients in the placebo arm experienced increases in LDL cholesterol </w:t>
      </w:r>
      <w:r w:rsidR="00953850" w:rsidRPr="00E211D2">
        <w:t xml:space="preserve">(Hopkins method) </w:t>
      </w:r>
      <w:r w:rsidR="006C2A08" w:rsidRPr="00E211D2">
        <w:t>of between 8.7% and 11.4% over the first 4 years of the trial</w:t>
      </w:r>
      <w:r w:rsidR="00317768" w:rsidRPr="00E211D2">
        <w:t>, whereas patients in the icosapent ethyl arm experienced decreases of up to 2.0% over the same period. Patients in the placebo arm also experienced increases in apolipoprotein B (7.8%) and high sensitivity C-reactive protein (32.3%) at Year 2</w:t>
      </w:r>
      <w:r w:rsidR="006C2A08" w:rsidRPr="00E211D2">
        <w:t xml:space="preserve">. </w:t>
      </w:r>
      <w:r w:rsidRPr="00E211D2">
        <w:t>The PSCR noted that the percentage changes in LDL cholesterol correspond to approximately a 0.2 mmol/L difference and stated that this was a small difference in absolute terms</w:t>
      </w:r>
      <w:r w:rsidR="006C2A08" w:rsidRPr="00E211D2">
        <w:t>.</w:t>
      </w:r>
      <w:r w:rsidRPr="00E211D2">
        <w:t xml:space="preserve"> The PSCR also stated that other plausible reasons for the change in LDL cholesterol included the natural history of the disease and regression to the mean.</w:t>
      </w:r>
      <w:r w:rsidR="007E7A59" w:rsidRPr="00E211D2">
        <w:t xml:space="preserve"> The ESC noted that </w:t>
      </w:r>
      <w:r w:rsidR="007E7A59" w:rsidRPr="00E211D2">
        <w:rPr>
          <w:rFonts w:cstheme="minorHAnsi"/>
        </w:rPr>
        <w:t>t</w:t>
      </w:r>
      <w:r w:rsidR="007E7A59" w:rsidRPr="00E211D2">
        <w:rPr>
          <w:rStyle w:val="cf01"/>
          <w:rFonts w:asciiTheme="minorHAnsi" w:hAnsiTheme="minorHAnsi" w:cstheme="minorHAnsi"/>
          <w:sz w:val="24"/>
          <w:szCs w:val="24"/>
        </w:rPr>
        <w:t>he potential harmful effect of mineral oil placebo in REDUCE-IT has been the subject of intense scrutiny. Similar effects on LDL cholesterol and high sensitivity C-reactive protein were not observed in a review of other clinical trials that have used mineral oil as placebo (Olshansky et al, 2020). Further, similar changes were not observed in the STRENGTH trial, which studied a very similar population to the REDUCE-IT trial and used a corn oil placebo. The possible effect of mineral oil on statin absorption has been postulated as one mechanism for the changes in the placebo group seen in REDUCE-IT. The ESC noted that some investigators have called for a new trial comparing icosapent ethyl with a bland placebo to definitively confirm a clinical benefit with icosapent ethyl and to characterise the magnitude of the cardiovascular effects (Bostrom et al, 2021).</w:t>
      </w:r>
      <w:r w:rsidR="00EB54E6">
        <w:rPr>
          <w:rStyle w:val="cf01"/>
          <w:rFonts w:asciiTheme="minorHAnsi" w:hAnsiTheme="minorHAnsi" w:cstheme="minorHAnsi"/>
          <w:sz w:val="24"/>
          <w:szCs w:val="24"/>
        </w:rPr>
        <w:t xml:space="preserve"> The pre-PBAC response stated that the STRENGTH trial studied a </w:t>
      </w:r>
      <w:r w:rsidR="00C54901">
        <w:rPr>
          <w:rStyle w:val="cf01"/>
          <w:rFonts w:asciiTheme="minorHAnsi" w:hAnsiTheme="minorHAnsi" w:cstheme="minorHAnsi"/>
          <w:sz w:val="24"/>
          <w:szCs w:val="24"/>
        </w:rPr>
        <w:t>EPA</w:t>
      </w:r>
      <w:r w:rsidR="00EB54E6">
        <w:rPr>
          <w:rStyle w:val="cf01"/>
          <w:rFonts w:asciiTheme="minorHAnsi" w:hAnsiTheme="minorHAnsi" w:cstheme="minorHAnsi"/>
          <w:sz w:val="24"/>
          <w:szCs w:val="24"/>
        </w:rPr>
        <w:t>/DHA mixture, which is less potent than icosapent ethyl, at lower total doses (2.2 g/day compared to 4</w:t>
      </w:r>
      <w:r w:rsidR="004E40F4">
        <w:rPr>
          <w:rStyle w:val="cf01"/>
          <w:rFonts w:asciiTheme="minorHAnsi" w:hAnsiTheme="minorHAnsi" w:cstheme="minorHAnsi"/>
          <w:sz w:val="24"/>
          <w:szCs w:val="24"/>
        </w:rPr>
        <w:t> </w:t>
      </w:r>
      <w:r w:rsidR="00EB54E6">
        <w:rPr>
          <w:rStyle w:val="cf01"/>
          <w:rFonts w:asciiTheme="minorHAnsi" w:hAnsiTheme="minorHAnsi" w:cstheme="minorHAnsi"/>
          <w:sz w:val="24"/>
          <w:szCs w:val="24"/>
        </w:rPr>
        <w:t>g/day) compared to the REDUCE-IT trial.</w:t>
      </w:r>
      <w:bookmarkEnd w:id="38"/>
    </w:p>
    <w:p w14:paraId="1452C351" w14:textId="0D19F1B0" w:rsidR="00B60939" w:rsidRPr="00C9624D" w:rsidRDefault="00B60939" w:rsidP="00D86231">
      <w:pPr>
        <w:pStyle w:val="COMH2-non-numbered"/>
      </w:pPr>
      <w:bookmarkStart w:id="39" w:name="_Toc22897642"/>
      <w:bookmarkStart w:id="40" w:name="_Toc144685988"/>
      <w:bookmarkStart w:id="41" w:name="_Toc145499028"/>
      <w:r w:rsidRPr="00C9624D">
        <w:t>Comparative harms</w:t>
      </w:r>
      <w:bookmarkEnd w:id="39"/>
      <w:bookmarkEnd w:id="40"/>
      <w:bookmarkEnd w:id="41"/>
    </w:p>
    <w:p w14:paraId="3C967BFD" w14:textId="563D2E61" w:rsidR="00BF397C" w:rsidRDefault="00BF397C" w:rsidP="0091664F">
      <w:pPr>
        <w:widowControl w:val="0"/>
        <w:numPr>
          <w:ilvl w:val="1"/>
          <w:numId w:val="1"/>
        </w:numPr>
        <w:spacing w:after="120"/>
        <w:ind w:left="720" w:hanging="720"/>
      </w:pPr>
      <w:r w:rsidRPr="00BF397C">
        <w:t xml:space="preserve">Key adverse events occurring in the </w:t>
      </w:r>
      <w:r w:rsidR="007C2247">
        <w:t xml:space="preserve">overall </w:t>
      </w:r>
      <w:r w:rsidR="00D158D6">
        <w:t xml:space="preserve">trial population of the </w:t>
      </w:r>
      <w:r>
        <w:t>REDUCE-IT trial</w:t>
      </w:r>
      <w:r w:rsidRPr="00BF397C">
        <w:t xml:space="preserve"> are summarised in </w:t>
      </w:r>
      <w:r w:rsidR="009F703B">
        <w:fldChar w:fldCharType="begin" w:fldLock="1"/>
      </w:r>
      <w:r w:rsidR="009F703B">
        <w:instrText xml:space="preserve"> REF _Ref144678749 \h </w:instrText>
      </w:r>
      <w:r w:rsidR="009F703B">
        <w:fldChar w:fldCharType="separate"/>
      </w:r>
      <w:r w:rsidR="003F1735">
        <w:t xml:space="preserve">Table </w:t>
      </w:r>
      <w:r w:rsidR="003F1735">
        <w:rPr>
          <w:noProof/>
        </w:rPr>
        <w:t>8</w:t>
      </w:r>
      <w:r w:rsidR="009F703B">
        <w:fldChar w:fldCharType="end"/>
      </w:r>
      <w:r>
        <w:t xml:space="preserve">. </w:t>
      </w:r>
      <w:r w:rsidR="00D158D6">
        <w:t xml:space="preserve">Adverse event data for patients in the secondary prevention population of the REDUCE-IT trial were not included in the submission. </w:t>
      </w:r>
    </w:p>
    <w:p w14:paraId="090AB3BC" w14:textId="39D9C54F" w:rsidR="00A0270C" w:rsidRPr="00080909" w:rsidRDefault="00E6235F" w:rsidP="00A0270C">
      <w:pPr>
        <w:pStyle w:val="COMtablefigcaption"/>
      </w:pPr>
      <w:bookmarkStart w:id="42" w:name="_Ref144678749"/>
      <w:r>
        <w:lastRenderedPageBreak/>
        <w:t xml:space="preserve">Table </w:t>
      </w:r>
      <w:fldSimple w:instr=" SEQ Table \* ARABIC " w:fldLock="1">
        <w:r w:rsidR="003F1735">
          <w:rPr>
            <w:noProof/>
          </w:rPr>
          <w:t>8</w:t>
        </w:r>
      </w:fldSimple>
      <w:bookmarkEnd w:id="42"/>
      <w:r w:rsidR="00A0270C" w:rsidRPr="00080909">
        <w:t>:</w:t>
      </w:r>
      <w:r w:rsidR="00A0270C">
        <w:t xml:space="preserve"> </w:t>
      </w:r>
      <w:r w:rsidR="00A0270C" w:rsidRPr="00080909">
        <w:t xml:space="preserve">Summary of adverse events in the </w:t>
      </w:r>
      <w:r w:rsidR="00A0270C">
        <w:t>REDUCE-IT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Summary of adverse events in the REDUCE-IT trial"/>
        <w:tblDescription w:val="Table 8: Summary of adverse events in the REDUCE-IT trial"/>
      </w:tblPr>
      <w:tblGrid>
        <w:gridCol w:w="4249"/>
        <w:gridCol w:w="2384"/>
        <w:gridCol w:w="2384"/>
      </w:tblGrid>
      <w:tr w:rsidR="00A0270C" w:rsidRPr="00080909" w14:paraId="0954DCB0" w14:textId="77777777" w:rsidTr="00E9497F">
        <w:trPr>
          <w:tblHeader/>
        </w:trPr>
        <w:tc>
          <w:tcPr>
            <w:tcW w:w="2356" w:type="pct"/>
            <w:vAlign w:val="center"/>
          </w:tcPr>
          <w:p w14:paraId="7A9DEEDD" w14:textId="77777777" w:rsidR="00A0270C" w:rsidRPr="00080909" w:rsidRDefault="00A0270C" w:rsidP="001D4554">
            <w:pPr>
              <w:pStyle w:val="COMTableheadingrow"/>
            </w:pPr>
            <w:r>
              <w:t>Trial ID</w:t>
            </w:r>
          </w:p>
        </w:tc>
        <w:tc>
          <w:tcPr>
            <w:tcW w:w="1322" w:type="pct"/>
            <w:vAlign w:val="center"/>
          </w:tcPr>
          <w:p w14:paraId="17E17DA3" w14:textId="77777777" w:rsidR="00A0270C" w:rsidRDefault="00A0270C" w:rsidP="001D4554">
            <w:pPr>
              <w:pStyle w:val="COMTableheadingrow"/>
              <w:jc w:val="center"/>
            </w:pPr>
            <w:r>
              <w:t>Icosapent ethyl</w:t>
            </w:r>
          </w:p>
          <w:p w14:paraId="409D98AD" w14:textId="77777777" w:rsidR="00A0270C" w:rsidRPr="00080909" w:rsidRDefault="00A0270C" w:rsidP="001D4554">
            <w:pPr>
              <w:pStyle w:val="COMTableheadingrow"/>
              <w:jc w:val="center"/>
            </w:pPr>
            <w:r>
              <w:t>N=4,089</w:t>
            </w:r>
          </w:p>
        </w:tc>
        <w:tc>
          <w:tcPr>
            <w:tcW w:w="1322" w:type="pct"/>
            <w:vAlign w:val="center"/>
          </w:tcPr>
          <w:p w14:paraId="78F7031B" w14:textId="77777777" w:rsidR="00A0270C" w:rsidRDefault="00A0270C" w:rsidP="001D4554">
            <w:pPr>
              <w:pStyle w:val="COMTableheadingrow"/>
              <w:jc w:val="center"/>
            </w:pPr>
            <w:r>
              <w:t>Placebo</w:t>
            </w:r>
          </w:p>
          <w:p w14:paraId="373F0FFB" w14:textId="77777777" w:rsidR="00A0270C" w:rsidRPr="00080909" w:rsidRDefault="00A0270C" w:rsidP="001D4554">
            <w:pPr>
              <w:pStyle w:val="COMTableheadingrow"/>
              <w:jc w:val="center"/>
            </w:pPr>
            <w:r>
              <w:t>N = 4,090</w:t>
            </w:r>
          </w:p>
        </w:tc>
      </w:tr>
      <w:tr w:rsidR="00A0270C" w14:paraId="20BA07EB" w14:textId="77777777" w:rsidTr="00E9497F">
        <w:tc>
          <w:tcPr>
            <w:tcW w:w="2356" w:type="pct"/>
            <w:vAlign w:val="center"/>
          </w:tcPr>
          <w:p w14:paraId="17A310E0" w14:textId="77777777" w:rsidR="00A0270C" w:rsidRPr="009D4B51" w:rsidRDefault="00A0270C" w:rsidP="001D4554">
            <w:pPr>
              <w:pStyle w:val="COMTabletext"/>
            </w:pPr>
            <w:r w:rsidRPr="009D4B51">
              <w:t>Mean treatment duration, years (SD)</w:t>
            </w:r>
          </w:p>
        </w:tc>
        <w:tc>
          <w:tcPr>
            <w:tcW w:w="1322" w:type="pct"/>
            <w:vAlign w:val="center"/>
          </w:tcPr>
          <w:p w14:paraId="65CB190B" w14:textId="77777777" w:rsidR="00A0270C" w:rsidRPr="004071CB" w:rsidRDefault="00A0270C" w:rsidP="001D4554">
            <w:pPr>
              <w:pStyle w:val="COMTabletext"/>
              <w:jc w:val="center"/>
            </w:pPr>
            <w:r>
              <w:t>3.71 (1.75)</w:t>
            </w:r>
          </w:p>
        </w:tc>
        <w:tc>
          <w:tcPr>
            <w:tcW w:w="1322" w:type="pct"/>
            <w:vAlign w:val="center"/>
          </w:tcPr>
          <w:p w14:paraId="3B8CB9A0" w14:textId="77777777" w:rsidR="00A0270C" w:rsidRPr="004071CB" w:rsidRDefault="00A0270C" w:rsidP="001D4554">
            <w:pPr>
              <w:pStyle w:val="COMTabletext"/>
              <w:jc w:val="center"/>
            </w:pPr>
            <w:r>
              <w:t>3.56 (1.78)</w:t>
            </w:r>
          </w:p>
        </w:tc>
      </w:tr>
      <w:tr w:rsidR="00A0270C" w14:paraId="17653A30" w14:textId="77777777" w:rsidTr="00E9497F">
        <w:tc>
          <w:tcPr>
            <w:tcW w:w="2356" w:type="pct"/>
            <w:vAlign w:val="center"/>
          </w:tcPr>
          <w:p w14:paraId="1BCE7F37" w14:textId="77777777" w:rsidR="00A0270C" w:rsidRDefault="00A0270C" w:rsidP="001D4554">
            <w:pPr>
              <w:pStyle w:val="COMTabletext"/>
            </w:pPr>
            <w:r>
              <w:t>Any treatment-emergent AE, n (%)</w:t>
            </w:r>
          </w:p>
        </w:tc>
        <w:tc>
          <w:tcPr>
            <w:tcW w:w="1322" w:type="pct"/>
            <w:vAlign w:val="center"/>
          </w:tcPr>
          <w:p w14:paraId="5BF32756" w14:textId="77777777" w:rsidR="00A0270C" w:rsidRDefault="00A0270C" w:rsidP="001D4554">
            <w:pPr>
              <w:pStyle w:val="COMTabletext"/>
              <w:jc w:val="center"/>
            </w:pPr>
            <w:r w:rsidRPr="004071CB">
              <w:t>3,343 (81.8)</w:t>
            </w:r>
          </w:p>
        </w:tc>
        <w:tc>
          <w:tcPr>
            <w:tcW w:w="1322" w:type="pct"/>
            <w:vAlign w:val="center"/>
          </w:tcPr>
          <w:p w14:paraId="1A38FD97" w14:textId="77777777" w:rsidR="00A0270C" w:rsidRDefault="00A0270C" w:rsidP="001D4554">
            <w:pPr>
              <w:pStyle w:val="COMTabletext"/>
              <w:jc w:val="center"/>
            </w:pPr>
            <w:r w:rsidRPr="004071CB">
              <w:t>3,326</w:t>
            </w:r>
            <w:r>
              <w:t xml:space="preserve"> </w:t>
            </w:r>
            <w:r w:rsidRPr="004071CB">
              <w:t>(81.3)</w:t>
            </w:r>
          </w:p>
        </w:tc>
      </w:tr>
      <w:tr w:rsidR="00A0270C" w14:paraId="2C653E99" w14:textId="77777777" w:rsidTr="00E9497F">
        <w:tc>
          <w:tcPr>
            <w:tcW w:w="2356" w:type="pct"/>
            <w:vAlign w:val="center"/>
          </w:tcPr>
          <w:p w14:paraId="2175FCFC" w14:textId="77777777" w:rsidR="00A0270C" w:rsidRDefault="00A0270C" w:rsidP="001D4554">
            <w:pPr>
              <w:pStyle w:val="COMTabletext"/>
            </w:pPr>
            <w:r>
              <w:t>Severe AE, n (%)</w:t>
            </w:r>
          </w:p>
        </w:tc>
        <w:tc>
          <w:tcPr>
            <w:tcW w:w="1322" w:type="pct"/>
            <w:vAlign w:val="center"/>
          </w:tcPr>
          <w:p w14:paraId="46771634" w14:textId="77777777" w:rsidR="00A0270C" w:rsidRDefault="00A0270C" w:rsidP="001D4554">
            <w:pPr>
              <w:pStyle w:val="COMTabletext"/>
              <w:jc w:val="center"/>
            </w:pPr>
            <w:r w:rsidRPr="004071CB">
              <w:t>805 (19.7)</w:t>
            </w:r>
          </w:p>
        </w:tc>
        <w:tc>
          <w:tcPr>
            <w:tcW w:w="1322" w:type="pct"/>
            <w:vAlign w:val="center"/>
          </w:tcPr>
          <w:p w14:paraId="619BADBE" w14:textId="77777777" w:rsidR="00A0270C" w:rsidRDefault="00A0270C" w:rsidP="001D4554">
            <w:pPr>
              <w:pStyle w:val="COMTabletext"/>
              <w:jc w:val="center"/>
            </w:pPr>
            <w:r w:rsidRPr="004071CB">
              <w:t>816</w:t>
            </w:r>
            <w:r>
              <w:t xml:space="preserve"> </w:t>
            </w:r>
            <w:r w:rsidRPr="004071CB">
              <w:t>(20.0)</w:t>
            </w:r>
          </w:p>
        </w:tc>
      </w:tr>
      <w:tr w:rsidR="00A0270C" w14:paraId="2EC55B60" w14:textId="77777777" w:rsidTr="00E9497F">
        <w:tc>
          <w:tcPr>
            <w:tcW w:w="2356" w:type="pct"/>
            <w:vAlign w:val="center"/>
          </w:tcPr>
          <w:p w14:paraId="431F2EA0" w14:textId="77777777" w:rsidR="00A0270C" w:rsidRDefault="00A0270C" w:rsidP="001D4554">
            <w:pPr>
              <w:pStyle w:val="COMTabletext"/>
            </w:pPr>
            <w:r>
              <w:t>Serious AE, n (%)</w:t>
            </w:r>
          </w:p>
        </w:tc>
        <w:tc>
          <w:tcPr>
            <w:tcW w:w="1322" w:type="pct"/>
            <w:vAlign w:val="center"/>
          </w:tcPr>
          <w:p w14:paraId="1E4C8F10" w14:textId="77777777" w:rsidR="00A0270C" w:rsidRDefault="00A0270C" w:rsidP="001D4554">
            <w:pPr>
              <w:pStyle w:val="COMTabletext"/>
              <w:jc w:val="center"/>
            </w:pPr>
            <w:r w:rsidRPr="004071CB">
              <w:t>1,252 (30.6)</w:t>
            </w:r>
          </w:p>
        </w:tc>
        <w:tc>
          <w:tcPr>
            <w:tcW w:w="1322" w:type="pct"/>
            <w:vAlign w:val="center"/>
          </w:tcPr>
          <w:p w14:paraId="7A19119B" w14:textId="77777777" w:rsidR="00A0270C" w:rsidRDefault="00A0270C" w:rsidP="001D4554">
            <w:pPr>
              <w:pStyle w:val="COMTabletext"/>
              <w:jc w:val="center"/>
            </w:pPr>
            <w:r w:rsidRPr="004071CB">
              <w:t>1,254</w:t>
            </w:r>
            <w:r>
              <w:t xml:space="preserve"> </w:t>
            </w:r>
            <w:r w:rsidRPr="004071CB">
              <w:t>(30.7)</w:t>
            </w:r>
          </w:p>
        </w:tc>
      </w:tr>
      <w:tr w:rsidR="00A0270C" w14:paraId="07878C14" w14:textId="77777777" w:rsidTr="00E9497F">
        <w:tc>
          <w:tcPr>
            <w:tcW w:w="2356" w:type="pct"/>
            <w:vAlign w:val="center"/>
          </w:tcPr>
          <w:p w14:paraId="644F3349" w14:textId="77777777" w:rsidR="00A0270C" w:rsidRDefault="00A0270C" w:rsidP="001D4554">
            <w:pPr>
              <w:pStyle w:val="COMTabletext"/>
            </w:pPr>
            <w:r>
              <w:t>Treatment-related AE, n (%)</w:t>
            </w:r>
          </w:p>
        </w:tc>
        <w:tc>
          <w:tcPr>
            <w:tcW w:w="1322" w:type="pct"/>
            <w:vAlign w:val="center"/>
          </w:tcPr>
          <w:p w14:paraId="4D6F6750" w14:textId="77777777" w:rsidR="00A0270C" w:rsidRPr="004071CB" w:rsidRDefault="00A0270C" w:rsidP="001D4554">
            <w:pPr>
              <w:pStyle w:val="COMTabletext"/>
              <w:jc w:val="center"/>
            </w:pPr>
            <w:r w:rsidRPr="009B6572">
              <w:t>514</w:t>
            </w:r>
            <w:r w:rsidRPr="004071CB">
              <w:t xml:space="preserve"> </w:t>
            </w:r>
            <w:r w:rsidRPr="009B6572">
              <w:t>(12.6)</w:t>
            </w:r>
          </w:p>
        </w:tc>
        <w:tc>
          <w:tcPr>
            <w:tcW w:w="1322" w:type="pct"/>
            <w:vAlign w:val="center"/>
          </w:tcPr>
          <w:p w14:paraId="45DB4234" w14:textId="77777777" w:rsidR="00A0270C" w:rsidRPr="004071CB" w:rsidRDefault="00A0270C" w:rsidP="001D4554">
            <w:pPr>
              <w:pStyle w:val="COMTabletext"/>
              <w:jc w:val="center"/>
            </w:pPr>
            <w:r w:rsidRPr="009B6572">
              <w:t>499 (12.2)</w:t>
            </w:r>
          </w:p>
        </w:tc>
      </w:tr>
      <w:tr w:rsidR="00A0270C" w14:paraId="2158A77D" w14:textId="77777777" w:rsidTr="00E9497F">
        <w:tc>
          <w:tcPr>
            <w:tcW w:w="2356" w:type="pct"/>
            <w:vAlign w:val="center"/>
          </w:tcPr>
          <w:p w14:paraId="76157DCE" w14:textId="77777777" w:rsidR="00A0270C" w:rsidRDefault="00A0270C" w:rsidP="001D4554">
            <w:pPr>
              <w:pStyle w:val="COMTabletext"/>
            </w:pPr>
            <w:r>
              <w:t>AE leading to treatment discontinuation n (%)</w:t>
            </w:r>
          </w:p>
        </w:tc>
        <w:tc>
          <w:tcPr>
            <w:tcW w:w="1322" w:type="pct"/>
            <w:vAlign w:val="center"/>
          </w:tcPr>
          <w:p w14:paraId="31883DED" w14:textId="77777777" w:rsidR="00A0270C" w:rsidRDefault="00A0270C" w:rsidP="001D4554">
            <w:pPr>
              <w:pStyle w:val="COMTabletext"/>
              <w:jc w:val="center"/>
            </w:pPr>
            <w:r w:rsidRPr="004071CB">
              <w:t>321 (7.9)</w:t>
            </w:r>
          </w:p>
        </w:tc>
        <w:tc>
          <w:tcPr>
            <w:tcW w:w="1322" w:type="pct"/>
            <w:vAlign w:val="center"/>
          </w:tcPr>
          <w:p w14:paraId="52BC6AC3" w14:textId="77777777" w:rsidR="00A0270C" w:rsidRDefault="00A0270C" w:rsidP="001D4554">
            <w:pPr>
              <w:pStyle w:val="COMTabletext"/>
              <w:jc w:val="center"/>
            </w:pPr>
            <w:r w:rsidRPr="004071CB">
              <w:t>335 (8.2)</w:t>
            </w:r>
          </w:p>
        </w:tc>
      </w:tr>
      <w:tr w:rsidR="00A0270C" w14:paraId="39EADC5F" w14:textId="77777777" w:rsidTr="00E9497F">
        <w:tc>
          <w:tcPr>
            <w:tcW w:w="2356" w:type="pct"/>
            <w:vAlign w:val="center"/>
          </w:tcPr>
          <w:p w14:paraId="611E286C" w14:textId="77777777" w:rsidR="00A0270C" w:rsidRDefault="00A0270C" w:rsidP="001D4554">
            <w:pPr>
              <w:pStyle w:val="COMTabletext"/>
            </w:pPr>
            <w:r>
              <w:t>Serious AE leading to treatment discontinuation, n (%)</w:t>
            </w:r>
          </w:p>
        </w:tc>
        <w:tc>
          <w:tcPr>
            <w:tcW w:w="1322" w:type="pct"/>
            <w:vAlign w:val="center"/>
          </w:tcPr>
          <w:p w14:paraId="5D01920C" w14:textId="77777777" w:rsidR="00A0270C" w:rsidRDefault="00A0270C" w:rsidP="001D4554">
            <w:pPr>
              <w:pStyle w:val="COMTabletext"/>
              <w:jc w:val="center"/>
            </w:pPr>
            <w:r w:rsidRPr="004071CB">
              <w:t>88 (2.2)</w:t>
            </w:r>
          </w:p>
        </w:tc>
        <w:tc>
          <w:tcPr>
            <w:tcW w:w="1322" w:type="pct"/>
            <w:vAlign w:val="center"/>
          </w:tcPr>
          <w:p w14:paraId="204CB5E5" w14:textId="77777777" w:rsidR="00A0270C" w:rsidRDefault="00A0270C" w:rsidP="001D4554">
            <w:pPr>
              <w:pStyle w:val="COMTabletext"/>
              <w:jc w:val="center"/>
            </w:pPr>
            <w:r w:rsidRPr="004071CB">
              <w:t>88 (2.2)</w:t>
            </w:r>
          </w:p>
        </w:tc>
      </w:tr>
      <w:tr w:rsidR="00A0270C" w14:paraId="49C67C1D" w14:textId="77777777" w:rsidTr="00E9497F">
        <w:tc>
          <w:tcPr>
            <w:tcW w:w="2356" w:type="pct"/>
            <w:vAlign w:val="center"/>
          </w:tcPr>
          <w:p w14:paraId="0214FB9C" w14:textId="77777777" w:rsidR="00A0270C" w:rsidRDefault="00A0270C" w:rsidP="001D4554">
            <w:pPr>
              <w:pStyle w:val="COMTabletext"/>
            </w:pPr>
            <w:r>
              <w:t>Serious AE leading to death, n (%)</w:t>
            </w:r>
          </w:p>
        </w:tc>
        <w:tc>
          <w:tcPr>
            <w:tcW w:w="1322" w:type="pct"/>
            <w:vAlign w:val="center"/>
          </w:tcPr>
          <w:p w14:paraId="7A055401" w14:textId="77777777" w:rsidR="00A0270C" w:rsidRDefault="00A0270C" w:rsidP="001D4554">
            <w:pPr>
              <w:pStyle w:val="COMTabletext"/>
              <w:jc w:val="center"/>
            </w:pPr>
            <w:r w:rsidRPr="004071CB">
              <w:t>94</w:t>
            </w:r>
            <w:r>
              <w:t xml:space="preserve"> </w:t>
            </w:r>
            <w:r w:rsidRPr="004071CB">
              <w:t>(2.3)</w:t>
            </w:r>
          </w:p>
        </w:tc>
        <w:tc>
          <w:tcPr>
            <w:tcW w:w="1322" w:type="pct"/>
            <w:vAlign w:val="center"/>
          </w:tcPr>
          <w:p w14:paraId="39749D62" w14:textId="77777777" w:rsidR="00A0270C" w:rsidRDefault="00A0270C" w:rsidP="001D4554">
            <w:pPr>
              <w:pStyle w:val="COMTabletext"/>
              <w:jc w:val="center"/>
            </w:pPr>
            <w:r w:rsidRPr="004071CB">
              <w:t>102 (2.5)</w:t>
            </w:r>
          </w:p>
        </w:tc>
      </w:tr>
    </w:tbl>
    <w:p w14:paraId="66ADFF3F" w14:textId="77777777" w:rsidR="00A0270C" w:rsidRDefault="00A0270C" w:rsidP="00A0270C">
      <w:pPr>
        <w:pStyle w:val="COMTablefooter"/>
      </w:pPr>
      <w:r>
        <w:t xml:space="preserve">Source: Table 12-2, p214; </w:t>
      </w:r>
      <w:r w:rsidRPr="002E6DE9">
        <w:t>Table 12-3, pp216-217 of the REDUCE-IT clinical study report.</w:t>
      </w:r>
    </w:p>
    <w:p w14:paraId="3C260E52" w14:textId="77777777" w:rsidR="00A0270C" w:rsidRPr="00DF7757" w:rsidRDefault="00A0270C" w:rsidP="00A0270C">
      <w:pPr>
        <w:pStyle w:val="COMTablefooter"/>
        <w:rPr>
          <w:sz w:val="20"/>
        </w:rPr>
      </w:pPr>
      <w:r>
        <w:t>Abbreviations: AE, adverse event.</w:t>
      </w:r>
    </w:p>
    <w:p w14:paraId="2DAF16D1" w14:textId="7FE72642" w:rsidR="00B60939" w:rsidRPr="00E211D2" w:rsidRDefault="00A0270C" w:rsidP="0091664F">
      <w:pPr>
        <w:widowControl w:val="0"/>
        <w:numPr>
          <w:ilvl w:val="1"/>
          <w:numId w:val="1"/>
        </w:numPr>
        <w:spacing w:after="120"/>
        <w:ind w:left="720" w:hanging="720"/>
      </w:pPr>
      <w:r w:rsidRPr="00E211D2">
        <w:t xml:space="preserve">The incidence of </w:t>
      </w:r>
      <w:r w:rsidR="00953850" w:rsidRPr="00E211D2">
        <w:t>adverse events</w:t>
      </w:r>
      <w:r w:rsidRPr="00E211D2">
        <w:t xml:space="preserve"> </w:t>
      </w:r>
      <w:r w:rsidR="00EE146A" w:rsidRPr="00E211D2">
        <w:t>was</w:t>
      </w:r>
      <w:r w:rsidRPr="00E211D2">
        <w:t xml:space="preserve"> generally similar between treatment arms.</w:t>
      </w:r>
    </w:p>
    <w:p w14:paraId="6FF1A137" w14:textId="4D83F6DA" w:rsidR="00A0270C" w:rsidRPr="00E211D2" w:rsidRDefault="00A0270C" w:rsidP="0091664F">
      <w:pPr>
        <w:widowControl w:val="0"/>
        <w:numPr>
          <w:ilvl w:val="1"/>
          <w:numId w:val="1"/>
        </w:numPr>
        <w:spacing w:after="120"/>
        <w:ind w:left="720" w:hanging="720"/>
      </w:pPr>
      <w:r w:rsidRPr="00E211D2">
        <w:t>The most commonly reported treatment-emergent adverse events in the icosapent ethyl arm (&gt;7%) were diarrhoea (9.0%), back pain (8.2%), hypertension (7.8%), nasopharyngitis (7.7%), arthralgia (7.7%), upper respiratory tract infection (7.6%) and bronchitis (7.5%). The most commonly reported treatment-related adverse events in the icosapent ethyl arm (&gt;0.5%) were diarrhoea (2.7%), eructation (0.9%), flatulence (0.8%), nausea (0.8%) and arthralgia (0.6%). Treatment with icosapent ethyl was associated with a higher incidence (&gt;1.0%) of peripheral oedema, constipation, and atrial fibrillation than the placebo arm.</w:t>
      </w:r>
    </w:p>
    <w:p w14:paraId="46F4CEBF" w14:textId="63C28289" w:rsidR="00A0270C" w:rsidRDefault="00A0270C" w:rsidP="0091664F">
      <w:pPr>
        <w:widowControl w:val="0"/>
        <w:numPr>
          <w:ilvl w:val="1"/>
          <w:numId w:val="1"/>
        </w:numPr>
        <w:spacing w:after="120"/>
        <w:ind w:left="720" w:hanging="720"/>
      </w:pPr>
      <w:bookmarkStart w:id="43" w:name="_Ref152226270"/>
      <w:r w:rsidRPr="00E211D2">
        <w:t>T</w:t>
      </w:r>
      <w:r w:rsidR="00F60C8D" w:rsidRPr="00E211D2">
        <w:t>he ESC noted that t</w:t>
      </w:r>
      <w:r w:rsidRPr="00E211D2">
        <w:t xml:space="preserve">reatment with icosapent ethyl was associated with a higher incidence of bleeding-related disorders (11.8% versus 9.9%; p=0.0055) and a higher incidence of atrial fibrillation/flutter (7.7% versus 5.9%; p=0.0016) compared to placebo. </w:t>
      </w:r>
      <w:r w:rsidR="000A4882" w:rsidRPr="00E211D2">
        <w:t>B</w:t>
      </w:r>
      <w:r w:rsidR="00953850" w:rsidRPr="00E211D2">
        <w:t>leeding in patients on anti-thrombotic therapy and atrial fibrillation/flutter</w:t>
      </w:r>
      <w:r w:rsidR="000A4882" w:rsidRPr="00E211D2">
        <w:t xml:space="preserve"> are important identified risks</w:t>
      </w:r>
      <w:r w:rsidR="000A4882" w:rsidRPr="000A4882">
        <w:t xml:space="preserve"> </w:t>
      </w:r>
      <w:r w:rsidR="000A4882">
        <w:t>in the icosapent ethyl p</w:t>
      </w:r>
      <w:r w:rsidR="000A4882" w:rsidRPr="000A4882">
        <w:t xml:space="preserve">eriodic </w:t>
      </w:r>
      <w:r w:rsidR="000A4882">
        <w:t>b</w:t>
      </w:r>
      <w:r w:rsidR="000A4882" w:rsidRPr="000A4882">
        <w:t>enefit-</w:t>
      </w:r>
      <w:r w:rsidR="000A4882">
        <w:t>r</w:t>
      </w:r>
      <w:r w:rsidR="000A4882" w:rsidRPr="000A4882">
        <w:t xml:space="preserve">isk </w:t>
      </w:r>
      <w:r w:rsidR="000A4882">
        <w:t>e</w:t>
      </w:r>
      <w:r w:rsidR="000A4882" w:rsidRPr="000A4882">
        <w:t xml:space="preserve">valuation </w:t>
      </w:r>
      <w:r w:rsidR="000A4882">
        <w:t>r</w:t>
      </w:r>
      <w:r w:rsidR="000A4882" w:rsidRPr="000A4882">
        <w:t>eport</w:t>
      </w:r>
      <w:r w:rsidR="000A4882">
        <w:t xml:space="preserve"> (PBRER).</w:t>
      </w:r>
      <w:r w:rsidR="00541173">
        <w:t xml:space="preserve"> Further, it was noted that the EMA confirmed at its September 2023 meeting that atrial fibrillation was a common side effect of omega-3-acid esters and advised that they should be stopped if atrial fibrillation develops.</w:t>
      </w:r>
      <w:r w:rsidR="00541173">
        <w:rPr>
          <w:rStyle w:val="FootnoteReference"/>
        </w:rPr>
        <w:footnoteReference w:id="3"/>
      </w:r>
      <w:bookmarkEnd w:id="43"/>
    </w:p>
    <w:p w14:paraId="04908C7F" w14:textId="415B9B7D" w:rsidR="007F1017" w:rsidRPr="00C9624D" w:rsidRDefault="007F1017" w:rsidP="00D86231">
      <w:pPr>
        <w:pStyle w:val="COMH2-non-numbered"/>
      </w:pPr>
      <w:bookmarkStart w:id="44" w:name="_Toc22897643"/>
      <w:bookmarkStart w:id="45" w:name="_Toc144685989"/>
      <w:bookmarkStart w:id="46" w:name="_Toc145499029"/>
      <w:r w:rsidRPr="00C9624D">
        <w:t>Benefits/harms</w:t>
      </w:r>
      <w:bookmarkEnd w:id="44"/>
      <w:bookmarkEnd w:id="45"/>
      <w:bookmarkEnd w:id="46"/>
    </w:p>
    <w:p w14:paraId="1CB772FF" w14:textId="1E57501C" w:rsidR="00E723BA" w:rsidRPr="003C2DE2" w:rsidRDefault="00EC00C9" w:rsidP="0091664F">
      <w:pPr>
        <w:widowControl w:val="0"/>
        <w:numPr>
          <w:ilvl w:val="1"/>
          <w:numId w:val="1"/>
        </w:numPr>
        <w:spacing w:after="120"/>
        <w:ind w:left="720" w:hanging="720"/>
        <w:rPr>
          <w:rStyle w:val="COMtablefigcaptionChar"/>
        </w:rPr>
      </w:pPr>
      <w:r w:rsidRPr="00ED5BD4">
        <w:rPr>
          <w:lang w:val="en-US"/>
        </w:rPr>
        <w:t xml:space="preserve">A summary of the comparative benefits and harms for </w:t>
      </w:r>
      <w:r w:rsidR="00D421CE">
        <w:rPr>
          <w:lang w:val="en-US"/>
        </w:rPr>
        <w:t>icosapent ethyl</w:t>
      </w:r>
      <w:r w:rsidRPr="00ED5BD4">
        <w:rPr>
          <w:lang w:val="en-US"/>
        </w:rPr>
        <w:t xml:space="preserve"> versus </w:t>
      </w:r>
      <w:r w:rsidR="00D421CE">
        <w:rPr>
          <w:lang w:val="en-US"/>
        </w:rPr>
        <w:t>placebo</w:t>
      </w:r>
      <w:r w:rsidRPr="00ED5BD4">
        <w:rPr>
          <w:lang w:val="en-US"/>
        </w:rPr>
        <w:t xml:space="preserve"> is presented in</w:t>
      </w:r>
      <w:r w:rsidR="00E16AD8">
        <w:rPr>
          <w:lang w:val="en-US"/>
        </w:rPr>
        <w:t xml:space="preserve"> </w:t>
      </w:r>
      <w:r w:rsidR="00E16AD8">
        <w:rPr>
          <w:lang w:val="en-US"/>
        </w:rPr>
        <w:fldChar w:fldCharType="begin" w:fldLock="1"/>
      </w:r>
      <w:r w:rsidR="00E16AD8">
        <w:rPr>
          <w:lang w:val="en-US"/>
        </w:rPr>
        <w:instrText xml:space="preserve"> REF _Ref104805037 \h </w:instrText>
      </w:r>
      <w:r w:rsidR="00E16AD8">
        <w:rPr>
          <w:lang w:val="en-US"/>
        </w:rPr>
      </w:r>
      <w:r w:rsidR="00E16AD8">
        <w:rPr>
          <w:lang w:val="en-US"/>
        </w:rPr>
        <w:fldChar w:fldCharType="separate"/>
      </w:r>
      <w:r w:rsidR="003F1735">
        <w:t xml:space="preserve">Table </w:t>
      </w:r>
      <w:r w:rsidR="003F1735">
        <w:rPr>
          <w:noProof/>
        </w:rPr>
        <w:t>9</w:t>
      </w:r>
      <w:r w:rsidR="00E16AD8">
        <w:rPr>
          <w:lang w:val="en-US"/>
        </w:rPr>
        <w:fldChar w:fldCharType="end"/>
      </w:r>
      <w:r w:rsidRPr="00D2155B">
        <w:t>.</w:t>
      </w:r>
    </w:p>
    <w:p w14:paraId="04AC1B54" w14:textId="483570D2" w:rsidR="00B62715" w:rsidRPr="00FD4ED6" w:rsidRDefault="00D6076E" w:rsidP="00FD4ED6">
      <w:pPr>
        <w:pStyle w:val="COMtablefigcaption"/>
      </w:pPr>
      <w:bookmarkStart w:id="47" w:name="_Ref104805037"/>
      <w:r>
        <w:lastRenderedPageBreak/>
        <w:t xml:space="preserve">Table </w:t>
      </w:r>
      <w:fldSimple w:instr=" SEQ Table \* ARABIC " w:fldLock="1">
        <w:r w:rsidR="003F1735">
          <w:rPr>
            <w:noProof/>
          </w:rPr>
          <w:t>9</w:t>
        </w:r>
      </w:fldSimple>
      <w:bookmarkEnd w:id="47"/>
      <w:r>
        <w:t xml:space="preserve">: </w:t>
      </w:r>
      <w:r w:rsidR="00B62715" w:rsidRPr="00FD4ED6">
        <w:t xml:space="preserve">Summary of </w:t>
      </w:r>
      <w:r w:rsidR="001D682E" w:rsidRPr="001D682E">
        <w:t>comparative benefits and harms for icosapent ethyl and placebo</w:t>
      </w:r>
    </w:p>
    <w:tbl>
      <w:tblPr>
        <w:tblW w:w="5000" w:type="pct"/>
        <w:tblLayout w:type="fixed"/>
        <w:tblCellMar>
          <w:left w:w="28" w:type="dxa"/>
          <w:right w:w="28" w:type="dxa"/>
        </w:tblCellMar>
        <w:tblLook w:val="04A0" w:firstRow="1" w:lastRow="0" w:firstColumn="1" w:lastColumn="0" w:noHBand="0" w:noVBand="1"/>
        <w:tblCaption w:val="Table 9: Summary of comparative benefits and harms for icosapent ethyl and placebo"/>
        <w:tblDescription w:val="Table 9: Summary of comparative benefits and harms for icosapent ethyl and placebo"/>
      </w:tblPr>
      <w:tblGrid>
        <w:gridCol w:w="1555"/>
        <w:gridCol w:w="914"/>
        <w:gridCol w:w="362"/>
        <w:gridCol w:w="1275"/>
        <w:gridCol w:w="541"/>
        <w:gridCol w:w="738"/>
        <w:gridCol w:w="1131"/>
        <w:gridCol w:w="314"/>
        <w:gridCol w:w="822"/>
        <w:gridCol w:w="1365"/>
      </w:tblGrid>
      <w:tr w:rsidR="00436EDC" w:rsidRPr="00511320" w14:paraId="3A949DC5" w14:textId="77777777" w:rsidTr="008F1BBE">
        <w:trPr>
          <w:trHeight w:val="20"/>
        </w:trPr>
        <w:tc>
          <w:tcPr>
            <w:tcW w:w="13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FFFDB" w14:textId="7C8CC9C3" w:rsidR="00436EDC" w:rsidRPr="00330DAA" w:rsidRDefault="00436EDC" w:rsidP="008F1BBE">
            <w:pPr>
              <w:pStyle w:val="COMTableheadingrow"/>
            </w:pPr>
            <w:r w:rsidRPr="00330DAA">
              <w:t>Event</w:t>
            </w:r>
          </w:p>
        </w:tc>
        <w:tc>
          <w:tcPr>
            <w:tcW w:w="1208" w:type="pct"/>
            <w:gridSpan w:val="3"/>
            <w:tcBorders>
              <w:top w:val="single" w:sz="4" w:space="0" w:color="auto"/>
              <w:left w:val="single" w:sz="4" w:space="0" w:color="auto"/>
              <w:bottom w:val="single" w:sz="4" w:space="0" w:color="auto"/>
              <w:right w:val="single" w:sz="4" w:space="0" w:color="auto"/>
            </w:tcBorders>
            <w:shd w:val="clear" w:color="auto" w:fill="auto"/>
          </w:tcPr>
          <w:p w14:paraId="1F2D7A4D" w14:textId="77777777" w:rsidR="00436EDC" w:rsidRDefault="00436EDC" w:rsidP="00436EDC">
            <w:pPr>
              <w:pStyle w:val="COMTableheadingrow"/>
              <w:jc w:val="center"/>
            </w:pPr>
            <w:r>
              <w:t>Icosapent ethyl</w:t>
            </w:r>
          </w:p>
          <w:p w14:paraId="52375DFB" w14:textId="6C0CD8AB" w:rsidR="00436BD0" w:rsidRDefault="00436BD0" w:rsidP="00436EDC">
            <w:pPr>
              <w:pStyle w:val="COMTableheadingrow"/>
              <w:jc w:val="center"/>
            </w:pPr>
            <w:r>
              <w:t>n/N (%)</w:t>
            </w:r>
          </w:p>
        </w:tc>
        <w:tc>
          <w:tcPr>
            <w:tcW w:w="1210" w:type="pct"/>
            <w:gridSpan w:val="3"/>
            <w:tcBorders>
              <w:top w:val="single" w:sz="4" w:space="0" w:color="auto"/>
              <w:left w:val="single" w:sz="4" w:space="0" w:color="auto"/>
              <w:bottom w:val="single" w:sz="4" w:space="0" w:color="auto"/>
              <w:right w:val="single" w:sz="4" w:space="0" w:color="auto"/>
            </w:tcBorders>
            <w:shd w:val="clear" w:color="auto" w:fill="auto"/>
          </w:tcPr>
          <w:p w14:paraId="5ACFB8BC" w14:textId="77777777" w:rsidR="00436EDC" w:rsidRDefault="00436EDC" w:rsidP="00436EDC">
            <w:pPr>
              <w:pStyle w:val="COMTableheadingrow"/>
              <w:jc w:val="center"/>
            </w:pPr>
            <w:r>
              <w:t>Placebo</w:t>
            </w:r>
          </w:p>
          <w:p w14:paraId="311D55D4" w14:textId="6DEEED92" w:rsidR="00436BD0" w:rsidRDefault="00436BD0" w:rsidP="00436EDC">
            <w:pPr>
              <w:pStyle w:val="COMTableheadingrow"/>
              <w:jc w:val="center"/>
            </w:pPr>
            <w:r>
              <w:t>n/N (%)</w:t>
            </w:r>
          </w:p>
        </w:tc>
        <w:tc>
          <w:tcPr>
            <w:tcW w:w="1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27238" w14:textId="34C0EC3B" w:rsidR="00436EDC" w:rsidRPr="00511320" w:rsidRDefault="00436EDC" w:rsidP="00436EDC">
            <w:pPr>
              <w:pStyle w:val="COMTableheadingrow"/>
              <w:jc w:val="center"/>
            </w:pPr>
            <w:r w:rsidRPr="00511320">
              <w:t>HR (95% CI)</w:t>
            </w:r>
          </w:p>
        </w:tc>
      </w:tr>
      <w:tr w:rsidR="00436EDC" w:rsidRPr="00511320" w14:paraId="31CB7463" w14:textId="77777777" w:rsidTr="00436EDC">
        <w:trPr>
          <w:trHeight w:val="20"/>
        </w:trPr>
        <w:tc>
          <w:tcPr>
            <w:tcW w:w="5000" w:type="pct"/>
            <w:gridSpan w:val="10"/>
            <w:tcBorders>
              <w:top w:val="single" w:sz="4" w:space="0" w:color="auto"/>
              <w:left w:val="single" w:sz="4" w:space="0" w:color="auto"/>
              <w:bottom w:val="double" w:sz="4" w:space="0" w:color="auto"/>
              <w:right w:val="single" w:sz="4" w:space="0" w:color="auto"/>
            </w:tcBorders>
            <w:shd w:val="clear" w:color="auto" w:fill="auto"/>
          </w:tcPr>
          <w:p w14:paraId="1F343B16" w14:textId="2A9DE47D" w:rsidR="00436EDC" w:rsidRPr="0094777D" w:rsidRDefault="00436EDC" w:rsidP="00436EDC">
            <w:pPr>
              <w:pStyle w:val="COMTableheadingrow"/>
              <w:rPr>
                <w:vertAlign w:val="superscript"/>
              </w:rPr>
            </w:pPr>
            <w:r w:rsidRPr="00E2771E">
              <w:t>Benefits</w:t>
            </w:r>
            <w:r w:rsidR="0094777D">
              <w:t xml:space="preserve"> </w:t>
            </w:r>
            <w:r w:rsidR="0094777D">
              <w:rPr>
                <w:vertAlign w:val="superscript"/>
              </w:rPr>
              <w:t>a</w:t>
            </w:r>
          </w:p>
        </w:tc>
      </w:tr>
      <w:tr w:rsidR="00436EDC" w:rsidRPr="00511320" w14:paraId="74455E84" w14:textId="77777777" w:rsidTr="00436EDC">
        <w:trPr>
          <w:trHeight w:val="20"/>
        </w:trPr>
        <w:tc>
          <w:tcPr>
            <w:tcW w:w="5000" w:type="pct"/>
            <w:gridSpan w:val="10"/>
            <w:tcBorders>
              <w:top w:val="double" w:sz="4" w:space="0" w:color="auto"/>
              <w:left w:val="single" w:sz="4" w:space="0" w:color="auto"/>
              <w:bottom w:val="single" w:sz="4" w:space="0" w:color="auto"/>
              <w:right w:val="single" w:sz="4" w:space="0" w:color="auto"/>
            </w:tcBorders>
            <w:shd w:val="clear" w:color="auto" w:fill="auto"/>
          </w:tcPr>
          <w:p w14:paraId="561810B2" w14:textId="470E0409" w:rsidR="00436EDC" w:rsidRPr="0094777D" w:rsidRDefault="00436EDC" w:rsidP="00436EDC">
            <w:pPr>
              <w:pStyle w:val="COMTableheadingrow"/>
              <w:rPr>
                <w:vertAlign w:val="superscript"/>
              </w:rPr>
            </w:pPr>
            <w:r w:rsidRPr="00436EDC">
              <w:t>Time to first occurrence of outcome</w:t>
            </w:r>
            <w:r w:rsidR="0094777D">
              <w:t xml:space="preserve"> </w:t>
            </w:r>
            <w:r w:rsidR="0094777D">
              <w:rPr>
                <w:vertAlign w:val="superscript"/>
              </w:rPr>
              <w:t>b</w:t>
            </w:r>
          </w:p>
        </w:tc>
      </w:tr>
      <w:tr w:rsidR="00436BD0" w:rsidRPr="00C67006" w14:paraId="08E642EF" w14:textId="77777777" w:rsidTr="008F1BBE">
        <w:trPr>
          <w:trHeight w:val="20"/>
        </w:trPr>
        <w:tc>
          <w:tcPr>
            <w:tcW w:w="1369" w:type="pct"/>
            <w:gridSpan w:val="2"/>
            <w:tcBorders>
              <w:top w:val="single" w:sz="4" w:space="0" w:color="auto"/>
              <w:left w:val="single" w:sz="4" w:space="0" w:color="auto"/>
              <w:bottom w:val="single" w:sz="4" w:space="0" w:color="auto"/>
              <w:right w:val="single" w:sz="4" w:space="0" w:color="auto"/>
            </w:tcBorders>
            <w:shd w:val="clear" w:color="auto" w:fill="auto"/>
          </w:tcPr>
          <w:p w14:paraId="439A4A2C" w14:textId="1CB9678F" w:rsidR="00436EDC" w:rsidRPr="00330DAA" w:rsidRDefault="00436EDC" w:rsidP="00436EDC">
            <w:pPr>
              <w:pStyle w:val="COMTabletext"/>
              <w:keepLines/>
              <w:widowControl w:val="0"/>
            </w:pPr>
            <w:r>
              <w:t>5-point MACE composite</w:t>
            </w:r>
          </w:p>
        </w:tc>
        <w:tc>
          <w:tcPr>
            <w:tcW w:w="1208" w:type="pct"/>
            <w:gridSpan w:val="3"/>
            <w:tcBorders>
              <w:left w:val="single" w:sz="4" w:space="0" w:color="auto"/>
              <w:bottom w:val="single" w:sz="4" w:space="0" w:color="auto"/>
              <w:right w:val="single" w:sz="4" w:space="0" w:color="auto"/>
            </w:tcBorders>
            <w:shd w:val="clear" w:color="auto" w:fill="auto"/>
          </w:tcPr>
          <w:p w14:paraId="111C5BC5" w14:textId="217010DD" w:rsidR="00436EDC" w:rsidRPr="00330DAA" w:rsidRDefault="00436EDC" w:rsidP="00436EDC">
            <w:pPr>
              <w:pStyle w:val="COMTabletext"/>
              <w:keepLines/>
              <w:widowControl w:val="0"/>
              <w:jc w:val="center"/>
            </w:pPr>
            <w:r>
              <w:rPr>
                <w:rFonts w:cs="Times New Roman"/>
                <w:szCs w:val="20"/>
              </w:rPr>
              <w:t>559/2,892</w:t>
            </w:r>
            <w:r w:rsidRPr="00330DAA">
              <w:rPr>
                <w:rFonts w:cs="Times New Roman"/>
                <w:szCs w:val="20"/>
              </w:rPr>
              <w:t xml:space="preserve"> (</w:t>
            </w:r>
            <w:r>
              <w:rPr>
                <w:rFonts w:cs="Times New Roman"/>
                <w:szCs w:val="20"/>
              </w:rPr>
              <w:t>19.3</w:t>
            </w:r>
            <w:r w:rsidRPr="00330DAA">
              <w:rPr>
                <w:rFonts w:cs="Times New Roman"/>
                <w:szCs w:val="20"/>
              </w:rPr>
              <w:t>)</w:t>
            </w:r>
          </w:p>
        </w:tc>
        <w:tc>
          <w:tcPr>
            <w:tcW w:w="1210" w:type="pct"/>
            <w:gridSpan w:val="3"/>
            <w:tcBorders>
              <w:top w:val="single" w:sz="4" w:space="0" w:color="auto"/>
              <w:left w:val="single" w:sz="4" w:space="0" w:color="auto"/>
              <w:bottom w:val="single" w:sz="4" w:space="0" w:color="auto"/>
              <w:right w:val="single" w:sz="4" w:space="0" w:color="auto"/>
            </w:tcBorders>
            <w:shd w:val="clear" w:color="auto" w:fill="auto"/>
          </w:tcPr>
          <w:p w14:paraId="07F9499F" w14:textId="38B4F891" w:rsidR="00436EDC" w:rsidRPr="00330DAA" w:rsidRDefault="00436EDC" w:rsidP="00436EDC">
            <w:pPr>
              <w:pStyle w:val="COMTabletext"/>
              <w:keepLines/>
              <w:widowControl w:val="0"/>
              <w:jc w:val="center"/>
            </w:pPr>
            <w:r>
              <w:rPr>
                <w:rFonts w:cs="Times New Roman"/>
                <w:szCs w:val="20"/>
              </w:rPr>
              <w:t>738/2,893</w:t>
            </w:r>
            <w:r w:rsidRPr="00330DAA">
              <w:rPr>
                <w:rFonts w:cs="Times New Roman"/>
                <w:szCs w:val="20"/>
              </w:rPr>
              <w:t xml:space="preserve"> (</w:t>
            </w:r>
            <w:r>
              <w:rPr>
                <w:rFonts w:cs="Times New Roman"/>
                <w:szCs w:val="20"/>
              </w:rPr>
              <w:t>25.5</w:t>
            </w:r>
            <w:r w:rsidRPr="00330DAA">
              <w:rPr>
                <w:rFonts w:cs="Times New Roman"/>
                <w:szCs w:val="20"/>
              </w:rPr>
              <w:t>)</w:t>
            </w:r>
          </w:p>
        </w:tc>
        <w:tc>
          <w:tcPr>
            <w:tcW w:w="1213" w:type="pct"/>
            <w:gridSpan w:val="2"/>
            <w:tcBorders>
              <w:top w:val="single" w:sz="4" w:space="0" w:color="auto"/>
              <w:left w:val="single" w:sz="4" w:space="0" w:color="auto"/>
              <w:bottom w:val="single" w:sz="4" w:space="0" w:color="auto"/>
              <w:right w:val="single" w:sz="4" w:space="0" w:color="auto"/>
            </w:tcBorders>
            <w:shd w:val="clear" w:color="auto" w:fill="auto"/>
          </w:tcPr>
          <w:p w14:paraId="68A7D012" w14:textId="62D9E369" w:rsidR="00436EDC" w:rsidRPr="00C67006" w:rsidRDefault="00436EDC" w:rsidP="00436EDC">
            <w:pPr>
              <w:pStyle w:val="COMTabletext"/>
              <w:keepLines/>
              <w:widowControl w:val="0"/>
              <w:jc w:val="center"/>
            </w:pPr>
            <w:r w:rsidRPr="00CA2AED">
              <w:rPr>
                <w:szCs w:val="20"/>
              </w:rPr>
              <w:t>0.73 (0.65, 0.81)</w:t>
            </w:r>
          </w:p>
        </w:tc>
      </w:tr>
      <w:tr w:rsidR="00436BD0" w:rsidRPr="00C67006" w14:paraId="44C0ABBC" w14:textId="77777777" w:rsidTr="008F1BBE">
        <w:trPr>
          <w:trHeight w:val="60"/>
        </w:trPr>
        <w:tc>
          <w:tcPr>
            <w:tcW w:w="1369" w:type="pct"/>
            <w:gridSpan w:val="2"/>
            <w:tcBorders>
              <w:top w:val="single" w:sz="4" w:space="0" w:color="auto"/>
              <w:left w:val="single" w:sz="4" w:space="0" w:color="auto"/>
              <w:bottom w:val="single" w:sz="4" w:space="0" w:color="auto"/>
              <w:right w:val="single" w:sz="4" w:space="0" w:color="auto"/>
            </w:tcBorders>
            <w:shd w:val="clear" w:color="auto" w:fill="auto"/>
          </w:tcPr>
          <w:p w14:paraId="04A27457" w14:textId="4614863F" w:rsidR="00436EDC" w:rsidRPr="00330DAA" w:rsidRDefault="00436EDC" w:rsidP="00436EDC">
            <w:pPr>
              <w:pStyle w:val="COMTabletext"/>
              <w:keepLines/>
              <w:widowControl w:val="0"/>
            </w:pPr>
            <w:r>
              <w:t>3-point MACE composite</w:t>
            </w:r>
          </w:p>
        </w:tc>
        <w:tc>
          <w:tcPr>
            <w:tcW w:w="1208" w:type="pct"/>
            <w:gridSpan w:val="3"/>
            <w:tcBorders>
              <w:left w:val="single" w:sz="4" w:space="0" w:color="auto"/>
              <w:bottom w:val="single" w:sz="4" w:space="0" w:color="auto"/>
              <w:right w:val="single" w:sz="4" w:space="0" w:color="auto"/>
            </w:tcBorders>
            <w:shd w:val="clear" w:color="auto" w:fill="auto"/>
          </w:tcPr>
          <w:p w14:paraId="6755D2D8" w14:textId="6343BCF5" w:rsidR="00436EDC" w:rsidRPr="00330DAA" w:rsidRDefault="00436EDC" w:rsidP="00436EDC">
            <w:pPr>
              <w:pStyle w:val="COMTabletext"/>
              <w:keepLines/>
              <w:widowControl w:val="0"/>
              <w:jc w:val="center"/>
              <w:rPr>
                <w:rFonts w:cs="Times New Roman"/>
                <w:szCs w:val="20"/>
              </w:rPr>
            </w:pPr>
            <w:r>
              <w:rPr>
                <w:rFonts w:cs="Times New Roman"/>
                <w:szCs w:val="20"/>
              </w:rPr>
              <w:t>361/2,892</w:t>
            </w:r>
            <w:r w:rsidRPr="00330DAA">
              <w:rPr>
                <w:rFonts w:cs="Times New Roman"/>
                <w:szCs w:val="20"/>
              </w:rPr>
              <w:t xml:space="preserve"> (</w:t>
            </w:r>
            <w:r>
              <w:rPr>
                <w:rFonts w:cs="Times New Roman"/>
                <w:szCs w:val="20"/>
              </w:rPr>
              <w:t>12.5</w:t>
            </w:r>
            <w:r w:rsidRPr="00330DAA">
              <w:rPr>
                <w:rFonts w:cs="Times New Roman"/>
                <w:szCs w:val="20"/>
              </w:rPr>
              <w:t>)</w:t>
            </w:r>
          </w:p>
        </w:tc>
        <w:tc>
          <w:tcPr>
            <w:tcW w:w="1210" w:type="pct"/>
            <w:gridSpan w:val="3"/>
            <w:tcBorders>
              <w:top w:val="single" w:sz="4" w:space="0" w:color="auto"/>
              <w:left w:val="single" w:sz="4" w:space="0" w:color="auto"/>
              <w:bottom w:val="single" w:sz="4" w:space="0" w:color="auto"/>
              <w:right w:val="single" w:sz="4" w:space="0" w:color="auto"/>
            </w:tcBorders>
            <w:shd w:val="clear" w:color="auto" w:fill="auto"/>
          </w:tcPr>
          <w:p w14:paraId="62868CDF" w14:textId="11B0AC4B" w:rsidR="00436EDC" w:rsidRPr="00330DAA" w:rsidRDefault="00436EDC" w:rsidP="00436EDC">
            <w:pPr>
              <w:pStyle w:val="COMTabletext"/>
              <w:keepLines/>
              <w:widowControl w:val="0"/>
              <w:jc w:val="center"/>
              <w:rPr>
                <w:rFonts w:cs="Times New Roman"/>
                <w:szCs w:val="20"/>
              </w:rPr>
            </w:pPr>
            <w:r>
              <w:rPr>
                <w:rFonts w:cs="Times New Roman"/>
                <w:szCs w:val="20"/>
              </w:rPr>
              <w:t>489/2,893</w:t>
            </w:r>
            <w:r w:rsidRPr="00330DAA">
              <w:rPr>
                <w:rFonts w:cs="Times New Roman"/>
                <w:szCs w:val="20"/>
              </w:rPr>
              <w:t xml:space="preserve"> (</w:t>
            </w:r>
            <w:r>
              <w:rPr>
                <w:rFonts w:cs="Times New Roman"/>
                <w:szCs w:val="20"/>
              </w:rPr>
              <w:t>16.9</w:t>
            </w:r>
            <w:r w:rsidRPr="00330DAA">
              <w:rPr>
                <w:rFonts w:cs="Times New Roman"/>
                <w:szCs w:val="20"/>
              </w:rPr>
              <w:t>)</w:t>
            </w:r>
          </w:p>
        </w:tc>
        <w:tc>
          <w:tcPr>
            <w:tcW w:w="1213" w:type="pct"/>
            <w:gridSpan w:val="2"/>
            <w:tcBorders>
              <w:top w:val="single" w:sz="4" w:space="0" w:color="auto"/>
              <w:left w:val="single" w:sz="4" w:space="0" w:color="auto"/>
              <w:bottom w:val="single" w:sz="4" w:space="0" w:color="auto"/>
              <w:right w:val="single" w:sz="4" w:space="0" w:color="auto"/>
            </w:tcBorders>
            <w:shd w:val="clear" w:color="auto" w:fill="auto"/>
          </w:tcPr>
          <w:p w14:paraId="005E827D" w14:textId="6BDADBBE" w:rsidR="00436EDC" w:rsidRPr="00C67006" w:rsidRDefault="00436EDC" w:rsidP="00436EDC">
            <w:pPr>
              <w:pStyle w:val="COMTabletext"/>
              <w:keepLines/>
              <w:widowControl w:val="0"/>
              <w:jc w:val="center"/>
              <w:rPr>
                <w:szCs w:val="20"/>
              </w:rPr>
            </w:pPr>
            <w:r w:rsidRPr="006733EB">
              <w:rPr>
                <w:szCs w:val="20"/>
              </w:rPr>
              <w:t>0.72 (0.63, 0.82)</w:t>
            </w:r>
          </w:p>
        </w:tc>
      </w:tr>
      <w:tr w:rsidR="00436BD0" w:rsidRPr="00C67006" w14:paraId="4B810321" w14:textId="77777777" w:rsidTr="008F1BBE">
        <w:trPr>
          <w:trHeight w:val="60"/>
        </w:trPr>
        <w:tc>
          <w:tcPr>
            <w:tcW w:w="1369" w:type="pct"/>
            <w:gridSpan w:val="2"/>
            <w:tcBorders>
              <w:top w:val="single" w:sz="4" w:space="0" w:color="auto"/>
              <w:left w:val="single" w:sz="4" w:space="0" w:color="auto"/>
              <w:bottom w:val="single" w:sz="4" w:space="0" w:color="auto"/>
              <w:right w:val="single" w:sz="4" w:space="0" w:color="auto"/>
            </w:tcBorders>
            <w:shd w:val="clear" w:color="auto" w:fill="auto"/>
          </w:tcPr>
          <w:p w14:paraId="2E89193A" w14:textId="43E0B5C4" w:rsidR="00436EDC" w:rsidRPr="00330DAA" w:rsidRDefault="00436EDC" w:rsidP="00436EDC">
            <w:pPr>
              <w:pStyle w:val="COMTabletext"/>
              <w:keepLines/>
              <w:widowControl w:val="0"/>
            </w:pPr>
            <w:r>
              <w:t>Cardiovascular death</w:t>
            </w:r>
          </w:p>
        </w:tc>
        <w:tc>
          <w:tcPr>
            <w:tcW w:w="1208" w:type="pct"/>
            <w:gridSpan w:val="3"/>
            <w:tcBorders>
              <w:top w:val="single" w:sz="4" w:space="0" w:color="auto"/>
              <w:left w:val="single" w:sz="4" w:space="0" w:color="auto"/>
              <w:bottom w:val="single" w:sz="4" w:space="0" w:color="auto"/>
              <w:right w:val="single" w:sz="4" w:space="0" w:color="auto"/>
            </w:tcBorders>
            <w:shd w:val="clear" w:color="auto" w:fill="auto"/>
          </w:tcPr>
          <w:p w14:paraId="5C998456" w14:textId="0AF22578" w:rsidR="00436EDC" w:rsidRPr="00330DAA" w:rsidRDefault="00436EDC" w:rsidP="00436EDC">
            <w:pPr>
              <w:pStyle w:val="COMTabletext"/>
              <w:keepLines/>
              <w:widowControl w:val="0"/>
              <w:jc w:val="center"/>
            </w:pPr>
            <w:r w:rsidRPr="00E4194F">
              <w:t>130</w:t>
            </w:r>
            <w:r>
              <w:t>/</w:t>
            </w:r>
            <w:r>
              <w:rPr>
                <w:rFonts w:cs="Times New Roman"/>
                <w:szCs w:val="20"/>
              </w:rPr>
              <w:t>2,892</w:t>
            </w:r>
            <w:r w:rsidRPr="00330DAA">
              <w:rPr>
                <w:rFonts w:cs="Times New Roman"/>
                <w:szCs w:val="20"/>
              </w:rPr>
              <w:t xml:space="preserve"> </w:t>
            </w:r>
            <w:r w:rsidRPr="00E4194F">
              <w:t>(4.5)</w:t>
            </w:r>
          </w:p>
        </w:tc>
        <w:tc>
          <w:tcPr>
            <w:tcW w:w="1210" w:type="pct"/>
            <w:gridSpan w:val="3"/>
            <w:tcBorders>
              <w:top w:val="single" w:sz="4" w:space="0" w:color="auto"/>
              <w:left w:val="single" w:sz="4" w:space="0" w:color="auto"/>
              <w:bottom w:val="single" w:sz="4" w:space="0" w:color="auto"/>
              <w:right w:val="single" w:sz="4" w:space="0" w:color="auto"/>
            </w:tcBorders>
            <w:shd w:val="clear" w:color="auto" w:fill="auto"/>
          </w:tcPr>
          <w:p w14:paraId="0876AEE9" w14:textId="31881F2E" w:rsidR="00436EDC" w:rsidRPr="00330DAA" w:rsidRDefault="00436EDC" w:rsidP="00436EDC">
            <w:pPr>
              <w:pStyle w:val="COMTabletext"/>
              <w:keepLines/>
              <w:widowControl w:val="0"/>
              <w:jc w:val="center"/>
              <w:rPr>
                <w:szCs w:val="20"/>
              </w:rPr>
            </w:pPr>
            <w:r w:rsidRPr="00E4194F">
              <w:t>169</w:t>
            </w:r>
            <w:r>
              <w:t>/</w:t>
            </w:r>
            <w:r>
              <w:rPr>
                <w:rFonts w:cs="Times New Roman"/>
                <w:szCs w:val="20"/>
              </w:rPr>
              <w:t>2,893</w:t>
            </w:r>
            <w:r w:rsidRPr="00E4194F">
              <w:t xml:space="preserve"> (5.8)</w:t>
            </w:r>
          </w:p>
        </w:tc>
        <w:tc>
          <w:tcPr>
            <w:tcW w:w="1213" w:type="pct"/>
            <w:gridSpan w:val="2"/>
            <w:tcBorders>
              <w:top w:val="single" w:sz="4" w:space="0" w:color="auto"/>
              <w:left w:val="single" w:sz="4" w:space="0" w:color="auto"/>
              <w:bottom w:val="single" w:sz="4" w:space="0" w:color="auto"/>
              <w:right w:val="single" w:sz="4" w:space="0" w:color="auto"/>
            </w:tcBorders>
            <w:shd w:val="clear" w:color="auto" w:fill="auto"/>
          </w:tcPr>
          <w:p w14:paraId="25731889" w14:textId="4D590ACA" w:rsidR="00436EDC" w:rsidRPr="00C67006" w:rsidRDefault="00436EDC" w:rsidP="00436EDC">
            <w:pPr>
              <w:pStyle w:val="COMTabletext"/>
              <w:keepLines/>
              <w:widowControl w:val="0"/>
              <w:jc w:val="center"/>
            </w:pPr>
            <w:r w:rsidRPr="00C474FD">
              <w:t>0.76 (0.60, 0.95)</w:t>
            </w:r>
          </w:p>
        </w:tc>
      </w:tr>
      <w:tr w:rsidR="00436BD0" w:rsidRPr="00511320" w14:paraId="51F81A24" w14:textId="77777777" w:rsidTr="008F1BBE">
        <w:trPr>
          <w:trHeight w:val="20"/>
        </w:trPr>
        <w:tc>
          <w:tcPr>
            <w:tcW w:w="1369" w:type="pct"/>
            <w:gridSpan w:val="2"/>
            <w:tcBorders>
              <w:top w:val="single" w:sz="4" w:space="0" w:color="auto"/>
              <w:left w:val="single" w:sz="4" w:space="0" w:color="auto"/>
              <w:bottom w:val="single" w:sz="4" w:space="0" w:color="auto"/>
              <w:right w:val="single" w:sz="4" w:space="0" w:color="auto"/>
            </w:tcBorders>
            <w:shd w:val="clear" w:color="auto" w:fill="auto"/>
          </w:tcPr>
          <w:p w14:paraId="2F61EE25" w14:textId="56549856" w:rsidR="00436EDC" w:rsidRPr="00330DAA" w:rsidRDefault="00436EDC" w:rsidP="00436EDC">
            <w:pPr>
              <w:pStyle w:val="COMTabletext"/>
              <w:keepLines/>
              <w:widowControl w:val="0"/>
            </w:pPr>
            <w:r>
              <w:t>Fatal/nonfatal MI</w:t>
            </w:r>
          </w:p>
        </w:tc>
        <w:tc>
          <w:tcPr>
            <w:tcW w:w="1208" w:type="pct"/>
            <w:gridSpan w:val="3"/>
            <w:tcBorders>
              <w:top w:val="single" w:sz="4" w:space="0" w:color="auto"/>
              <w:left w:val="single" w:sz="4" w:space="0" w:color="auto"/>
              <w:bottom w:val="single" w:sz="4" w:space="0" w:color="auto"/>
              <w:right w:val="single" w:sz="4" w:space="0" w:color="auto"/>
            </w:tcBorders>
            <w:shd w:val="clear" w:color="auto" w:fill="auto"/>
          </w:tcPr>
          <w:p w14:paraId="5AF9BD28" w14:textId="5C909BBA" w:rsidR="00436EDC" w:rsidRPr="00330DAA" w:rsidRDefault="00436EDC" w:rsidP="00436EDC">
            <w:pPr>
              <w:pStyle w:val="COMTabletext"/>
              <w:keepLines/>
              <w:widowControl w:val="0"/>
              <w:jc w:val="center"/>
              <w:rPr>
                <w:szCs w:val="20"/>
              </w:rPr>
            </w:pPr>
            <w:r w:rsidRPr="00815F05">
              <w:t>208</w:t>
            </w:r>
            <w:r>
              <w:t>/</w:t>
            </w:r>
            <w:r>
              <w:rPr>
                <w:rFonts w:cs="Times New Roman"/>
                <w:szCs w:val="20"/>
              </w:rPr>
              <w:t>2,892</w:t>
            </w:r>
            <w:r w:rsidRPr="00815F05">
              <w:t xml:space="preserve"> (7.2)</w:t>
            </w:r>
          </w:p>
        </w:tc>
        <w:tc>
          <w:tcPr>
            <w:tcW w:w="1210" w:type="pct"/>
            <w:gridSpan w:val="3"/>
            <w:tcBorders>
              <w:top w:val="single" w:sz="4" w:space="0" w:color="auto"/>
              <w:left w:val="single" w:sz="4" w:space="0" w:color="auto"/>
              <w:bottom w:val="single" w:sz="4" w:space="0" w:color="auto"/>
              <w:right w:val="single" w:sz="4" w:space="0" w:color="auto"/>
            </w:tcBorders>
            <w:shd w:val="clear" w:color="auto" w:fill="auto"/>
          </w:tcPr>
          <w:p w14:paraId="39DA9ED1" w14:textId="2271AE8F" w:rsidR="00436EDC" w:rsidRPr="00330DAA" w:rsidRDefault="00436EDC" w:rsidP="00436EDC">
            <w:pPr>
              <w:pStyle w:val="COMTabletext"/>
              <w:keepLines/>
              <w:widowControl w:val="0"/>
              <w:jc w:val="center"/>
              <w:rPr>
                <w:szCs w:val="20"/>
              </w:rPr>
            </w:pPr>
            <w:r w:rsidRPr="00815F05">
              <w:t>303</w:t>
            </w:r>
            <w:r>
              <w:rPr>
                <w:rFonts w:cs="Times New Roman"/>
                <w:szCs w:val="20"/>
              </w:rPr>
              <w:t>/2,893</w:t>
            </w:r>
            <w:r w:rsidRPr="00330DAA">
              <w:rPr>
                <w:rFonts w:cs="Times New Roman"/>
                <w:szCs w:val="20"/>
              </w:rPr>
              <w:t xml:space="preserve"> </w:t>
            </w:r>
            <w:r w:rsidRPr="00815F05">
              <w:t>(10.5)</w:t>
            </w:r>
          </w:p>
        </w:tc>
        <w:tc>
          <w:tcPr>
            <w:tcW w:w="1213" w:type="pct"/>
            <w:gridSpan w:val="2"/>
            <w:tcBorders>
              <w:top w:val="single" w:sz="4" w:space="0" w:color="auto"/>
              <w:left w:val="single" w:sz="4" w:space="0" w:color="auto"/>
              <w:bottom w:val="single" w:sz="4" w:space="0" w:color="auto"/>
              <w:right w:val="single" w:sz="4" w:space="0" w:color="auto"/>
            </w:tcBorders>
            <w:shd w:val="clear" w:color="auto" w:fill="auto"/>
          </w:tcPr>
          <w:p w14:paraId="3EE0D27F" w14:textId="57036D23" w:rsidR="00436EDC" w:rsidRPr="00511320" w:rsidRDefault="00436EDC" w:rsidP="00436EDC">
            <w:pPr>
              <w:pStyle w:val="COMTabletext"/>
              <w:keepLines/>
              <w:widowControl w:val="0"/>
              <w:jc w:val="center"/>
            </w:pPr>
            <w:r w:rsidRPr="003D59A0">
              <w:t>0.67 (0.56, 0.80)</w:t>
            </w:r>
          </w:p>
        </w:tc>
      </w:tr>
      <w:tr w:rsidR="00436BD0" w:rsidRPr="00511320" w14:paraId="08DE5F6E" w14:textId="77777777" w:rsidTr="008F1BBE">
        <w:trPr>
          <w:trHeight w:val="60"/>
        </w:trPr>
        <w:tc>
          <w:tcPr>
            <w:tcW w:w="1369" w:type="pct"/>
            <w:gridSpan w:val="2"/>
            <w:tcBorders>
              <w:top w:val="single" w:sz="4" w:space="0" w:color="auto"/>
              <w:left w:val="single" w:sz="4" w:space="0" w:color="auto"/>
              <w:bottom w:val="single" w:sz="4" w:space="0" w:color="auto"/>
              <w:right w:val="single" w:sz="4" w:space="0" w:color="auto"/>
            </w:tcBorders>
            <w:shd w:val="clear" w:color="auto" w:fill="auto"/>
          </w:tcPr>
          <w:p w14:paraId="1E26854F" w14:textId="5F53CD33" w:rsidR="00436EDC" w:rsidRDefault="00436EDC" w:rsidP="00436EDC">
            <w:pPr>
              <w:pStyle w:val="COMTabletext"/>
              <w:keepLines/>
              <w:widowControl w:val="0"/>
            </w:pPr>
            <w:r>
              <w:t>Fatal/nonfatal stroke</w:t>
            </w:r>
          </w:p>
        </w:tc>
        <w:tc>
          <w:tcPr>
            <w:tcW w:w="1208" w:type="pct"/>
            <w:gridSpan w:val="3"/>
            <w:tcBorders>
              <w:top w:val="single" w:sz="4" w:space="0" w:color="auto"/>
              <w:left w:val="single" w:sz="4" w:space="0" w:color="auto"/>
              <w:bottom w:val="single" w:sz="4" w:space="0" w:color="auto"/>
              <w:right w:val="single" w:sz="4" w:space="0" w:color="auto"/>
            </w:tcBorders>
            <w:shd w:val="clear" w:color="auto" w:fill="auto"/>
          </w:tcPr>
          <w:p w14:paraId="46D4E285" w14:textId="32B308EF" w:rsidR="00436EDC" w:rsidRPr="00330DAA" w:rsidRDefault="00436EDC" w:rsidP="00436EDC">
            <w:pPr>
              <w:pStyle w:val="COMTabletext"/>
              <w:keepLines/>
              <w:widowControl w:val="0"/>
              <w:jc w:val="center"/>
              <w:rPr>
                <w:szCs w:val="20"/>
              </w:rPr>
            </w:pPr>
            <w:r w:rsidRPr="0097015B">
              <w:t>78</w:t>
            </w:r>
            <w:r>
              <w:t>/</w:t>
            </w:r>
            <w:r>
              <w:rPr>
                <w:rFonts w:cs="Times New Roman"/>
                <w:szCs w:val="20"/>
              </w:rPr>
              <w:t>2,892</w:t>
            </w:r>
            <w:r w:rsidRPr="0097015B">
              <w:t xml:space="preserve"> (2.7)</w:t>
            </w:r>
          </w:p>
        </w:tc>
        <w:tc>
          <w:tcPr>
            <w:tcW w:w="1210" w:type="pct"/>
            <w:gridSpan w:val="3"/>
            <w:tcBorders>
              <w:top w:val="single" w:sz="4" w:space="0" w:color="auto"/>
              <w:left w:val="single" w:sz="4" w:space="0" w:color="auto"/>
              <w:bottom w:val="single" w:sz="4" w:space="0" w:color="auto"/>
              <w:right w:val="single" w:sz="4" w:space="0" w:color="auto"/>
            </w:tcBorders>
            <w:shd w:val="clear" w:color="auto" w:fill="auto"/>
          </w:tcPr>
          <w:p w14:paraId="7002D258" w14:textId="7E426B94" w:rsidR="00436EDC" w:rsidRPr="00330DAA" w:rsidRDefault="00436EDC" w:rsidP="00436EDC">
            <w:pPr>
              <w:pStyle w:val="COMTabletext"/>
              <w:keepLines/>
              <w:widowControl w:val="0"/>
              <w:jc w:val="center"/>
              <w:rPr>
                <w:szCs w:val="20"/>
              </w:rPr>
            </w:pPr>
            <w:r w:rsidRPr="0097015B">
              <w:t>99</w:t>
            </w:r>
            <w:r>
              <w:rPr>
                <w:rFonts w:cs="Times New Roman"/>
                <w:szCs w:val="20"/>
              </w:rPr>
              <w:t>/2,893</w:t>
            </w:r>
            <w:r w:rsidRPr="00330DAA">
              <w:rPr>
                <w:rFonts w:cs="Times New Roman"/>
                <w:szCs w:val="20"/>
              </w:rPr>
              <w:t xml:space="preserve"> </w:t>
            </w:r>
            <w:r w:rsidRPr="0097015B">
              <w:t>(3.4)</w:t>
            </w:r>
          </w:p>
        </w:tc>
        <w:tc>
          <w:tcPr>
            <w:tcW w:w="1213" w:type="pct"/>
            <w:gridSpan w:val="2"/>
            <w:tcBorders>
              <w:top w:val="single" w:sz="4" w:space="0" w:color="auto"/>
              <w:left w:val="single" w:sz="4" w:space="0" w:color="auto"/>
              <w:bottom w:val="single" w:sz="4" w:space="0" w:color="auto"/>
              <w:right w:val="single" w:sz="4" w:space="0" w:color="auto"/>
            </w:tcBorders>
            <w:shd w:val="clear" w:color="auto" w:fill="auto"/>
          </w:tcPr>
          <w:p w14:paraId="374C657E" w14:textId="21829CB4" w:rsidR="00436EDC" w:rsidRPr="00511320" w:rsidRDefault="00436EDC" w:rsidP="00436EDC">
            <w:pPr>
              <w:pStyle w:val="COMTabletext"/>
              <w:keepLines/>
              <w:widowControl w:val="0"/>
              <w:jc w:val="center"/>
            </w:pPr>
            <w:r w:rsidRPr="003D59A0">
              <w:t>0.78 (0.58, 1.05)</w:t>
            </w:r>
          </w:p>
        </w:tc>
      </w:tr>
      <w:tr w:rsidR="00436EDC" w:rsidRPr="00E2771E" w14:paraId="4CB55A42" w14:textId="77777777" w:rsidTr="00436EDC">
        <w:tc>
          <w:tcPr>
            <w:tcW w:w="5000" w:type="pct"/>
            <w:gridSpan w:val="10"/>
            <w:tcBorders>
              <w:top w:val="single" w:sz="4" w:space="0" w:color="auto"/>
              <w:left w:val="single" w:sz="4" w:space="0" w:color="auto"/>
              <w:bottom w:val="double" w:sz="4" w:space="0" w:color="auto"/>
              <w:right w:val="single" w:sz="4" w:space="0" w:color="auto"/>
            </w:tcBorders>
            <w:shd w:val="clear" w:color="auto" w:fill="auto"/>
            <w:vAlign w:val="center"/>
          </w:tcPr>
          <w:p w14:paraId="5D6D7F31" w14:textId="7FBDB4D1" w:rsidR="00436EDC" w:rsidRPr="0094777D" w:rsidRDefault="00436EDC" w:rsidP="00436EDC">
            <w:pPr>
              <w:pStyle w:val="COMTableheadingrow"/>
              <w:rPr>
                <w:vertAlign w:val="superscript"/>
              </w:rPr>
            </w:pPr>
            <w:r w:rsidRPr="00E2771E">
              <w:t xml:space="preserve">Harms </w:t>
            </w:r>
            <w:r w:rsidR="0094777D">
              <w:rPr>
                <w:vertAlign w:val="superscript"/>
              </w:rPr>
              <w:t>c</w:t>
            </w:r>
          </w:p>
        </w:tc>
      </w:tr>
      <w:tr w:rsidR="00436BD0" w:rsidRPr="00E2771E" w14:paraId="75B2E922" w14:textId="77777777" w:rsidTr="008F1BBE">
        <w:trPr>
          <w:trHeight w:val="70"/>
        </w:trPr>
        <w:tc>
          <w:tcPr>
            <w:tcW w:w="862" w:type="pct"/>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64547F8C" w14:textId="34561FED" w:rsidR="00436EDC" w:rsidRPr="0094777D" w:rsidRDefault="00436EDC" w:rsidP="00436EDC">
            <w:pPr>
              <w:pStyle w:val="COMTableheadingrow"/>
              <w:rPr>
                <w:vertAlign w:val="superscript"/>
              </w:rPr>
            </w:pPr>
            <w:r>
              <w:t>Adverse event</w:t>
            </w:r>
            <w:r w:rsidR="0094777D">
              <w:t xml:space="preserve"> </w:t>
            </w:r>
            <w:r w:rsidR="0094777D">
              <w:rPr>
                <w:vertAlign w:val="superscript"/>
              </w:rPr>
              <w:t>d</w:t>
            </w:r>
          </w:p>
        </w:tc>
        <w:tc>
          <w:tcPr>
            <w:tcW w:w="708" w:type="pct"/>
            <w:gridSpan w:val="2"/>
            <w:vMerge w:val="restart"/>
            <w:tcBorders>
              <w:top w:val="double" w:sz="4" w:space="0" w:color="auto"/>
              <w:left w:val="single" w:sz="4" w:space="0" w:color="auto"/>
              <w:bottom w:val="single" w:sz="4" w:space="0" w:color="auto"/>
              <w:right w:val="single" w:sz="4" w:space="0" w:color="auto"/>
            </w:tcBorders>
            <w:vAlign w:val="center"/>
          </w:tcPr>
          <w:p w14:paraId="5D1245E5" w14:textId="50AF1912" w:rsidR="00436EDC" w:rsidRDefault="00436EDC" w:rsidP="00436EDC">
            <w:pPr>
              <w:pStyle w:val="COMTableheadingrow"/>
              <w:jc w:val="center"/>
            </w:pPr>
            <w:r>
              <w:t>Icosapent ethyl</w:t>
            </w:r>
          </w:p>
          <w:p w14:paraId="18AE1B71" w14:textId="21103E21" w:rsidR="00436EDC" w:rsidRPr="00E2771E" w:rsidRDefault="00436EDC" w:rsidP="00436EDC">
            <w:pPr>
              <w:pStyle w:val="COMTableheadingrow"/>
              <w:jc w:val="center"/>
            </w:pPr>
            <w:r>
              <w:t>n/N</w:t>
            </w:r>
          </w:p>
        </w:tc>
        <w:tc>
          <w:tcPr>
            <w:tcW w:w="707" w:type="pct"/>
            <w:vMerge w:val="restart"/>
            <w:tcBorders>
              <w:top w:val="double" w:sz="4" w:space="0" w:color="auto"/>
              <w:left w:val="single" w:sz="4" w:space="0" w:color="auto"/>
              <w:bottom w:val="single" w:sz="4" w:space="0" w:color="auto"/>
              <w:right w:val="single" w:sz="4" w:space="0" w:color="auto"/>
            </w:tcBorders>
            <w:vAlign w:val="center"/>
          </w:tcPr>
          <w:p w14:paraId="072C4CF6" w14:textId="131B65AF" w:rsidR="00436EDC" w:rsidRDefault="00436EDC" w:rsidP="00436EDC">
            <w:pPr>
              <w:pStyle w:val="COMTableheadingrow"/>
              <w:jc w:val="center"/>
            </w:pPr>
            <w:r>
              <w:t>Placebo</w:t>
            </w:r>
          </w:p>
          <w:p w14:paraId="6D0B7D43" w14:textId="49912C18" w:rsidR="00436EDC" w:rsidRPr="00E2771E" w:rsidRDefault="00436EDC" w:rsidP="00436EDC">
            <w:pPr>
              <w:pStyle w:val="COMTableheadingrow"/>
              <w:jc w:val="center"/>
            </w:pPr>
            <w:r>
              <w:t>n/N</w:t>
            </w:r>
          </w:p>
        </w:tc>
        <w:tc>
          <w:tcPr>
            <w:tcW w:w="709" w:type="pct"/>
            <w:gridSpan w:val="2"/>
            <w:vMerge w:val="restart"/>
            <w:tcBorders>
              <w:top w:val="double" w:sz="4" w:space="0" w:color="auto"/>
              <w:left w:val="single" w:sz="4" w:space="0" w:color="auto"/>
              <w:bottom w:val="single" w:sz="4" w:space="0" w:color="auto"/>
              <w:right w:val="single" w:sz="4" w:space="0" w:color="auto"/>
            </w:tcBorders>
            <w:vAlign w:val="center"/>
          </w:tcPr>
          <w:p w14:paraId="6CD15AD0" w14:textId="77777777" w:rsidR="00436EDC" w:rsidRPr="00E2771E" w:rsidRDefault="00436EDC" w:rsidP="00436EDC">
            <w:pPr>
              <w:pStyle w:val="COMTableheadingrow"/>
              <w:jc w:val="center"/>
            </w:pPr>
            <w:r w:rsidRPr="00E2771E">
              <w:t>RR</w:t>
            </w:r>
          </w:p>
          <w:p w14:paraId="3695D7EC" w14:textId="77777777" w:rsidR="00436EDC" w:rsidRPr="00E2771E" w:rsidRDefault="00436EDC" w:rsidP="00436EDC">
            <w:pPr>
              <w:pStyle w:val="COMTableheadingrow"/>
              <w:jc w:val="center"/>
            </w:pPr>
            <w:r w:rsidRPr="00E2771E">
              <w:t>(95% CI)</w:t>
            </w:r>
          </w:p>
        </w:tc>
        <w:tc>
          <w:tcPr>
            <w:tcW w:w="1257" w:type="pct"/>
            <w:gridSpan w:val="3"/>
            <w:tcBorders>
              <w:top w:val="double" w:sz="4" w:space="0" w:color="auto"/>
              <w:left w:val="single" w:sz="4" w:space="0" w:color="auto"/>
              <w:bottom w:val="single" w:sz="4" w:space="0" w:color="auto"/>
              <w:right w:val="single" w:sz="4" w:space="0" w:color="auto"/>
            </w:tcBorders>
            <w:vAlign w:val="center"/>
          </w:tcPr>
          <w:p w14:paraId="2D89440A" w14:textId="62021203" w:rsidR="00436EDC" w:rsidRPr="00E2771E" w:rsidRDefault="00436EDC" w:rsidP="00436EDC">
            <w:pPr>
              <w:pStyle w:val="COMTableheadingrow"/>
              <w:jc w:val="center"/>
            </w:pPr>
            <w:r w:rsidRPr="00E2771E">
              <w:t>Event rate/100 patients</w:t>
            </w:r>
          </w:p>
        </w:tc>
        <w:tc>
          <w:tcPr>
            <w:tcW w:w="757" w:type="pct"/>
            <w:vMerge w:val="restart"/>
            <w:tcBorders>
              <w:top w:val="double" w:sz="4" w:space="0" w:color="auto"/>
              <w:left w:val="single" w:sz="4" w:space="0" w:color="auto"/>
              <w:bottom w:val="single" w:sz="4" w:space="0" w:color="auto"/>
              <w:right w:val="single" w:sz="4" w:space="0" w:color="auto"/>
            </w:tcBorders>
            <w:vAlign w:val="center"/>
          </w:tcPr>
          <w:p w14:paraId="0603FC2B" w14:textId="77777777" w:rsidR="00436EDC" w:rsidRPr="00E2771E" w:rsidRDefault="00436EDC" w:rsidP="00436EDC">
            <w:pPr>
              <w:pStyle w:val="COMTableheadingrow"/>
              <w:jc w:val="center"/>
            </w:pPr>
            <w:r w:rsidRPr="00E2771E">
              <w:t>RD</w:t>
            </w:r>
          </w:p>
          <w:p w14:paraId="61EDAA80" w14:textId="77777777" w:rsidR="00436EDC" w:rsidRPr="00E2771E" w:rsidRDefault="00436EDC" w:rsidP="00436EDC">
            <w:pPr>
              <w:pStyle w:val="COMTableheadingrow"/>
              <w:jc w:val="center"/>
            </w:pPr>
            <w:r w:rsidRPr="00E2771E">
              <w:t>(95% CI)</w:t>
            </w:r>
          </w:p>
        </w:tc>
      </w:tr>
      <w:tr w:rsidR="00436BD0" w:rsidRPr="00E2771E" w14:paraId="479B77C6" w14:textId="77777777" w:rsidTr="008F1BBE">
        <w:trPr>
          <w:trHeight w:val="390"/>
        </w:trPr>
        <w:tc>
          <w:tcPr>
            <w:tcW w:w="86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BA6A81F" w14:textId="77777777" w:rsidR="00436EDC" w:rsidRPr="00E2771E" w:rsidRDefault="00436EDC" w:rsidP="00436EDC">
            <w:pPr>
              <w:pStyle w:val="COMTableheadingrow"/>
            </w:pPr>
          </w:p>
        </w:tc>
        <w:tc>
          <w:tcPr>
            <w:tcW w:w="708" w:type="pct"/>
            <w:gridSpan w:val="2"/>
            <w:vMerge/>
            <w:tcBorders>
              <w:top w:val="single" w:sz="4" w:space="0" w:color="auto"/>
              <w:left w:val="single" w:sz="4" w:space="0" w:color="auto"/>
              <w:bottom w:val="single" w:sz="4" w:space="0" w:color="auto"/>
              <w:right w:val="single" w:sz="4" w:space="0" w:color="auto"/>
            </w:tcBorders>
            <w:vAlign w:val="center"/>
          </w:tcPr>
          <w:p w14:paraId="738CA751" w14:textId="77777777" w:rsidR="00436EDC" w:rsidRPr="00E2771E" w:rsidRDefault="00436EDC" w:rsidP="00436EDC">
            <w:pPr>
              <w:pStyle w:val="COMTableheadingrow"/>
            </w:pPr>
          </w:p>
        </w:tc>
        <w:tc>
          <w:tcPr>
            <w:tcW w:w="707" w:type="pct"/>
            <w:vMerge/>
            <w:tcBorders>
              <w:top w:val="single" w:sz="4" w:space="0" w:color="auto"/>
              <w:left w:val="single" w:sz="4" w:space="0" w:color="auto"/>
              <w:bottom w:val="single" w:sz="4" w:space="0" w:color="auto"/>
              <w:right w:val="single" w:sz="4" w:space="0" w:color="auto"/>
            </w:tcBorders>
            <w:vAlign w:val="center"/>
          </w:tcPr>
          <w:p w14:paraId="75FBCA94" w14:textId="77777777" w:rsidR="00436EDC" w:rsidRPr="00E2771E" w:rsidRDefault="00436EDC" w:rsidP="00436EDC">
            <w:pPr>
              <w:pStyle w:val="COMTableheadingrow"/>
            </w:pPr>
          </w:p>
        </w:tc>
        <w:tc>
          <w:tcPr>
            <w:tcW w:w="709" w:type="pct"/>
            <w:gridSpan w:val="2"/>
            <w:vMerge/>
            <w:tcBorders>
              <w:top w:val="single" w:sz="4" w:space="0" w:color="auto"/>
              <w:left w:val="single" w:sz="4" w:space="0" w:color="auto"/>
              <w:bottom w:val="single" w:sz="4" w:space="0" w:color="auto"/>
              <w:right w:val="single" w:sz="4" w:space="0" w:color="auto"/>
            </w:tcBorders>
            <w:vAlign w:val="center"/>
          </w:tcPr>
          <w:p w14:paraId="57978F38" w14:textId="77777777" w:rsidR="00436EDC" w:rsidRPr="00E2771E" w:rsidRDefault="00436EDC" w:rsidP="00436EDC">
            <w:pPr>
              <w:pStyle w:val="COMTableheadingrow"/>
            </w:pPr>
          </w:p>
        </w:tc>
        <w:tc>
          <w:tcPr>
            <w:tcW w:w="627" w:type="pct"/>
            <w:tcBorders>
              <w:top w:val="single" w:sz="4" w:space="0" w:color="auto"/>
              <w:left w:val="single" w:sz="4" w:space="0" w:color="auto"/>
              <w:bottom w:val="single" w:sz="4" w:space="0" w:color="auto"/>
              <w:right w:val="single" w:sz="4" w:space="0" w:color="auto"/>
            </w:tcBorders>
            <w:vAlign w:val="center"/>
          </w:tcPr>
          <w:p w14:paraId="6C5E3022" w14:textId="758C54FC" w:rsidR="00436EDC" w:rsidRPr="00E2771E" w:rsidRDefault="00436EDC" w:rsidP="00436EDC">
            <w:pPr>
              <w:pStyle w:val="COMTableheadingrow"/>
              <w:jc w:val="center"/>
            </w:pPr>
            <w:r>
              <w:t>Icosapent ethyl</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0B50134F" w14:textId="00BFDC84" w:rsidR="00436EDC" w:rsidRPr="00E2771E" w:rsidRDefault="00436EDC" w:rsidP="00436EDC">
            <w:pPr>
              <w:pStyle w:val="COMTableheadingrow"/>
              <w:jc w:val="center"/>
            </w:pPr>
            <w:r>
              <w:t>Placebo</w:t>
            </w:r>
          </w:p>
        </w:tc>
        <w:tc>
          <w:tcPr>
            <w:tcW w:w="757" w:type="pct"/>
            <w:vMerge/>
            <w:tcBorders>
              <w:top w:val="single" w:sz="4" w:space="0" w:color="auto"/>
              <w:left w:val="single" w:sz="4" w:space="0" w:color="auto"/>
              <w:bottom w:val="single" w:sz="4" w:space="0" w:color="auto"/>
              <w:right w:val="single" w:sz="4" w:space="0" w:color="auto"/>
            </w:tcBorders>
            <w:vAlign w:val="center"/>
          </w:tcPr>
          <w:p w14:paraId="1A0186C2" w14:textId="77777777" w:rsidR="00436EDC" w:rsidRPr="00E2771E" w:rsidRDefault="00436EDC" w:rsidP="00436EDC">
            <w:pPr>
              <w:pStyle w:val="COMTableheadingrow"/>
            </w:pPr>
          </w:p>
        </w:tc>
      </w:tr>
      <w:tr w:rsidR="00436EDC" w:rsidRPr="00E2771E" w14:paraId="572E193B" w14:textId="77777777" w:rsidTr="008F1BBE">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591D19B5" w14:textId="173F115F" w:rsidR="00436EDC" w:rsidRPr="00E2771E" w:rsidRDefault="00436EDC" w:rsidP="00436EDC">
            <w:pPr>
              <w:pStyle w:val="COMTabletext"/>
            </w:pPr>
            <w:r>
              <w:t>Atrial fibrillation</w:t>
            </w:r>
          </w:p>
        </w:tc>
        <w:tc>
          <w:tcPr>
            <w:tcW w:w="708" w:type="pct"/>
            <w:gridSpan w:val="2"/>
            <w:tcBorders>
              <w:top w:val="single" w:sz="4" w:space="0" w:color="auto"/>
              <w:left w:val="single" w:sz="4" w:space="0" w:color="auto"/>
              <w:bottom w:val="single" w:sz="4" w:space="0" w:color="auto"/>
              <w:right w:val="single" w:sz="4" w:space="0" w:color="auto"/>
            </w:tcBorders>
            <w:vAlign w:val="center"/>
          </w:tcPr>
          <w:p w14:paraId="4C700CB8" w14:textId="0356C360" w:rsidR="00436EDC" w:rsidRPr="00E2771E" w:rsidRDefault="00436EDC" w:rsidP="00436EDC">
            <w:pPr>
              <w:pStyle w:val="COMTabletext"/>
              <w:jc w:val="center"/>
            </w:pPr>
            <w:r w:rsidRPr="00564878">
              <w:t>215</w:t>
            </w:r>
            <w:r>
              <w:t>/4,089</w:t>
            </w:r>
          </w:p>
        </w:tc>
        <w:tc>
          <w:tcPr>
            <w:tcW w:w="707" w:type="pct"/>
            <w:tcBorders>
              <w:top w:val="single" w:sz="4" w:space="0" w:color="auto"/>
              <w:left w:val="single" w:sz="4" w:space="0" w:color="auto"/>
              <w:bottom w:val="single" w:sz="4" w:space="0" w:color="auto"/>
              <w:right w:val="single" w:sz="4" w:space="0" w:color="auto"/>
            </w:tcBorders>
            <w:vAlign w:val="center"/>
          </w:tcPr>
          <w:p w14:paraId="01A4D221" w14:textId="3500B623" w:rsidR="00436EDC" w:rsidRPr="00E2771E" w:rsidRDefault="00436EDC" w:rsidP="00436EDC">
            <w:pPr>
              <w:pStyle w:val="COMTabletext"/>
              <w:jc w:val="center"/>
            </w:pPr>
            <w:r w:rsidRPr="00564878">
              <w:t>159</w:t>
            </w:r>
            <w:r>
              <w:t>/4,090</w:t>
            </w:r>
          </w:p>
        </w:tc>
        <w:tc>
          <w:tcPr>
            <w:tcW w:w="709" w:type="pct"/>
            <w:gridSpan w:val="2"/>
            <w:tcBorders>
              <w:top w:val="single" w:sz="4" w:space="0" w:color="auto"/>
              <w:left w:val="single" w:sz="4" w:space="0" w:color="auto"/>
              <w:bottom w:val="single" w:sz="4" w:space="0" w:color="auto"/>
              <w:right w:val="single" w:sz="4" w:space="0" w:color="auto"/>
            </w:tcBorders>
            <w:vAlign w:val="center"/>
          </w:tcPr>
          <w:p w14:paraId="34986F80" w14:textId="4BC0D045" w:rsidR="00436EDC" w:rsidRPr="00E2771E" w:rsidRDefault="00436EDC" w:rsidP="00436EDC">
            <w:pPr>
              <w:pStyle w:val="COMTabletext"/>
              <w:jc w:val="center"/>
            </w:pPr>
            <w:r w:rsidRPr="00CB3499">
              <w:t xml:space="preserve">1.35 </w:t>
            </w:r>
            <w:r>
              <w:t>(</w:t>
            </w:r>
            <w:r w:rsidRPr="00CB3499">
              <w:t>1.11, 1.65</w:t>
            </w:r>
            <w:r>
              <w:t>)</w:t>
            </w:r>
          </w:p>
        </w:tc>
        <w:tc>
          <w:tcPr>
            <w:tcW w:w="627" w:type="pct"/>
            <w:tcBorders>
              <w:top w:val="single" w:sz="4" w:space="0" w:color="auto"/>
              <w:left w:val="single" w:sz="4" w:space="0" w:color="auto"/>
              <w:bottom w:val="single" w:sz="4" w:space="0" w:color="auto"/>
              <w:right w:val="single" w:sz="4" w:space="0" w:color="auto"/>
            </w:tcBorders>
            <w:vAlign w:val="center"/>
          </w:tcPr>
          <w:p w14:paraId="56FA6411" w14:textId="23C73287" w:rsidR="00436EDC" w:rsidRPr="00E2771E" w:rsidRDefault="00436EDC" w:rsidP="00436EDC">
            <w:pPr>
              <w:pStyle w:val="COMTabletext"/>
              <w:jc w:val="center"/>
            </w:pPr>
            <w:r w:rsidRPr="00564878">
              <w:t>5.3</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5EDDCB36" w14:textId="50C3C094" w:rsidR="00436EDC" w:rsidRPr="00E2771E" w:rsidRDefault="00436EDC" w:rsidP="00436EDC">
            <w:pPr>
              <w:pStyle w:val="COMTabletext"/>
              <w:jc w:val="center"/>
            </w:pPr>
            <w:r w:rsidRPr="00564878">
              <w:t>3.9</w:t>
            </w:r>
          </w:p>
        </w:tc>
        <w:tc>
          <w:tcPr>
            <w:tcW w:w="757" w:type="pct"/>
            <w:tcBorders>
              <w:top w:val="single" w:sz="4" w:space="0" w:color="auto"/>
              <w:left w:val="single" w:sz="4" w:space="0" w:color="auto"/>
              <w:bottom w:val="single" w:sz="4" w:space="0" w:color="auto"/>
              <w:right w:val="single" w:sz="4" w:space="0" w:color="auto"/>
            </w:tcBorders>
            <w:vAlign w:val="center"/>
          </w:tcPr>
          <w:p w14:paraId="3D5DEBDC" w14:textId="2E3E718D" w:rsidR="00436EDC" w:rsidRPr="00E2771E" w:rsidRDefault="00436EDC" w:rsidP="00436EDC">
            <w:pPr>
              <w:pStyle w:val="COMTabletext"/>
              <w:jc w:val="center"/>
            </w:pPr>
            <w:r w:rsidRPr="00235C3F">
              <w:t xml:space="preserve">0.01 </w:t>
            </w:r>
            <w:r>
              <w:t>(</w:t>
            </w:r>
            <w:r w:rsidRPr="00235C3F">
              <w:t>0.00, 0.02</w:t>
            </w:r>
            <w:r>
              <w:t>)</w:t>
            </w:r>
          </w:p>
        </w:tc>
      </w:tr>
      <w:tr w:rsidR="00436EDC" w:rsidRPr="00E2771E" w14:paraId="4D02EC43" w14:textId="77777777" w:rsidTr="008F1BBE">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694B27BD" w14:textId="2EB4A418" w:rsidR="00436EDC" w:rsidRPr="00E2771E" w:rsidRDefault="00436EDC" w:rsidP="00436EDC">
            <w:pPr>
              <w:pStyle w:val="COMTabletext"/>
            </w:pPr>
            <w:r w:rsidRPr="006C650D">
              <w:t>Bleeding-related disorders</w:t>
            </w:r>
          </w:p>
        </w:tc>
        <w:tc>
          <w:tcPr>
            <w:tcW w:w="708" w:type="pct"/>
            <w:gridSpan w:val="2"/>
            <w:tcBorders>
              <w:top w:val="single" w:sz="4" w:space="0" w:color="auto"/>
              <w:left w:val="single" w:sz="4" w:space="0" w:color="auto"/>
              <w:bottom w:val="single" w:sz="4" w:space="0" w:color="auto"/>
              <w:right w:val="single" w:sz="4" w:space="0" w:color="auto"/>
            </w:tcBorders>
            <w:vAlign w:val="center"/>
          </w:tcPr>
          <w:p w14:paraId="03406909" w14:textId="00328B76" w:rsidR="00436EDC" w:rsidRPr="00E2771E" w:rsidRDefault="00436EDC" w:rsidP="00436EDC">
            <w:pPr>
              <w:pStyle w:val="COMTabletext"/>
              <w:jc w:val="center"/>
            </w:pPr>
            <w:r w:rsidRPr="00B50541">
              <w:t>482</w:t>
            </w:r>
            <w:r>
              <w:t>/4,089</w:t>
            </w:r>
          </w:p>
        </w:tc>
        <w:tc>
          <w:tcPr>
            <w:tcW w:w="707" w:type="pct"/>
            <w:tcBorders>
              <w:top w:val="single" w:sz="4" w:space="0" w:color="auto"/>
              <w:left w:val="single" w:sz="4" w:space="0" w:color="auto"/>
              <w:bottom w:val="single" w:sz="4" w:space="0" w:color="auto"/>
              <w:right w:val="single" w:sz="4" w:space="0" w:color="auto"/>
            </w:tcBorders>
            <w:vAlign w:val="center"/>
          </w:tcPr>
          <w:p w14:paraId="590A3CE9" w14:textId="0C2B3FC2" w:rsidR="00436EDC" w:rsidRPr="00E2771E" w:rsidRDefault="00436EDC" w:rsidP="00436EDC">
            <w:pPr>
              <w:pStyle w:val="COMTabletext"/>
              <w:jc w:val="center"/>
            </w:pPr>
            <w:r w:rsidRPr="00B50541">
              <w:t>404</w:t>
            </w:r>
            <w:r>
              <w:t>/4,090</w:t>
            </w:r>
          </w:p>
        </w:tc>
        <w:tc>
          <w:tcPr>
            <w:tcW w:w="709" w:type="pct"/>
            <w:gridSpan w:val="2"/>
            <w:tcBorders>
              <w:top w:val="single" w:sz="4" w:space="0" w:color="auto"/>
              <w:left w:val="single" w:sz="4" w:space="0" w:color="auto"/>
              <w:bottom w:val="single" w:sz="4" w:space="0" w:color="auto"/>
              <w:right w:val="single" w:sz="4" w:space="0" w:color="auto"/>
            </w:tcBorders>
            <w:vAlign w:val="center"/>
          </w:tcPr>
          <w:p w14:paraId="4D0C578D" w14:textId="21B7E459" w:rsidR="00436EDC" w:rsidRPr="00E2771E" w:rsidRDefault="00436EDC" w:rsidP="00436EDC">
            <w:pPr>
              <w:pStyle w:val="COMTabletext"/>
              <w:jc w:val="center"/>
            </w:pPr>
            <w:r w:rsidRPr="005F647B">
              <w:t xml:space="preserve">1.19 </w:t>
            </w:r>
            <w:r>
              <w:t>(</w:t>
            </w:r>
            <w:r w:rsidRPr="005F647B">
              <w:t>1.05, 1.35</w:t>
            </w:r>
            <w:r>
              <w:t>)</w:t>
            </w:r>
          </w:p>
        </w:tc>
        <w:tc>
          <w:tcPr>
            <w:tcW w:w="627" w:type="pct"/>
            <w:tcBorders>
              <w:top w:val="single" w:sz="4" w:space="0" w:color="auto"/>
              <w:left w:val="single" w:sz="4" w:space="0" w:color="auto"/>
              <w:bottom w:val="single" w:sz="4" w:space="0" w:color="auto"/>
              <w:right w:val="single" w:sz="4" w:space="0" w:color="auto"/>
            </w:tcBorders>
            <w:vAlign w:val="center"/>
          </w:tcPr>
          <w:p w14:paraId="6D8792EA" w14:textId="10399A30" w:rsidR="00436EDC" w:rsidRPr="00E2771E" w:rsidRDefault="00436EDC" w:rsidP="00436EDC">
            <w:pPr>
              <w:pStyle w:val="COMTabletext"/>
              <w:jc w:val="center"/>
            </w:pPr>
            <w:r w:rsidRPr="005F647B">
              <w:t>11.8</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051BFAEC" w14:textId="33CE665C" w:rsidR="00436EDC" w:rsidRPr="00E2771E" w:rsidRDefault="00436EDC" w:rsidP="00436EDC">
            <w:pPr>
              <w:pStyle w:val="COMTabletext"/>
              <w:jc w:val="center"/>
            </w:pPr>
            <w:r w:rsidRPr="005F647B">
              <w:t>9.9</w:t>
            </w:r>
          </w:p>
        </w:tc>
        <w:tc>
          <w:tcPr>
            <w:tcW w:w="757" w:type="pct"/>
            <w:tcBorders>
              <w:top w:val="single" w:sz="4" w:space="0" w:color="auto"/>
              <w:left w:val="single" w:sz="4" w:space="0" w:color="auto"/>
              <w:bottom w:val="single" w:sz="4" w:space="0" w:color="auto"/>
              <w:right w:val="single" w:sz="4" w:space="0" w:color="auto"/>
            </w:tcBorders>
            <w:vAlign w:val="center"/>
          </w:tcPr>
          <w:p w14:paraId="4BBA8165" w14:textId="5A046BD7" w:rsidR="00436EDC" w:rsidRPr="00E2771E" w:rsidRDefault="00436EDC" w:rsidP="00436EDC">
            <w:pPr>
              <w:pStyle w:val="COMTabletext"/>
              <w:jc w:val="center"/>
            </w:pPr>
            <w:r w:rsidRPr="005F647B">
              <w:t xml:space="preserve">0.02 </w:t>
            </w:r>
            <w:r>
              <w:t>(</w:t>
            </w:r>
            <w:r w:rsidRPr="005F647B">
              <w:t>0.01, 0.03</w:t>
            </w:r>
            <w:r>
              <w:t>)</w:t>
            </w:r>
          </w:p>
        </w:tc>
      </w:tr>
      <w:tr w:rsidR="00436EDC" w:rsidRPr="00E2771E" w14:paraId="488E85F7" w14:textId="77777777" w:rsidTr="008F1BBE">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74CC0DF2" w14:textId="38F6F9A2" w:rsidR="00436EDC" w:rsidRPr="00E2771E" w:rsidRDefault="00436EDC" w:rsidP="00436EDC">
            <w:pPr>
              <w:pStyle w:val="COMTabletext"/>
            </w:pPr>
            <w:r w:rsidRPr="006C650D">
              <w:t>Peripheral oedema</w:t>
            </w:r>
          </w:p>
        </w:tc>
        <w:tc>
          <w:tcPr>
            <w:tcW w:w="708" w:type="pct"/>
            <w:gridSpan w:val="2"/>
            <w:tcBorders>
              <w:top w:val="single" w:sz="4" w:space="0" w:color="auto"/>
              <w:left w:val="single" w:sz="4" w:space="0" w:color="auto"/>
              <w:bottom w:val="single" w:sz="4" w:space="0" w:color="auto"/>
              <w:right w:val="single" w:sz="4" w:space="0" w:color="auto"/>
            </w:tcBorders>
            <w:vAlign w:val="center"/>
          </w:tcPr>
          <w:p w14:paraId="533FF0FA" w14:textId="30525079" w:rsidR="00436EDC" w:rsidRPr="00E2771E" w:rsidRDefault="00436EDC" w:rsidP="00436EDC">
            <w:pPr>
              <w:pStyle w:val="COMTabletext"/>
              <w:jc w:val="center"/>
            </w:pPr>
            <w:r w:rsidRPr="006D0EF7">
              <w:t>267</w:t>
            </w:r>
            <w:r>
              <w:t>/4,089</w:t>
            </w:r>
          </w:p>
        </w:tc>
        <w:tc>
          <w:tcPr>
            <w:tcW w:w="707" w:type="pct"/>
            <w:tcBorders>
              <w:top w:val="single" w:sz="4" w:space="0" w:color="auto"/>
              <w:left w:val="single" w:sz="4" w:space="0" w:color="auto"/>
              <w:bottom w:val="single" w:sz="4" w:space="0" w:color="auto"/>
              <w:right w:val="single" w:sz="4" w:space="0" w:color="auto"/>
            </w:tcBorders>
            <w:vAlign w:val="center"/>
          </w:tcPr>
          <w:p w14:paraId="570C8E98" w14:textId="63B8093B" w:rsidR="00436EDC" w:rsidRPr="00E2771E" w:rsidRDefault="00436EDC" w:rsidP="00436EDC">
            <w:pPr>
              <w:pStyle w:val="COMTabletext"/>
              <w:jc w:val="center"/>
            </w:pPr>
            <w:r w:rsidRPr="006D0EF7">
              <w:t>203</w:t>
            </w:r>
            <w:r>
              <w:t>/4,090</w:t>
            </w:r>
          </w:p>
        </w:tc>
        <w:tc>
          <w:tcPr>
            <w:tcW w:w="709" w:type="pct"/>
            <w:gridSpan w:val="2"/>
            <w:tcBorders>
              <w:top w:val="single" w:sz="4" w:space="0" w:color="auto"/>
              <w:left w:val="single" w:sz="4" w:space="0" w:color="auto"/>
              <w:bottom w:val="single" w:sz="4" w:space="0" w:color="auto"/>
              <w:right w:val="single" w:sz="4" w:space="0" w:color="auto"/>
            </w:tcBorders>
            <w:vAlign w:val="center"/>
          </w:tcPr>
          <w:p w14:paraId="53E2463A" w14:textId="5A701290" w:rsidR="00436EDC" w:rsidRPr="00E2771E" w:rsidRDefault="00436EDC" w:rsidP="00436EDC">
            <w:pPr>
              <w:pStyle w:val="COMTabletext"/>
              <w:jc w:val="center"/>
            </w:pPr>
            <w:r w:rsidRPr="00A63362">
              <w:t xml:space="preserve">1.32 </w:t>
            </w:r>
            <w:r>
              <w:t>(</w:t>
            </w:r>
            <w:r w:rsidRPr="00A63362">
              <w:t>1.10, 1.57</w:t>
            </w:r>
            <w:r>
              <w:t>)</w:t>
            </w:r>
          </w:p>
        </w:tc>
        <w:tc>
          <w:tcPr>
            <w:tcW w:w="627" w:type="pct"/>
            <w:tcBorders>
              <w:top w:val="single" w:sz="4" w:space="0" w:color="auto"/>
              <w:left w:val="single" w:sz="4" w:space="0" w:color="auto"/>
              <w:bottom w:val="single" w:sz="4" w:space="0" w:color="auto"/>
              <w:right w:val="single" w:sz="4" w:space="0" w:color="auto"/>
            </w:tcBorders>
            <w:vAlign w:val="center"/>
          </w:tcPr>
          <w:p w14:paraId="2AAD0C9E" w14:textId="28CA3541" w:rsidR="00436EDC" w:rsidRPr="00E2771E" w:rsidRDefault="00436EDC" w:rsidP="00436EDC">
            <w:pPr>
              <w:pStyle w:val="COMTabletext"/>
              <w:jc w:val="center"/>
            </w:pPr>
            <w:r w:rsidRPr="006D0EF7">
              <w:t>6.5</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4BC9D24E" w14:textId="5813DA95" w:rsidR="00436EDC" w:rsidRPr="00E2771E" w:rsidRDefault="00436EDC" w:rsidP="00436EDC">
            <w:pPr>
              <w:pStyle w:val="COMTabletext"/>
              <w:jc w:val="center"/>
            </w:pPr>
            <w:r w:rsidRPr="006D0EF7">
              <w:t>5.0</w:t>
            </w:r>
          </w:p>
        </w:tc>
        <w:tc>
          <w:tcPr>
            <w:tcW w:w="757" w:type="pct"/>
            <w:tcBorders>
              <w:top w:val="single" w:sz="4" w:space="0" w:color="auto"/>
              <w:left w:val="single" w:sz="4" w:space="0" w:color="auto"/>
              <w:bottom w:val="single" w:sz="4" w:space="0" w:color="auto"/>
              <w:right w:val="single" w:sz="4" w:space="0" w:color="auto"/>
            </w:tcBorders>
            <w:vAlign w:val="center"/>
          </w:tcPr>
          <w:p w14:paraId="4575857A" w14:textId="7E3C37CE" w:rsidR="00436EDC" w:rsidRPr="00E2771E" w:rsidRDefault="00436EDC" w:rsidP="00436EDC">
            <w:pPr>
              <w:pStyle w:val="COMTabletext"/>
              <w:jc w:val="center"/>
            </w:pPr>
            <w:r w:rsidRPr="00A63362">
              <w:t xml:space="preserve">0.02 </w:t>
            </w:r>
            <w:r>
              <w:t>(</w:t>
            </w:r>
            <w:r w:rsidRPr="00A63362">
              <w:t>0.01, 0.03</w:t>
            </w:r>
            <w:r>
              <w:t>)</w:t>
            </w:r>
          </w:p>
        </w:tc>
      </w:tr>
    </w:tbl>
    <w:p w14:paraId="6E2286D0" w14:textId="0C389A64" w:rsidR="00620C25" w:rsidRPr="00B1011F" w:rsidRDefault="00620C25" w:rsidP="00620C25">
      <w:pPr>
        <w:pStyle w:val="COMTablefooter"/>
        <w:rPr>
          <w:sz w:val="20"/>
        </w:rPr>
      </w:pPr>
      <w:r>
        <w:t xml:space="preserve">Source: </w:t>
      </w:r>
      <w:r w:rsidR="00C826D0" w:rsidRPr="00C826D0">
        <w:t>Table 2.5.1, p66</w:t>
      </w:r>
      <w:r w:rsidR="00C826D0">
        <w:t xml:space="preserve">; </w:t>
      </w:r>
      <w:r w:rsidR="007C524F">
        <w:t xml:space="preserve">Table 2.5.2, p68; </w:t>
      </w:r>
      <w:r w:rsidR="008F1BBE" w:rsidRPr="008F1BBE">
        <w:t>Table 2.5.3, p70</w:t>
      </w:r>
      <w:r w:rsidR="00C826D0">
        <w:t>; Table 2.5.7, p76 of the submission.</w:t>
      </w:r>
    </w:p>
    <w:p w14:paraId="1FAAFD8D" w14:textId="77777777" w:rsidR="0094777D" w:rsidRDefault="00620C25" w:rsidP="0094777D">
      <w:pPr>
        <w:pStyle w:val="COMTablefooter"/>
      </w:pPr>
      <w:r>
        <w:t xml:space="preserve">HR = hazard ratio; </w:t>
      </w:r>
      <w:r w:rsidRPr="0072416F">
        <w:t>PBO = placebo; RD = risk difference; RR = risk ratio</w:t>
      </w:r>
      <w:r w:rsidR="0094777D">
        <w:t>.</w:t>
      </w:r>
    </w:p>
    <w:p w14:paraId="7BE59A07" w14:textId="77777777" w:rsidR="0094777D" w:rsidRDefault="0094777D" w:rsidP="0094777D">
      <w:pPr>
        <w:pStyle w:val="COMTablefooter"/>
      </w:pPr>
      <w:r>
        <w:rPr>
          <w:vertAlign w:val="superscript"/>
        </w:rPr>
        <w:t>a</w:t>
      </w:r>
      <w:r>
        <w:t xml:space="preserve"> Based on the results for the secondary prevention population of the REDUCE-IT trial.</w:t>
      </w:r>
    </w:p>
    <w:p w14:paraId="48F2F4A9" w14:textId="22C8D2EC" w:rsidR="00CD53A7" w:rsidRDefault="0094777D" w:rsidP="0094777D">
      <w:pPr>
        <w:pStyle w:val="COMTablefooter"/>
      </w:pPr>
      <w:r>
        <w:rPr>
          <w:vertAlign w:val="superscript"/>
        </w:rPr>
        <w:t>b</w:t>
      </w:r>
      <w:r>
        <w:t xml:space="preserve"> </w:t>
      </w:r>
      <w:r w:rsidR="00D36038">
        <w:t xml:space="preserve">Median follow-up 4.4 years and 4.1 </w:t>
      </w:r>
      <w:r w:rsidR="000A4882">
        <w:t>years</w:t>
      </w:r>
      <w:r w:rsidR="00D36038">
        <w:t xml:space="preserve"> for icosapent ethyl </w:t>
      </w:r>
      <w:r w:rsidR="0092325D">
        <w:t xml:space="preserve">and placebo </w:t>
      </w:r>
      <w:r w:rsidR="00D36038">
        <w:t xml:space="preserve">for </w:t>
      </w:r>
      <w:r w:rsidR="0092325D">
        <w:t xml:space="preserve">the </w:t>
      </w:r>
      <w:r w:rsidR="00D36038">
        <w:t>5-point MACE composite, respectively; 4.7 years and 4.5 years, respectively, for 3-point MACE composite</w:t>
      </w:r>
      <w:r w:rsidR="00CD53A7">
        <w:t xml:space="preserve">; not reported for </w:t>
      </w:r>
      <w:r w:rsidR="00D421CE">
        <w:t xml:space="preserve">individual </w:t>
      </w:r>
      <w:r w:rsidR="00CD53A7">
        <w:t>outcomes.</w:t>
      </w:r>
    </w:p>
    <w:p w14:paraId="240D57B1" w14:textId="4C20130A" w:rsidR="00CD53A7" w:rsidRDefault="00CD53A7" w:rsidP="0094777D">
      <w:pPr>
        <w:pStyle w:val="COMTablefooter"/>
      </w:pPr>
      <w:r>
        <w:rPr>
          <w:vertAlign w:val="superscript"/>
        </w:rPr>
        <w:t>c</w:t>
      </w:r>
      <w:r>
        <w:t xml:space="preserve"> Based on the results for the </w:t>
      </w:r>
      <w:r w:rsidR="007C2247">
        <w:t xml:space="preserve">overall </w:t>
      </w:r>
      <w:r>
        <w:t>trial population of the REDUCE-IT trial.</w:t>
      </w:r>
    </w:p>
    <w:p w14:paraId="38A9036E" w14:textId="035E40FF" w:rsidR="003D4A30" w:rsidRDefault="00CD53A7" w:rsidP="000F668D">
      <w:pPr>
        <w:pStyle w:val="COMTablefooter"/>
      </w:pPr>
      <w:r>
        <w:rPr>
          <w:vertAlign w:val="superscript"/>
        </w:rPr>
        <w:t>d</w:t>
      </w:r>
      <w:r>
        <w:t xml:space="preserve"> </w:t>
      </w:r>
      <w:r w:rsidR="00D421CE">
        <w:t>Based on a median follow-up of 4.9 years.</w:t>
      </w:r>
      <w:r w:rsidR="00D36038">
        <w:t xml:space="preserve"> </w:t>
      </w:r>
    </w:p>
    <w:p w14:paraId="7B87262A" w14:textId="451A9788" w:rsidR="000F668D" w:rsidRDefault="000F668D" w:rsidP="0091664F">
      <w:pPr>
        <w:widowControl w:val="0"/>
        <w:numPr>
          <w:ilvl w:val="1"/>
          <w:numId w:val="1"/>
        </w:numPr>
        <w:spacing w:after="120"/>
        <w:ind w:left="720" w:hanging="720"/>
      </w:pPr>
      <w:r w:rsidRPr="00661016">
        <w:rPr>
          <w:lang w:val="en-US"/>
        </w:rPr>
        <w:t xml:space="preserve">On the basis of direct evidence presented in the submission, for every 100 patients treated </w:t>
      </w:r>
      <w:r>
        <w:rPr>
          <w:lang w:val="en-US"/>
        </w:rPr>
        <w:t>with</w:t>
      </w:r>
      <w:r w:rsidRPr="00661016">
        <w:rPr>
          <w:lang w:val="en-US"/>
        </w:rPr>
        <w:t xml:space="preserve"> </w:t>
      </w:r>
      <w:r>
        <w:rPr>
          <w:lang w:val="en-US"/>
        </w:rPr>
        <w:t>icosapent ethyl</w:t>
      </w:r>
      <w:r w:rsidRPr="00661016">
        <w:rPr>
          <w:lang w:val="en-US"/>
        </w:rPr>
        <w:t xml:space="preserve"> in comparison with placebo</w:t>
      </w:r>
      <w:r>
        <w:rPr>
          <w:lang w:val="en-US"/>
        </w:rPr>
        <w:t xml:space="preserve"> over 4.9 years:</w:t>
      </w:r>
    </w:p>
    <w:p w14:paraId="0AD011D2" w14:textId="77777777" w:rsidR="000F668D" w:rsidRDefault="000F668D" w:rsidP="004E40F4">
      <w:pPr>
        <w:pStyle w:val="COMexecsummbulletlist"/>
      </w:pPr>
      <w:r>
        <w:t xml:space="preserve">Approximately 6 fewer patients will experience a major adverse cardiovascular event consisting of either </w:t>
      </w:r>
      <w:r w:rsidRPr="00DA2CEE">
        <w:t>cardiovascular death, nonfatal myocardial infarction, nonfatal stroke, coronary revascularisation, or unstable angina requiring hospitalisation</w:t>
      </w:r>
      <w:r>
        <w:t>.</w:t>
      </w:r>
    </w:p>
    <w:p w14:paraId="6B4862CE" w14:textId="77777777" w:rsidR="000F668D" w:rsidRDefault="000F668D" w:rsidP="004E40F4">
      <w:pPr>
        <w:pStyle w:val="COMexecsummbulletlist"/>
      </w:pPr>
      <w:r>
        <w:t xml:space="preserve">Approximately 4 fewer patients will experience a major adverse cardiovascular event consisting of either </w:t>
      </w:r>
      <w:r w:rsidRPr="00DA2CEE">
        <w:t>cardiovascular death, nonfatal myocardial infarction or nonfatal stroke</w:t>
      </w:r>
      <w:r>
        <w:t>).</w:t>
      </w:r>
    </w:p>
    <w:p w14:paraId="5303578B" w14:textId="370E2178" w:rsidR="000F668D" w:rsidRDefault="000F668D" w:rsidP="004E40F4">
      <w:pPr>
        <w:pStyle w:val="COMexecsummbulletlist"/>
      </w:pPr>
      <w:r>
        <w:t xml:space="preserve">Approximately 1 </w:t>
      </w:r>
      <w:r w:rsidR="0092325D">
        <w:t>fewer</w:t>
      </w:r>
      <w:r>
        <w:t xml:space="preserve"> patient will experience a death from cardiovascular causes.</w:t>
      </w:r>
    </w:p>
    <w:p w14:paraId="076E129A" w14:textId="6088A210" w:rsidR="000F668D" w:rsidRDefault="000F668D" w:rsidP="004E40F4">
      <w:pPr>
        <w:pStyle w:val="COMexecsummbulletlist"/>
      </w:pPr>
      <w:r>
        <w:t>Approximately 3 fewer patients will experience a myocardial infarction (fatal or nonfatal).</w:t>
      </w:r>
    </w:p>
    <w:p w14:paraId="24CC5E29" w14:textId="77777777" w:rsidR="000F668D" w:rsidRDefault="000F668D" w:rsidP="004E40F4">
      <w:pPr>
        <w:pStyle w:val="COMexecsummbulletlist"/>
      </w:pPr>
      <w:r>
        <w:t>An additional patient will experience an episode of atrial fibrillation.</w:t>
      </w:r>
    </w:p>
    <w:p w14:paraId="4F4517EC" w14:textId="77777777" w:rsidR="000F668D" w:rsidRDefault="000F668D" w:rsidP="004E40F4">
      <w:pPr>
        <w:pStyle w:val="COMexecsummbulletlist"/>
      </w:pPr>
      <w:r>
        <w:t>An additional 2 patients will experience a bleeding-related adverse event.</w:t>
      </w:r>
    </w:p>
    <w:p w14:paraId="28B38816" w14:textId="77777777" w:rsidR="000F668D" w:rsidRPr="00661016" w:rsidRDefault="000F668D" w:rsidP="004E40F4">
      <w:pPr>
        <w:pStyle w:val="COMexecsummbulletlist"/>
      </w:pPr>
      <w:r>
        <w:t>An additional 2 patients will experience an episode of peripheral oedema.</w:t>
      </w:r>
    </w:p>
    <w:p w14:paraId="7A1772B6" w14:textId="4CFA99AA" w:rsidR="00B60939" w:rsidRPr="00C9624D" w:rsidRDefault="00B60939" w:rsidP="00E9094A">
      <w:pPr>
        <w:pStyle w:val="COMH2-non-numbered"/>
      </w:pPr>
      <w:bookmarkStart w:id="48" w:name="_Toc22897644"/>
      <w:bookmarkStart w:id="49" w:name="_Toc144685990"/>
      <w:bookmarkStart w:id="50" w:name="_Toc145499030"/>
      <w:r w:rsidRPr="00C9624D">
        <w:lastRenderedPageBreak/>
        <w:t>Clinical claim</w:t>
      </w:r>
      <w:bookmarkEnd w:id="48"/>
      <w:bookmarkEnd w:id="49"/>
      <w:bookmarkEnd w:id="50"/>
    </w:p>
    <w:p w14:paraId="1FD91681" w14:textId="77777777" w:rsidR="00F60C8D" w:rsidRDefault="00CB661C" w:rsidP="004E40F4">
      <w:pPr>
        <w:numPr>
          <w:ilvl w:val="1"/>
          <w:numId w:val="1"/>
        </w:numPr>
        <w:spacing w:after="120"/>
        <w:ind w:left="720" w:hanging="720"/>
      </w:pPr>
      <w:r w:rsidRPr="00D13A3E">
        <w:t>The submission describe</w:t>
      </w:r>
      <w:r>
        <w:t>d</w:t>
      </w:r>
      <w:r w:rsidRPr="00D13A3E">
        <w:t xml:space="preserve"> </w:t>
      </w:r>
      <w:r>
        <w:t>icosapent ethyl</w:t>
      </w:r>
      <w:r w:rsidRPr="00D13A3E">
        <w:t xml:space="preserve"> as </w:t>
      </w:r>
      <w:r>
        <w:t>superior</w:t>
      </w:r>
      <w:r w:rsidRPr="00D13A3E">
        <w:t xml:space="preserve"> in terms of </w:t>
      </w:r>
      <w:r w:rsidRPr="0091664F">
        <w:rPr>
          <w:lang w:val="en-US"/>
        </w:rPr>
        <w:t>effectiveness</w:t>
      </w:r>
      <w:r>
        <w:t>,</w:t>
      </w:r>
      <w:r w:rsidRPr="00D13A3E">
        <w:t xml:space="preserve"> </w:t>
      </w:r>
      <w:r w:rsidRPr="008D3F64">
        <w:t>with an inferior but manageable safety profile</w:t>
      </w:r>
      <w:r>
        <w:t>,</w:t>
      </w:r>
      <w:r w:rsidRPr="008D3F64">
        <w:t xml:space="preserve"> </w:t>
      </w:r>
      <w:r>
        <w:t xml:space="preserve">compared with placebo (as a proxy for standard of care). </w:t>
      </w:r>
    </w:p>
    <w:p w14:paraId="4D113F9D" w14:textId="3B61F512" w:rsidR="00317768" w:rsidRPr="0091664F" w:rsidRDefault="00CB661C" w:rsidP="0091664F">
      <w:pPr>
        <w:widowControl w:val="0"/>
        <w:numPr>
          <w:ilvl w:val="1"/>
          <w:numId w:val="1"/>
        </w:numPr>
        <w:spacing w:after="120"/>
        <w:ind w:left="720" w:hanging="720"/>
      </w:pPr>
      <w:r w:rsidRPr="00E211D2">
        <w:t xml:space="preserve">The </w:t>
      </w:r>
      <w:r w:rsidR="00F60C8D" w:rsidRPr="00E211D2">
        <w:t xml:space="preserve">ESC considered that the </w:t>
      </w:r>
      <w:r w:rsidRPr="00E211D2">
        <w:t xml:space="preserve">therapeutic conclusion presented in the submission was </w:t>
      </w:r>
      <w:r w:rsidR="007E7A59" w:rsidRPr="00E211D2">
        <w:t>uncertain</w:t>
      </w:r>
      <w:r w:rsidR="00317768" w:rsidRPr="00E211D2">
        <w:t xml:space="preserve">, noting that the </w:t>
      </w:r>
      <w:r w:rsidR="007E7A59" w:rsidRPr="00E211D2">
        <w:t xml:space="preserve">magnitude of the </w:t>
      </w:r>
      <w:r w:rsidR="00317768" w:rsidRPr="00E211D2">
        <w:t xml:space="preserve">overall effect size of icosapent ethyl was </w:t>
      </w:r>
      <w:r w:rsidR="00BA5362" w:rsidRPr="00E211D2">
        <w:t xml:space="preserve">unknown </w:t>
      </w:r>
      <w:r w:rsidR="00317768" w:rsidRPr="00E211D2">
        <w:t>as the results of the REDUCE-IT trial may have been impacted by the use of the mineral oil placebo</w:t>
      </w:r>
      <w:r w:rsidR="00BA5362" w:rsidRPr="00E211D2">
        <w:t>,</w:t>
      </w:r>
      <w:r w:rsidR="00317768" w:rsidRPr="00E211D2">
        <w:t xml:space="preserve"> which </w:t>
      </w:r>
      <w:r w:rsidR="00BA5362" w:rsidRPr="00E211D2">
        <w:t>likely</w:t>
      </w:r>
      <w:r w:rsidR="00317768" w:rsidRPr="00E211D2">
        <w:t xml:space="preserve"> increased LDL cholesterol levels. A confirmatory trial using an alternative placebo may be </w:t>
      </w:r>
      <w:r w:rsidR="00317768" w:rsidRPr="0091664F">
        <w:t xml:space="preserve">required to </w:t>
      </w:r>
      <w:r w:rsidR="007E7A59" w:rsidRPr="0091664F">
        <w:t>confirm a clinical benefit</w:t>
      </w:r>
      <w:r w:rsidR="00BA5362" w:rsidRPr="0091664F">
        <w:t xml:space="preserve"> of icosapent</w:t>
      </w:r>
      <w:r w:rsidR="004140CE" w:rsidRPr="0091664F">
        <w:t xml:space="preserve"> ethyl</w:t>
      </w:r>
      <w:r w:rsidR="007E7A59" w:rsidRPr="0091664F">
        <w:t xml:space="preserve"> and to </w:t>
      </w:r>
      <w:r w:rsidR="00317768" w:rsidRPr="0091664F">
        <w:t xml:space="preserve">characterise the magnitude of cardiovascular benefit. The submission adjusts for the potential </w:t>
      </w:r>
      <w:r w:rsidR="007E7A59" w:rsidRPr="0091664F">
        <w:t xml:space="preserve">negative effect of the mineral oil placebo </w:t>
      </w:r>
      <w:r w:rsidR="00317768" w:rsidRPr="0091664F">
        <w:t xml:space="preserve">in the economic analysis </w:t>
      </w:r>
      <w:r w:rsidR="007E7A59" w:rsidRPr="0091664F">
        <w:t>by applying</w:t>
      </w:r>
      <w:r w:rsidR="00317768" w:rsidRPr="0091664F">
        <w:t xml:space="preserve"> a 3% adjustment to cardiovascular event probabilities in the standard of care arm.</w:t>
      </w:r>
      <w:r w:rsidR="00EB54E6" w:rsidRPr="0091664F">
        <w:t xml:space="preserve"> The pre-PBAC response </w:t>
      </w:r>
      <w:r w:rsidR="007B0A2F">
        <w:t>increased this</w:t>
      </w:r>
      <w:r w:rsidR="00EB54E6" w:rsidRPr="0091664F">
        <w:t xml:space="preserve"> adjustment </w:t>
      </w:r>
      <w:r w:rsidR="007B0A2F">
        <w:t>to</w:t>
      </w:r>
      <w:r w:rsidR="007B0A2F" w:rsidRPr="0091664F">
        <w:t xml:space="preserve"> </w:t>
      </w:r>
      <w:r w:rsidR="00EB54E6" w:rsidRPr="0091664F">
        <w:t xml:space="preserve">7% (see paragraph </w:t>
      </w:r>
      <w:r w:rsidR="00EB54E6" w:rsidRPr="0091664F">
        <w:fldChar w:fldCharType="begin" w:fldLock="1"/>
      </w:r>
      <w:r w:rsidR="00EB54E6" w:rsidRPr="0091664F">
        <w:instrText xml:space="preserve"> REF _Ref150936294 \r \h </w:instrText>
      </w:r>
      <w:r w:rsidR="0091664F" w:rsidRPr="0091664F">
        <w:instrText xml:space="preserve"> \* MERGEFORMAT </w:instrText>
      </w:r>
      <w:r w:rsidR="00EB54E6" w:rsidRPr="0091664F">
        <w:fldChar w:fldCharType="separate"/>
      </w:r>
      <w:r w:rsidR="003F1735">
        <w:t>6.39</w:t>
      </w:r>
      <w:r w:rsidR="00EB54E6" w:rsidRPr="0091664F">
        <w:fldChar w:fldCharType="end"/>
      </w:r>
      <w:r w:rsidR="00EB54E6" w:rsidRPr="0091664F">
        <w:t>).</w:t>
      </w:r>
    </w:p>
    <w:p w14:paraId="597249AE" w14:textId="5E2EE206" w:rsidR="00CB661C" w:rsidRPr="00E211D2" w:rsidRDefault="00317768" w:rsidP="0091664F">
      <w:pPr>
        <w:widowControl w:val="0"/>
        <w:numPr>
          <w:ilvl w:val="1"/>
          <w:numId w:val="1"/>
        </w:numPr>
        <w:spacing w:after="120"/>
        <w:ind w:left="720" w:hanging="720"/>
      </w:pPr>
      <w:r w:rsidRPr="00E211D2">
        <w:t xml:space="preserve">The ESC noted that </w:t>
      </w:r>
      <w:r w:rsidR="00CB661C" w:rsidRPr="00E211D2">
        <w:t xml:space="preserve">the following issues should </w:t>
      </w:r>
      <w:r w:rsidRPr="00E211D2">
        <w:t xml:space="preserve">also </w:t>
      </w:r>
      <w:r w:rsidR="00CB661C" w:rsidRPr="00E211D2">
        <w:t>be considered:</w:t>
      </w:r>
    </w:p>
    <w:p w14:paraId="5252FC38" w14:textId="3754D9EC" w:rsidR="00F60C8D" w:rsidRPr="00E211D2" w:rsidRDefault="00CB661C" w:rsidP="004E40F4">
      <w:pPr>
        <w:pStyle w:val="COMexecsummbulletlist"/>
      </w:pPr>
      <w:r w:rsidRPr="00E211D2">
        <w:t xml:space="preserve">The treatments used in the REDUCE-IT trial were not consistent with current standard of care. Patients were not permitted to use PCSK9 inhibitors in the trial, </w:t>
      </w:r>
      <w:r w:rsidR="006B00B9" w:rsidRPr="00E211D2">
        <w:t xml:space="preserve">optimisation of </w:t>
      </w:r>
      <w:r w:rsidRPr="00E211D2">
        <w:t xml:space="preserve">statin </w:t>
      </w:r>
      <w:r w:rsidR="006B00B9" w:rsidRPr="00E211D2">
        <w:t xml:space="preserve">treatment was not required, </w:t>
      </w:r>
      <w:r w:rsidRPr="00E211D2">
        <w:t xml:space="preserve">and only a relatively small proportion </w:t>
      </w:r>
      <w:r w:rsidR="006454FF" w:rsidRPr="00E211D2">
        <w:t xml:space="preserve">of patients </w:t>
      </w:r>
      <w:r w:rsidRPr="00E211D2">
        <w:t xml:space="preserve">were using ezetimibe. </w:t>
      </w:r>
      <w:r w:rsidR="00F60C8D" w:rsidRPr="00E211D2">
        <w:t>Differences in use of other medications with the potential for lowering cardiovascular risk (such as SGLT2 inhibitors and GLP-1 agonists for the treatment of diabetes) may also potentially lower clinical benefits with icosapent ethyl in clinical practice.</w:t>
      </w:r>
      <w:r w:rsidR="007E7A59" w:rsidRPr="00E211D2">
        <w:t xml:space="preserve"> The PSCR noted that when the trial was undertaken a number of newer cardiovascular therapies, such as PCSK9 inhibitors, SGLT2 inhibitors and GLP-1 agonists, were not routinely available</w:t>
      </w:r>
      <w:r w:rsidR="001518B9" w:rsidRPr="00E211D2">
        <w:t xml:space="preserve"> or prescribed</w:t>
      </w:r>
      <w:r w:rsidR="007E7A59" w:rsidRPr="00E211D2">
        <w:t>.</w:t>
      </w:r>
    </w:p>
    <w:p w14:paraId="71776FC6" w14:textId="212BE62D" w:rsidR="005F659F" w:rsidRPr="00E211D2" w:rsidRDefault="00F94A48" w:rsidP="004E40F4">
      <w:pPr>
        <w:pStyle w:val="COMexecsummbulletlist"/>
      </w:pPr>
      <w:r w:rsidRPr="00E211D2">
        <w:t xml:space="preserve">LDL treatment targets have </w:t>
      </w:r>
      <w:r w:rsidR="006454FF" w:rsidRPr="00E211D2">
        <w:t>reduced</w:t>
      </w:r>
      <w:r w:rsidRPr="00E211D2">
        <w:t xml:space="preserve"> since the REDUCE-IT trial was conduct</w:t>
      </w:r>
      <w:r w:rsidR="006454FF" w:rsidRPr="00E211D2">
        <w:t>ed</w:t>
      </w:r>
      <w:r w:rsidRPr="00E211D2">
        <w:t xml:space="preserve">. </w:t>
      </w:r>
      <w:r w:rsidR="00CB661C" w:rsidRPr="00E211D2">
        <w:t xml:space="preserve">The triglyceride-lowering effects of statins (dose optimised), ezetimibe and PCSK9 inhibitors may affect the proportion and risk profile of patients who will meet the proposed triglyceride and LDL </w:t>
      </w:r>
      <w:r w:rsidR="007B19E9" w:rsidRPr="00E211D2">
        <w:t xml:space="preserve">cholesterol </w:t>
      </w:r>
      <w:r w:rsidR="00CB661C" w:rsidRPr="00E211D2">
        <w:t>restriction criteria.</w:t>
      </w:r>
      <w:r w:rsidR="0093147F" w:rsidRPr="00E211D2">
        <w:t xml:space="preserve"> </w:t>
      </w:r>
      <w:r w:rsidR="007E7A59" w:rsidRPr="00E211D2">
        <w:t xml:space="preserve">The PSCR stated that subgroup analyses of REDUCE-IT demonstrated a consistent effect of icosapent ethyl across all </w:t>
      </w:r>
      <w:proofErr w:type="spellStart"/>
      <w:r w:rsidR="007E7A59" w:rsidRPr="00E211D2">
        <w:t>tertiles</w:t>
      </w:r>
      <w:proofErr w:type="spellEnd"/>
      <w:r w:rsidR="007E7A59" w:rsidRPr="00E211D2">
        <w:t xml:space="preserve"> of LDL cholesterol.</w:t>
      </w:r>
    </w:p>
    <w:p w14:paraId="129A876C" w14:textId="3A3B2007" w:rsidR="00CC1970" w:rsidRPr="00E211D2" w:rsidRDefault="00CC1970" w:rsidP="004E40F4">
      <w:pPr>
        <w:pStyle w:val="COMexecsummbulletlist"/>
      </w:pPr>
      <w:r w:rsidRPr="00E211D2">
        <w:t xml:space="preserve">The mechanism(s) of action for icosapent ethyl underlying the cardiovascular benefits </w:t>
      </w:r>
      <w:r w:rsidR="00957134" w:rsidRPr="00E211D2">
        <w:t>is</w:t>
      </w:r>
      <w:r w:rsidRPr="00E211D2">
        <w:t xml:space="preserve"> unclear </w:t>
      </w:r>
      <w:r w:rsidR="00E61ACD" w:rsidRPr="00E211D2">
        <w:t>but</w:t>
      </w:r>
      <w:r w:rsidRPr="00E211D2">
        <w:t xml:space="preserve"> </w:t>
      </w:r>
      <w:r w:rsidR="00957134" w:rsidRPr="00E211D2">
        <w:t>is</w:t>
      </w:r>
      <w:r w:rsidRPr="00E211D2">
        <w:t xml:space="preserve"> unlikely to be related to the degree of triglyceride lowering. The uncertainty over the mechanism of action means that there is potential for overlap between the cardiovascular risk reduction associated with icosapent ethyl and other ASCVD treatments used to reduce cardiovascular risk (such as lipid-lowering therapies and diabetes treatments).</w:t>
      </w:r>
    </w:p>
    <w:p w14:paraId="520C825E" w14:textId="2F57A548" w:rsidR="00CB661C" w:rsidRPr="00D30D15" w:rsidRDefault="006F3AD4" w:rsidP="004E40F4">
      <w:pPr>
        <w:pStyle w:val="COMexecsummbulletlist"/>
      </w:pPr>
      <w:r w:rsidRPr="00E211D2">
        <w:t>L</w:t>
      </w:r>
      <w:r w:rsidR="00CB661C" w:rsidRPr="00E211D2">
        <w:t xml:space="preserve">imited data </w:t>
      </w:r>
      <w:r w:rsidRPr="00E211D2">
        <w:t xml:space="preserve">were </w:t>
      </w:r>
      <w:r w:rsidR="00CB661C" w:rsidRPr="00E211D2">
        <w:t xml:space="preserve">presented in the submission to allow comparison of PBS population characteristics with the patients in the REDUCE-IT trial. It is unclear </w:t>
      </w:r>
      <w:r w:rsidR="00CB661C" w:rsidRPr="00E211D2">
        <w:lastRenderedPageBreak/>
        <w:t xml:space="preserve">whether the cardiovascular risk among patients in the PBS population is the same as </w:t>
      </w:r>
      <w:r w:rsidR="00CB661C" w:rsidRPr="00D30D15">
        <w:t xml:space="preserve">for patients in the REDUCE-IT trial. </w:t>
      </w:r>
    </w:p>
    <w:p w14:paraId="1D847548" w14:textId="143F705F" w:rsidR="00920FD5" w:rsidRPr="00D30D15" w:rsidRDefault="00920FD5" w:rsidP="0091664F">
      <w:pPr>
        <w:widowControl w:val="0"/>
        <w:numPr>
          <w:ilvl w:val="1"/>
          <w:numId w:val="1"/>
        </w:numPr>
        <w:spacing w:after="120"/>
        <w:ind w:left="720" w:hanging="720"/>
      </w:pPr>
      <w:r w:rsidRPr="00D30D15">
        <w:rPr>
          <w:iCs/>
        </w:rPr>
        <w:t>The</w:t>
      </w:r>
      <w:r w:rsidRPr="00D30D15">
        <w:rPr>
          <w:szCs w:val="20"/>
        </w:rPr>
        <w:t xml:space="preserve"> PBAC considered that the claim of superior comparative effectiveness was reasonable, but that the magnitude of the benefit was uncertain.</w:t>
      </w:r>
    </w:p>
    <w:p w14:paraId="7F613CD1" w14:textId="405B01D3" w:rsidR="005F7588" w:rsidRPr="0091664F" w:rsidRDefault="00CB661C" w:rsidP="0091664F">
      <w:pPr>
        <w:widowControl w:val="0"/>
        <w:numPr>
          <w:ilvl w:val="1"/>
          <w:numId w:val="1"/>
        </w:numPr>
        <w:spacing w:after="120"/>
        <w:ind w:left="720" w:hanging="720"/>
      </w:pPr>
      <w:r w:rsidRPr="00D30D15">
        <w:t xml:space="preserve">The </w:t>
      </w:r>
      <w:r w:rsidR="00920FD5" w:rsidRPr="00D30D15">
        <w:t xml:space="preserve">PBAC agreed with </w:t>
      </w:r>
      <w:r w:rsidR="00F60C8D" w:rsidRPr="00D30D15">
        <w:t xml:space="preserve">ESC </w:t>
      </w:r>
      <w:r w:rsidR="00920FD5" w:rsidRPr="00D30D15">
        <w:t xml:space="preserve">and </w:t>
      </w:r>
      <w:r w:rsidR="00F60C8D" w:rsidRPr="00D30D15">
        <w:t xml:space="preserve">considered that the </w:t>
      </w:r>
      <w:r w:rsidRPr="00D30D15">
        <w:t xml:space="preserve">claim of inferior </w:t>
      </w:r>
      <w:r w:rsidR="00FA7398" w:rsidRPr="00D30D15">
        <w:t xml:space="preserve">but manageable </w:t>
      </w:r>
      <w:r w:rsidRPr="00D30D15">
        <w:t>safety appeared reasonable given the higher incidence of bleeding events and atrial</w:t>
      </w:r>
      <w:r w:rsidRPr="00E211D2">
        <w:t xml:space="preserve"> fibrillation/flutter in the icosapent ethyl arm compared to the placebo arm of the </w:t>
      </w:r>
      <w:r w:rsidRPr="0091664F">
        <w:t xml:space="preserve">REDUCE-IT trial. </w:t>
      </w:r>
    </w:p>
    <w:p w14:paraId="74A1172E" w14:textId="4200DDF2" w:rsidR="00B60939" w:rsidRPr="0091664F" w:rsidRDefault="00B60939" w:rsidP="00E9094A">
      <w:pPr>
        <w:pStyle w:val="COMH2-non-numbered"/>
      </w:pPr>
      <w:bookmarkStart w:id="51" w:name="_Toc22897645"/>
      <w:bookmarkStart w:id="52" w:name="_Toc144685991"/>
      <w:bookmarkStart w:id="53" w:name="_Toc145499031"/>
      <w:r w:rsidRPr="00DA08B1">
        <w:t>Economic analysis</w:t>
      </w:r>
      <w:bookmarkEnd w:id="51"/>
      <w:bookmarkEnd w:id="52"/>
      <w:bookmarkEnd w:id="53"/>
      <w:r w:rsidR="00491B3A" w:rsidRPr="0091664F">
        <w:t xml:space="preserve"> </w:t>
      </w:r>
    </w:p>
    <w:p w14:paraId="67AC2A8B" w14:textId="33C74DB0" w:rsidR="00F430D7" w:rsidRDefault="00F430D7" w:rsidP="0091664F">
      <w:pPr>
        <w:widowControl w:val="0"/>
        <w:numPr>
          <w:ilvl w:val="1"/>
          <w:numId w:val="1"/>
        </w:numPr>
        <w:spacing w:after="120"/>
        <w:ind w:left="720" w:hanging="720"/>
      </w:pPr>
      <w:r w:rsidRPr="0091664F">
        <w:t xml:space="preserve">The submission presented a modelled economic evaluation comparing icosapent ethyl plus standard of care </w:t>
      </w:r>
      <w:r w:rsidR="001071A1" w:rsidRPr="0091664F">
        <w:t xml:space="preserve">to </w:t>
      </w:r>
      <w:r w:rsidRPr="0091664F">
        <w:t xml:space="preserve">standard of care, for the treatment </w:t>
      </w:r>
      <w:r w:rsidR="00AB6151" w:rsidRPr="0091664F">
        <w:t xml:space="preserve">of </w:t>
      </w:r>
      <w:r w:rsidRPr="0091664F">
        <w:t>ASCVD with elevated triglyceride levels and adequately controlled LDL cholesterol. The economic evaluation was</w:t>
      </w:r>
      <w:r>
        <w:t xml:space="preserve"> based on the results of the REDUCE-IT trial (using the placebo arm of the REDUCE-IT trial as a proxy for standard of care), with additional modelled data. The economic evaluation was presented as a cost-utility analysis.</w:t>
      </w:r>
    </w:p>
    <w:p w14:paraId="15A9AFA4" w14:textId="22491D44" w:rsidR="00275C5A" w:rsidRPr="00FD4ED6" w:rsidRDefault="00E16AD8" w:rsidP="004E40F4">
      <w:pPr>
        <w:pStyle w:val="COMtablefigcaption"/>
        <w:keepLines/>
      </w:pPr>
      <w:r>
        <w:lastRenderedPageBreak/>
        <w:t xml:space="preserve">Table </w:t>
      </w:r>
      <w:fldSimple w:instr=" SEQ Table \* ARABIC " w:fldLock="1">
        <w:r w:rsidR="003F1735">
          <w:rPr>
            <w:noProof/>
          </w:rPr>
          <w:t>10</w:t>
        </w:r>
      </w:fldSimple>
      <w:r>
        <w:t>:</w:t>
      </w:r>
      <w:r w:rsidR="00275C5A" w:rsidRPr="00FD4ED6">
        <w:t xml:space="preserve"> Summary of model structure</w:t>
      </w:r>
      <w:r w:rsidR="00184B0E" w:rsidRPr="00FD4ED6">
        <w:t>, key inputs</w:t>
      </w:r>
      <w:r w:rsidR="00275C5A" w:rsidRPr="00FD4ED6">
        <w:t xml:space="preserv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10: Summary of model structure, key inputs and rationale"/>
        <w:tblDescription w:val="Table 10: Summary of model structure, key inputs and rationale"/>
      </w:tblPr>
      <w:tblGrid>
        <w:gridCol w:w="1315"/>
        <w:gridCol w:w="7702"/>
      </w:tblGrid>
      <w:tr w:rsidR="00275C5A" w:rsidRPr="003D1DE4" w14:paraId="48BB958D" w14:textId="77777777" w:rsidTr="007C14AB">
        <w:trPr>
          <w:tblHeader/>
        </w:trPr>
        <w:tc>
          <w:tcPr>
            <w:tcW w:w="729" w:type="pct"/>
            <w:shd w:val="clear" w:color="auto" w:fill="auto"/>
            <w:vAlign w:val="center"/>
          </w:tcPr>
          <w:p w14:paraId="29C3D629" w14:textId="77777777" w:rsidR="00275C5A" w:rsidRPr="00641FB3" w:rsidRDefault="00275C5A" w:rsidP="004E40F4">
            <w:pPr>
              <w:pStyle w:val="COMTableheadingrow"/>
              <w:keepLines/>
            </w:pPr>
            <w:r w:rsidRPr="00641FB3">
              <w:t>Component</w:t>
            </w:r>
          </w:p>
        </w:tc>
        <w:tc>
          <w:tcPr>
            <w:tcW w:w="4271" w:type="pct"/>
            <w:shd w:val="clear" w:color="auto" w:fill="auto"/>
            <w:vAlign w:val="center"/>
          </w:tcPr>
          <w:p w14:paraId="58FBA37B" w14:textId="77777777" w:rsidR="00275C5A" w:rsidRPr="00641FB3" w:rsidRDefault="00275C5A" w:rsidP="004E40F4">
            <w:pPr>
              <w:pStyle w:val="COMTableheadingrow"/>
              <w:keepLines/>
            </w:pPr>
            <w:r w:rsidRPr="00641FB3">
              <w:t>Summary</w:t>
            </w:r>
          </w:p>
        </w:tc>
      </w:tr>
      <w:tr w:rsidR="000A6039" w:rsidRPr="00E2771E" w14:paraId="7476B2FD" w14:textId="77777777" w:rsidTr="007C14AB">
        <w:tc>
          <w:tcPr>
            <w:tcW w:w="729" w:type="pct"/>
            <w:shd w:val="clear" w:color="auto" w:fill="auto"/>
            <w:vAlign w:val="center"/>
          </w:tcPr>
          <w:p w14:paraId="5FA8442E" w14:textId="27CD0EEA" w:rsidR="000A6039" w:rsidRPr="00E2771E" w:rsidRDefault="000A6039" w:rsidP="004E40F4">
            <w:pPr>
              <w:pStyle w:val="COMTabletext"/>
              <w:keepLines/>
            </w:pPr>
            <w:r>
              <w:t>Treatments</w:t>
            </w:r>
          </w:p>
        </w:tc>
        <w:tc>
          <w:tcPr>
            <w:tcW w:w="4271" w:type="pct"/>
            <w:shd w:val="clear" w:color="auto" w:fill="auto"/>
            <w:vAlign w:val="center"/>
          </w:tcPr>
          <w:p w14:paraId="554C8AD3" w14:textId="686C6AAA" w:rsidR="000A6039" w:rsidRPr="00E2771E" w:rsidRDefault="004C1FBE" w:rsidP="004E40F4">
            <w:pPr>
              <w:pStyle w:val="COMTabletext"/>
              <w:keepLines/>
            </w:pPr>
            <w:r>
              <w:t>Icosapent ethyl plus standard of care versus standard of care</w:t>
            </w:r>
          </w:p>
        </w:tc>
      </w:tr>
      <w:tr w:rsidR="00275C5A" w:rsidRPr="00E2771E" w14:paraId="6A8D84D4" w14:textId="77777777" w:rsidTr="007C14AB">
        <w:tc>
          <w:tcPr>
            <w:tcW w:w="729" w:type="pct"/>
            <w:shd w:val="clear" w:color="auto" w:fill="auto"/>
            <w:vAlign w:val="center"/>
          </w:tcPr>
          <w:p w14:paraId="5F652354" w14:textId="77777777" w:rsidR="00275C5A" w:rsidRPr="00E2771E" w:rsidRDefault="00275C5A" w:rsidP="004E40F4">
            <w:pPr>
              <w:pStyle w:val="COMTabletext"/>
              <w:keepLines/>
            </w:pPr>
            <w:r w:rsidRPr="00E2771E">
              <w:t>Time horizon</w:t>
            </w:r>
          </w:p>
        </w:tc>
        <w:tc>
          <w:tcPr>
            <w:tcW w:w="4271" w:type="pct"/>
            <w:shd w:val="clear" w:color="auto" w:fill="auto"/>
            <w:vAlign w:val="center"/>
          </w:tcPr>
          <w:p w14:paraId="460936F1" w14:textId="4F013289" w:rsidR="00275C5A" w:rsidRPr="00E2771E" w:rsidRDefault="004C1FBE" w:rsidP="004E40F4">
            <w:pPr>
              <w:pStyle w:val="COMTabletext"/>
              <w:keepLines/>
            </w:pPr>
            <w:r>
              <w:t>25</w:t>
            </w:r>
            <w:r w:rsidR="00275C5A" w:rsidRPr="00E2771E">
              <w:t xml:space="preserve"> years in the model base case versus </w:t>
            </w:r>
            <w:r>
              <w:t>a median follow-up of 2.9 years in the REDUCE-IT trial.</w:t>
            </w:r>
          </w:p>
        </w:tc>
      </w:tr>
      <w:tr w:rsidR="00275C5A" w:rsidRPr="00E2771E" w14:paraId="003209BF" w14:textId="77777777" w:rsidTr="007C14AB">
        <w:tc>
          <w:tcPr>
            <w:tcW w:w="729" w:type="pct"/>
            <w:shd w:val="clear" w:color="auto" w:fill="auto"/>
            <w:vAlign w:val="center"/>
          </w:tcPr>
          <w:p w14:paraId="522DAB95" w14:textId="77777777" w:rsidR="00275C5A" w:rsidRPr="00E2771E" w:rsidRDefault="00275C5A" w:rsidP="004E40F4">
            <w:pPr>
              <w:pStyle w:val="COMTabletext"/>
              <w:keepLines/>
            </w:pPr>
            <w:r w:rsidRPr="00E2771E">
              <w:t>Outcomes</w:t>
            </w:r>
          </w:p>
        </w:tc>
        <w:tc>
          <w:tcPr>
            <w:tcW w:w="4271" w:type="pct"/>
            <w:shd w:val="clear" w:color="auto" w:fill="auto"/>
            <w:vAlign w:val="center"/>
          </w:tcPr>
          <w:p w14:paraId="3D1C428E" w14:textId="66D02C4A" w:rsidR="00275C5A" w:rsidRPr="00E2771E" w:rsidRDefault="004C1FBE" w:rsidP="004E40F4">
            <w:pPr>
              <w:pStyle w:val="COMTabletext"/>
              <w:keepLines/>
            </w:pPr>
            <w:r>
              <w:t>Life years; quality-adjusted life years.</w:t>
            </w:r>
          </w:p>
        </w:tc>
      </w:tr>
      <w:tr w:rsidR="00275C5A" w:rsidRPr="00E2771E" w14:paraId="29120B3F" w14:textId="77777777" w:rsidTr="007C14AB">
        <w:tc>
          <w:tcPr>
            <w:tcW w:w="729" w:type="pct"/>
            <w:shd w:val="clear" w:color="auto" w:fill="auto"/>
            <w:vAlign w:val="center"/>
          </w:tcPr>
          <w:p w14:paraId="1AAC94CB" w14:textId="77777777" w:rsidR="00275C5A" w:rsidRPr="00E2771E" w:rsidRDefault="00275C5A" w:rsidP="004E40F4">
            <w:pPr>
              <w:pStyle w:val="COMTabletext"/>
              <w:keepLines/>
            </w:pPr>
            <w:r w:rsidRPr="00E2771E">
              <w:t>Methods used to generate results</w:t>
            </w:r>
          </w:p>
        </w:tc>
        <w:tc>
          <w:tcPr>
            <w:tcW w:w="4271" w:type="pct"/>
            <w:shd w:val="clear" w:color="auto" w:fill="auto"/>
            <w:vAlign w:val="center"/>
          </w:tcPr>
          <w:p w14:paraId="69D4F042" w14:textId="04A02053" w:rsidR="00275C5A" w:rsidRPr="00E2771E" w:rsidRDefault="004C1FBE" w:rsidP="004E40F4">
            <w:pPr>
              <w:pStyle w:val="COMTabletext"/>
              <w:keepLines/>
            </w:pPr>
            <w:r w:rsidRPr="004C1FBE">
              <w:t>Markov cohort expected value analysis</w:t>
            </w:r>
          </w:p>
        </w:tc>
      </w:tr>
      <w:tr w:rsidR="00275C5A" w:rsidRPr="00E2771E" w14:paraId="7F7ACECA" w14:textId="77777777" w:rsidTr="007C14AB">
        <w:tc>
          <w:tcPr>
            <w:tcW w:w="729" w:type="pct"/>
            <w:shd w:val="clear" w:color="auto" w:fill="auto"/>
            <w:vAlign w:val="center"/>
          </w:tcPr>
          <w:p w14:paraId="344631D3" w14:textId="77777777" w:rsidR="00275C5A" w:rsidRPr="00E2771E" w:rsidRDefault="00275C5A" w:rsidP="004E40F4">
            <w:pPr>
              <w:pStyle w:val="COMTabletext"/>
              <w:keepLines/>
            </w:pPr>
            <w:r w:rsidRPr="00E2771E">
              <w:t>Health states</w:t>
            </w:r>
          </w:p>
        </w:tc>
        <w:tc>
          <w:tcPr>
            <w:tcW w:w="4271" w:type="pct"/>
            <w:shd w:val="clear" w:color="auto" w:fill="auto"/>
            <w:vAlign w:val="center"/>
          </w:tcPr>
          <w:p w14:paraId="03F23F80" w14:textId="414B12DC" w:rsidR="00275C5A" w:rsidRPr="00E2771E" w:rsidRDefault="004C1FBE" w:rsidP="004E40F4">
            <w:pPr>
              <w:pStyle w:val="COMTabletext"/>
              <w:keepLines/>
            </w:pPr>
            <w:r w:rsidRPr="004C1FBE">
              <w:t>Event free, post MI, post stroke, post MI and stroke, dead.</w:t>
            </w:r>
          </w:p>
        </w:tc>
      </w:tr>
      <w:tr w:rsidR="00275C5A" w:rsidRPr="00E2771E" w14:paraId="7F944EEA" w14:textId="77777777" w:rsidTr="007C14AB">
        <w:tc>
          <w:tcPr>
            <w:tcW w:w="729" w:type="pct"/>
            <w:shd w:val="clear" w:color="auto" w:fill="auto"/>
            <w:vAlign w:val="center"/>
          </w:tcPr>
          <w:p w14:paraId="255C0B8D" w14:textId="77777777" w:rsidR="00275C5A" w:rsidRPr="00E2771E" w:rsidRDefault="00275C5A" w:rsidP="004E40F4">
            <w:pPr>
              <w:pStyle w:val="COMTabletext"/>
              <w:keepLines/>
            </w:pPr>
            <w:r w:rsidRPr="00E2771E">
              <w:t>Cycle length</w:t>
            </w:r>
          </w:p>
        </w:tc>
        <w:tc>
          <w:tcPr>
            <w:tcW w:w="4271" w:type="pct"/>
            <w:shd w:val="clear" w:color="auto" w:fill="auto"/>
            <w:vAlign w:val="center"/>
          </w:tcPr>
          <w:p w14:paraId="5733F6EA" w14:textId="343D8417" w:rsidR="00275C5A" w:rsidRPr="00E2771E" w:rsidRDefault="004C1FBE" w:rsidP="004E40F4">
            <w:pPr>
              <w:pStyle w:val="COMTabletext"/>
              <w:keepLines/>
            </w:pPr>
            <w:r w:rsidRPr="004C1FBE">
              <w:t>6 months</w:t>
            </w:r>
          </w:p>
        </w:tc>
      </w:tr>
      <w:tr w:rsidR="00275C5A" w:rsidRPr="00E2771E" w14:paraId="6EFF7035" w14:textId="77777777" w:rsidTr="007C14AB">
        <w:tc>
          <w:tcPr>
            <w:tcW w:w="729" w:type="pct"/>
            <w:shd w:val="clear" w:color="auto" w:fill="auto"/>
            <w:vAlign w:val="center"/>
          </w:tcPr>
          <w:p w14:paraId="12B7AB48" w14:textId="5C66A8AF" w:rsidR="00B71A1B" w:rsidRPr="00E2771E" w:rsidRDefault="00275C5A" w:rsidP="004E40F4">
            <w:pPr>
              <w:pStyle w:val="COMTabletext"/>
              <w:keepLines/>
            </w:pPr>
            <w:r w:rsidRPr="00E2771E">
              <w:t>Transition probabilities</w:t>
            </w:r>
          </w:p>
          <w:p w14:paraId="77A45407" w14:textId="561B0264" w:rsidR="00081E63" w:rsidRPr="00E2771E" w:rsidRDefault="00081E63" w:rsidP="004E40F4">
            <w:pPr>
              <w:pStyle w:val="COMTabletext"/>
              <w:keepLines/>
            </w:pPr>
          </w:p>
        </w:tc>
        <w:tc>
          <w:tcPr>
            <w:tcW w:w="4271" w:type="pct"/>
            <w:shd w:val="clear" w:color="auto" w:fill="auto"/>
            <w:vAlign w:val="center"/>
          </w:tcPr>
          <w:p w14:paraId="56D4FABA" w14:textId="7DE2E01C" w:rsidR="00B71A1B" w:rsidRDefault="00B71A1B" w:rsidP="004E40F4">
            <w:pPr>
              <w:pStyle w:val="COMTabletext"/>
              <w:keepLines/>
              <w:spacing w:after="60"/>
            </w:pPr>
            <w:r>
              <w:t xml:space="preserve">Event rates (nonfatal MI, nonfatal stroke, cardiovascular death, coronary revascularisation, hospitalisation for unstable angina) for each 6-month cycle over the initial 5 years were derived from a </w:t>
            </w:r>
            <w:r w:rsidRPr="00695636">
              <w:rPr>
                <w:i/>
                <w:iCs/>
              </w:rPr>
              <w:t>post hoc</w:t>
            </w:r>
            <w:r>
              <w:t xml:space="preserve"> analysis of patient level data from the secondary prevention population of the REDUCE-IT trial. </w:t>
            </w:r>
          </w:p>
          <w:p w14:paraId="751981F3" w14:textId="27281D9B" w:rsidR="00B71A1B" w:rsidRDefault="00B71A1B" w:rsidP="004E40F4">
            <w:pPr>
              <w:pStyle w:val="COMTabletext"/>
              <w:keepLines/>
              <w:spacing w:after="60"/>
            </w:pPr>
            <w:r>
              <w:t>An adjustment of 3% was applied to cardiovascular events in the standard of care arm to reflect a potential negative impact of mineral oil (used as the placebo in the REDUCE-IT trial) on cardiovascular outcomes.</w:t>
            </w:r>
            <w:r w:rsidR="00EB54E6">
              <w:t xml:space="preserve"> The adjustment was increased to 7% in the pre-PBAC response.</w:t>
            </w:r>
          </w:p>
          <w:p w14:paraId="55DE4DC2" w14:textId="77777777" w:rsidR="00B71A1B" w:rsidRDefault="00B71A1B" w:rsidP="004E40F4">
            <w:pPr>
              <w:pStyle w:val="COMTabletext"/>
              <w:keepLines/>
              <w:spacing w:after="60"/>
            </w:pPr>
            <w:r>
              <w:t>An age-related adjustment factor based on an analysis of AIHW prevalence data (acute coronary events, coronary heart disease deaths, stroke deaths, stroke events, coronary heart disease hospitalisation rates and atrial fibrillation hospitalisation rates) was applied to cardiovascular event and adverse event probabilities.</w:t>
            </w:r>
          </w:p>
          <w:p w14:paraId="76387578" w14:textId="0EF1E923" w:rsidR="00275C5A" w:rsidRPr="00E2771E" w:rsidRDefault="00B71A1B" w:rsidP="004E40F4">
            <w:pPr>
              <w:pStyle w:val="COMTabletext"/>
              <w:keepLines/>
            </w:pPr>
            <w:r>
              <w:t>Non-cardiovascular mortality was based on Australian life tables with adjustment for cardiovascular deaths using General Record of Incidence of Mortality (GRIM) data.</w:t>
            </w:r>
          </w:p>
        </w:tc>
      </w:tr>
      <w:tr w:rsidR="00501854" w:rsidRPr="00E2771E" w14:paraId="0BC5FD61" w14:textId="77777777" w:rsidTr="007C14AB">
        <w:tc>
          <w:tcPr>
            <w:tcW w:w="729" w:type="pct"/>
            <w:shd w:val="clear" w:color="auto" w:fill="auto"/>
            <w:vAlign w:val="center"/>
          </w:tcPr>
          <w:p w14:paraId="3EE19BE5" w14:textId="7EE5FF57" w:rsidR="00501854" w:rsidRPr="00E2771E" w:rsidRDefault="00501854" w:rsidP="004E40F4">
            <w:pPr>
              <w:pStyle w:val="COMTabletext"/>
              <w:keepLines/>
            </w:pPr>
            <w:r>
              <w:t>Extrapolation method</w:t>
            </w:r>
          </w:p>
        </w:tc>
        <w:tc>
          <w:tcPr>
            <w:tcW w:w="4271" w:type="pct"/>
            <w:shd w:val="clear" w:color="auto" w:fill="auto"/>
            <w:vAlign w:val="center"/>
          </w:tcPr>
          <w:p w14:paraId="4DC128F7" w14:textId="77777777" w:rsidR="00D533EC" w:rsidRDefault="00B71A1B" w:rsidP="004E40F4">
            <w:pPr>
              <w:pStyle w:val="COMTabletext"/>
              <w:keepLines/>
              <w:spacing w:after="60"/>
            </w:pPr>
            <w:r>
              <w:t>Event rates from 5 to 25 years were assumed to be the average 6-month probability of events over the initial 5 years in the secondary prevention population of the REDUCE-IT trial.</w:t>
            </w:r>
          </w:p>
          <w:p w14:paraId="7026638D" w14:textId="2BCD1A1C" w:rsidR="00B71A1B" w:rsidRPr="00E2771E" w:rsidRDefault="00B71A1B" w:rsidP="004E40F4">
            <w:pPr>
              <w:pStyle w:val="COMTabletext"/>
              <w:keepLines/>
            </w:pPr>
            <w:r>
              <w:t>Icosapent ethyl treatment persistence was based on extrapolated time to treatment discontinuation data for the icosapent ethyl arm of the REDUCE-IT trial.</w:t>
            </w:r>
          </w:p>
        </w:tc>
      </w:tr>
      <w:tr w:rsidR="00501854" w:rsidRPr="00E2771E" w14:paraId="07C0A709" w14:textId="77777777" w:rsidTr="007C14AB">
        <w:tc>
          <w:tcPr>
            <w:tcW w:w="729" w:type="pct"/>
            <w:shd w:val="clear" w:color="auto" w:fill="auto"/>
            <w:vAlign w:val="center"/>
          </w:tcPr>
          <w:p w14:paraId="33B632EB" w14:textId="4B6D1EE3" w:rsidR="00501854" w:rsidRPr="001F4081" w:rsidRDefault="00DD0F78" w:rsidP="004E40F4">
            <w:pPr>
              <w:pStyle w:val="COMTabletext"/>
              <w:keepLines/>
            </w:pPr>
            <w:r>
              <w:t>Health related quality of life</w:t>
            </w:r>
          </w:p>
        </w:tc>
        <w:tc>
          <w:tcPr>
            <w:tcW w:w="4271" w:type="pct"/>
            <w:shd w:val="clear" w:color="auto" w:fill="auto"/>
            <w:vAlign w:val="center"/>
          </w:tcPr>
          <w:p w14:paraId="23B2C095" w14:textId="43DA365A" w:rsidR="003A13F5" w:rsidRDefault="003A13F5" w:rsidP="004E40F4">
            <w:pPr>
              <w:pStyle w:val="COMTabletext"/>
              <w:keepLines/>
              <w:spacing w:after="60"/>
            </w:pPr>
            <w:r>
              <w:t xml:space="preserve">Health state utilities sourced from a published economic model (Gao </w:t>
            </w:r>
            <w:r w:rsidRPr="00A87F7D">
              <w:rPr>
                <w:i/>
                <w:iCs/>
              </w:rPr>
              <w:t>et al</w:t>
            </w:r>
            <w:r>
              <w:t xml:space="preserve">., 2019). </w:t>
            </w:r>
          </w:p>
          <w:p w14:paraId="6D76F392" w14:textId="70DEC70C" w:rsidR="003A13F5" w:rsidRDefault="003A13F5" w:rsidP="004E40F4">
            <w:pPr>
              <w:pStyle w:val="COMTabletext"/>
              <w:keepLines/>
              <w:spacing w:after="60"/>
            </w:pPr>
            <w:r>
              <w:t>Cardiovascular event disutilities sourced from a published economic model (</w:t>
            </w:r>
            <w:proofErr w:type="spellStart"/>
            <w:r>
              <w:t>Michaeli</w:t>
            </w:r>
            <w:proofErr w:type="spellEnd"/>
            <w:r>
              <w:t xml:space="preserve"> </w:t>
            </w:r>
            <w:r w:rsidRPr="00A87F7D">
              <w:rPr>
                <w:i/>
                <w:iCs/>
              </w:rPr>
              <w:t>et al</w:t>
            </w:r>
            <w:r>
              <w:t xml:space="preserve">., 2022). </w:t>
            </w:r>
          </w:p>
          <w:p w14:paraId="6FCC32AA" w14:textId="31C26B18" w:rsidR="001F4081" w:rsidRPr="00E2771E" w:rsidRDefault="003A13F5" w:rsidP="004E40F4">
            <w:pPr>
              <w:pStyle w:val="COMTabletext"/>
              <w:keepLines/>
            </w:pPr>
            <w:r>
              <w:t>Adverse event disutilities sourced from a published economic model (</w:t>
            </w:r>
            <w:proofErr w:type="spellStart"/>
            <w:r>
              <w:t>Ademi</w:t>
            </w:r>
            <w:proofErr w:type="spellEnd"/>
            <w:r>
              <w:t xml:space="preserve"> </w:t>
            </w:r>
            <w:r w:rsidRPr="00A87F7D">
              <w:rPr>
                <w:i/>
                <w:iCs/>
              </w:rPr>
              <w:t>et al</w:t>
            </w:r>
            <w:r>
              <w:t>., 2021).</w:t>
            </w:r>
          </w:p>
        </w:tc>
      </w:tr>
      <w:tr w:rsidR="00501854" w:rsidRPr="00E2771E" w14:paraId="6093DA19" w14:textId="77777777" w:rsidTr="007C14AB">
        <w:tc>
          <w:tcPr>
            <w:tcW w:w="729" w:type="pct"/>
            <w:shd w:val="clear" w:color="auto" w:fill="auto"/>
            <w:vAlign w:val="center"/>
          </w:tcPr>
          <w:p w14:paraId="63E46A80" w14:textId="746B231D" w:rsidR="00DD0F78" w:rsidRPr="00E2771E" w:rsidRDefault="008700BD" w:rsidP="004E40F4">
            <w:pPr>
              <w:pStyle w:val="COMTabletext"/>
              <w:keepLines/>
            </w:pPr>
            <w:r>
              <w:t>Costs</w:t>
            </w:r>
            <w:r w:rsidR="00DD0F78">
              <w:t xml:space="preserve"> </w:t>
            </w:r>
          </w:p>
        </w:tc>
        <w:tc>
          <w:tcPr>
            <w:tcW w:w="4271" w:type="pct"/>
            <w:shd w:val="clear" w:color="auto" w:fill="auto"/>
            <w:vAlign w:val="center"/>
          </w:tcPr>
          <w:p w14:paraId="775C67E5" w14:textId="24A0FE52" w:rsidR="008700BD" w:rsidRDefault="008700BD" w:rsidP="004E40F4">
            <w:pPr>
              <w:pStyle w:val="COMTabletext"/>
              <w:keepLines/>
              <w:spacing w:after="60"/>
            </w:pPr>
            <w:r>
              <w:t>Drug costs: Icosapent ethyl drug cost based on the proposed DPMQ. Statin cost based on atorvastatin 20 mg DPMQ (Item 8214H).</w:t>
            </w:r>
          </w:p>
          <w:p w14:paraId="629EDC92" w14:textId="0F58CC9C" w:rsidR="008700BD" w:rsidRDefault="008700BD" w:rsidP="004E40F4">
            <w:pPr>
              <w:pStyle w:val="COMTabletext"/>
              <w:keepLines/>
            </w:pPr>
            <w:r>
              <w:t xml:space="preserve">Health state costs: ‘Event free’ health state cost assumed to be nil. </w:t>
            </w:r>
            <w:r w:rsidR="009034EA">
              <w:t xml:space="preserve">This was increased to $2,000 in the pre-PBAC response. </w:t>
            </w:r>
            <w:r>
              <w:t xml:space="preserve">‘Post MI’ and ‘post stroke’ health state costs sourced from a published economic model (Gao </w:t>
            </w:r>
            <w:r w:rsidRPr="00A87F7D">
              <w:rPr>
                <w:i/>
                <w:iCs/>
              </w:rPr>
              <w:t>et al</w:t>
            </w:r>
            <w:r>
              <w:t xml:space="preserve">., 2019). </w:t>
            </w:r>
          </w:p>
          <w:p w14:paraId="7BD93D06" w14:textId="03A23284" w:rsidR="008700BD" w:rsidRDefault="008700BD" w:rsidP="004E40F4">
            <w:pPr>
              <w:pStyle w:val="COMTabletext"/>
              <w:keepLines/>
              <w:spacing w:after="60"/>
            </w:pPr>
            <w:r>
              <w:t>‘Post MI and stroke’ cost assumed to be the same as for the ‘post stroke’ health state.</w:t>
            </w:r>
          </w:p>
          <w:p w14:paraId="4CD69EB8" w14:textId="723A662A" w:rsidR="00501854" w:rsidRPr="00E2771E" w:rsidRDefault="00B71A1B" w:rsidP="004E40F4">
            <w:pPr>
              <w:pStyle w:val="COMTabletext"/>
              <w:keepLines/>
            </w:pPr>
            <w:r>
              <w:t xml:space="preserve">Event costs: </w:t>
            </w:r>
            <w:r w:rsidR="00695636">
              <w:t>C</w:t>
            </w:r>
            <w:r w:rsidR="008700BD">
              <w:t>ardiovascular event and cardiovascular death costs based on the NHCDC Public Hospitals Report, 2019–20 (AR-DRG version 10).</w:t>
            </w:r>
            <w:r>
              <w:t xml:space="preserve"> </w:t>
            </w:r>
            <w:r w:rsidR="008700BD">
              <w:t>Non-cardiovascular death cost assumed to be nil.</w:t>
            </w:r>
            <w:r>
              <w:t xml:space="preserve"> </w:t>
            </w:r>
            <w:r w:rsidR="008700BD">
              <w:t>Adverse event costs based on the NHCDC Public Hospitals Report, 2019–20 (AR-DRG version 10).</w:t>
            </w:r>
          </w:p>
        </w:tc>
      </w:tr>
    </w:tbl>
    <w:p w14:paraId="30D45753" w14:textId="77777777" w:rsidR="00B71A1B" w:rsidRDefault="003270E4" w:rsidP="004E40F4">
      <w:pPr>
        <w:pStyle w:val="COMTablefooter"/>
        <w:keepNext/>
        <w:keepLines/>
      </w:pPr>
      <w:r>
        <w:t xml:space="preserve">Source: </w:t>
      </w:r>
      <w:r w:rsidR="00B71A1B" w:rsidRPr="00B71A1B">
        <w:t>Section 3, pp100-149 of the submission.</w:t>
      </w:r>
    </w:p>
    <w:p w14:paraId="7DCC4906" w14:textId="17E138B5" w:rsidR="000013F5" w:rsidRPr="004941EC" w:rsidRDefault="00B71A1B" w:rsidP="007C14AB">
      <w:pPr>
        <w:pStyle w:val="COMTablefooter"/>
      </w:pPr>
      <w:r>
        <w:t xml:space="preserve">Abbreviations: </w:t>
      </w:r>
      <w:r w:rsidR="001B2C93">
        <w:t xml:space="preserve">AR-DRG, Australia refined diagnosis-related group; DPMQ, dispensed price for maximum quantity; </w:t>
      </w:r>
      <w:r>
        <w:t>MI, myocardial infarction;</w:t>
      </w:r>
      <w:r w:rsidR="001B2C93">
        <w:t xml:space="preserve"> </w:t>
      </w:r>
      <w:r w:rsidR="001B2C93" w:rsidRPr="001B2C93">
        <w:t>NHCDC</w:t>
      </w:r>
      <w:r w:rsidR="001B2C93">
        <w:t>, National Hospital Cost Data Collection.</w:t>
      </w:r>
    </w:p>
    <w:p w14:paraId="614CA850" w14:textId="36445DC8" w:rsidR="00305619" w:rsidRPr="00E211D2" w:rsidRDefault="003E639E" w:rsidP="0091664F">
      <w:pPr>
        <w:widowControl w:val="0"/>
        <w:numPr>
          <w:ilvl w:val="1"/>
          <w:numId w:val="1"/>
        </w:numPr>
        <w:spacing w:after="120"/>
        <w:ind w:left="720" w:hanging="720"/>
      </w:pPr>
      <w:r>
        <w:t xml:space="preserve">In the model, all patients start in the </w:t>
      </w:r>
      <w:r w:rsidRPr="003E639E">
        <w:t>‘event free’ health state</w:t>
      </w:r>
      <w:r>
        <w:t xml:space="preserve"> and can subsequently </w:t>
      </w:r>
      <w:r w:rsidR="00F36EAC">
        <w:t xml:space="preserve">transition to the ‘post </w:t>
      </w:r>
      <w:r>
        <w:t>myocardial infarction</w:t>
      </w:r>
      <w:r w:rsidR="00F36EAC">
        <w:t>’</w:t>
      </w:r>
      <w:r>
        <w:t xml:space="preserve">, </w:t>
      </w:r>
      <w:r w:rsidR="00F36EAC">
        <w:t xml:space="preserve">‘post </w:t>
      </w:r>
      <w:r>
        <w:t>stroke</w:t>
      </w:r>
      <w:r w:rsidR="00F36EAC">
        <w:t>’, ‘post myocardial infarction and stroke’, and ‘</w:t>
      </w:r>
      <w:r>
        <w:t>death</w:t>
      </w:r>
      <w:r w:rsidR="00F36EAC">
        <w:t>’ health states</w:t>
      </w:r>
      <w:r>
        <w:t>.</w:t>
      </w:r>
      <w:r w:rsidR="00F36EAC">
        <w:t xml:space="preserve"> </w:t>
      </w:r>
      <w:r w:rsidRPr="00835F52">
        <w:t>It is unclear whether the model structure adequately captures the progressive nature of ASCVD</w:t>
      </w:r>
      <w:r w:rsidR="00F36EAC" w:rsidRPr="00835F52">
        <w:t>, given that</w:t>
      </w:r>
      <w:r w:rsidRPr="00835F52">
        <w:t xml:space="preserve"> patients in the ‘event free’ health state already have established cardiovascular disease and may have </w:t>
      </w:r>
      <w:r w:rsidRPr="00E211D2">
        <w:t>already experienced a myocardial infarction or stroke.</w:t>
      </w:r>
      <w:r w:rsidR="00F60C8D" w:rsidRPr="00E211D2">
        <w:t xml:space="preserve"> The ESC considered that the </w:t>
      </w:r>
      <w:r w:rsidR="00E973ED" w:rsidRPr="00E211D2">
        <w:t>structure of the model was appropriate</w:t>
      </w:r>
      <w:r w:rsidR="00957134" w:rsidRPr="00E211D2">
        <w:t>;</w:t>
      </w:r>
      <w:r w:rsidR="00E973ED" w:rsidRPr="00E211D2">
        <w:t xml:space="preserve"> however</w:t>
      </w:r>
      <w:r w:rsidR="00957134" w:rsidRPr="00E211D2">
        <w:t>,</w:t>
      </w:r>
      <w:r w:rsidR="00E973ED" w:rsidRPr="00E211D2">
        <w:t xml:space="preserve"> the </w:t>
      </w:r>
      <w:r w:rsidR="00F60C8D" w:rsidRPr="00E211D2">
        <w:t xml:space="preserve">‘event free’ health state should </w:t>
      </w:r>
      <w:r w:rsidR="00305619" w:rsidRPr="00E211D2">
        <w:t xml:space="preserve">reflect the costs </w:t>
      </w:r>
      <w:r w:rsidR="00E973ED" w:rsidRPr="00E211D2">
        <w:t xml:space="preserve">and utilities </w:t>
      </w:r>
      <w:r w:rsidR="00305619" w:rsidRPr="00E211D2">
        <w:t xml:space="preserve">of being </w:t>
      </w:r>
      <w:r w:rsidR="00F60C8D" w:rsidRPr="00E211D2">
        <w:t>alive with ASCVD</w:t>
      </w:r>
      <w:r w:rsidR="00F32028" w:rsidRPr="00E211D2">
        <w:t xml:space="preserve"> and managing established disease</w:t>
      </w:r>
      <w:r w:rsidR="00F60C8D" w:rsidRPr="00E211D2">
        <w:t>.</w:t>
      </w:r>
      <w:r w:rsidR="00305619" w:rsidRPr="00E211D2">
        <w:t xml:space="preserve"> </w:t>
      </w:r>
    </w:p>
    <w:p w14:paraId="051AE3F1" w14:textId="1A96038B" w:rsidR="00D83A0C" w:rsidRPr="00E211D2" w:rsidRDefault="00837D69" w:rsidP="0091664F">
      <w:pPr>
        <w:widowControl w:val="0"/>
        <w:numPr>
          <w:ilvl w:val="1"/>
          <w:numId w:val="1"/>
        </w:numPr>
        <w:spacing w:after="120"/>
        <w:ind w:left="720" w:hanging="720"/>
      </w:pPr>
      <w:r w:rsidRPr="00E211D2">
        <w:lastRenderedPageBreak/>
        <w:t xml:space="preserve">To align with the proposed PBS population with established ASCVD, the </w:t>
      </w:r>
      <w:r w:rsidR="00AB6151" w:rsidRPr="00E211D2">
        <w:t xml:space="preserve">model </w:t>
      </w:r>
      <w:r w:rsidRPr="00E211D2">
        <w:t xml:space="preserve">was based on the results </w:t>
      </w:r>
      <w:r w:rsidR="003E639E" w:rsidRPr="00E211D2">
        <w:t xml:space="preserve">for </w:t>
      </w:r>
      <w:r w:rsidRPr="00E211D2">
        <w:t xml:space="preserve">the secondary prevention population </w:t>
      </w:r>
      <w:r w:rsidR="003E639E" w:rsidRPr="00E211D2">
        <w:t>of</w:t>
      </w:r>
      <w:r w:rsidRPr="00E211D2">
        <w:t xml:space="preserve"> the REDUCE-IT trial. </w:t>
      </w:r>
      <w:r w:rsidR="003C6C2A" w:rsidRPr="00E211D2">
        <w:t xml:space="preserve">There may be differences between the clinical trial population and the proposed PBS population in underlying cardiovascular risk. Patients recruited for the trial were required to be on a stable dose of statin rather than the </w:t>
      </w:r>
      <w:r w:rsidR="00334D9D" w:rsidRPr="00E211D2">
        <w:t>maximum</w:t>
      </w:r>
      <w:r w:rsidR="003C6C2A" w:rsidRPr="00E211D2">
        <w:t xml:space="preserve"> tolerated dose, and were encouraged to remain on the dose </w:t>
      </w:r>
      <w:r w:rsidR="00AF6EFE" w:rsidRPr="00E211D2">
        <w:t xml:space="preserve">at enrolment </w:t>
      </w:r>
      <w:r w:rsidR="003C6C2A" w:rsidRPr="00E211D2">
        <w:t xml:space="preserve">during the trial. Use of PCSK9 inhibitors and fibrates was not permitted, and only a relatively small proportion of patients were receiving treatment with ezetimibe. </w:t>
      </w:r>
      <w:r w:rsidR="001518B9" w:rsidRPr="00E211D2">
        <w:t>An uncertain proportion</w:t>
      </w:r>
      <w:r w:rsidR="003C6C2A" w:rsidRPr="00E211D2">
        <w:t xml:space="preserve"> of the patients with LDL levels of 1.8 to 2.6 mmol/L would be eligible for PBS treatment with a PCSK9 inhibitor.</w:t>
      </w:r>
      <w:r w:rsidR="00F60C8D" w:rsidRPr="00E211D2">
        <w:t xml:space="preserve"> Further, the ESC noted that the proportion of male patients in the secondary prevention population of the REDUCE-IT trial was 78.4%, and therefore potentially not reflective of </w:t>
      </w:r>
      <w:r w:rsidR="00960DC2" w:rsidRPr="00E211D2">
        <w:t>the proposed PBS population</w:t>
      </w:r>
      <w:r w:rsidR="004E4414" w:rsidRPr="00E211D2">
        <w:t xml:space="preserve"> and the underlying cardiovascular risk</w:t>
      </w:r>
      <w:r w:rsidR="00F60C8D" w:rsidRPr="00E211D2">
        <w:t>.</w:t>
      </w:r>
      <w:r w:rsidR="00EB54E6">
        <w:t xml:space="preserve"> The pre-PBAC response stated that subgroup analyses demonstrated that sex was not an effect modifier.</w:t>
      </w:r>
    </w:p>
    <w:p w14:paraId="168BF996" w14:textId="123AB4E5" w:rsidR="00E03EE2" w:rsidRPr="00E211D2" w:rsidRDefault="000013F5" w:rsidP="0091664F">
      <w:pPr>
        <w:widowControl w:val="0"/>
        <w:numPr>
          <w:ilvl w:val="1"/>
          <w:numId w:val="1"/>
        </w:numPr>
        <w:spacing w:after="120"/>
        <w:ind w:left="720" w:hanging="720"/>
      </w:pPr>
      <w:r w:rsidRPr="00E211D2">
        <w:t>Patient level data for the secondary prevention population in the REDUCE-IT trial were used to estimate the probability of nonfatal myocardial infarction, nonfatal stroke, coronary revascularisation, hospitalisation for unstable angina and cardiovascular death.</w:t>
      </w:r>
      <w:r w:rsidR="00420A95" w:rsidRPr="00E211D2">
        <w:t xml:space="preserve"> </w:t>
      </w:r>
      <w:r w:rsidR="00E03EE2" w:rsidRPr="00E211D2">
        <w:rPr>
          <w:lang w:val="en-US"/>
        </w:rPr>
        <w:t xml:space="preserve">The submission </w:t>
      </w:r>
      <w:r w:rsidR="002B3D66" w:rsidRPr="00E211D2">
        <w:rPr>
          <w:lang w:val="en-US"/>
        </w:rPr>
        <w:t xml:space="preserve">model </w:t>
      </w:r>
      <w:r w:rsidR="00B82EF6" w:rsidRPr="00E211D2">
        <w:rPr>
          <w:lang w:val="en-US"/>
        </w:rPr>
        <w:t>allowed patients who experienced an event (i.e., a myocardial infarction or stroke) in a given 6-month cycle to remain at risk of a further event in subsequent cycles</w:t>
      </w:r>
      <w:r w:rsidR="00420A95" w:rsidRPr="00E211D2">
        <w:rPr>
          <w:lang w:val="en-US"/>
        </w:rPr>
        <w:t xml:space="preserve"> (</w:t>
      </w:r>
      <w:r w:rsidR="00B82EF6" w:rsidRPr="00E211D2">
        <w:rPr>
          <w:lang w:val="en-US"/>
        </w:rPr>
        <w:t xml:space="preserve">by </w:t>
      </w:r>
      <w:r w:rsidR="002955C3" w:rsidRPr="00E211D2">
        <w:rPr>
          <w:lang w:val="en-US"/>
        </w:rPr>
        <w:t>including</w:t>
      </w:r>
      <w:r w:rsidR="00B82EF6" w:rsidRPr="00E211D2">
        <w:rPr>
          <w:lang w:val="en-US"/>
        </w:rPr>
        <w:t xml:space="preserve"> patients who had already experienced an event in the calculation of cardiovascular events</w:t>
      </w:r>
      <w:r w:rsidR="002B0EC6" w:rsidRPr="00E211D2">
        <w:rPr>
          <w:lang w:val="en-US"/>
        </w:rPr>
        <w:t>/</w:t>
      </w:r>
      <w:r w:rsidR="00B82EF6" w:rsidRPr="00E211D2">
        <w:rPr>
          <w:lang w:val="en-US"/>
        </w:rPr>
        <w:t>transition probabilities in subsequent cycles</w:t>
      </w:r>
      <w:r w:rsidR="00420A95" w:rsidRPr="00E211D2">
        <w:rPr>
          <w:lang w:val="en-US"/>
        </w:rPr>
        <w:t>)</w:t>
      </w:r>
      <w:r w:rsidR="00B82EF6" w:rsidRPr="00E211D2">
        <w:rPr>
          <w:lang w:val="en-US"/>
        </w:rPr>
        <w:t xml:space="preserve">. </w:t>
      </w:r>
      <w:r w:rsidR="00E03EE2" w:rsidRPr="00E211D2">
        <w:rPr>
          <w:lang w:val="en-US"/>
        </w:rPr>
        <w:t>The submission argued that this ensured that the economic model captured all clinically relevant events that occurred over the trial period. However, this assumption</w:t>
      </w:r>
      <w:r w:rsidR="002B0EC6" w:rsidRPr="00E211D2">
        <w:rPr>
          <w:lang w:val="en-US"/>
        </w:rPr>
        <w:t xml:space="preserve"> resulted in</w:t>
      </w:r>
      <w:r w:rsidR="00E03EE2" w:rsidRPr="00E211D2">
        <w:rPr>
          <w:lang w:val="en-US"/>
        </w:rPr>
        <w:t xml:space="preserve"> patients who had experienced an event </w:t>
      </w:r>
      <w:r w:rsidR="002B0EC6" w:rsidRPr="00E211D2">
        <w:rPr>
          <w:lang w:val="en-US"/>
        </w:rPr>
        <w:t>being</w:t>
      </w:r>
      <w:r w:rsidR="00E03EE2" w:rsidRPr="00E211D2">
        <w:rPr>
          <w:lang w:val="en-US"/>
        </w:rPr>
        <w:t xml:space="preserve"> inappropriately included in the calculation of transitions in subsequent cycles (e.g., a patient who experienced a nonfatal myocardial infarction could be included in the calculation of </w:t>
      </w:r>
      <w:r w:rsidR="00E03EE2" w:rsidRPr="0091664F">
        <w:t xml:space="preserve">events for the ‘event free’ and ‘post stroke’ health states in subsequent cycles). In the absence of individual patient data to allow tracking of individual patients, it </w:t>
      </w:r>
      <w:r w:rsidR="00F4507A" w:rsidRPr="0091664F">
        <w:t>may</w:t>
      </w:r>
      <w:r w:rsidR="00E03EE2" w:rsidRPr="0091664F">
        <w:t xml:space="preserve"> be more appropriate to censor patients at the time of the first event</w:t>
      </w:r>
      <w:r w:rsidR="009A676D" w:rsidRPr="0091664F">
        <w:t>.</w:t>
      </w:r>
    </w:p>
    <w:p w14:paraId="1639AC13" w14:textId="172892FC" w:rsidR="0089156E" w:rsidRPr="00E211D2" w:rsidRDefault="00E03EE2" w:rsidP="0091664F">
      <w:pPr>
        <w:widowControl w:val="0"/>
        <w:numPr>
          <w:ilvl w:val="1"/>
          <w:numId w:val="1"/>
        </w:numPr>
        <w:spacing w:after="120"/>
        <w:ind w:left="720" w:hanging="720"/>
      </w:pPr>
      <w:r w:rsidRPr="0091664F">
        <w:t>In the model base case, patients who discontinued icosapent ethyl treatment were censored from the calculation of transition probabilities. The submission stated that this was to align with the way the probabilities are used in the economic model. However, transition probabilities in the standard of care arm were derived with no censoring of patients who had discontinued placebo treatment</w:t>
      </w:r>
      <w:r w:rsidRPr="00E211D2">
        <w:rPr>
          <w:lang w:val="en-US"/>
        </w:rPr>
        <w:t>. It may not be reasonable to adopt different approaches for the icosapent and standard of care arms, as there may be underlying reasons for treatment discontinuation that are associated with efficacy outcomes</w:t>
      </w:r>
      <w:r w:rsidR="009A676D" w:rsidRPr="00E211D2">
        <w:rPr>
          <w:lang w:val="en-US"/>
        </w:rPr>
        <w:t>.</w:t>
      </w:r>
      <w:r w:rsidR="00F60C8D" w:rsidRPr="00E211D2">
        <w:rPr>
          <w:lang w:val="en-US"/>
        </w:rPr>
        <w:t xml:space="preserve"> </w:t>
      </w:r>
      <w:r w:rsidR="00F60C8D" w:rsidRPr="00E211D2">
        <w:t xml:space="preserve">The PSCR stated that applying the ITT data in the standard of care arm was appropriate as there was no need to differentiate this arm of the model for the purpose of effectiveness or costing. However, applying the ITT data in the icosapent ethyl arm was inappropriate in the context of the on and off treatment health states included in the model (e.g. the ITT risk already reflect treatment persistence from the trial (~50% at 4 years) and therefore also applying treatment </w:t>
      </w:r>
      <w:r w:rsidR="00F60C8D" w:rsidRPr="00E211D2">
        <w:lastRenderedPageBreak/>
        <w:t>discontinuation risks an inappropriate double ‘diluting’ of the icosapent ethyl treatment effect). The ESC considered that it was not reasonable to adopt different approaches for the two arms, given that there may be underlying reasons for treatment discontinuation that are associated with efficacy outcomes. The ESC noted that the inclusion of censoring of discontinuing patients in both arms increased the ICER to $</w:t>
      </w:r>
      <w:r w:rsidR="00980A59">
        <w:t>55,000 to &lt; $75,000</w:t>
      </w:r>
      <w:r w:rsidR="00F60C8D" w:rsidRPr="00E211D2">
        <w:t xml:space="preserve"> per QALY</w:t>
      </w:r>
      <w:r w:rsidR="00623378" w:rsidRPr="00E211D2">
        <w:t>, whereas removing them from both arms increased the ICER to $</w:t>
      </w:r>
      <w:r w:rsidR="00980A59">
        <w:t>45,000 to &lt; $55,000</w:t>
      </w:r>
      <w:r w:rsidR="002C58C1" w:rsidRPr="00E211D2">
        <w:t xml:space="preserve"> </w:t>
      </w:r>
      <w:r w:rsidR="00957134" w:rsidRPr="00E211D2">
        <w:t xml:space="preserve">- </w:t>
      </w:r>
      <w:r w:rsidR="002C58C1" w:rsidRPr="00E211D2">
        <w:t xml:space="preserve">see </w:t>
      </w:r>
      <w:r w:rsidR="002C58C1" w:rsidRPr="00E211D2">
        <w:fldChar w:fldCharType="begin" w:fldLock="1"/>
      </w:r>
      <w:r w:rsidR="002C58C1" w:rsidRPr="00E211D2">
        <w:instrText xml:space="preserve"> REF _Ref104804865 \h  \* MERGEFORMAT </w:instrText>
      </w:r>
      <w:r w:rsidR="002C58C1" w:rsidRPr="00E211D2">
        <w:fldChar w:fldCharType="separate"/>
      </w:r>
      <w:r w:rsidR="003F1735">
        <w:t xml:space="preserve">Table </w:t>
      </w:r>
      <w:r w:rsidR="003F1735">
        <w:rPr>
          <w:noProof/>
        </w:rPr>
        <w:t>13</w:t>
      </w:r>
      <w:r w:rsidR="002C58C1" w:rsidRPr="00E211D2">
        <w:fldChar w:fldCharType="end"/>
      </w:r>
      <w:r w:rsidR="00F60C8D" w:rsidRPr="00E211D2">
        <w:t>.</w:t>
      </w:r>
      <w:r w:rsidR="002C58C1" w:rsidRPr="00E211D2">
        <w:t xml:space="preserve"> The ESC considered no censoring for discontinuation in either arm was more appropriate.</w:t>
      </w:r>
      <w:r w:rsidR="00EB54E6">
        <w:t xml:space="preserve"> The pre-PBAC response stated that </w:t>
      </w:r>
      <w:r w:rsidR="00497975" w:rsidRPr="00497975">
        <w:t xml:space="preserve">it </w:t>
      </w:r>
      <w:r w:rsidR="00914F29">
        <w:t>was</w:t>
      </w:r>
      <w:r w:rsidR="00497975" w:rsidRPr="00497975">
        <w:t xml:space="preserve"> not necessarily known which direction this bias will take (patients with lower CV risk overall may be more inclined to discontinue treatment for example which would mean this approach biase</w:t>
      </w:r>
      <w:r w:rsidR="00914F29">
        <w:t>d</w:t>
      </w:r>
      <w:r w:rsidR="00497975" w:rsidRPr="00497975">
        <w:t xml:space="preserve"> against </w:t>
      </w:r>
      <w:r w:rsidR="00497975">
        <w:t>icos</w:t>
      </w:r>
      <w:r w:rsidR="00914F29">
        <w:t>a</w:t>
      </w:r>
      <w:r w:rsidR="00497975">
        <w:t>pent ethyl</w:t>
      </w:r>
      <w:r w:rsidR="00497975" w:rsidRPr="00497975">
        <w:t>)</w:t>
      </w:r>
      <w:r w:rsidR="00914F29">
        <w:t>;</w:t>
      </w:r>
      <w:r w:rsidR="00497975" w:rsidRPr="00497975">
        <w:t xml:space="preserve"> </w:t>
      </w:r>
      <w:r w:rsidR="000235EF">
        <w:t>thus</w:t>
      </w:r>
      <w:r w:rsidR="00914F29">
        <w:t>,</w:t>
      </w:r>
      <w:r w:rsidR="00497975">
        <w:t xml:space="preserve"> </w:t>
      </w:r>
      <w:r w:rsidR="00EB54E6">
        <w:t xml:space="preserve">the ESC approach </w:t>
      </w:r>
      <w:r w:rsidR="000235EF">
        <w:t xml:space="preserve">was argued to </w:t>
      </w:r>
      <w:proofErr w:type="gramStart"/>
      <w:r w:rsidR="00EB54E6">
        <w:t>systematically and inappropriately overestimate the rate of events</w:t>
      </w:r>
      <w:proofErr w:type="gramEnd"/>
      <w:r w:rsidR="00EB54E6">
        <w:t xml:space="preserve"> in the icosapent ethyl arm of the model.</w:t>
      </w:r>
    </w:p>
    <w:p w14:paraId="6C2F0C7F" w14:textId="77777777" w:rsidR="00E16F4F" w:rsidRPr="00E211D2" w:rsidRDefault="0089156E" w:rsidP="0091664F">
      <w:pPr>
        <w:widowControl w:val="0"/>
        <w:numPr>
          <w:ilvl w:val="1"/>
          <w:numId w:val="1"/>
        </w:numPr>
        <w:spacing w:after="120"/>
        <w:ind w:left="720" w:hanging="720"/>
      </w:pPr>
      <w:r w:rsidRPr="00E211D2">
        <w:rPr>
          <w:lang w:val="en-US"/>
        </w:rPr>
        <w:t xml:space="preserve">The probability of experiencing a cardiovascular event or a </w:t>
      </w:r>
      <w:proofErr w:type="spellStart"/>
      <w:r w:rsidRPr="00E211D2">
        <w:rPr>
          <w:lang w:val="en-US"/>
        </w:rPr>
        <w:t>hospitalisation</w:t>
      </w:r>
      <w:proofErr w:type="spellEnd"/>
      <w:r w:rsidRPr="00E211D2">
        <w:rPr>
          <w:lang w:val="en-US"/>
        </w:rPr>
        <w:t xml:space="preserve"> for atrial fibrillation was adjusted to account for age-related change in risk. Data published by the AIHW on the prevalence of acute coronary events (2020), coronary heart disease deaths (2019), stroke deaths (2019), stroke events (2020), coronary heart disease </w:t>
      </w:r>
      <w:proofErr w:type="spellStart"/>
      <w:r w:rsidRPr="00E211D2">
        <w:rPr>
          <w:lang w:val="en-US"/>
        </w:rPr>
        <w:t>hospitalisation</w:t>
      </w:r>
      <w:proofErr w:type="spellEnd"/>
      <w:r w:rsidRPr="00E211D2">
        <w:rPr>
          <w:lang w:val="en-US"/>
        </w:rPr>
        <w:t xml:space="preserve"> rates (</w:t>
      </w:r>
      <w:r w:rsidRPr="0091664F">
        <w:t>2020-2021) and atrial fibrillation hospitalisation rates (2020-2021) were used to estimate the event risk relative to a trial period reference age of 68 years.</w:t>
      </w:r>
    </w:p>
    <w:p w14:paraId="51060473" w14:textId="77777777" w:rsidR="00CE022D" w:rsidRPr="00CE022D" w:rsidRDefault="00E16F4F" w:rsidP="0091664F">
      <w:pPr>
        <w:widowControl w:val="0"/>
        <w:numPr>
          <w:ilvl w:val="1"/>
          <w:numId w:val="1"/>
        </w:numPr>
        <w:spacing w:after="120"/>
        <w:ind w:left="720" w:hanging="720"/>
      </w:pPr>
      <w:bookmarkStart w:id="54" w:name="_Ref150936294"/>
      <w:r w:rsidRPr="0091664F">
        <w:t xml:space="preserve">The submission stated that to account for any uncertainty around the potential impact of mineral oil in the placebo arm of REDUCE-IT, the effects of a 3% reduction in relative benefit of icosapent ethyl versus placebo </w:t>
      </w:r>
      <w:r w:rsidR="00E83E51" w:rsidRPr="0091664F">
        <w:t>were</w:t>
      </w:r>
      <w:r w:rsidRPr="0091664F">
        <w:t xml:space="preserve"> included in the base case of the economic model. The 3% value was selected based on the results of </w:t>
      </w:r>
      <w:r w:rsidR="00E83E51" w:rsidRPr="0091664F">
        <w:t>a</w:t>
      </w:r>
      <w:r w:rsidRPr="0091664F">
        <w:t xml:space="preserve"> Cox proportional hazards model, which was conducted based on LDL cholesterol outcomes at 1 year. Longer term lipid results indicated that the higher LDL cholesterol level in the placebo arm </w:t>
      </w:r>
      <w:r w:rsidR="00E83E51" w:rsidRPr="0091664F">
        <w:t>was</w:t>
      </w:r>
      <w:r w:rsidRPr="0091664F">
        <w:t xml:space="preserve"> maintained</w:t>
      </w:r>
      <w:r w:rsidRPr="00E211D2">
        <w:rPr>
          <w:lang w:val="en-US"/>
        </w:rPr>
        <w:t xml:space="preserve"> in subsequent years. It is unclear whether an assumed 3% reduction in relative treatment benefit adequately addresses the uncertainty around the use of mineral oil as the placebo in the REDUCE-IT trial.</w:t>
      </w:r>
      <w:r w:rsidR="00F60C8D" w:rsidRPr="00E211D2">
        <w:rPr>
          <w:lang w:val="en-US"/>
        </w:rPr>
        <w:t xml:space="preserve"> </w:t>
      </w:r>
      <w:r w:rsidR="00960DC2" w:rsidRPr="00E211D2">
        <w:rPr>
          <w:rFonts w:eastAsia="Calibri Light" w:cstheme="minorHAnsi"/>
        </w:rPr>
        <w:t>The ESC noted the s</w:t>
      </w:r>
      <w:r w:rsidR="00960DC2" w:rsidRPr="00E211D2">
        <w:rPr>
          <w:rFonts w:eastAsia="Calibri" w:cstheme="minorHAnsi"/>
        </w:rPr>
        <w:t>t</w:t>
      </w:r>
      <w:r w:rsidR="00960DC2" w:rsidRPr="00E211D2">
        <w:rPr>
          <w:rFonts w:eastAsia="Calibri" w:cs="Calibri"/>
        </w:rPr>
        <w:t xml:space="preserve">udy by Doi et al. 2021 which found that the effect of mineral oil on LDL cholesterol, triglycerides, and </w:t>
      </w:r>
      <w:proofErr w:type="gramStart"/>
      <w:r w:rsidR="00960DC2" w:rsidRPr="00E211D2">
        <w:rPr>
          <w:rFonts w:eastAsia="Calibri" w:cs="Calibri"/>
        </w:rPr>
        <w:t>high</w:t>
      </w:r>
      <w:proofErr w:type="gramEnd"/>
      <w:r w:rsidR="00960DC2" w:rsidRPr="00E211D2">
        <w:rPr>
          <w:rFonts w:eastAsia="Calibri" w:cs="Calibri"/>
        </w:rPr>
        <w:t xml:space="preserve"> sensitive C-reactive protein would be expected to increase ASCVD risk by 7%. </w:t>
      </w:r>
      <w:r w:rsidR="00920FD5">
        <w:rPr>
          <w:rFonts w:eastAsia="Calibri" w:cs="Calibri"/>
        </w:rPr>
        <w:t xml:space="preserve">Doi et al, 2021 </w:t>
      </w:r>
      <w:r w:rsidR="00960DC2" w:rsidRPr="00E211D2">
        <w:rPr>
          <w:rFonts w:eastAsia="Calibri" w:cs="Calibri"/>
        </w:rPr>
        <w:t xml:space="preserve">also found that the expected between-group difference associated with the effects of icosapent ethyl on LDL cholesterol, triglycerides, and </w:t>
      </w:r>
      <w:proofErr w:type="gramStart"/>
      <w:r w:rsidR="00960DC2" w:rsidRPr="00E211D2">
        <w:rPr>
          <w:rFonts w:eastAsia="Calibri" w:cs="Calibri"/>
        </w:rPr>
        <w:t>high</w:t>
      </w:r>
      <w:proofErr w:type="gramEnd"/>
      <w:r w:rsidR="00960DC2" w:rsidRPr="00E211D2">
        <w:rPr>
          <w:rFonts w:eastAsia="Calibri" w:cs="Calibri"/>
        </w:rPr>
        <w:t xml:space="preserve"> sensitive C-reactive protein was 12%. </w:t>
      </w:r>
      <w:r w:rsidR="00A80A81" w:rsidRPr="00E211D2">
        <w:rPr>
          <w:rFonts w:eastAsia="Calibri" w:cs="Calibri"/>
        </w:rPr>
        <w:t>However, the ESC noted that there were some potential limitations with the Doi et al. 2021 study including (i) differences in the baseline population characteristics between the cohort mimicking the REDUCE-IT trial and the REDUCE-IT trial, (ii) differences in concomitant treatments used and (iii) differences in the treatment settings (i.e. REDUCE-IT: RCT versus Doi: clinical practice)</w:t>
      </w:r>
      <w:r w:rsidR="00960DC2" w:rsidRPr="00E211D2">
        <w:rPr>
          <w:rFonts w:eastAsia="Calibri" w:cs="Calibri"/>
        </w:rPr>
        <w:t xml:space="preserve">. </w:t>
      </w:r>
      <w:r w:rsidR="00A80A81" w:rsidRPr="00E211D2">
        <w:rPr>
          <w:rFonts w:eastAsia="Calibri" w:cs="Calibri"/>
        </w:rPr>
        <w:t xml:space="preserve">Further, the ESC noted that </w:t>
      </w:r>
      <w:r w:rsidR="00960DC2" w:rsidRPr="00E211D2">
        <w:rPr>
          <w:rFonts w:eastAsia="Calibri" w:cs="Calibri"/>
        </w:rPr>
        <w:t>other HTA bodies applied larger adjustment</w:t>
      </w:r>
      <w:r w:rsidR="00A80A81" w:rsidRPr="00E211D2">
        <w:rPr>
          <w:rFonts w:eastAsia="Calibri" w:cs="Calibri"/>
        </w:rPr>
        <w:t>s</w:t>
      </w:r>
      <w:r w:rsidR="00960DC2" w:rsidRPr="00E211D2">
        <w:rPr>
          <w:rFonts w:eastAsia="Calibri" w:cs="Calibri"/>
        </w:rPr>
        <w:t xml:space="preserve"> </w:t>
      </w:r>
      <w:r w:rsidR="00A80A81" w:rsidRPr="00E211D2">
        <w:rPr>
          <w:rFonts w:eastAsia="Calibri" w:cs="Calibri"/>
        </w:rPr>
        <w:t xml:space="preserve">for the negative effects of mineral oil </w:t>
      </w:r>
      <w:r w:rsidR="00960DC2" w:rsidRPr="00E211D2">
        <w:rPr>
          <w:rFonts w:eastAsia="Calibri" w:cs="Calibri"/>
        </w:rPr>
        <w:t xml:space="preserve">(European Public Assessment Report (EPAR) notes that the negative effect of mineral oil would not be more than </w:t>
      </w:r>
      <w:r w:rsidR="00960DC2" w:rsidRPr="00E211D2">
        <w:rPr>
          <w:rFonts w:eastAsia="Calibri" w:cs="Calibri"/>
        </w:rPr>
        <w:lastRenderedPageBreak/>
        <w:t>10%)</w:t>
      </w:r>
      <w:r w:rsidR="00A80A81" w:rsidRPr="00E211D2">
        <w:rPr>
          <w:rFonts w:eastAsia="Calibri" w:cs="Calibri"/>
        </w:rPr>
        <w:t>. Noting the limitation with Doi et al. 2021, the ESC considered that sensitivity analyses incorporating adjustments of 7% and 10% would be informative.</w:t>
      </w:r>
      <w:r w:rsidR="00EB54E6">
        <w:rPr>
          <w:rFonts w:eastAsia="Calibri" w:cs="Calibri"/>
        </w:rPr>
        <w:t xml:space="preserve"> </w:t>
      </w:r>
    </w:p>
    <w:p w14:paraId="05A504EA" w14:textId="5459C736" w:rsidR="00E16F4F" w:rsidRPr="004E40F4" w:rsidRDefault="00EB54E6" w:rsidP="00A472FA">
      <w:pPr>
        <w:widowControl w:val="0"/>
        <w:numPr>
          <w:ilvl w:val="1"/>
          <w:numId w:val="1"/>
        </w:numPr>
        <w:spacing w:after="120"/>
        <w:ind w:left="720" w:hanging="720"/>
      </w:pPr>
      <w:r w:rsidRPr="004E40F4">
        <w:rPr>
          <w:rFonts w:eastAsia="Calibri" w:cs="Calibri"/>
        </w:rPr>
        <w:t>The pre-PBAC response accepted an adjustment of 7% to account for uncertainties related to the impact of the use of mineral oil as the placebo.</w:t>
      </w:r>
      <w:bookmarkEnd w:id="54"/>
      <w:r w:rsidR="00DA08B1" w:rsidRPr="004E40F4">
        <w:rPr>
          <w:rFonts w:eastAsia="Calibri" w:cs="Calibri"/>
        </w:rPr>
        <w:t xml:space="preserve"> Although the pre-PBAC suggested this </w:t>
      </w:r>
      <w:r w:rsidR="00CE022D" w:rsidRPr="004E40F4">
        <w:rPr>
          <w:rFonts w:eastAsia="Calibri" w:cs="Calibri"/>
        </w:rPr>
        <w:t xml:space="preserve">adjustment </w:t>
      </w:r>
      <w:r w:rsidR="00DA08B1" w:rsidRPr="004E40F4">
        <w:rPr>
          <w:rFonts w:eastAsia="Calibri" w:cs="Calibri"/>
        </w:rPr>
        <w:t>was directly applied to the relative risk reduction</w:t>
      </w:r>
      <w:r w:rsidR="00CE022D" w:rsidRPr="004E40F4">
        <w:rPr>
          <w:rFonts w:eastAsia="Calibri" w:cs="Calibri"/>
        </w:rPr>
        <w:t xml:space="preserve"> in the trial</w:t>
      </w:r>
      <w:r w:rsidR="00DA08B1" w:rsidRPr="004E40F4">
        <w:rPr>
          <w:rFonts w:eastAsia="Calibri" w:cs="Calibri"/>
        </w:rPr>
        <w:t xml:space="preserve">, this is incorrect. </w:t>
      </w:r>
      <w:r w:rsidR="00E16F4F" w:rsidRPr="004E40F4">
        <w:t xml:space="preserve">The per cycle </w:t>
      </w:r>
      <w:r w:rsidR="00272AA0" w:rsidRPr="004E40F4">
        <w:t>probability</w:t>
      </w:r>
      <w:r w:rsidR="00E16F4F" w:rsidRPr="004E40F4">
        <w:t xml:space="preserve"> of each cardiovascular event in the standard of care arm of the model (nonfatal myocardial infarction, nonfatal stroke, </w:t>
      </w:r>
      <w:r w:rsidR="00272AA0" w:rsidRPr="004E40F4">
        <w:t>cardiovascular</w:t>
      </w:r>
      <w:r w:rsidR="00E16F4F" w:rsidRPr="004E40F4">
        <w:t xml:space="preserve"> death, hospitalisation for unstable angina, and coronary revascularisation) </w:t>
      </w:r>
      <w:r w:rsidR="00272AA0" w:rsidRPr="004E40F4">
        <w:t>was</w:t>
      </w:r>
      <w:r w:rsidR="00E16F4F" w:rsidRPr="004E40F4">
        <w:t xml:space="preserve"> multiplied by 0.97 </w:t>
      </w:r>
      <w:r w:rsidRPr="004E40F4">
        <w:t xml:space="preserve">(0.93 in the pre-PBAC response) </w:t>
      </w:r>
      <w:r w:rsidR="00E16F4F" w:rsidRPr="004E40F4">
        <w:t xml:space="preserve">to reflect the potential impact of mineral oil on cardiovascular outcomes. The adjustment was applied to the event probabilities for the placebo arm, which may not reflect a 3% </w:t>
      </w:r>
      <w:r w:rsidRPr="004E40F4">
        <w:t xml:space="preserve">(7%) </w:t>
      </w:r>
      <w:r w:rsidR="00E16F4F" w:rsidRPr="004E40F4">
        <w:t>difference in relative outcomes.</w:t>
      </w:r>
      <w:r w:rsidR="00CE022D" w:rsidRPr="004E40F4">
        <w:rPr>
          <w:rFonts w:eastAsia="Calibri" w:cs="Calibri"/>
        </w:rPr>
        <w:t xml:space="preserve"> It was noted that the 3% (7%) adjustment is applied equally to each of the individual outcomes. In the case a 5-point MACE outcome, each of the outcomes would have differing contributions to the endpoint depending on what occurs the earliest (i.e., with a greater contribution of non-fatal MI and coronary revascularisation).</w:t>
      </w:r>
    </w:p>
    <w:p w14:paraId="3AB6D068" w14:textId="4B6524DC" w:rsidR="00BF1A00" w:rsidRPr="00E211D2" w:rsidRDefault="00BF1A00" w:rsidP="0091664F">
      <w:pPr>
        <w:widowControl w:val="0"/>
        <w:numPr>
          <w:ilvl w:val="1"/>
          <w:numId w:val="1"/>
        </w:numPr>
        <w:spacing w:after="120"/>
        <w:ind w:left="720" w:hanging="720"/>
      </w:pPr>
      <w:r w:rsidRPr="00E211D2">
        <w:t>Health-related quality of life data was not collected in the REDUCE-IT trial. Health state utilities and disutilities in the model were sourced from published economic evaluations. The submission included a utility of 0.85 for the ‘event free’ state, 0.73 for the ‘post myocardial infarction’ state, 0.61 for the ‘post stroke’ state based on Gao et al. (2019), and assumed a utility of 0.61 (the lower of the ‘post stroke’ and ‘post myocardial infarction’ utilit</w:t>
      </w:r>
      <w:r w:rsidR="005D6560" w:rsidRPr="00E211D2">
        <w:t>ies</w:t>
      </w:r>
      <w:r w:rsidRPr="00E211D2">
        <w:t>) for the ‘post myocardial infarction and stroke’ health state. The assumed health state utility of 0.85 for patients in the event-free state may overestimate utility in this patient group, given the age of patients in the model, and given that all patients in the proposed PBS population have established ASCVD. No adjustment was applied to the utility over time to reflect higher levels of comorbidity associated with age/disease progression.</w:t>
      </w:r>
      <w:r w:rsidR="00960DC2" w:rsidRPr="00E211D2">
        <w:t xml:space="preserve"> The ESC noted that although the health state utilities were based on the Gao et al (2019) publication, Goa et al (2019) values were derived from utility values which were calculated using differ</w:t>
      </w:r>
      <w:r w:rsidR="00623378" w:rsidRPr="00E211D2">
        <w:t>ent mathematical</w:t>
      </w:r>
      <w:r w:rsidR="00960DC2" w:rsidRPr="00E211D2">
        <w:t xml:space="preserve"> metrics (EQ-5D and </w:t>
      </w:r>
      <w:proofErr w:type="spellStart"/>
      <w:r w:rsidR="00960DC2" w:rsidRPr="00E211D2">
        <w:t>AQoL</w:t>
      </w:r>
      <w:proofErr w:type="spellEnd"/>
      <w:r w:rsidR="00960DC2" w:rsidRPr="00E211D2">
        <w:t>) and from papers from 2012 (</w:t>
      </w:r>
      <w:proofErr w:type="spellStart"/>
      <w:r w:rsidR="00960DC2" w:rsidRPr="00E211D2">
        <w:t>Cobiac</w:t>
      </w:r>
      <w:proofErr w:type="spellEnd"/>
      <w:r w:rsidR="00960DC2" w:rsidRPr="00E211D2">
        <w:t xml:space="preserve"> et al), 2006 (</w:t>
      </w:r>
      <w:proofErr w:type="spellStart"/>
      <w:r w:rsidR="00960DC2" w:rsidRPr="00E211D2">
        <w:t>Hanmer</w:t>
      </w:r>
      <w:proofErr w:type="spellEnd"/>
      <w:r w:rsidR="00960DC2" w:rsidRPr="00E211D2">
        <w:t xml:space="preserve"> et al) and 1993 (</w:t>
      </w:r>
      <w:proofErr w:type="spellStart"/>
      <w:r w:rsidR="00960DC2" w:rsidRPr="00E211D2">
        <w:t>Fryback</w:t>
      </w:r>
      <w:proofErr w:type="spellEnd"/>
      <w:r w:rsidR="00960DC2" w:rsidRPr="00E211D2">
        <w:t xml:space="preserve"> et al). The ESC was concerned that the utility values applied in the model did not reflect current values</w:t>
      </w:r>
      <w:r w:rsidR="00941D8C" w:rsidRPr="00E211D2">
        <w:t xml:space="preserve"> and that the mix of EQ-5D and </w:t>
      </w:r>
      <w:proofErr w:type="spellStart"/>
      <w:r w:rsidR="00941D8C" w:rsidRPr="00E211D2">
        <w:t>AQoL</w:t>
      </w:r>
      <w:proofErr w:type="spellEnd"/>
      <w:r w:rsidR="00941D8C" w:rsidRPr="00E211D2">
        <w:t xml:space="preserve"> to derive utility values </w:t>
      </w:r>
      <w:r w:rsidR="0035201A" w:rsidRPr="00E211D2">
        <w:t>and utility decrements contributed to the uncertainty</w:t>
      </w:r>
      <w:r w:rsidR="00960DC2" w:rsidRPr="00E211D2">
        <w:t xml:space="preserve">. </w:t>
      </w:r>
    </w:p>
    <w:p w14:paraId="32DF1072" w14:textId="301AC306" w:rsidR="002B3117" w:rsidRPr="00E211D2" w:rsidRDefault="00BF1A00" w:rsidP="0091664F">
      <w:pPr>
        <w:widowControl w:val="0"/>
        <w:numPr>
          <w:ilvl w:val="1"/>
          <w:numId w:val="1"/>
        </w:numPr>
        <w:spacing w:after="120"/>
        <w:ind w:left="720" w:hanging="720"/>
      </w:pPr>
      <w:r w:rsidRPr="00E211D2">
        <w:t xml:space="preserve">Health state costs in the model were based on the costs included in a published economic analysis (Gao et al., 2019), and </w:t>
      </w:r>
      <w:r w:rsidRPr="00536424">
        <w:t>included $5,632</w:t>
      </w:r>
      <w:r w:rsidRPr="00E211D2">
        <w:t xml:space="preserve"> per 6-month cycle in the ‘post myocardial infarction’ health state, $3,972 in the ‘post stroke’ health state, and $5,632 in the ‘post myocardial infarction and stoke’ health state. The cost per cycle in the ‘event free’ health state was assumed to be nil. The </w:t>
      </w:r>
      <w:r w:rsidR="00960DC2" w:rsidRPr="00E211D2">
        <w:t xml:space="preserve">ESC considered that the </w:t>
      </w:r>
      <w:r w:rsidRPr="00E211D2">
        <w:t xml:space="preserve">assumption of no cost for patients in the event free state </w:t>
      </w:r>
      <w:r w:rsidR="00960DC2" w:rsidRPr="00E211D2">
        <w:t xml:space="preserve">was </w:t>
      </w:r>
      <w:r w:rsidRPr="00E211D2">
        <w:t xml:space="preserve">not reasonable, </w:t>
      </w:r>
      <w:r w:rsidR="00627421" w:rsidRPr="00E211D2">
        <w:t>given that patients in the modelled population have established ASCVD and may have previously experienced a myocardial infarction or stroke.</w:t>
      </w:r>
      <w:r w:rsidR="00960DC2" w:rsidRPr="00E211D2">
        <w:t xml:space="preserve"> The ESC considered that the costs of managing established disease </w:t>
      </w:r>
      <w:r w:rsidR="00ED75D5" w:rsidRPr="00E211D2">
        <w:t>should have been included</w:t>
      </w:r>
      <w:r w:rsidR="001518B9" w:rsidRPr="00E211D2">
        <w:t xml:space="preserve"> and noted that </w:t>
      </w:r>
      <w:proofErr w:type="spellStart"/>
      <w:r w:rsidR="001518B9" w:rsidRPr="00E211D2">
        <w:lastRenderedPageBreak/>
        <w:t>Ademi</w:t>
      </w:r>
      <w:proofErr w:type="spellEnd"/>
      <w:r w:rsidR="001518B9" w:rsidRPr="00E211D2">
        <w:t xml:space="preserve"> et al, 2020</w:t>
      </w:r>
      <w:r w:rsidR="001518B9" w:rsidRPr="00E211D2">
        <w:rPr>
          <w:rStyle w:val="FootnoteReference"/>
        </w:rPr>
        <w:footnoteReference w:id="4"/>
      </w:r>
      <w:r w:rsidR="001518B9" w:rsidRPr="00E211D2">
        <w:t xml:space="preserve"> applied a cost of $5,229 for patients with who were ‘alive with CVD’</w:t>
      </w:r>
      <w:r w:rsidR="00960DC2" w:rsidRPr="00E211D2">
        <w:t xml:space="preserve">. </w:t>
      </w:r>
      <w:r w:rsidR="00A80A81" w:rsidRPr="00E211D2">
        <w:rPr>
          <w:rFonts w:eastAsiaTheme="minorEastAsia" w:cstheme="minorBidi"/>
        </w:rPr>
        <w:t xml:space="preserve">The costs in the downstream health states (i.e. ‘post MI’, ‘post stroke’ and ‘post MI and stroke’) </w:t>
      </w:r>
      <w:r w:rsidR="00ED75D5" w:rsidRPr="00E211D2">
        <w:rPr>
          <w:rFonts w:eastAsiaTheme="minorEastAsia" w:cstheme="minorBidi"/>
        </w:rPr>
        <w:t xml:space="preserve">may </w:t>
      </w:r>
      <w:r w:rsidR="00A80A81" w:rsidRPr="00E211D2">
        <w:rPr>
          <w:rFonts w:eastAsiaTheme="minorEastAsia" w:cstheme="minorBidi"/>
        </w:rPr>
        <w:t xml:space="preserve">also </w:t>
      </w:r>
      <w:r w:rsidR="00ED75D5" w:rsidRPr="00E211D2">
        <w:rPr>
          <w:rFonts w:eastAsiaTheme="minorEastAsia" w:cstheme="minorBidi"/>
        </w:rPr>
        <w:t>require adjustment</w:t>
      </w:r>
      <w:r w:rsidR="00A80A81" w:rsidRPr="00E211D2">
        <w:rPr>
          <w:rFonts w:eastAsiaTheme="minorEastAsia" w:cstheme="minorBidi"/>
        </w:rPr>
        <w:t xml:space="preserve"> to reflect the increasing disease burden</w:t>
      </w:r>
      <w:r w:rsidR="002B3117" w:rsidRPr="00E211D2">
        <w:rPr>
          <w:rFonts w:eastAsiaTheme="minorEastAsia" w:cstheme="minorBidi"/>
        </w:rPr>
        <w:t>.</w:t>
      </w:r>
      <w:r w:rsidR="00EB54E6">
        <w:rPr>
          <w:rFonts w:eastAsiaTheme="minorEastAsia" w:cstheme="minorBidi"/>
        </w:rPr>
        <w:t xml:space="preserve"> The pre-PBAC response provided a revised base case in which a cost of $2,000 was applied in the ‘event-free’ health state.</w:t>
      </w:r>
    </w:p>
    <w:p w14:paraId="738F92DF" w14:textId="7E74681F" w:rsidR="002B3117" w:rsidRPr="00E211D2" w:rsidRDefault="009F703B" w:rsidP="0091664F">
      <w:pPr>
        <w:widowControl w:val="0"/>
        <w:numPr>
          <w:ilvl w:val="1"/>
          <w:numId w:val="1"/>
        </w:numPr>
        <w:spacing w:after="120"/>
        <w:ind w:left="720" w:hanging="720"/>
      </w:pPr>
      <w:r w:rsidRPr="00E211D2">
        <w:fldChar w:fldCharType="begin" w:fldLock="1"/>
      </w:r>
      <w:r w:rsidRPr="00E211D2">
        <w:instrText xml:space="preserve"> REF _Ref144678790 \h </w:instrText>
      </w:r>
      <w:r w:rsidR="00E211D2" w:rsidRPr="00E211D2">
        <w:instrText xml:space="preserve"> \* MERGEFORMAT </w:instrText>
      </w:r>
      <w:r w:rsidRPr="00E211D2">
        <w:fldChar w:fldCharType="separate"/>
      </w:r>
      <w:r w:rsidR="003F1735">
        <w:t xml:space="preserve">Figure </w:t>
      </w:r>
      <w:r w:rsidR="003F1735">
        <w:rPr>
          <w:noProof/>
        </w:rPr>
        <w:t>1</w:t>
      </w:r>
      <w:r w:rsidRPr="00E211D2">
        <w:fldChar w:fldCharType="end"/>
      </w:r>
      <w:r w:rsidR="00DF4AF3" w:rsidRPr="00E211D2">
        <w:t xml:space="preserve"> presents the proportion of patients experiencing cardiovascular events over time.</w:t>
      </w:r>
      <w:r w:rsidR="00992434" w:rsidRPr="00E211D2">
        <w:t xml:space="preserve"> </w:t>
      </w:r>
    </w:p>
    <w:p w14:paraId="7F6D24E9" w14:textId="11543E8C" w:rsidR="00DF4AF3" w:rsidRPr="009469BD" w:rsidRDefault="009469BD" w:rsidP="00DF4AF3">
      <w:pPr>
        <w:pStyle w:val="COMtablefigcaption"/>
      </w:pPr>
      <w:bookmarkStart w:id="55" w:name="_Ref144678790"/>
      <w:r>
        <w:t xml:space="preserve">Figure </w:t>
      </w:r>
      <w:fldSimple w:instr=" SEQ Figure \* ARABIC " w:fldLock="1">
        <w:r w:rsidR="003F1735">
          <w:rPr>
            <w:noProof/>
          </w:rPr>
          <w:t>1</w:t>
        </w:r>
      </w:fldSimple>
      <w:bookmarkEnd w:id="55"/>
      <w:r w:rsidR="00DF4AF3">
        <w:rPr>
          <w:lang w:val="en-US"/>
        </w:rPr>
        <w:t>: P</w:t>
      </w:r>
      <w:r w:rsidR="00DF4AF3" w:rsidRPr="007E562A">
        <w:rPr>
          <w:lang w:val="en-US"/>
        </w:rPr>
        <w:t>roportion of patients experiencing cardiovascular events over time</w:t>
      </w:r>
      <w:r w:rsidR="00DF4AF3">
        <w:rPr>
          <w:lang w:val="en-US"/>
        </w:rPr>
        <w:t xml:space="preserve"> in the economic model</w:t>
      </w:r>
    </w:p>
    <w:p w14:paraId="192DED9E" w14:textId="77777777" w:rsidR="00DF4AF3" w:rsidRDefault="00DF4AF3" w:rsidP="00DF4AF3">
      <w:pPr>
        <w:rPr>
          <w:color w:val="3366FF"/>
          <w:lang w:val="en-US"/>
        </w:rPr>
      </w:pPr>
      <w:r>
        <w:rPr>
          <w:noProof/>
          <w:color w:val="3366FF"/>
          <w:lang w:val="en-US"/>
        </w:rPr>
        <w:drawing>
          <wp:inline distT="0" distB="0" distL="0" distR="0" wp14:anchorId="5ED57E31" wp14:editId="68D0472F">
            <wp:extent cx="5705475" cy="3655853"/>
            <wp:effectExtent l="0" t="0" r="0" b="1905"/>
            <wp:docPr id="14" name="Picture 14" descr="Figure 1: Proportion of patients experiencing cardiovascular events over time in the economic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Figure 1: Proportion of patients experiencing cardiovascular events over time in the economic mod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0825" cy="3659281"/>
                    </a:xfrm>
                    <a:prstGeom prst="rect">
                      <a:avLst/>
                    </a:prstGeom>
                    <a:noFill/>
                  </pic:spPr>
                </pic:pic>
              </a:graphicData>
            </a:graphic>
          </wp:inline>
        </w:drawing>
      </w:r>
    </w:p>
    <w:p w14:paraId="12017A54" w14:textId="77777777" w:rsidR="00DF4AF3" w:rsidRDefault="00DF4AF3" w:rsidP="00DF4AF3">
      <w:pPr>
        <w:pStyle w:val="COMTablefooter"/>
        <w:rPr>
          <w:lang w:val="en-US"/>
        </w:rPr>
      </w:pPr>
      <w:r>
        <w:rPr>
          <w:lang w:val="en-US"/>
        </w:rPr>
        <w:t>Source: Constructed using the Section 3 economic model Excel workbook.</w:t>
      </w:r>
    </w:p>
    <w:p w14:paraId="6484CB9B" w14:textId="18BBACF3" w:rsidR="0076199C" w:rsidRPr="004E40F4" w:rsidRDefault="00DF4AF3" w:rsidP="004E40F4">
      <w:pPr>
        <w:pStyle w:val="COMTablefooter"/>
        <w:rPr>
          <w:lang w:val="en-US"/>
        </w:rPr>
      </w:pPr>
      <w:r>
        <w:rPr>
          <w:lang w:val="en-US"/>
        </w:rPr>
        <w:t>Abbreviations: IPE, icosapent ethyl; MI, myocardial infarction; SOC, standard of care.</w:t>
      </w:r>
    </w:p>
    <w:p w14:paraId="378E7EDF" w14:textId="282D4441" w:rsidR="002B3117" w:rsidRDefault="002B3117" w:rsidP="005376AF">
      <w:pPr>
        <w:widowControl w:val="0"/>
        <w:numPr>
          <w:ilvl w:val="1"/>
          <w:numId w:val="1"/>
        </w:numPr>
        <w:spacing w:after="120"/>
        <w:ind w:left="720" w:hanging="720"/>
      </w:pPr>
      <w:r>
        <w:fldChar w:fldCharType="begin" w:fldLock="1"/>
      </w:r>
      <w:r>
        <w:instrText xml:space="preserve"> REF _Ref144678807 \h </w:instrText>
      </w:r>
      <w:r>
        <w:fldChar w:fldCharType="separate"/>
      </w:r>
      <w:r w:rsidR="003F1735">
        <w:t xml:space="preserve">Figure </w:t>
      </w:r>
      <w:r w:rsidR="003F1735">
        <w:rPr>
          <w:noProof/>
        </w:rPr>
        <w:t>2</w:t>
      </w:r>
      <w:r>
        <w:fldChar w:fldCharType="end"/>
      </w:r>
      <w:r>
        <w:t xml:space="preserve"> presents a </w:t>
      </w:r>
      <w:r w:rsidRPr="00747252">
        <w:t>Markov trace of the proportion of patients in each health state over time</w:t>
      </w:r>
      <w:r>
        <w:t>.</w:t>
      </w:r>
    </w:p>
    <w:p w14:paraId="5583D698" w14:textId="1A817677" w:rsidR="0076199C" w:rsidRPr="00747252" w:rsidRDefault="009469BD" w:rsidP="0076199C">
      <w:pPr>
        <w:pStyle w:val="TableHeading"/>
      </w:pPr>
      <w:bookmarkStart w:id="56" w:name="_Ref144678807"/>
      <w:r>
        <w:lastRenderedPageBreak/>
        <w:t xml:space="preserve">Figure </w:t>
      </w:r>
      <w:fldSimple w:instr=" SEQ Figure \* ARABIC " w:fldLock="1">
        <w:r w:rsidR="003F1735">
          <w:rPr>
            <w:noProof/>
          </w:rPr>
          <w:t>2</w:t>
        </w:r>
      </w:fldSimple>
      <w:bookmarkEnd w:id="56"/>
      <w:r>
        <w:rPr>
          <w:lang w:val="en-US"/>
        </w:rPr>
        <w:t>:</w:t>
      </w:r>
      <w:r w:rsidR="0076199C" w:rsidRPr="00747252">
        <w:t xml:space="preserve"> Proportion of patients in each health state over time</w:t>
      </w:r>
    </w:p>
    <w:p w14:paraId="3DCC6487" w14:textId="77777777" w:rsidR="0076199C" w:rsidRDefault="0076199C" w:rsidP="0076199C">
      <w:pPr>
        <w:pStyle w:val="COMTablefooter"/>
        <w:rPr>
          <w:lang w:val="en-US"/>
        </w:rPr>
      </w:pPr>
      <w:r>
        <w:rPr>
          <w:noProof/>
          <w:lang w:val="en-US"/>
        </w:rPr>
        <w:drawing>
          <wp:inline distT="0" distB="0" distL="0" distR="0" wp14:anchorId="03AA5CE2" wp14:editId="37D35BE8">
            <wp:extent cx="5719482" cy="3580035"/>
            <wp:effectExtent l="0" t="0" r="0" b="0"/>
            <wp:docPr id="16" name="Picture 16" descr="Figure 2: Proportion of patients in each health state over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igure 2: Proportion of patients in each health state over ti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9780" cy="3599000"/>
                    </a:xfrm>
                    <a:prstGeom prst="rect">
                      <a:avLst/>
                    </a:prstGeom>
                    <a:noFill/>
                  </pic:spPr>
                </pic:pic>
              </a:graphicData>
            </a:graphic>
          </wp:inline>
        </w:drawing>
      </w:r>
    </w:p>
    <w:p w14:paraId="65396AAE" w14:textId="77777777" w:rsidR="0076199C" w:rsidRDefault="0076199C" w:rsidP="0076199C">
      <w:pPr>
        <w:pStyle w:val="COMTablefooter"/>
        <w:rPr>
          <w:lang w:val="en-US"/>
        </w:rPr>
      </w:pPr>
      <w:r>
        <w:rPr>
          <w:lang w:val="en-US"/>
        </w:rPr>
        <w:t>Source: Constructed using the Section 3 economic model Excel workbook.</w:t>
      </w:r>
    </w:p>
    <w:p w14:paraId="66BE74AB" w14:textId="77777777" w:rsidR="0076199C" w:rsidRDefault="0076199C" w:rsidP="0076199C">
      <w:pPr>
        <w:pStyle w:val="COMTablefooter"/>
        <w:rPr>
          <w:lang w:val="en-US"/>
        </w:rPr>
      </w:pPr>
      <w:r>
        <w:rPr>
          <w:lang w:val="en-US"/>
        </w:rPr>
        <w:t>Abbreviations: IPE, icosapent ethyl; MI, myocardial infarction; SOC, standard of care.</w:t>
      </w:r>
    </w:p>
    <w:p w14:paraId="4F00B11A" w14:textId="7E555B7C" w:rsidR="00D22300" w:rsidRDefault="00D22300" w:rsidP="0091664F">
      <w:pPr>
        <w:widowControl w:val="0"/>
        <w:numPr>
          <w:ilvl w:val="1"/>
          <w:numId w:val="1"/>
        </w:numPr>
        <w:spacing w:after="120"/>
        <w:ind w:left="720" w:hanging="720"/>
      </w:pPr>
      <w:r w:rsidRPr="00D22300">
        <w:t xml:space="preserve">Patients in the icosapent ethyl plus standard of care arm spent a higher proportion of time in the event free health state compared to </w:t>
      </w:r>
      <w:r w:rsidR="00390199">
        <w:t xml:space="preserve">patients in </w:t>
      </w:r>
      <w:r w:rsidRPr="00D22300">
        <w:t xml:space="preserve">the placebo plus standard of care arm. </w:t>
      </w:r>
    </w:p>
    <w:p w14:paraId="4523D2F2" w14:textId="48E9732E" w:rsidR="00AB2495" w:rsidRPr="00835F52" w:rsidRDefault="00D22300" w:rsidP="0091664F">
      <w:pPr>
        <w:widowControl w:val="0"/>
        <w:numPr>
          <w:ilvl w:val="1"/>
          <w:numId w:val="1"/>
        </w:numPr>
        <w:spacing w:after="120"/>
        <w:ind w:left="720" w:hanging="720"/>
      </w:pPr>
      <w:r w:rsidRPr="00D22300">
        <w:t>The proportion</w:t>
      </w:r>
      <w:r w:rsidR="003049EE">
        <w:t>s</w:t>
      </w:r>
      <w:r w:rsidRPr="00D22300">
        <w:t xml:space="preserve"> of patients remaining alive at 5, 10, 15, 20 and 25 years </w:t>
      </w:r>
      <w:r w:rsidR="003049EE">
        <w:t>were</w:t>
      </w:r>
      <w:r w:rsidRPr="00D22300">
        <w:t xml:space="preserve"> 92.6%, 81.4%, 63.7%, 41.3% and 16.2%, respectively, in the icosapent ethyl plus standard </w:t>
      </w:r>
      <w:r w:rsidR="00272AA0">
        <w:t xml:space="preserve">of </w:t>
      </w:r>
      <w:r w:rsidRPr="00D22300">
        <w:t xml:space="preserve">care arm; and 90.1%, 78.6%, 61.6%, 39.9%, 15.6%, respectively in the placebo plus standard </w:t>
      </w:r>
      <w:r w:rsidR="00272AA0">
        <w:t xml:space="preserve">of </w:t>
      </w:r>
      <w:r w:rsidRPr="00D22300">
        <w:t xml:space="preserve">care arm. </w:t>
      </w:r>
      <w:r w:rsidRPr="00835F52">
        <w:t>The difference in the proportions of patients who had died at 4.5/5 years (2.3%/2.4%) was larger than the difference in total (all-cause) mortality reported for the secondary prevention cohort of the REDUCE-IT trial (1.1%), suggesting that the modelled results were not adequately calibrated to the trial results (not</w:t>
      </w:r>
      <w:r w:rsidR="003049EE" w:rsidRPr="00835F52">
        <w:t>ing</w:t>
      </w:r>
      <w:r w:rsidRPr="00835F52">
        <w:t xml:space="preserve"> that this</w:t>
      </w:r>
      <w:r w:rsidR="003049EE" w:rsidRPr="00835F52">
        <w:t xml:space="preserve"> comparison</w:t>
      </w:r>
      <w:r w:rsidRPr="00835F52">
        <w:t xml:space="preserve"> also included the 3% mineral oil adjustment for placebo arm event rates).</w:t>
      </w:r>
    </w:p>
    <w:p w14:paraId="37B4237B" w14:textId="662C554A" w:rsidR="00275C5A" w:rsidRPr="008A7B1A" w:rsidRDefault="008A7B1A" w:rsidP="0091664F">
      <w:pPr>
        <w:widowControl w:val="0"/>
        <w:numPr>
          <w:ilvl w:val="1"/>
          <w:numId w:val="1"/>
        </w:numPr>
        <w:spacing w:after="120"/>
        <w:ind w:left="720" w:hanging="720"/>
      </w:pPr>
      <w:r w:rsidRPr="008A7B1A">
        <w:t xml:space="preserve">Key drivers of the economic model are summarised in </w:t>
      </w:r>
      <w:r w:rsidR="009F703B">
        <w:fldChar w:fldCharType="begin" w:fldLock="1"/>
      </w:r>
      <w:r w:rsidR="009F703B">
        <w:instrText xml:space="preserve"> REF _Ref104805122 \h </w:instrText>
      </w:r>
      <w:r w:rsidR="009F703B">
        <w:fldChar w:fldCharType="separate"/>
      </w:r>
      <w:r w:rsidR="003F1735">
        <w:t xml:space="preserve">Table </w:t>
      </w:r>
      <w:r w:rsidR="003F1735">
        <w:rPr>
          <w:noProof/>
        </w:rPr>
        <w:t>11</w:t>
      </w:r>
      <w:r w:rsidR="009F703B">
        <w:fldChar w:fldCharType="end"/>
      </w:r>
      <w:r w:rsidRPr="008A7B1A">
        <w:t>.</w:t>
      </w:r>
    </w:p>
    <w:p w14:paraId="774D46B7" w14:textId="648D475F" w:rsidR="00D110BD" w:rsidRPr="00FD4ED6" w:rsidRDefault="00E16AD8" w:rsidP="00FD4ED6">
      <w:pPr>
        <w:pStyle w:val="COMtablefigcaption"/>
      </w:pPr>
      <w:bookmarkStart w:id="57" w:name="_Ref104805122"/>
      <w:r>
        <w:lastRenderedPageBreak/>
        <w:t xml:space="preserve">Table </w:t>
      </w:r>
      <w:fldSimple w:instr=" SEQ Table \* ARABIC " w:fldLock="1">
        <w:r w:rsidR="003F1735">
          <w:rPr>
            <w:noProof/>
          </w:rPr>
          <w:t>11</w:t>
        </w:r>
      </w:fldSimple>
      <w:bookmarkEnd w:id="57"/>
      <w:r>
        <w:t>:</w:t>
      </w:r>
      <w:r w:rsidR="00D110BD" w:rsidRPr="00FD4ED6">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1: Key drivers of the model"/>
        <w:tblDescription w:val="Table 11: Key drivers of the model"/>
      </w:tblPr>
      <w:tblGrid>
        <w:gridCol w:w="1272"/>
        <w:gridCol w:w="6095"/>
        <w:gridCol w:w="1650"/>
      </w:tblGrid>
      <w:tr w:rsidR="00537182" w:rsidRPr="00835F52" w14:paraId="4DD8026E" w14:textId="77777777" w:rsidTr="00F85AD3">
        <w:trPr>
          <w:tblHeader/>
        </w:trPr>
        <w:tc>
          <w:tcPr>
            <w:tcW w:w="705" w:type="pct"/>
            <w:shd w:val="clear" w:color="auto" w:fill="auto"/>
            <w:vAlign w:val="center"/>
          </w:tcPr>
          <w:p w14:paraId="6A9EC2DA" w14:textId="77777777" w:rsidR="00D110BD" w:rsidRPr="00835F52" w:rsidRDefault="00D110BD" w:rsidP="00BB00B3">
            <w:pPr>
              <w:pStyle w:val="COMTableheadingrow"/>
              <w:jc w:val="center"/>
            </w:pPr>
            <w:r w:rsidRPr="00835F52">
              <w:t>Description</w:t>
            </w:r>
          </w:p>
        </w:tc>
        <w:tc>
          <w:tcPr>
            <w:tcW w:w="3379" w:type="pct"/>
            <w:shd w:val="clear" w:color="auto" w:fill="auto"/>
            <w:vAlign w:val="center"/>
          </w:tcPr>
          <w:p w14:paraId="67A62672" w14:textId="77777777" w:rsidR="00D110BD" w:rsidRPr="00835F52" w:rsidRDefault="00D110BD" w:rsidP="000A7453">
            <w:pPr>
              <w:pStyle w:val="COMTableheadingrow"/>
              <w:jc w:val="center"/>
            </w:pPr>
            <w:r w:rsidRPr="00835F52">
              <w:t>Method/Value</w:t>
            </w:r>
          </w:p>
        </w:tc>
        <w:tc>
          <w:tcPr>
            <w:tcW w:w="915" w:type="pct"/>
            <w:shd w:val="clear" w:color="auto" w:fill="auto"/>
            <w:vAlign w:val="center"/>
          </w:tcPr>
          <w:p w14:paraId="6C1DC9EA" w14:textId="760A191C" w:rsidR="00490B17" w:rsidRPr="00835F52" w:rsidRDefault="00D110BD" w:rsidP="008A7B1A">
            <w:pPr>
              <w:pStyle w:val="COMTableheadingrow"/>
              <w:jc w:val="center"/>
            </w:pPr>
            <w:r w:rsidRPr="00835F52">
              <w:t>Impact</w:t>
            </w:r>
          </w:p>
        </w:tc>
      </w:tr>
      <w:tr w:rsidR="00442A74" w:rsidRPr="00835F52" w14:paraId="22489880" w14:textId="77777777" w:rsidTr="00F85AD3">
        <w:tc>
          <w:tcPr>
            <w:tcW w:w="705" w:type="pct"/>
            <w:shd w:val="clear" w:color="auto" w:fill="auto"/>
            <w:vAlign w:val="center"/>
          </w:tcPr>
          <w:p w14:paraId="4F8F50C2" w14:textId="77777777" w:rsidR="00442A74" w:rsidRPr="00835F52" w:rsidRDefault="00442A74" w:rsidP="00442A74">
            <w:pPr>
              <w:pStyle w:val="COMTabletext"/>
              <w:rPr>
                <w:lang w:val="en-US"/>
              </w:rPr>
            </w:pPr>
            <w:r w:rsidRPr="00835F52">
              <w:rPr>
                <w:lang w:val="en-US"/>
              </w:rPr>
              <w:t>Cardiovascular event rates/</w:t>
            </w:r>
          </w:p>
          <w:p w14:paraId="58D273E9" w14:textId="4819FE0A" w:rsidR="00442A74" w:rsidRPr="00835F52" w:rsidRDefault="00442A74" w:rsidP="00442A74">
            <w:pPr>
              <w:pStyle w:val="COMTabletext"/>
              <w:rPr>
                <w:lang w:val="en-US"/>
              </w:rPr>
            </w:pPr>
            <w:r w:rsidRPr="00835F52">
              <w:rPr>
                <w:lang w:val="en-US"/>
              </w:rPr>
              <w:t>transition probabilities</w:t>
            </w:r>
          </w:p>
        </w:tc>
        <w:tc>
          <w:tcPr>
            <w:tcW w:w="3379" w:type="pct"/>
            <w:shd w:val="clear" w:color="auto" w:fill="auto"/>
            <w:vAlign w:val="center"/>
          </w:tcPr>
          <w:p w14:paraId="1CB5A4A9" w14:textId="06ACBCF6" w:rsidR="00442A74" w:rsidRPr="00835F52" w:rsidRDefault="00442A74" w:rsidP="008666C3">
            <w:pPr>
              <w:pStyle w:val="COMTabletext"/>
              <w:rPr>
                <w:lang w:val="en-US"/>
              </w:rPr>
            </w:pPr>
            <w:r w:rsidRPr="00835F52">
              <w:rPr>
                <w:lang w:val="en-US"/>
              </w:rPr>
              <w:t>In the model base case, patients who discontinued icosapent ethyl treatment were censored from the calculation of transition probabilities. This differed from the calculation of transition probabilities in the standard of care arm, which were derived with no censoring of patients who had discontinued placebo treatment. It may not be reasonable to adopt different approaches for the icosapent and standard of care arms, as there may be underlying reasons for treatment discontinuation that are associated with efficacy outcomes.</w:t>
            </w:r>
          </w:p>
        </w:tc>
        <w:tc>
          <w:tcPr>
            <w:tcW w:w="915" w:type="pct"/>
            <w:shd w:val="clear" w:color="auto" w:fill="auto"/>
            <w:vAlign w:val="center"/>
          </w:tcPr>
          <w:p w14:paraId="7F7ABA43" w14:textId="4F4EC5C1" w:rsidR="00442A74" w:rsidRPr="00835F52" w:rsidRDefault="00442A74" w:rsidP="00F85AD3">
            <w:pPr>
              <w:pStyle w:val="COMTabletext"/>
              <w:jc w:val="center"/>
              <w:rPr>
                <w:lang w:val="en-US"/>
              </w:rPr>
            </w:pPr>
            <w:r w:rsidRPr="00835F52">
              <w:rPr>
                <w:lang w:val="en-US"/>
              </w:rPr>
              <w:t>High</w:t>
            </w:r>
            <w:r w:rsidR="00663140" w:rsidRPr="00835F52">
              <w:rPr>
                <w:lang w:val="en-US"/>
              </w:rPr>
              <w:t>,</w:t>
            </w:r>
            <w:r w:rsidRPr="00835F52">
              <w:rPr>
                <w:lang w:val="en-US"/>
              </w:rPr>
              <w:t xml:space="preserve"> favours icosapent ethyl</w:t>
            </w:r>
          </w:p>
        </w:tc>
      </w:tr>
      <w:tr w:rsidR="00442A74" w:rsidRPr="00835F52" w14:paraId="3483847F" w14:textId="77777777" w:rsidTr="00F85AD3">
        <w:tc>
          <w:tcPr>
            <w:tcW w:w="705" w:type="pct"/>
            <w:shd w:val="clear" w:color="auto" w:fill="auto"/>
            <w:vAlign w:val="center"/>
          </w:tcPr>
          <w:p w14:paraId="2724D8D9" w14:textId="2698FF2A" w:rsidR="00442A74" w:rsidRPr="00835F52" w:rsidRDefault="00442A74" w:rsidP="00442A74">
            <w:pPr>
              <w:pStyle w:val="COMTabletext"/>
              <w:rPr>
                <w:lang w:val="en-US"/>
              </w:rPr>
            </w:pPr>
            <w:r w:rsidRPr="00835F52">
              <w:rPr>
                <w:lang w:val="en-US"/>
              </w:rPr>
              <w:t>Time horizon</w:t>
            </w:r>
          </w:p>
        </w:tc>
        <w:tc>
          <w:tcPr>
            <w:tcW w:w="3379" w:type="pct"/>
            <w:shd w:val="clear" w:color="auto" w:fill="auto"/>
            <w:vAlign w:val="center"/>
          </w:tcPr>
          <w:p w14:paraId="4B9FCE0E" w14:textId="6593DE1D" w:rsidR="00442A74" w:rsidRPr="00835F52" w:rsidRDefault="00442A74" w:rsidP="00442A74">
            <w:pPr>
              <w:pStyle w:val="COMTabletext"/>
              <w:rPr>
                <w:lang w:val="en-US"/>
              </w:rPr>
            </w:pPr>
            <w:r w:rsidRPr="00835F52">
              <w:rPr>
                <w:lang w:val="en-US"/>
              </w:rPr>
              <w:t xml:space="preserve">The </w:t>
            </w:r>
            <w:r w:rsidR="00663140" w:rsidRPr="00835F52">
              <w:rPr>
                <w:lang w:val="en-US"/>
              </w:rPr>
              <w:t>model</w:t>
            </w:r>
            <w:r w:rsidRPr="00835F52">
              <w:rPr>
                <w:lang w:val="en-US"/>
              </w:rPr>
              <w:t xml:space="preserve"> base case incorporated a 25-year time horizon. There was a </w:t>
            </w:r>
            <w:r w:rsidR="00390199" w:rsidRPr="00835F52">
              <w:rPr>
                <w:lang w:val="en-US"/>
              </w:rPr>
              <w:t xml:space="preserve">large amount of </w:t>
            </w:r>
            <w:r w:rsidRPr="00835F52">
              <w:rPr>
                <w:lang w:val="en-US"/>
              </w:rPr>
              <w:t>uncertainty associated with the extrapolation of the average event rates (and derived transition probabilities) in the REDUCE-IT trial from 5 years to 25 years.</w:t>
            </w:r>
          </w:p>
        </w:tc>
        <w:tc>
          <w:tcPr>
            <w:tcW w:w="915" w:type="pct"/>
            <w:shd w:val="clear" w:color="auto" w:fill="auto"/>
            <w:vAlign w:val="center"/>
          </w:tcPr>
          <w:p w14:paraId="4CB0C507" w14:textId="476E2C3A" w:rsidR="00442A74" w:rsidRPr="00835F52" w:rsidRDefault="00442A74" w:rsidP="00F85AD3">
            <w:pPr>
              <w:pStyle w:val="COMTabletext"/>
              <w:jc w:val="center"/>
              <w:rPr>
                <w:lang w:val="en-US"/>
              </w:rPr>
            </w:pPr>
            <w:r w:rsidRPr="00835F52">
              <w:rPr>
                <w:lang w:val="en-US"/>
              </w:rPr>
              <w:t>Moderate, favours icosapent ethyl</w:t>
            </w:r>
          </w:p>
        </w:tc>
      </w:tr>
      <w:tr w:rsidR="00442A74" w:rsidRPr="00835F52" w14:paraId="39E46D5B" w14:textId="77777777" w:rsidTr="00F85AD3">
        <w:tc>
          <w:tcPr>
            <w:tcW w:w="705" w:type="pct"/>
            <w:shd w:val="clear" w:color="auto" w:fill="auto"/>
            <w:vAlign w:val="center"/>
          </w:tcPr>
          <w:p w14:paraId="347EC5A4" w14:textId="68A37D04" w:rsidR="00442A74" w:rsidRPr="00835F52" w:rsidRDefault="00442A74" w:rsidP="00442A74">
            <w:pPr>
              <w:pStyle w:val="COMTabletext"/>
              <w:rPr>
                <w:lang w:val="en-US"/>
              </w:rPr>
            </w:pPr>
            <w:r w:rsidRPr="00835F52">
              <w:rPr>
                <w:lang w:val="en-US"/>
              </w:rPr>
              <w:t>Cardiovascular event risk</w:t>
            </w:r>
          </w:p>
        </w:tc>
        <w:tc>
          <w:tcPr>
            <w:tcW w:w="3379" w:type="pct"/>
            <w:shd w:val="clear" w:color="auto" w:fill="auto"/>
            <w:vAlign w:val="center"/>
          </w:tcPr>
          <w:p w14:paraId="7E7105AF" w14:textId="4B3E56A5" w:rsidR="00442A74" w:rsidRPr="00835F52" w:rsidRDefault="00442A74" w:rsidP="00442A74">
            <w:pPr>
              <w:pStyle w:val="COMTabletext"/>
              <w:rPr>
                <w:lang w:val="en-US"/>
              </w:rPr>
            </w:pPr>
            <w:r w:rsidRPr="00835F52">
              <w:rPr>
                <w:lang w:val="en-US"/>
              </w:rPr>
              <w:t xml:space="preserve">It is unclear whether the cardiovascular risk among the PBS population is the same as </w:t>
            </w:r>
            <w:r w:rsidR="00663140" w:rsidRPr="00835F52">
              <w:rPr>
                <w:lang w:val="en-US"/>
              </w:rPr>
              <w:t xml:space="preserve">the </w:t>
            </w:r>
            <w:r w:rsidRPr="00835F52">
              <w:rPr>
                <w:lang w:val="en-US"/>
              </w:rPr>
              <w:t>secondary prevention population in the REDUCE-IT trial. In particular, ASCVD treatments included in the REDUCE-IT trial were not consistent with current standard of care.</w:t>
            </w:r>
          </w:p>
        </w:tc>
        <w:tc>
          <w:tcPr>
            <w:tcW w:w="915" w:type="pct"/>
            <w:shd w:val="clear" w:color="auto" w:fill="auto"/>
            <w:vAlign w:val="center"/>
          </w:tcPr>
          <w:p w14:paraId="50F3F3FF" w14:textId="115BE540" w:rsidR="00442A74" w:rsidRPr="00835F52" w:rsidRDefault="00442A74" w:rsidP="00F85AD3">
            <w:pPr>
              <w:pStyle w:val="COMTabletext"/>
              <w:jc w:val="center"/>
              <w:rPr>
                <w:lang w:val="en-US"/>
              </w:rPr>
            </w:pPr>
            <w:r w:rsidRPr="00835F52">
              <w:rPr>
                <w:lang w:val="en-US"/>
              </w:rPr>
              <w:t>Moderate, favours icosapent ethyl</w:t>
            </w:r>
          </w:p>
        </w:tc>
      </w:tr>
      <w:tr w:rsidR="00F35325" w:rsidRPr="00835F52" w14:paraId="6CF35394" w14:textId="77777777" w:rsidTr="00F85AD3">
        <w:tc>
          <w:tcPr>
            <w:tcW w:w="705" w:type="pct"/>
            <w:shd w:val="clear" w:color="auto" w:fill="auto"/>
            <w:vAlign w:val="center"/>
          </w:tcPr>
          <w:p w14:paraId="02DDA347" w14:textId="38DB0002" w:rsidR="008666C3" w:rsidRPr="00835F52" w:rsidRDefault="008666C3" w:rsidP="00442A74">
            <w:pPr>
              <w:pStyle w:val="COMTabletext"/>
              <w:rPr>
                <w:lang w:val="en-US"/>
              </w:rPr>
            </w:pPr>
            <w:r w:rsidRPr="00835F52">
              <w:rPr>
                <w:lang w:val="en-US"/>
              </w:rPr>
              <w:t>Mineral oil adjustment</w:t>
            </w:r>
          </w:p>
        </w:tc>
        <w:tc>
          <w:tcPr>
            <w:tcW w:w="3379" w:type="pct"/>
            <w:shd w:val="clear" w:color="auto" w:fill="auto"/>
            <w:vAlign w:val="center"/>
          </w:tcPr>
          <w:p w14:paraId="0BCD7AB7" w14:textId="05C8E5B4" w:rsidR="008666C3" w:rsidRPr="00835F52" w:rsidRDefault="0005035D" w:rsidP="00442A74">
            <w:pPr>
              <w:pStyle w:val="COMTabletext"/>
              <w:rPr>
                <w:lang w:val="en-US"/>
              </w:rPr>
            </w:pPr>
            <w:r w:rsidRPr="00835F52">
              <w:rPr>
                <w:lang w:val="en-US"/>
              </w:rPr>
              <w:t>It is unclear w</w:t>
            </w:r>
            <w:r w:rsidR="008666C3" w:rsidRPr="00835F52">
              <w:rPr>
                <w:lang w:val="en-US"/>
              </w:rPr>
              <w:t>hether the assumed 3% adjustment applied to the cardiovascular event probabilities in the standard of care arm adequately addresses the uncertainty around the use of mineral oil as the placebo in the REDUCE-IT trial</w:t>
            </w:r>
          </w:p>
        </w:tc>
        <w:tc>
          <w:tcPr>
            <w:tcW w:w="915" w:type="pct"/>
            <w:shd w:val="clear" w:color="auto" w:fill="auto"/>
            <w:vAlign w:val="center"/>
          </w:tcPr>
          <w:p w14:paraId="64E9807E" w14:textId="0E519C3B" w:rsidR="008666C3" w:rsidRPr="00835F52" w:rsidRDefault="0005035D" w:rsidP="00F85AD3">
            <w:pPr>
              <w:pStyle w:val="COMTabletext"/>
              <w:jc w:val="center"/>
              <w:rPr>
                <w:lang w:val="en-US"/>
              </w:rPr>
            </w:pPr>
            <w:r w:rsidRPr="00835F52">
              <w:rPr>
                <w:lang w:val="en-US"/>
              </w:rPr>
              <w:t>Moderate, favours icosapent ethyl</w:t>
            </w:r>
          </w:p>
        </w:tc>
      </w:tr>
      <w:tr w:rsidR="00442A74" w:rsidRPr="00835F52" w14:paraId="062E7B3B" w14:textId="77777777" w:rsidTr="00F85AD3">
        <w:tc>
          <w:tcPr>
            <w:tcW w:w="705" w:type="pct"/>
            <w:shd w:val="clear" w:color="auto" w:fill="auto"/>
            <w:vAlign w:val="center"/>
          </w:tcPr>
          <w:p w14:paraId="272C6078" w14:textId="0D768B64" w:rsidR="00442A74" w:rsidRPr="00835F52" w:rsidRDefault="00442A74" w:rsidP="00442A74">
            <w:pPr>
              <w:pStyle w:val="COMTabletext"/>
              <w:rPr>
                <w:lang w:val="en-US"/>
              </w:rPr>
            </w:pPr>
            <w:r w:rsidRPr="00835F52">
              <w:rPr>
                <w:lang w:val="en-US"/>
              </w:rPr>
              <w:t>Health state costs</w:t>
            </w:r>
          </w:p>
        </w:tc>
        <w:tc>
          <w:tcPr>
            <w:tcW w:w="3379" w:type="pct"/>
            <w:shd w:val="clear" w:color="auto" w:fill="auto"/>
            <w:vAlign w:val="center"/>
          </w:tcPr>
          <w:p w14:paraId="6C7DA027" w14:textId="318ED53A" w:rsidR="00442A74" w:rsidRPr="00835F52" w:rsidRDefault="00442A74" w:rsidP="00442A74">
            <w:pPr>
              <w:pStyle w:val="COMTabletext"/>
              <w:rPr>
                <w:lang w:val="en-US"/>
              </w:rPr>
            </w:pPr>
            <w:r w:rsidRPr="00835F52">
              <w:rPr>
                <w:lang w:val="en-US"/>
              </w:rPr>
              <w:t>The base case of the model assumed no cost for patients in the event free state. This did not appear reasonable given that patients in the modelled population have established ASCVD and may have previously experienced an MI or stroke.</w:t>
            </w:r>
          </w:p>
        </w:tc>
        <w:tc>
          <w:tcPr>
            <w:tcW w:w="915" w:type="pct"/>
            <w:shd w:val="clear" w:color="auto" w:fill="auto"/>
            <w:vAlign w:val="center"/>
          </w:tcPr>
          <w:p w14:paraId="2A75D9BA" w14:textId="5A76770F" w:rsidR="00442A74" w:rsidRPr="00835F52" w:rsidRDefault="00442A74" w:rsidP="00F85AD3">
            <w:pPr>
              <w:pStyle w:val="COMTabletext"/>
              <w:jc w:val="center"/>
              <w:rPr>
                <w:lang w:val="en-US"/>
              </w:rPr>
            </w:pPr>
            <w:r w:rsidRPr="00835F52">
              <w:rPr>
                <w:lang w:val="en-US"/>
              </w:rPr>
              <w:t>Moderate, favours icosapent ethyl</w:t>
            </w:r>
          </w:p>
        </w:tc>
      </w:tr>
    </w:tbl>
    <w:p w14:paraId="65E17856" w14:textId="77777777" w:rsidR="00442A74" w:rsidRDefault="009D792E" w:rsidP="00442A74">
      <w:pPr>
        <w:pStyle w:val="COMTablefooter"/>
      </w:pPr>
      <w:r>
        <w:t xml:space="preserve">Source: </w:t>
      </w:r>
      <w:r w:rsidR="00D479F7">
        <w:t xml:space="preserve">Constructed during the evaluation based on the </w:t>
      </w:r>
      <w:r w:rsidR="00442A74">
        <w:t>Section 3 economic model Excel workbook.</w:t>
      </w:r>
    </w:p>
    <w:p w14:paraId="1A157559" w14:textId="0DC2709D" w:rsidR="00442A74" w:rsidRPr="00442A74" w:rsidRDefault="00442A74" w:rsidP="004671F3">
      <w:pPr>
        <w:pStyle w:val="COMTablefooter"/>
      </w:pPr>
      <w:r>
        <w:t>Abbreviations: ASCVD, atherosclerotic cardiovascular disease; MI, myocardial infarction.</w:t>
      </w:r>
    </w:p>
    <w:p w14:paraId="1B861991" w14:textId="329091B2" w:rsidR="00EF2573" w:rsidRPr="00EF2573" w:rsidRDefault="00EF2573" w:rsidP="0091664F">
      <w:pPr>
        <w:widowControl w:val="0"/>
        <w:numPr>
          <w:ilvl w:val="1"/>
          <w:numId w:val="1"/>
        </w:numPr>
        <w:spacing w:after="120"/>
        <w:ind w:left="720" w:hanging="720"/>
      </w:pPr>
      <w:r w:rsidRPr="00EF2573">
        <w:t>Results of the stepped economic evaluation</w:t>
      </w:r>
      <w:r>
        <w:t xml:space="preserve"> are presented in </w:t>
      </w:r>
      <w:r>
        <w:fldChar w:fldCharType="begin" w:fldLock="1"/>
      </w:r>
      <w:r>
        <w:instrText xml:space="preserve"> REF _Ref104805160 \h </w:instrText>
      </w:r>
      <w:r>
        <w:fldChar w:fldCharType="separate"/>
      </w:r>
      <w:r w:rsidR="003F1735">
        <w:t xml:space="preserve">Table </w:t>
      </w:r>
      <w:r w:rsidR="003F1735">
        <w:rPr>
          <w:noProof/>
        </w:rPr>
        <w:t>12</w:t>
      </w:r>
      <w:r>
        <w:fldChar w:fldCharType="end"/>
      </w:r>
      <w:r>
        <w:t>.</w:t>
      </w:r>
      <w:r w:rsidR="00EB54E6">
        <w:t xml:space="preserve"> The result of the revised base case presented in the pre-PBAC response is also presented (adjustment for effects of mineral oil on the placebo arm increased from 3% to 7% and costs applied to the ‘event free’ health state increased from $0 to $2,000).</w:t>
      </w:r>
    </w:p>
    <w:p w14:paraId="63D487B8" w14:textId="78982AD4" w:rsidR="00D110BD" w:rsidRPr="00BB00B3" w:rsidRDefault="00E16AD8" w:rsidP="00FD4ED6">
      <w:pPr>
        <w:pStyle w:val="COMtablefigcaption"/>
      </w:pPr>
      <w:bookmarkStart w:id="58" w:name="_Ref104805160"/>
      <w:r>
        <w:lastRenderedPageBreak/>
        <w:t xml:space="preserve">Table </w:t>
      </w:r>
      <w:fldSimple w:instr=" SEQ Table \* ARABIC " w:fldLock="1">
        <w:r w:rsidR="003F1735">
          <w:rPr>
            <w:noProof/>
          </w:rPr>
          <w:t>12</w:t>
        </w:r>
      </w:fldSimple>
      <w:bookmarkEnd w:id="58"/>
      <w:r>
        <w:t>:</w:t>
      </w:r>
      <w:r w:rsidR="005A373D" w:rsidRPr="00FD4ED6">
        <w:t xml:space="preserve">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2: Results of the stepped economic evaluation"/>
        <w:tblDescription w:val="Table 12: Results of the stepped economic evaluation"/>
      </w:tblPr>
      <w:tblGrid>
        <w:gridCol w:w="3405"/>
        <w:gridCol w:w="2112"/>
        <w:gridCol w:w="1989"/>
        <w:gridCol w:w="1511"/>
      </w:tblGrid>
      <w:tr w:rsidR="008A7B1A" w:rsidRPr="005E6CBC" w14:paraId="1BE0458F" w14:textId="77777777" w:rsidTr="001D4554">
        <w:trPr>
          <w:tblHeader/>
        </w:trPr>
        <w:tc>
          <w:tcPr>
            <w:tcW w:w="1888" w:type="pct"/>
            <w:vAlign w:val="center"/>
          </w:tcPr>
          <w:p w14:paraId="17CB7CCD" w14:textId="77777777" w:rsidR="008A7B1A" w:rsidRPr="005E6CBC" w:rsidRDefault="008A7B1A" w:rsidP="001D4554">
            <w:pPr>
              <w:pStyle w:val="COMTableheadingrow"/>
            </w:pPr>
            <w:r w:rsidRPr="005E6CBC">
              <w:t>Step and component</w:t>
            </w:r>
          </w:p>
        </w:tc>
        <w:tc>
          <w:tcPr>
            <w:tcW w:w="1171" w:type="pct"/>
            <w:vAlign w:val="center"/>
          </w:tcPr>
          <w:p w14:paraId="747F7BC4" w14:textId="77777777" w:rsidR="008A7B1A" w:rsidRPr="005E6CBC" w:rsidRDefault="008A7B1A" w:rsidP="001D4554">
            <w:pPr>
              <w:pStyle w:val="COMTableheadingrow"/>
              <w:jc w:val="center"/>
            </w:pPr>
            <w:r>
              <w:t>Icosapent ethyl</w:t>
            </w:r>
          </w:p>
        </w:tc>
        <w:tc>
          <w:tcPr>
            <w:tcW w:w="1103" w:type="pct"/>
            <w:vAlign w:val="center"/>
          </w:tcPr>
          <w:p w14:paraId="59BC105A" w14:textId="77777777" w:rsidR="008A7B1A" w:rsidRPr="005E6CBC" w:rsidRDefault="008A7B1A" w:rsidP="001D4554">
            <w:pPr>
              <w:pStyle w:val="COMTableheadingrow"/>
              <w:jc w:val="center"/>
            </w:pPr>
            <w:r>
              <w:t>Standard of care</w:t>
            </w:r>
          </w:p>
        </w:tc>
        <w:tc>
          <w:tcPr>
            <w:tcW w:w="838" w:type="pct"/>
            <w:vAlign w:val="center"/>
          </w:tcPr>
          <w:p w14:paraId="1ECC3A2B" w14:textId="77777777" w:rsidR="008A7B1A" w:rsidRPr="005E6CBC" w:rsidRDefault="008A7B1A" w:rsidP="001D4554">
            <w:pPr>
              <w:pStyle w:val="COMTableheadingrow"/>
              <w:jc w:val="center"/>
            </w:pPr>
            <w:r w:rsidRPr="005E6CBC">
              <w:t>Increment</w:t>
            </w:r>
          </w:p>
        </w:tc>
      </w:tr>
      <w:tr w:rsidR="008A7B1A" w:rsidRPr="003D5C02" w14:paraId="7D4A1966" w14:textId="77777777" w:rsidTr="001D4554">
        <w:tc>
          <w:tcPr>
            <w:tcW w:w="5000" w:type="pct"/>
            <w:gridSpan w:val="4"/>
            <w:vAlign w:val="center"/>
          </w:tcPr>
          <w:p w14:paraId="05D952CC" w14:textId="4F96F161" w:rsidR="008A7B1A" w:rsidRPr="008A2B48" w:rsidRDefault="008A7B1A" w:rsidP="001D4554">
            <w:pPr>
              <w:pStyle w:val="COMTabletext"/>
              <w:rPr>
                <w:b/>
                <w:bCs w:val="0"/>
              </w:rPr>
            </w:pPr>
            <w:r w:rsidRPr="008A2B48">
              <w:rPr>
                <w:b/>
                <w:bCs w:val="0"/>
              </w:rPr>
              <w:t>Step 1: Trial-based analysis over 5 years including drug costs</w:t>
            </w:r>
          </w:p>
        </w:tc>
      </w:tr>
      <w:tr w:rsidR="008A7B1A" w:rsidRPr="00E2771E" w14:paraId="7BF317D1" w14:textId="77777777" w:rsidTr="001D4554">
        <w:tc>
          <w:tcPr>
            <w:tcW w:w="1888" w:type="pct"/>
            <w:vAlign w:val="center"/>
          </w:tcPr>
          <w:p w14:paraId="1EBD4E3A" w14:textId="1D012F4B" w:rsidR="008A7B1A" w:rsidRPr="00E2771E" w:rsidRDefault="008A7B1A" w:rsidP="001D4554">
            <w:pPr>
              <w:pStyle w:val="COMTabletext"/>
              <w:rPr>
                <w:rFonts w:ascii="Times" w:hAnsi="Times"/>
              </w:rPr>
            </w:pPr>
            <w:r w:rsidRPr="00E2771E">
              <w:t>Costs</w:t>
            </w:r>
            <w:r w:rsidR="00980A59">
              <w:t xml:space="preserve"> </w:t>
            </w:r>
          </w:p>
        </w:tc>
        <w:tc>
          <w:tcPr>
            <w:tcW w:w="1171" w:type="pct"/>
          </w:tcPr>
          <w:p w14:paraId="5F6EB766" w14:textId="24E42503" w:rsidR="008A7B1A" w:rsidRPr="005E6CBC" w:rsidRDefault="00502356" w:rsidP="001D4554">
            <w:pPr>
              <w:pStyle w:val="COMTabletext"/>
              <w:jc w:val="center"/>
              <w:rPr>
                <w:rFonts w:ascii="Times" w:hAnsi="Times"/>
              </w:rPr>
            </w:pPr>
            <w:r>
              <w:rPr>
                <w:rFonts w:hint="eastAsia"/>
              </w:rPr>
              <w:t>$</w:t>
            </w:r>
            <w:r w:rsidR="0036355B" w:rsidRPr="0036355B">
              <w:rPr>
                <w:rFonts w:hint="eastAsia"/>
                <w:color w:val="000000"/>
                <w:w w:val="22"/>
                <w:shd w:val="solid" w:color="000000" w:fill="000000"/>
                <w:fitText w:val="100" w:id="-1032112632"/>
                <w14:textFill>
                  <w14:solidFill>
                    <w14:srgbClr w14:val="000000">
                      <w14:alpha w14:val="100000"/>
                    </w14:srgbClr>
                  </w14:solidFill>
                </w14:textFill>
              </w:rPr>
              <w:t xml:space="preserve">　</w:t>
            </w:r>
            <w:r w:rsidR="0036355B" w:rsidRPr="0036355B">
              <w:rPr>
                <w:color w:val="000000"/>
                <w:w w:val="22"/>
                <w:shd w:val="solid" w:color="000000" w:fill="000000"/>
                <w:fitText w:val="100" w:id="-1032112632"/>
                <w14:textFill>
                  <w14:solidFill>
                    <w14:srgbClr w14:val="000000">
                      <w14:alpha w14:val="100000"/>
                    </w14:srgbClr>
                  </w14:solidFill>
                </w14:textFill>
              </w:rPr>
              <w:t>|</w:t>
            </w:r>
            <w:r w:rsidR="0036355B" w:rsidRPr="0036355B">
              <w:rPr>
                <w:rFonts w:hint="eastAsia"/>
                <w:color w:val="000000"/>
                <w:spacing w:val="3"/>
                <w:w w:val="22"/>
                <w:shd w:val="solid" w:color="000000" w:fill="000000"/>
                <w:fitText w:val="100" w:id="-1032112632"/>
                <w14:textFill>
                  <w14:solidFill>
                    <w14:srgbClr w14:val="000000">
                      <w14:alpha w14:val="100000"/>
                    </w14:srgbClr>
                  </w14:solidFill>
                </w14:textFill>
              </w:rPr>
              <w:t xml:space="preserve">　</w:t>
            </w:r>
          </w:p>
        </w:tc>
        <w:tc>
          <w:tcPr>
            <w:tcW w:w="1103" w:type="pct"/>
          </w:tcPr>
          <w:p w14:paraId="357EA3F7" w14:textId="77777777" w:rsidR="008A7B1A" w:rsidRPr="005E6CBC" w:rsidRDefault="008A7B1A" w:rsidP="001D4554">
            <w:pPr>
              <w:pStyle w:val="COMTabletext"/>
              <w:jc w:val="center"/>
              <w:rPr>
                <w:rFonts w:ascii="Times" w:hAnsi="Times"/>
              </w:rPr>
            </w:pPr>
            <w:r w:rsidRPr="0049091C">
              <w:t>$794</w:t>
            </w:r>
          </w:p>
        </w:tc>
        <w:tc>
          <w:tcPr>
            <w:tcW w:w="838" w:type="pct"/>
          </w:tcPr>
          <w:p w14:paraId="56650163" w14:textId="57AFC2F4" w:rsidR="008A7B1A" w:rsidRPr="005E6CBC" w:rsidRDefault="0036355B" w:rsidP="001D4554">
            <w:pPr>
              <w:pStyle w:val="COMTabletext"/>
              <w:jc w:val="center"/>
              <w:rPr>
                <w:rFonts w:ascii="Times" w:hAnsi="Times"/>
              </w:rPr>
            </w:pPr>
            <w:r>
              <w:t xml:space="preserve"> </w:t>
            </w:r>
            <w:r w:rsidRPr="0036355B">
              <w:rPr>
                <w:color w:val="000000"/>
                <w:spacing w:val="40"/>
                <w:shd w:val="solid" w:color="000000" w:fill="000000"/>
                <w:fitText w:val="460" w:id="-1032112629"/>
                <w14:textFill>
                  <w14:solidFill>
                    <w14:srgbClr w14:val="000000">
                      <w14:alpha w14:val="100000"/>
                    </w14:srgbClr>
                  </w14:solidFill>
                </w14:textFill>
              </w:rPr>
              <w:t>|||||</w:t>
            </w:r>
            <w:r w:rsidRPr="0036355B">
              <w:rPr>
                <w:color w:val="000000"/>
                <w:spacing w:val="5"/>
                <w:shd w:val="solid" w:color="000000" w:fill="000000"/>
                <w:fitText w:val="460" w:id="-1032112629"/>
                <w14:textFill>
                  <w14:solidFill>
                    <w14:srgbClr w14:val="000000">
                      <w14:alpha w14:val="100000"/>
                    </w14:srgbClr>
                  </w14:solidFill>
                </w14:textFill>
              </w:rPr>
              <w:t>|</w:t>
            </w:r>
          </w:p>
        </w:tc>
      </w:tr>
      <w:tr w:rsidR="008A7B1A" w:rsidRPr="00E2771E" w14:paraId="32CED32B" w14:textId="77777777" w:rsidTr="001D4554">
        <w:tc>
          <w:tcPr>
            <w:tcW w:w="1888" w:type="pct"/>
            <w:vAlign w:val="center"/>
          </w:tcPr>
          <w:p w14:paraId="37E5997F" w14:textId="77777777" w:rsidR="008A7B1A" w:rsidRPr="00E2771E" w:rsidRDefault="008A7B1A" w:rsidP="001D4554">
            <w:pPr>
              <w:pStyle w:val="COMTabletext"/>
              <w:rPr>
                <w:rFonts w:ascii="Times" w:hAnsi="Times"/>
              </w:rPr>
            </w:pPr>
            <w:r>
              <w:t>Life years</w:t>
            </w:r>
          </w:p>
        </w:tc>
        <w:tc>
          <w:tcPr>
            <w:tcW w:w="1171" w:type="pct"/>
          </w:tcPr>
          <w:p w14:paraId="7E3E7E9D" w14:textId="77777777" w:rsidR="008A7B1A" w:rsidRPr="005E6CBC" w:rsidRDefault="008A7B1A" w:rsidP="001D4554">
            <w:pPr>
              <w:pStyle w:val="COMTabletext"/>
              <w:jc w:val="center"/>
              <w:rPr>
                <w:rFonts w:ascii="Times" w:hAnsi="Times"/>
              </w:rPr>
            </w:pPr>
            <w:r w:rsidRPr="009C1D6F">
              <w:t>4.349</w:t>
            </w:r>
          </w:p>
        </w:tc>
        <w:tc>
          <w:tcPr>
            <w:tcW w:w="1103" w:type="pct"/>
          </w:tcPr>
          <w:p w14:paraId="3E8C594D" w14:textId="77777777" w:rsidR="008A7B1A" w:rsidRPr="005E6CBC" w:rsidRDefault="008A7B1A" w:rsidP="001D4554">
            <w:pPr>
              <w:pStyle w:val="COMTabletext"/>
              <w:jc w:val="center"/>
              <w:rPr>
                <w:rFonts w:ascii="Times" w:hAnsi="Times"/>
              </w:rPr>
            </w:pPr>
            <w:r w:rsidRPr="009C1D6F">
              <w:t>4.304</w:t>
            </w:r>
          </w:p>
        </w:tc>
        <w:tc>
          <w:tcPr>
            <w:tcW w:w="838" w:type="pct"/>
          </w:tcPr>
          <w:p w14:paraId="294ABA03" w14:textId="77777777" w:rsidR="008A7B1A" w:rsidRPr="005E6CBC" w:rsidRDefault="008A7B1A" w:rsidP="001D4554">
            <w:pPr>
              <w:pStyle w:val="COMTabletext"/>
              <w:jc w:val="center"/>
            </w:pPr>
            <w:r w:rsidRPr="009C1D6F">
              <w:t>0.044</w:t>
            </w:r>
          </w:p>
        </w:tc>
      </w:tr>
      <w:tr w:rsidR="008A7B1A" w:rsidRPr="00E2771E" w14:paraId="52BE566A" w14:textId="77777777" w:rsidTr="001D4554">
        <w:tc>
          <w:tcPr>
            <w:tcW w:w="4162" w:type="pct"/>
            <w:gridSpan w:val="3"/>
            <w:vAlign w:val="center"/>
          </w:tcPr>
          <w:p w14:paraId="4387D670" w14:textId="77777777" w:rsidR="008A7B1A" w:rsidRPr="005E6CBC" w:rsidRDefault="008A7B1A" w:rsidP="001D4554">
            <w:pPr>
              <w:pStyle w:val="COMTabletext"/>
              <w:rPr>
                <w:rFonts w:ascii="Times" w:hAnsi="Times"/>
              </w:rPr>
            </w:pPr>
            <w:r w:rsidRPr="005E6CBC">
              <w:t>Incremental cost/extra LY gained</w:t>
            </w:r>
          </w:p>
        </w:tc>
        <w:tc>
          <w:tcPr>
            <w:tcW w:w="838" w:type="pct"/>
            <w:vAlign w:val="center"/>
          </w:tcPr>
          <w:p w14:paraId="4D3A5AE8" w14:textId="08A47E19" w:rsidR="008A7B1A" w:rsidRPr="005E6CBC" w:rsidRDefault="0036355B" w:rsidP="001D4554">
            <w:pPr>
              <w:pStyle w:val="COMTabletext"/>
              <w:jc w:val="center"/>
              <w:rPr>
                <w:rFonts w:ascii="Times" w:hAnsi="Times"/>
              </w:rPr>
            </w:pPr>
            <w:r w:rsidRPr="003F3210">
              <w:rPr>
                <w:color w:val="000000"/>
                <w:spacing w:val="35"/>
                <w:shd w:val="solid" w:color="000000" w:fill="000000"/>
                <w:fitText w:val="590" w:id="-1032112626"/>
                <w14:textFill>
                  <w14:solidFill>
                    <w14:srgbClr w14:val="000000">
                      <w14:alpha w14:val="100000"/>
                    </w14:srgbClr>
                  </w14:solidFill>
                </w14:textFill>
              </w:rPr>
              <w:t>|||||||</w:t>
            </w:r>
            <w:r w:rsidRPr="003F3210">
              <w:rPr>
                <w:color w:val="000000"/>
                <w:spacing w:val="5"/>
                <w:shd w:val="solid" w:color="000000" w:fill="000000"/>
                <w:fitText w:val="590" w:id="-1032112626"/>
                <w14:textFill>
                  <w14:solidFill>
                    <w14:srgbClr w14:val="000000">
                      <w14:alpha w14:val="100000"/>
                    </w14:srgbClr>
                  </w14:solidFill>
                </w14:textFill>
              </w:rPr>
              <w:t>|</w:t>
            </w:r>
            <w:r w:rsidR="00980A59">
              <w:rPr>
                <w:snapToGrid w:val="0"/>
                <w:sz w:val="18"/>
                <w:szCs w:val="22"/>
                <w:vertAlign w:val="superscript"/>
              </w:rPr>
              <w:t>1</w:t>
            </w:r>
          </w:p>
        </w:tc>
      </w:tr>
      <w:tr w:rsidR="008A7B1A" w:rsidRPr="003D5C02" w14:paraId="5FA41707" w14:textId="77777777" w:rsidTr="001D4554">
        <w:tc>
          <w:tcPr>
            <w:tcW w:w="5000" w:type="pct"/>
            <w:gridSpan w:val="4"/>
            <w:vAlign w:val="center"/>
          </w:tcPr>
          <w:p w14:paraId="6B05FC11" w14:textId="4169FDD5" w:rsidR="008A7B1A" w:rsidRPr="005E6CBC" w:rsidRDefault="008A7B1A" w:rsidP="001D4554">
            <w:pPr>
              <w:pStyle w:val="COMTableheadingrow"/>
            </w:pPr>
            <w:r w:rsidRPr="005E6CBC">
              <w:t xml:space="preserve">Step 2: </w:t>
            </w:r>
            <w:r w:rsidRPr="008A2B48">
              <w:t>Modelled analysis over 25 years including drug costs</w:t>
            </w:r>
          </w:p>
        </w:tc>
      </w:tr>
      <w:tr w:rsidR="008A7B1A" w:rsidRPr="00E2771E" w14:paraId="0C8BE5DD" w14:textId="77777777" w:rsidTr="001D4554">
        <w:tc>
          <w:tcPr>
            <w:tcW w:w="1888" w:type="pct"/>
            <w:vAlign w:val="center"/>
          </w:tcPr>
          <w:p w14:paraId="35145550" w14:textId="77777777" w:rsidR="008A7B1A" w:rsidRPr="00E2771E" w:rsidRDefault="008A7B1A" w:rsidP="001D4554">
            <w:pPr>
              <w:pStyle w:val="COMTabletext"/>
              <w:rPr>
                <w:rFonts w:ascii="Times" w:hAnsi="Times"/>
              </w:rPr>
            </w:pPr>
            <w:r w:rsidRPr="00E2771E">
              <w:t>Costs</w:t>
            </w:r>
          </w:p>
        </w:tc>
        <w:tc>
          <w:tcPr>
            <w:tcW w:w="1171" w:type="pct"/>
          </w:tcPr>
          <w:p w14:paraId="6819BBDF" w14:textId="16E1C897" w:rsidR="008A7B1A" w:rsidRPr="005E6CBC" w:rsidRDefault="00502356" w:rsidP="001D4554">
            <w:pPr>
              <w:pStyle w:val="COMTabletext"/>
              <w:jc w:val="center"/>
              <w:rPr>
                <w:rFonts w:ascii="Times" w:hAnsi="Times"/>
              </w:rPr>
            </w:pPr>
            <w:r>
              <w:rPr>
                <w:rFonts w:hint="eastAsia"/>
              </w:rPr>
              <w:t>$</w:t>
            </w:r>
            <w:r w:rsidR="0036355B" w:rsidRPr="00502356">
              <w:rPr>
                <w:rFonts w:hint="eastAsia"/>
                <w:color w:val="000000"/>
                <w:w w:val="22"/>
                <w:shd w:val="solid" w:color="000000" w:fill="000000"/>
                <w:fitText w:val="100" w:id="-1032112640"/>
                <w14:textFill>
                  <w14:solidFill>
                    <w14:srgbClr w14:val="000000">
                      <w14:alpha w14:val="100000"/>
                    </w14:srgbClr>
                  </w14:solidFill>
                </w14:textFill>
              </w:rPr>
              <w:t xml:space="preserve">　</w:t>
            </w:r>
            <w:r w:rsidR="0036355B" w:rsidRPr="00502356">
              <w:rPr>
                <w:color w:val="000000"/>
                <w:w w:val="22"/>
                <w:shd w:val="solid" w:color="000000" w:fill="000000"/>
                <w:fitText w:val="100" w:id="-1032112640"/>
                <w14:textFill>
                  <w14:solidFill>
                    <w14:srgbClr w14:val="000000">
                      <w14:alpha w14:val="100000"/>
                    </w14:srgbClr>
                  </w14:solidFill>
                </w14:textFill>
              </w:rPr>
              <w:t>|</w:t>
            </w:r>
            <w:r w:rsidR="0036355B" w:rsidRPr="00502356">
              <w:rPr>
                <w:rFonts w:hint="eastAsia"/>
                <w:color w:val="000000"/>
                <w:w w:val="22"/>
                <w:shd w:val="solid" w:color="000000" w:fill="000000"/>
                <w:fitText w:val="100" w:id="-1032112640"/>
                <w14:textFill>
                  <w14:solidFill>
                    <w14:srgbClr w14:val="000000">
                      <w14:alpha w14:val="100000"/>
                    </w14:srgbClr>
                  </w14:solidFill>
                </w14:textFill>
              </w:rPr>
              <w:t xml:space="preserve">　</w:t>
            </w:r>
          </w:p>
        </w:tc>
        <w:tc>
          <w:tcPr>
            <w:tcW w:w="1103" w:type="pct"/>
          </w:tcPr>
          <w:p w14:paraId="3E4943BC" w14:textId="77777777" w:rsidR="008A7B1A" w:rsidRPr="005E6CBC" w:rsidRDefault="008A7B1A" w:rsidP="001D4554">
            <w:pPr>
              <w:pStyle w:val="COMTabletext"/>
              <w:jc w:val="center"/>
              <w:rPr>
                <w:rFonts w:ascii="Times" w:hAnsi="Times"/>
              </w:rPr>
            </w:pPr>
            <w:r w:rsidRPr="00FA5D0F">
              <w:t>$2,109</w:t>
            </w:r>
          </w:p>
        </w:tc>
        <w:tc>
          <w:tcPr>
            <w:tcW w:w="838" w:type="pct"/>
          </w:tcPr>
          <w:p w14:paraId="1BB86874" w14:textId="76F6409A" w:rsidR="008A7B1A" w:rsidRPr="005E6CBC" w:rsidRDefault="0036355B" w:rsidP="001D4554">
            <w:pPr>
              <w:pStyle w:val="COMTabletext"/>
              <w:jc w:val="center"/>
              <w:rPr>
                <w:rFonts w:ascii="Times" w:hAnsi="Times"/>
              </w:rPr>
            </w:pPr>
            <w:r>
              <w:t xml:space="preserve"> </w:t>
            </w:r>
            <w:r w:rsidRPr="0036355B">
              <w:rPr>
                <w:color w:val="000000"/>
                <w:spacing w:val="40"/>
                <w:shd w:val="solid" w:color="000000" w:fill="000000"/>
                <w:fitText w:val="460" w:id="-1032112637"/>
                <w14:textFill>
                  <w14:solidFill>
                    <w14:srgbClr w14:val="000000">
                      <w14:alpha w14:val="100000"/>
                    </w14:srgbClr>
                  </w14:solidFill>
                </w14:textFill>
              </w:rPr>
              <w:t>|||||</w:t>
            </w:r>
            <w:r w:rsidRPr="0036355B">
              <w:rPr>
                <w:color w:val="000000"/>
                <w:spacing w:val="5"/>
                <w:shd w:val="solid" w:color="000000" w:fill="000000"/>
                <w:fitText w:val="460" w:id="-1032112637"/>
                <w14:textFill>
                  <w14:solidFill>
                    <w14:srgbClr w14:val="000000">
                      <w14:alpha w14:val="100000"/>
                    </w14:srgbClr>
                  </w14:solidFill>
                </w14:textFill>
              </w:rPr>
              <w:t>|</w:t>
            </w:r>
          </w:p>
        </w:tc>
      </w:tr>
      <w:tr w:rsidR="008A7B1A" w:rsidRPr="00E2771E" w14:paraId="7B3351E0" w14:textId="77777777" w:rsidTr="001D4554">
        <w:tc>
          <w:tcPr>
            <w:tcW w:w="1888" w:type="pct"/>
            <w:vAlign w:val="center"/>
          </w:tcPr>
          <w:p w14:paraId="6DFDF9D8" w14:textId="77777777" w:rsidR="008A7B1A" w:rsidRPr="00E2771E" w:rsidRDefault="008A7B1A" w:rsidP="001D4554">
            <w:pPr>
              <w:pStyle w:val="COMTabletext"/>
              <w:rPr>
                <w:rFonts w:ascii="Times" w:hAnsi="Times"/>
              </w:rPr>
            </w:pPr>
            <w:r>
              <w:t>Life years</w:t>
            </w:r>
          </w:p>
        </w:tc>
        <w:tc>
          <w:tcPr>
            <w:tcW w:w="1171" w:type="pct"/>
          </w:tcPr>
          <w:p w14:paraId="4366B3E7" w14:textId="77777777" w:rsidR="008A7B1A" w:rsidRPr="005E6CBC" w:rsidRDefault="008A7B1A" w:rsidP="001D4554">
            <w:pPr>
              <w:pStyle w:val="COMTabletext"/>
              <w:jc w:val="center"/>
              <w:rPr>
                <w:rFonts w:ascii="Times" w:hAnsi="Times"/>
              </w:rPr>
            </w:pPr>
            <w:r w:rsidRPr="007D6831">
              <w:t>11.734</w:t>
            </w:r>
          </w:p>
        </w:tc>
        <w:tc>
          <w:tcPr>
            <w:tcW w:w="1103" w:type="pct"/>
          </w:tcPr>
          <w:p w14:paraId="56107610" w14:textId="77777777" w:rsidR="008A7B1A" w:rsidRPr="005E6CBC" w:rsidRDefault="008A7B1A" w:rsidP="001D4554">
            <w:pPr>
              <w:pStyle w:val="COMTabletext"/>
              <w:jc w:val="center"/>
              <w:rPr>
                <w:rFonts w:ascii="Times" w:hAnsi="Times"/>
              </w:rPr>
            </w:pPr>
            <w:r w:rsidRPr="007D6831">
              <w:t>11.436</w:t>
            </w:r>
          </w:p>
        </w:tc>
        <w:tc>
          <w:tcPr>
            <w:tcW w:w="838" w:type="pct"/>
          </w:tcPr>
          <w:p w14:paraId="508E3926" w14:textId="77777777" w:rsidR="008A7B1A" w:rsidRPr="005E6CBC" w:rsidRDefault="008A7B1A" w:rsidP="001D4554">
            <w:pPr>
              <w:pStyle w:val="COMTabletext"/>
              <w:jc w:val="center"/>
            </w:pPr>
            <w:r w:rsidRPr="007D6831">
              <w:t>0.297</w:t>
            </w:r>
          </w:p>
        </w:tc>
      </w:tr>
      <w:tr w:rsidR="008A7B1A" w:rsidRPr="00EE64D8" w14:paraId="433D7589" w14:textId="77777777" w:rsidTr="001D4554">
        <w:tc>
          <w:tcPr>
            <w:tcW w:w="4162" w:type="pct"/>
            <w:gridSpan w:val="3"/>
            <w:vAlign w:val="center"/>
          </w:tcPr>
          <w:p w14:paraId="7AD8EDDD" w14:textId="77777777" w:rsidR="008A7B1A" w:rsidRPr="005E6CBC" w:rsidRDefault="008A7B1A" w:rsidP="001D4554">
            <w:pPr>
              <w:pStyle w:val="COMTabletext"/>
              <w:rPr>
                <w:rFonts w:ascii="Times" w:hAnsi="Times"/>
              </w:rPr>
            </w:pPr>
            <w:r w:rsidRPr="005E6CBC">
              <w:t>Incremental cost/extra LY gained</w:t>
            </w:r>
          </w:p>
        </w:tc>
        <w:tc>
          <w:tcPr>
            <w:tcW w:w="838" w:type="pct"/>
            <w:vAlign w:val="center"/>
          </w:tcPr>
          <w:p w14:paraId="6F2A4246" w14:textId="4D64802D" w:rsidR="008A7B1A" w:rsidRPr="005E6CBC" w:rsidRDefault="0036355B" w:rsidP="001D4554">
            <w:pPr>
              <w:pStyle w:val="COMTabletext"/>
              <w:jc w:val="center"/>
              <w:rPr>
                <w:rFonts w:ascii="Times" w:hAnsi="Times"/>
              </w:rPr>
            </w:pPr>
            <w:r w:rsidRPr="003F3210">
              <w:rPr>
                <w:color w:val="000000"/>
                <w:spacing w:val="35"/>
                <w:shd w:val="solid" w:color="000000" w:fill="000000"/>
                <w:fitText w:val="590" w:id="-1032112634"/>
                <w14:textFill>
                  <w14:solidFill>
                    <w14:srgbClr w14:val="000000">
                      <w14:alpha w14:val="100000"/>
                    </w14:srgbClr>
                  </w14:solidFill>
                </w14:textFill>
              </w:rPr>
              <w:t>|||||||</w:t>
            </w:r>
            <w:r w:rsidRPr="003F3210">
              <w:rPr>
                <w:color w:val="000000"/>
                <w:spacing w:val="5"/>
                <w:shd w:val="solid" w:color="000000" w:fill="000000"/>
                <w:fitText w:val="590" w:id="-1032112634"/>
                <w14:textFill>
                  <w14:solidFill>
                    <w14:srgbClr w14:val="000000">
                      <w14:alpha w14:val="100000"/>
                    </w14:srgbClr>
                  </w14:solidFill>
                </w14:textFill>
              </w:rPr>
              <w:t>|</w:t>
            </w:r>
            <w:r w:rsidR="00980A59">
              <w:rPr>
                <w:snapToGrid w:val="0"/>
                <w:sz w:val="18"/>
                <w:szCs w:val="22"/>
                <w:vertAlign w:val="superscript"/>
              </w:rPr>
              <w:t>2</w:t>
            </w:r>
          </w:p>
        </w:tc>
      </w:tr>
      <w:tr w:rsidR="008A7B1A" w:rsidRPr="00EE64D8" w14:paraId="5E976000" w14:textId="77777777" w:rsidTr="001D4554">
        <w:tc>
          <w:tcPr>
            <w:tcW w:w="5000" w:type="pct"/>
            <w:gridSpan w:val="4"/>
            <w:vAlign w:val="center"/>
          </w:tcPr>
          <w:p w14:paraId="27D2D739" w14:textId="1117D3A3" w:rsidR="008A7B1A" w:rsidRPr="005E6CBC" w:rsidRDefault="008A7B1A" w:rsidP="001D4554">
            <w:pPr>
              <w:pStyle w:val="COMTableheadingrow"/>
            </w:pPr>
            <w:r w:rsidRPr="005E6CBC">
              <w:t xml:space="preserve">Step 3: </w:t>
            </w:r>
            <w:r w:rsidRPr="008A2B48">
              <w:t>Modelled analysis over 25 years including drug costs</w:t>
            </w:r>
            <w:r w:rsidR="002F4519">
              <w:t>, with</w:t>
            </w:r>
            <w:r>
              <w:t xml:space="preserve"> inclusion of utilities</w:t>
            </w:r>
          </w:p>
        </w:tc>
      </w:tr>
      <w:tr w:rsidR="008A7B1A" w:rsidRPr="00E2771E" w14:paraId="5E46B1DF" w14:textId="77777777" w:rsidTr="001D4554">
        <w:tc>
          <w:tcPr>
            <w:tcW w:w="1888" w:type="pct"/>
            <w:vAlign w:val="center"/>
          </w:tcPr>
          <w:p w14:paraId="704AC5FA" w14:textId="77777777" w:rsidR="008A7B1A" w:rsidRPr="00E2771E" w:rsidRDefault="008A7B1A" w:rsidP="001D4554">
            <w:pPr>
              <w:pStyle w:val="COMTabletext"/>
              <w:rPr>
                <w:rFonts w:ascii="Times" w:hAnsi="Times"/>
              </w:rPr>
            </w:pPr>
            <w:r w:rsidRPr="00E2771E">
              <w:t>Costs</w:t>
            </w:r>
          </w:p>
        </w:tc>
        <w:tc>
          <w:tcPr>
            <w:tcW w:w="1171" w:type="pct"/>
          </w:tcPr>
          <w:p w14:paraId="7F99E9D3" w14:textId="46B3C39D" w:rsidR="008A7B1A" w:rsidRPr="005E6CBC" w:rsidRDefault="00502356" w:rsidP="001D4554">
            <w:pPr>
              <w:pStyle w:val="COMTabletext"/>
              <w:jc w:val="center"/>
              <w:rPr>
                <w:rFonts w:ascii="Times" w:hAnsi="Times"/>
              </w:rPr>
            </w:pPr>
            <w:r>
              <w:rPr>
                <w:rFonts w:hint="eastAsia"/>
              </w:rPr>
              <w:t>$</w:t>
            </w:r>
            <w:r w:rsidR="0036355B" w:rsidRPr="00502356">
              <w:rPr>
                <w:rFonts w:hint="eastAsia"/>
                <w:color w:val="000000"/>
                <w:w w:val="22"/>
                <w:shd w:val="solid" w:color="000000" w:fill="000000"/>
                <w:fitText w:val="100" w:id="-1032112631"/>
                <w14:textFill>
                  <w14:solidFill>
                    <w14:srgbClr w14:val="000000">
                      <w14:alpha w14:val="100000"/>
                    </w14:srgbClr>
                  </w14:solidFill>
                </w14:textFill>
              </w:rPr>
              <w:t xml:space="preserve">　</w:t>
            </w:r>
            <w:r w:rsidR="0036355B" w:rsidRPr="00502356">
              <w:rPr>
                <w:color w:val="000000"/>
                <w:w w:val="22"/>
                <w:shd w:val="solid" w:color="000000" w:fill="000000"/>
                <w:fitText w:val="100" w:id="-1032112631"/>
                <w14:textFill>
                  <w14:solidFill>
                    <w14:srgbClr w14:val="000000">
                      <w14:alpha w14:val="100000"/>
                    </w14:srgbClr>
                  </w14:solidFill>
                </w14:textFill>
              </w:rPr>
              <w:t>|</w:t>
            </w:r>
            <w:r w:rsidR="0036355B" w:rsidRPr="00502356">
              <w:rPr>
                <w:rFonts w:hint="eastAsia"/>
                <w:color w:val="000000"/>
                <w:w w:val="22"/>
                <w:shd w:val="solid" w:color="000000" w:fill="000000"/>
                <w:fitText w:val="100" w:id="-1032112631"/>
                <w14:textFill>
                  <w14:solidFill>
                    <w14:srgbClr w14:val="000000">
                      <w14:alpha w14:val="100000"/>
                    </w14:srgbClr>
                  </w14:solidFill>
                </w14:textFill>
              </w:rPr>
              <w:t xml:space="preserve">　</w:t>
            </w:r>
          </w:p>
        </w:tc>
        <w:tc>
          <w:tcPr>
            <w:tcW w:w="1103" w:type="pct"/>
          </w:tcPr>
          <w:p w14:paraId="4EAC33F8" w14:textId="77777777" w:rsidR="008A7B1A" w:rsidRPr="005E6CBC" w:rsidRDefault="008A7B1A" w:rsidP="001D4554">
            <w:pPr>
              <w:pStyle w:val="COMTabletext"/>
              <w:jc w:val="center"/>
              <w:rPr>
                <w:rFonts w:ascii="Times" w:hAnsi="Times"/>
              </w:rPr>
            </w:pPr>
            <w:r w:rsidRPr="00D2223F">
              <w:t>$2,109</w:t>
            </w:r>
          </w:p>
        </w:tc>
        <w:tc>
          <w:tcPr>
            <w:tcW w:w="838" w:type="pct"/>
          </w:tcPr>
          <w:p w14:paraId="3F5295B9" w14:textId="57263F09" w:rsidR="008A7B1A" w:rsidRPr="005E6CBC" w:rsidRDefault="0036355B" w:rsidP="001D4554">
            <w:pPr>
              <w:pStyle w:val="COMTabletext"/>
              <w:jc w:val="center"/>
              <w:rPr>
                <w:rFonts w:ascii="Times" w:hAnsi="Times"/>
              </w:rPr>
            </w:pPr>
            <w:r>
              <w:t xml:space="preserve"> </w:t>
            </w:r>
            <w:r w:rsidRPr="0036355B">
              <w:rPr>
                <w:color w:val="000000"/>
                <w:spacing w:val="40"/>
                <w:shd w:val="solid" w:color="000000" w:fill="000000"/>
                <w:fitText w:val="460" w:id="-1032112628"/>
                <w14:textFill>
                  <w14:solidFill>
                    <w14:srgbClr w14:val="000000">
                      <w14:alpha w14:val="100000"/>
                    </w14:srgbClr>
                  </w14:solidFill>
                </w14:textFill>
              </w:rPr>
              <w:t>|||||</w:t>
            </w:r>
            <w:r w:rsidRPr="0036355B">
              <w:rPr>
                <w:color w:val="000000"/>
                <w:spacing w:val="5"/>
                <w:shd w:val="solid" w:color="000000" w:fill="000000"/>
                <w:fitText w:val="460" w:id="-1032112628"/>
                <w14:textFill>
                  <w14:solidFill>
                    <w14:srgbClr w14:val="000000">
                      <w14:alpha w14:val="100000"/>
                    </w14:srgbClr>
                  </w14:solidFill>
                </w14:textFill>
              </w:rPr>
              <w:t>|</w:t>
            </w:r>
          </w:p>
        </w:tc>
      </w:tr>
      <w:tr w:rsidR="008A7B1A" w:rsidRPr="00E2771E" w14:paraId="499BDFD4" w14:textId="77777777" w:rsidTr="001D4554">
        <w:tc>
          <w:tcPr>
            <w:tcW w:w="1888" w:type="pct"/>
            <w:vAlign w:val="center"/>
          </w:tcPr>
          <w:p w14:paraId="5922A5C8" w14:textId="77777777" w:rsidR="008A7B1A" w:rsidRPr="00E2771E" w:rsidRDefault="008A7B1A" w:rsidP="001D4554">
            <w:pPr>
              <w:pStyle w:val="COMTabletext"/>
              <w:rPr>
                <w:rFonts w:ascii="Times" w:hAnsi="Times"/>
              </w:rPr>
            </w:pPr>
            <w:r>
              <w:t>QALYs</w:t>
            </w:r>
          </w:p>
        </w:tc>
        <w:tc>
          <w:tcPr>
            <w:tcW w:w="1171" w:type="pct"/>
          </w:tcPr>
          <w:p w14:paraId="213EC778" w14:textId="77777777" w:rsidR="008A7B1A" w:rsidRPr="005E6CBC" w:rsidRDefault="008A7B1A" w:rsidP="001D4554">
            <w:pPr>
              <w:pStyle w:val="COMTabletext"/>
              <w:jc w:val="center"/>
              <w:rPr>
                <w:rFonts w:ascii="Times" w:hAnsi="Times"/>
              </w:rPr>
            </w:pPr>
            <w:r w:rsidRPr="004450C4">
              <w:t>9.560</w:t>
            </w:r>
          </w:p>
        </w:tc>
        <w:tc>
          <w:tcPr>
            <w:tcW w:w="1103" w:type="pct"/>
          </w:tcPr>
          <w:p w14:paraId="007709F5" w14:textId="77777777" w:rsidR="008A7B1A" w:rsidRPr="005E6CBC" w:rsidRDefault="008A7B1A" w:rsidP="001D4554">
            <w:pPr>
              <w:pStyle w:val="COMTabletext"/>
              <w:jc w:val="center"/>
              <w:rPr>
                <w:rFonts w:ascii="Times" w:hAnsi="Times"/>
              </w:rPr>
            </w:pPr>
            <w:r w:rsidRPr="004450C4">
              <w:t>9.261</w:t>
            </w:r>
          </w:p>
        </w:tc>
        <w:tc>
          <w:tcPr>
            <w:tcW w:w="838" w:type="pct"/>
          </w:tcPr>
          <w:p w14:paraId="71C5BACB" w14:textId="77777777" w:rsidR="008A7B1A" w:rsidRPr="005E6CBC" w:rsidRDefault="008A7B1A" w:rsidP="001D4554">
            <w:pPr>
              <w:pStyle w:val="COMTabletext"/>
              <w:jc w:val="center"/>
            </w:pPr>
            <w:r w:rsidRPr="004450C4">
              <w:t>0.299</w:t>
            </w:r>
          </w:p>
        </w:tc>
      </w:tr>
      <w:tr w:rsidR="008A7B1A" w:rsidRPr="00E2771E" w14:paraId="6EB43509" w14:textId="77777777" w:rsidTr="001D4554">
        <w:tc>
          <w:tcPr>
            <w:tcW w:w="4162" w:type="pct"/>
            <w:gridSpan w:val="3"/>
            <w:vAlign w:val="center"/>
          </w:tcPr>
          <w:p w14:paraId="7BE6A48C" w14:textId="77777777" w:rsidR="008A7B1A" w:rsidRPr="005E6CBC" w:rsidRDefault="008A7B1A" w:rsidP="001D4554">
            <w:pPr>
              <w:pStyle w:val="COMTabletext"/>
              <w:rPr>
                <w:rFonts w:ascii="Times" w:hAnsi="Times"/>
              </w:rPr>
            </w:pPr>
            <w:r w:rsidRPr="005E6CBC">
              <w:t xml:space="preserve">Incremental cost/extra </w:t>
            </w:r>
            <w:r>
              <w:t>QALY</w:t>
            </w:r>
            <w:r w:rsidRPr="005E6CBC">
              <w:t xml:space="preserve"> gained</w:t>
            </w:r>
          </w:p>
        </w:tc>
        <w:tc>
          <w:tcPr>
            <w:tcW w:w="838" w:type="pct"/>
            <w:vAlign w:val="center"/>
          </w:tcPr>
          <w:p w14:paraId="5A439B93" w14:textId="6489F94B" w:rsidR="008A7B1A" w:rsidRPr="005E6CBC" w:rsidRDefault="0036355B" w:rsidP="001D4554">
            <w:pPr>
              <w:pStyle w:val="COMTabletext"/>
              <w:jc w:val="center"/>
              <w:rPr>
                <w:rFonts w:ascii="Times" w:hAnsi="Times"/>
              </w:rPr>
            </w:pPr>
            <w:r w:rsidRPr="003F3210">
              <w:rPr>
                <w:color w:val="000000"/>
                <w:spacing w:val="66"/>
                <w:shd w:val="solid" w:color="000000" w:fill="000000"/>
                <w:fitText w:val="590" w:id="-1032112625"/>
                <w14:textFill>
                  <w14:solidFill>
                    <w14:srgbClr w14:val="000000">
                      <w14:alpha w14:val="100000"/>
                    </w14:srgbClr>
                  </w14:solidFill>
                </w14:textFill>
              </w:rPr>
              <w:t>|||||</w:t>
            </w:r>
            <w:r w:rsidRPr="003F3210">
              <w:rPr>
                <w:color w:val="000000"/>
                <w:spacing w:val="5"/>
                <w:shd w:val="solid" w:color="000000" w:fill="000000"/>
                <w:fitText w:val="590" w:id="-1032112625"/>
                <w14:textFill>
                  <w14:solidFill>
                    <w14:srgbClr w14:val="000000">
                      <w14:alpha w14:val="100000"/>
                    </w14:srgbClr>
                  </w14:solidFill>
                </w14:textFill>
              </w:rPr>
              <w:t>|</w:t>
            </w:r>
            <w:r w:rsidR="00980A59">
              <w:rPr>
                <w:snapToGrid w:val="0"/>
                <w:sz w:val="18"/>
                <w:szCs w:val="22"/>
                <w:vertAlign w:val="superscript"/>
              </w:rPr>
              <w:t>2</w:t>
            </w:r>
          </w:p>
        </w:tc>
      </w:tr>
      <w:tr w:rsidR="008A7B1A" w:rsidRPr="00EE64D8" w14:paraId="0EC8ACB6" w14:textId="77777777" w:rsidTr="001D4554">
        <w:tc>
          <w:tcPr>
            <w:tcW w:w="5000" w:type="pct"/>
            <w:gridSpan w:val="4"/>
            <w:vAlign w:val="center"/>
          </w:tcPr>
          <w:p w14:paraId="126383EC" w14:textId="7C9741F6" w:rsidR="008A7B1A" w:rsidRPr="005E6CBC" w:rsidRDefault="008A7B1A" w:rsidP="001D4554">
            <w:pPr>
              <w:pStyle w:val="COMTableheadingrow"/>
            </w:pPr>
            <w:r w:rsidRPr="005E6CBC">
              <w:t xml:space="preserve">Step 4: </w:t>
            </w:r>
            <w:r w:rsidRPr="009639E7">
              <w:t>Modelled analysis over 25 years, including drug, health state and acute event costs</w:t>
            </w:r>
            <w:r>
              <w:t xml:space="preserve">, </w:t>
            </w:r>
            <w:r w:rsidR="002F4519">
              <w:t>with</w:t>
            </w:r>
            <w:r>
              <w:t xml:space="preserve"> inclusion of utilities</w:t>
            </w:r>
          </w:p>
        </w:tc>
      </w:tr>
      <w:tr w:rsidR="008A7B1A" w:rsidRPr="00E2771E" w14:paraId="6B530562" w14:textId="77777777" w:rsidTr="001D4554">
        <w:tc>
          <w:tcPr>
            <w:tcW w:w="1888" w:type="pct"/>
            <w:vAlign w:val="center"/>
          </w:tcPr>
          <w:p w14:paraId="43966988" w14:textId="77777777" w:rsidR="008A7B1A" w:rsidRPr="00E2771E" w:rsidRDefault="008A7B1A" w:rsidP="001D4554">
            <w:pPr>
              <w:pStyle w:val="COMTabletext"/>
              <w:rPr>
                <w:rFonts w:ascii="Times" w:hAnsi="Times"/>
              </w:rPr>
            </w:pPr>
            <w:r w:rsidRPr="00E2771E">
              <w:t>Costs</w:t>
            </w:r>
          </w:p>
        </w:tc>
        <w:tc>
          <w:tcPr>
            <w:tcW w:w="1171" w:type="pct"/>
          </w:tcPr>
          <w:p w14:paraId="7C5B4EB5" w14:textId="193AB8EF" w:rsidR="008A7B1A" w:rsidRPr="005E6CBC" w:rsidRDefault="00502356" w:rsidP="001D4554">
            <w:pPr>
              <w:pStyle w:val="COMTabletext"/>
              <w:jc w:val="center"/>
              <w:rPr>
                <w:rFonts w:ascii="Times" w:hAnsi="Times"/>
              </w:rPr>
            </w:pPr>
            <w:r>
              <w:rPr>
                <w:rFonts w:hint="eastAsia"/>
              </w:rPr>
              <w:t>$</w:t>
            </w:r>
            <w:r w:rsidR="0036355B" w:rsidRPr="00E34A20">
              <w:rPr>
                <w:rFonts w:hint="eastAsia"/>
                <w:color w:val="000000"/>
                <w:w w:val="18"/>
                <w:shd w:val="solid" w:color="000000" w:fill="000000"/>
                <w:fitText w:val="100" w:id="-1032112639"/>
                <w14:textFill>
                  <w14:solidFill>
                    <w14:srgbClr w14:val="000000">
                      <w14:alpha w14:val="100000"/>
                    </w14:srgbClr>
                  </w14:solidFill>
                </w14:textFill>
              </w:rPr>
              <w:t xml:space="preserve">　</w:t>
            </w:r>
            <w:r w:rsidRPr="00E34A20">
              <w:rPr>
                <w:rFonts w:hint="eastAsia"/>
                <w:color w:val="000000"/>
                <w:w w:val="18"/>
                <w:shd w:val="solid" w:color="000000" w:fill="000000"/>
                <w:fitText w:val="100" w:id="-1032112639"/>
                <w14:textFill>
                  <w14:solidFill>
                    <w14:srgbClr w14:val="000000">
                      <w14:alpha w14:val="100000"/>
                    </w14:srgbClr>
                  </w14:solidFill>
                </w14:textFill>
              </w:rPr>
              <w:t>$</w:t>
            </w:r>
            <w:r w:rsidR="0036355B" w:rsidRPr="00E34A20">
              <w:rPr>
                <w:color w:val="000000"/>
                <w:w w:val="18"/>
                <w:shd w:val="solid" w:color="000000" w:fill="000000"/>
                <w:fitText w:val="100" w:id="-1032112639"/>
                <w14:textFill>
                  <w14:solidFill>
                    <w14:srgbClr w14:val="000000">
                      <w14:alpha w14:val="100000"/>
                    </w14:srgbClr>
                  </w14:solidFill>
                </w14:textFill>
              </w:rPr>
              <w:t>|</w:t>
            </w:r>
            <w:r w:rsidR="0036355B" w:rsidRPr="00E34A20">
              <w:rPr>
                <w:rFonts w:hint="eastAsia"/>
                <w:color w:val="000000"/>
                <w:spacing w:val="4"/>
                <w:w w:val="18"/>
                <w:shd w:val="solid" w:color="000000" w:fill="000000"/>
                <w:fitText w:val="100" w:id="-1032112639"/>
                <w14:textFill>
                  <w14:solidFill>
                    <w14:srgbClr w14:val="000000">
                      <w14:alpha w14:val="100000"/>
                    </w14:srgbClr>
                  </w14:solidFill>
                </w14:textFill>
              </w:rPr>
              <w:t xml:space="preserve">　</w:t>
            </w:r>
          </w:p>
        </w:tc>
        <w:tc>
          <w:tcPr>
            <w:tcW w:w="1103" w:type="pct"/>
          </w:tcPr>
          <w:p w14:paraId="55E780D2" w14:textId="77777777" w:rsidR="008A7B1A" w:rsidRPr="005E6CBC" w:rsidRDefault="008A7B1A" w:rsidP="001D4554">
            <w:pPr>
              <w:pStyle w:val="COMTabletext"/>
              <w:jc w:val="center"/>
              <w:rPr>
                <w:rFonts w:ascii="Times" w:hAnsi="Times"/>
              </w:rPr>
            </w:pPr>
            <w:r w:rsidRPr="0021516D">
              <w:t>$32,157</w:t>
            </w:r>
          </w:p>
        </w:tc>
        <w:tc>
          <w:tcPr>
            <w:tcW w:w="838" w:type="pct"/>
          </w:tcPr>
          <w:p w14:paraId="2D45D6ED" w14:textId="130B406A" w:rsidR="008A7B1A" w:rsidRPr="005E6CBC" w:rsidRDefault="0036355B" w:rsidP="001D4554">
            <w:pPr>
              <w:pStyle w:val="COMTabletext"/>
              <w:jc w:val="center"/>
              <w:rPr>
                <w:rFonts w:ascii="Times" w:hAnsi="Times"/>
              </w:rPr>
            </w:pPr>
            <w:r>
              <w:t xml:space="preserve"> </w:t>
            </w:r>
            <w:r w:rsidRPr="0036355B">
              <w:rPr>
                <w:color w:val="000000"/>
                <w:spacing w:val="40"/>
                <w:shd w:val="solid" w:color="000000" w:fill="000000"/>
                <w:fitText w:val="460" w:id="-1032112636"/>
                <w14:textFill>
                  <w14:solidFill>
                    <w14:srgbClr w14:val="000000">
                      <w14:alpha w14:val="100000"/>
                    </w14:srgbClr>
                  </w14:solidFill>
                </w14:textFill>
              </w:rPr>
              <w:t>|||||</w:t>
            </w:r>
            <w:r w:rsidRPr="0036355B">
              <w:rPr>
                <w:color w:val="000000"/>
                <w:spacing w:val="5"/>
                <w:shd w:val="solid" w:color="000000" w:fill="000000"/>
                <w:fitText w:val="460" w:id="-1032112636"/>
                <w14:textFill>
                  <w14:solidFill>
                    <w14:srgbClr w14:val="000000">
                      <w14:alpha w14:val="100000"/>
                    </w14:srgbClr>
                  </w14:solidFill>
                </w14:textFill>
              </w:rPr>
              <w:t>|</w:t>
            </w:r>
          </w:p>
        </w:tc>
      </w:tr>
      <w:tr w:rsidR="008A7B1A" w:rsidRPr="00E2771E" w14:paraId="00472173" w14:textId="77777777" w:rsidTr="001D4554">
        <w:tc>
          <w:tcPr>
            <w:tcW w:w="1888" w:type="pct"/>
            <w:vAlign w:val="center"/>
          </w:tcPr>
          <w:p w14:paraId="6B025EC9" w14:textId="77777777" w:rsidR="008A7B1A" w:rsidRPr="00E2771E" w:rsidRDefault="008A7B1A" w:rsidP="001D4554">
            <w:pPr>
              <w:pStyle w:val="COMTabletext"/>
              <w:rPr>
                <w:rFonts w:ascii="Times" w:hAnsi="Times"/>
              </w:rPr>
            </w:pPr>
            <w:r>
              <w:t>QALYs</w:t>
            </w:r>
          </w:p>
        </w:tc>
        <w:tc>
          <w:tcPr>
            <w:tcW w:w="1171" w:type="pct"/>
          </w:tcPr>
          <w:p w14:paraId="54FB2B4C" w14:textId="77777777" w:rsidR="008A7B1A" w:rsidRPr="005E6CBC" w:rsidRDefault="008A7B1A" w:rsidP="001D4554">
            <w:pPr>
              <w:pStyle w:val="COMTabletext"/>
              <w:jc w:val="center"/>
              <w:rPr>
                <w:rFonts w:ascii="Times" w:hAnsi="Times"/>
              </w:rPr>
            </w:pPr>
            <w:r w:rsidRPr="009B03A4">
              <w:t>9.560</w:t>
            </w:r>
          </w:p>
        </w:tc>
        <w:tc>
          <w:tcPr>
            <w:tcW w:w="1103" w:type="pct"/>
          </w:tcPr>
          <w:p w14:paraId="42B8DA33" w14:textId="77777777" w:rsidR="008A7B1A" w:rsidRPr="005E6CBC" w:rsidRDefault="008A7B1A" w:rsidP="001D4554">
            <w:pPr>
              <w:pStyle w:val="COMTabletext"/>
              <w:jc w:val="center"/>
              <w:rPr>
                <w:rFonts w:ascii="Times" w:hAnsi="Times"/>
              </w:rPr>
            </w:pPr>
            <w:r w:rsidRPr="009B03A4">
              <w:t>9.261</w:t>
            </w:r>
          </w:p>
        </w:tc>
        <w:tc>
          <w:tcPr>
            <w:tcW w:w="838" w:type="pct"/>
          </w:tcPr>
          <w:p w14:paraId="4897BD54" w14:textId="77777777" w:rsidR="008A7B1A" w:rsidRPr="005E6CBC" w:rsidRDefault="008A7B1A" w:rsidP="001D4554">
            <w:pPr>
              <w:pStyle w:val="COMTabletext"/>
              <w:jc w:val="center"/>
            </w:pPr>
            <w:r w:rsidRPr="009B03A4">
              <w:t>0.299</w:t>
            </w:r>
          </w:p>
        </w:tc>
      </w:tr>
      <w:tr w:rsidR="008A7B1A" w:rsidRPr="00E2771E" w14:paraId="7192B6A9" w14:textId="77777777" w:rsidTr="001D4554">
        <w:tc>
          <w:tcPr>
            <w:tcW w:w="4162" w:type="pct"/>
            <w:gridSpan w:val="3"/>
            <w:vAlign w:val="center"/>
          </w:tcPr>
          <w:p w14:paraId="43DAFBC3" w14:textId="77777777" w:rsidR="008A7B1A" w:rsidRPr="005E6CBC" w:rsidRDefault="008A7B1A" w:rsidP="001D4554">
            <w:pPr>
              <w:pStyle w:val="COMTabletext"/>
              <w:rPr>
                <w:rFonts w:ascii="Times" w:hAnsi="Times"/>
              </w:rPr>
            </w:pPr>
            <w:r w:rsidRPr="005E6CBC">
              <w:t xml:space="preserve">Incremental cost/extra </w:t>
            </w:r>
            <w:r>
              <w:t>QALY</w:t>
            </w:r>
            <w:r w:rsidRPr="005E6CBC">
              <w:t xml:space="preserve"> gained</w:t>
            </w:r>
          </w:p>
        </w:tc>
        <w:tc>
          <w:tcPr>
            <w:tcW w:w="838" w:type="pct"/>
            <w:vAlign w:val="center"/>
          </w:tcPr>
          <w:p w14:paraId="42F95084" w14:textId="3AB77BD9" w:rsidR="008A7B1A" w:rsidRPr="005E6CBC" w:rsidRDefault="0036355B" w:rsidP="001D4554">
            <w:pPr>
              <w:pStyle w:val="COMTabletext"/>
              <w:jc w:val="center"/>
              <w:rPr>
                <w:rFonts w:ascii="Times" w:hAnsi="Times"/>
              </w:rPr>
            </w:pPr>
            <w:r w:rsidRPr="003F3210">
              <w:rPr>
                <w:color w:val="000000"/>
                <w:spacing w:val="35"/>
                <w:shd w:val="solid" w:color="000000" w:fill="000000"/>
                <w:fitText w:val="590" w:id="-1032112633"/>
                <w14:textFill>
                  <w14:solidFill>
                    <w14:srgbClr w14:val="000000">
                      <w14:alpha w14:val="100000"/>
                    </w14:srgbClr>
                  </w14:solidFill>
                </w14:textFill>
              </w:rPr>
              <w:t>|||||||</w:t>
            </w:r>
            <w:r w:rsidRPr="003F3210">
              <w:rPr>
                <w:color w:val="000000"/>
                <w:spacing w:val="5"/>
                <w:shd w:val="solid" w:color="000000" w:fill="000000"/>
                <w:fitText w:val="590" w:id="-1032112633"/>
                <w14:textFill>
                  <w14:solidFill>
                    <w14:srgbClr w14:val="000000">
                      <w14:alpha w14:val="100000"/>
                    </w14:srgbClr>
                  </w14:solidFill>
                </w14:textFill>
              </w:rPr>
              <w:t>|</w:t>
            </w:r>
            <w:r w:rsidR="00980A59">
              <w:rPr>
                <w:snapToGrid w:val="0"/>
                <w:sz w:val="18"/>
                <w:szCs w:val="22"/>
                <w:vertAlign w:val="superscript"/>
              </w:rPr>
              <w:t>3</w:t>
            </w:r>
          </w:p>
        </w:tc>
      </w:tr>
      <w:tr w:rsidR="008A7B1A" w:rsidRPr="00EE64D8" w14:paraId="6C9AE73A" w14:textId="77777777" w:rsidTr="001D4554">
        <w:tc>
          <w:tcPr>
            <w:tcW w:w="5000" w:type="pct"/>
            <w:gridSpan w:val="4"/>
            <w:vAlign w:val="center"/>
          </w:tcPr>
          <w:p w14:paraId="24766204" w14:textId="6B0D6B8F" w:rsidR="008A7B1A" w:rsidRPr="005E6CBC" w:rsidRDefault="008A7B1A" w:rsidP="001D4554">
            <w:pPr>
              <w:pStyle w:val="COMTableheadingrow"/>
            </w:pPr>
            <w:r w:rsidRPr="005E6CBC">
              <w:t xml:space="preserve">Step 5: </w:t>
            </w:r>
            <w:r w:rsidRPr="00DC7561">
              <w:t>Modelled analysis over 25 years, including drug, health state and acute event costs, adjustment for age on cardiovascular risk</w:t>
            </w:r>
            <w:r>
              <w:t xml:space="preserve">, </w:t>
            </w:r>
            <w:r w:rsidR="002F4519">
              <w:t>with</w:t>
            </w:r>
            <w:r>
              <w:t xml:space="preserve"> inclusion of utilities</w:t>
            </w:r>
          </w:p>
        </w:tc>
      </w:tr>
      <w:tr w:rsidR="008A7B1A" w:rsidRPr="00E2771E" w14:paraId="3650335F" w14:textId="77777777" w:rsidTr="001D4554">
        <w:tc>
          <w:tcPr>
            <w:tcW w:w="1888" w:type="pct"/>
            <w:vAlign w:val="center"/>
          </w:tcPr>
          <w:p w14:paraId="0DA5899E" w14:textId="77777777" w:rsidR="008A7B1A" w:rsidRPr="00E2771E" w:rsidRDefault="008A7B1A" w:rsidP="001D4554">
            <w:pPr>
              <w:pStyle w:val="COMTabletext"/>
              <w:rPr>
                <w:rFonts w:ascii="Times" w:hAnsi="Times"/>
              </w:rPr>
            </w:pPr>
            <w:r w:rsidRPr="00E2771E">
              <w:t>Costs</w:t>
            </w:r>
          </w:p>
        </w:tc>
        <w:tc>
          <w:tcPr>
            <w:tcW w:w="1171" w:type="pct"/>
          </w:tcPr>
          <w:p w14:paraId="229D3B75" w14:textId="35FDBBD2" w:rsidR="008A7B1A" w:rsidRPr="005E6CBC" w:rsidRDefault="00502356" w:rsidP="001D4554">
            <w:pPr>
              <w:pStyle w:val="COMTabletext"/>
              <w:jc w:val="center"/>
              <w:rPr>
                <w:rFonts w:ascii="Times" w:hAnsi="Times"/>
              </w:rPr>
            </w:pPr>
            <w:r>
              <w:rPr>
                <w:rFonts w:hint="eastAsia"/>
              </w:rPr>
              <w:t>$</w:t>
            </w:r>
            <w:r w:rsidR="0036355B" w:rsidRPr="00502356">
              <w:rPr>
                <w:rFonts w:hint="eastAsia"/>
                <w:color w:val="000000"/>
                <w:w w:val="22"/>
                <w:shd w:val="solid" w:color="000000" w:fill="000000"/>
                <w:fitText w:val="100" w:id="-1032112630"/>
                <w14:textFill>
                  <w14:solidFill>
                    <w14:srgbClr w14:val="000000">
                      <w14:alpha w14:val="100000"/>
                    </w14:srgbClr>
                  </w14:solidFill>
                </w14:textFill>
              </w:rPr>
              <w:t xml:space="preserve">　</w:t>
            </w:r>
            <w:r w:rsidR="0036355B" w:rsidRPr="00502356">
              <w:rPr>
                <w:color w:val="000000"/>
                <w:w w:val="22"/>
                <w:shd w:val="solid" w:color="000000" w:fill="000000"/>
                <w:fitText w:val="100" w:id="-1032112630"/>
                <w14:textFill>
                  <w14:solidFill>
                    <w14:srgbClr w14:val="000000">
                      <w14:alpha w14:val="100000"/>
                    </w14:srgbClr>
                  </w14:solidFill>
                </w14:textFill>
              </w:rPr>
              <w:t>|</w:t>
            </w:r>
            <w:r w:rsidR="0036355B" w:rsidRPr="00502356">
              <w:rPr>
                <w:rFonts w:hint="eastAsia"/>
                <w:color w:val="000000"/>
                <w:w w:val="22"/>
                <w:shd w:val="solid" w:color="000000" w:fill="000000"/>
                <w:fitText w:val="100" w:id="-1032112630"/>
                <w14:textFill>
                  <w14:solidFill>
                    <w14:srgbClr w14:val="000000">
                      <w14:alpha w14:val="100000"/>
                    </w14:srgbClr>
                  </w14:solidFill>
                </w14:textFill>
              </w:rPr>
              <w:t xml:space="preserve">　</w:t>
            </w:r>
          </w:p>
        </w:tc>
        <w:tc>
          <w:tcPr>
            <w:tcW w:w="1103" w:type="pct"/>
          </w:tcPr>
          <w:p w14:paraId="04FEAECE" w14:textId="77777777" w:rsidR="008A7B1A" w:rsidRPr="005E6CBC" w:rsidRDefault="008A7B1A" w:rsidP="001D4554">
            <w:pPr>
              <w:pStyle w:val="COMTabletext"/>
              <w:jc w:val="center"/>
              <w:rPr>
                <w:rFonts w:ascii="Times" w:hAnsi="Times"/>
              </w:rPr>
            </w:pPr>
            <w:r w:rsidRPr="00F32FB2">
              <w:t>$32,466</w:t>
            </w:r>
          </w:p>
        </w:tc>
        <w:tc>
          <w:tcPr>
            <w:tcW w:w="838" w:type="pct"/>
          </w:tcPr>
          <w:p w14:paraId="3984CA43" w14:textId="66805BE9" w:rsidR="008A7B1A" w:rsidRPr="005E6CBC" w:rsidRDefault="0036355B" w:rsidP="001D4554">
            <w:pPr>
              <w:pStyle w:val="COMTabletext"/>
              <w:jc w:val="center"/>
              <w:rPr>
                <w:rFonts w:ascii="Times" w:hAnsi="Times"/>
              </w:rPr>
            </w:pPr>
            <w:r>
              <w:t xml:space="preserve"> </w:t>
            </w:r>
            <w:r w:rsidRPr="0036355B">
              <w:rPr>
                <w:color w:val="000000"/>
                <w:spacing w:val="40"/>
                <w:shd w:val="solid" w:color="000000" w:fill="000000"/>
                <w:fitText w:val="460" w:id="-1032112627"/>
                <w14:textFill>
                  <w14:solidFill>
                    <w14:srgbClr w14:val="000000">
                      <w14:alpha w14:val="100000"/>
                    </w14:srgbClr>
                  </w14:solidFill>
                </w14:textFill>
              </w:rPr>
              <w:t>|||||</w:t>
            </w:r>
            <w:r w:rsidRPr="0036355B">
              <w:rPr>
                <w:color w:val="000000"/>
                <w:spacing w:val="5"/>
                <w:shd w:val="solid" w:color="000000" w:fill="000000"/>
                <w:fitText w:val="460" w:id="-1032112627"/>
                <w14:textFill>
                  <w14:solidFill>
                    <w14:srgbClr w14:val="000000">
                      <w14:alpha w14:val="100000"/>
                    </w14:srgbClr>
                  </w14:solidFill>
                </w14:textFill>
              </w:rPr>
              <w:t>|</w:t>
            </w:r>
          </w:p>
        </w:tc>
      </w:tr>
      <w:tr w:rsidR="008A7B1A" w:rsidRPr="00E2771E" w14:paraId="7E371C12" w14:textId="77777777" w:rsidTr="001D4554">
        <w:tc>
          <w:tcPr>
            <w:tcW w:w="1888" w:type="pct"/>
            <w:vAlign w:val="center"/>
          </w:tcPr>
          <w:p w14:paraId="3DCFA4D8" w14:textId="77777777" w:rsidR="008A7B1A" w:rsidRPr="00E2771E" w:rsidRDefault="008A7B1A" w:rsidP="001D4554">
            <w:pPr>
              <w:pStyle w:val="COMTabletext"/>
              <w:rPr>
                <w:rFonts w:ascii="Times" w:hAnsi="Times"/>
              </w:rPr>
            </w:pPr>
            <w:r>
              <w:t>QALYs</w:t>
            </w:r>
          </w:p>
        </w:tc>
        <w:tc>
          <w:tcPr>
            <w:tcW w:w="1171" w:type="pct"/>
          </w:tcPr>
          <w:p w14:paraId="61F3CA6F" w14:textId="77777777" w:rsidR="008A7B1A" w:rsidRPr="005E6CBC" w:rsidRDefault="008A7B1A" w:rsidP="001D4554">
            <w:pPr>
              <w:pStyle w:val="COMTabletext"/>
              <w:jc w:val="center"/>
              <w:rPr>
                <w:rFonts w:ascii="Times" w:hAnsi="Times"/>
              </w:rPr>
            </w:pPr>
            <w:r w:rsidRPr="0067021B">
              <w:t>8.971</w:t>
            </w:r>
          </w:p>
        </w:tc>
        <w:tc>
          <w:tcPr>
            <w:tcW w:w="1103" w:type="pct"/>
          </w:tcPr>
          <w:p w14:paraId="60A9E79A" w14:textId="77777777" w:rsidR="008A7B1A" w:rsidRPr="005E6CBC" w:rsidRDefault="008A7B1A" w:rsidP="001D4554">
            <w:pPr>
              <w:pStyle w:val="COMTabletext"/>
              <w:jc w:val="center"/>
              <w:rPr>
                <w:rFonts w:ascii="Times" w:hAnsi="Times"/>
              </w:rPr>
            </w:pPr>
            <w:r w:rsidRPr="0067021B">
              <w:t>8.695</w:t>
            </w:r>
          </w:p>
        </w:tc>
        <w:tc>
          <w:tcPr>
            <w:tcW w:w="838" w:type="pct"/>
          </w:tcPr>
          <w:p w14:paraId="7126F2A2" w14:textId="77777777" w:rsidR="008A7B1A" w:rsidRPr="005E6CBC" w:rsidRDefault="008A7B1A" w:rsidP="001D4554">
            <w:pPr>
              <w:pStyle w:val="COMTabletext"/>
              <w:jc w:val="center"/>
            </w:pPr>
            <w:r w:rsidRPr="0067021B">
              <w:t>0.277</w:t>
            </w:r>
          </w:p>
        </w:tc>
      </w:tr>
      <w:tr w:rsidR="008A7B1A" w:rsidRPr="0017537B" w14:paraId="54EFB1DC" w14:textId="77777777" w:rsidTr="001D4554">
        <w:tc>
          <w:tcPr>
            <w:tcW w:w="4162" w:type="pct"/>
            <w:gridSpan w:val="3"/>
            <w:vAlign w:val="center"/>
          </w:tcPr>
          <w:p w14:paraId="233CDC0C" w14:textId="77777777" w:rsidR="008A7B1A" w:rsidRPr="00236F6B" w:rsidRDefault="008A7B1A" w:rsidP="001D4554">
            <w:pPr>
              <w:pStyle w:val="COMTabletext"/>
              <w:rPr>
                <w:rFonts w:ascii="Times" w:hAnsi="Times"/>
                <w:bCs w:val="0"/>
              </w:rPr>
            </w:pPr>
            <w:r w:rsidRPr="00236F6B">
              <w:rPr>
                <w:bCs w:val="0"/>
              </w:rPr>
              <w:t>Incremental cost/extra QALY gained</w:t>
            </w:r>
          </w:p>
        </w:tc>
        <w:tc>
          <w:tcPr>
            <w:tcW w:w="838" w:type="pct"/>
            <w:vAlign w:val="center"/>
          </w:tcPr>
          <w:p w14:paraId="70D2756C" w14:textId="3008D9ED" w:rsidR="008A7B1A" w:rsidRPr="00236F6B" w:rsidRDefault="0036355B" w:rsidP="001D4554">
            <w:pPr>
              <w:pStyle w:val="COMTabletext"/>
              <w:jc w:val="center"/>
              <w:rPr>
                <w:rFonts w:ascii="Times" w:hAnsi="Times"/>
                <w:bCs w:val="0"/>
              </w:rPr>
            </w:pPr>
            <w:r w:rsidRPr="003F3210">
              <w:rPr>
                <w:bCs w:val="0"/>
                <w:color w:val="000000"/>
                <w:spacing w:val="35"/>
                <w:shd w:val="solid" w:color="000000" w:fill="000000"/>
                <w:fitText w:val="590" w:id="-1032112624"/>
                <w14:textFill>
                  <w14:solidFill>
                    <w14:srgbClr w14:val="000000">
                      <w14:alpha w14:val="100000"/>
                    </w14:srgbClr>
                  </w14:solidFill>
                </w14:textFill>
              </w:rPr>
              <w:t>|||||||</w:t>
            </w:r>
            <w:r w:rsidRPr="003F3210">
              <w:rPr>
                <w:bCs w:val="0"/>
                <w:color w:val="000000"/>
                <w:spacing w:val="5"/>
                <w:shd w:val="solid" w:color="000000" w:fill="000000"/>
                <w:fitText w:val="590" w:id="-1032112624"/>
                <w14:textFill>
                  <w14:solidFill>
                    <w14:srgbClr w14:val="000000">
                      <w14:alpha w14:val="100000"/>
                    </w14:srgbClr>
                  </w14:solidFill>
                </w14:textFill>
              </w:rPr>
              <w:t>|</w:t>
            </w:r>
            <w:r w:rsidR="00980A59">
              <w:rPr>
                <w:snapToGrid w:val="0"/>
                <w:sz w:val="18"/>
                <w:szCs w:val="22"/>
                <w:vertAlign w:val="superscript"/>
              </w:rPr>
              <w:t>3</w:t>
            </w:r>
          </w:p>
        </w:tc>
      </w:tr>
      <w:tr w:rsidR="008A7B1A" w:rsidRPr="005E6CBC" w14:paraId="7E186079" w14:textId="77777777" w:rsidTr="001D4554">
        <w:tc>
          <w:tcPr>
            <w:tcW w:w="5000" w:type="pct"/>
            <w:gridSpan w:val="4"/>
            <w:vAlign w:val="center"/>
          </w:tcPr>
          <w:p w14:paraId="0A87280E" w14:textId="42D31FD4" w:rsidR="008A7B1A" w:rsidRPr="005E6CBC" w:rsidRDefault="008A7B1A" w:rsidP="001D4554">
            <w:pPr>
              <w:pStyle w:val="COMTableheadingrow"/>
            </w:pPr>
            <w:r w:rsidRPr="005E6CBC">
              <w:t xml:space="preserve">Step </w:t>
            </w:r>
            <w:r>
              <w:t>6</w:t>
            </w:r>
            <w:r w:rsidRPr="005E6CBC">
              <w:t xml:space="preserve">: </w:t>
            </w:r>
            <w:r w:rsidRPr="00236F6B">
              <w:t>Modelled analysis over 25 years including drug, health state and acute event costs, adjustment for age on cardiovascular risk, adjustment for potential impact of mineral oil on placebo outcomes</w:t>
            </w:r>
            <w:r>
              <w:t xml:space="preserve">, </w:t>
            </w:r>
            <w:r w:rsidR="002F4519">
              <w:t>with</w:t>
            </w:r>
            <w:r>
              <w:t xml:space="preserve"> inclusion of utilities</w:t>
            </w:r>
          </w:p>
        </w:tc>
      </w:tr>
      <w:tr w:rsidR="008A7B1A" w:rsidRPr="005E6CBC" w14:paraId="7CABDCA4" w14:textId="77777777" w:rsidTr="001D4554">
        <w:tc>
          <w:tcPr>
            <w:tcW w:w="1888" w:type="pct"/>
            <w:vAlign w:val="center"/>
          </w:tcPr>
          <w:p w14:paraId="0839F56D" w14:textId="77777777" w:rsidR="008A7B1A" w:rsidRPr="00E2771E" w:rsidRDefault="008A7B1A" w:rsidP="001D4554">
            <w:pPr>
              <w:pStyle w:val="COMTabletext"/>
              <w:rPr>
                <w:rFonts w:ascii="Times" w:hAnsi="Times"/>
              </w:rPr>
            </w:pPr>
            <w:r w:rsidRPr="00E2771E">
              <w:t>Costs</w:t>
            </w:r>
          </w:p>
        </w:tc>
        <w:tc>
          <w:tcPr>
            <w:tcW w:w="1171" w:type="pct"/>
          </w:tcPr>
          <w:p w14:paraId="328906A1" w14:textId="0049B7C5" w:rsidR="008A7B1A" w:rsidRPr="005E6CBC" w:rsidRDefault="00502356" w:rsidP="001D4554">
            <w:pPr>
              <w:pStyle w:val="COMTabletext"/>
              <w:jc w:val="center"/>
              <w:rPr>
                <w:rFonts w:ascii="Times" w:hAnsi="Times"/>
              </w:rPr>
            </w:pPr>
            <w:r>
              <w:rPr>
                <w:rFonts w:hint="eastAsia"/>
              </w:rPr>
              <w:t>$</w:t>
            </w:r>
            <w:r w:rsidR="0036355B" w:rsidRPr="00502356">
              <w:rPr>
                <w:rFonts w:hint="eastAsia"/>
                <w:color w:val="000000"/>
                <w:w w:val="22"/>
                <w:shd w:val="solid" w:color="000000" w:fill="000000"/>
                <w:fitText w:val="100" w:id="-1032112638"/>
                <w14:textFill>
                  <w14:solidFill>
                    <w14:srgbClr w14:val="000000">
                      <w14:alpha w14:val="100000"/>
                    </w14:srgbClr>
                  </w14:solidFill>
                </w14:textFill>
              </w:rPr>
              <w:t xml:space="preserve">　</w:t>
            </w:r>
            <w:r w:rsidR="0036355B" w:rsidRPr="00502356">
              <w:rPr>
                <w:color w:val="000000"/>
                <w:w w:val="22"/>
                <w:shd w:val="solid" w:color="000000" w:fill="000000"/>
                <w:fitText w:val="100" w:id="-1032112638"/>
                <w14:textFill>
                  <w14:solidFill>
                    <w14:srgbClr w14:val="000000">
                      <w14:alpha w14:val="100000"/>
                    </w14:srgbClr>
                  </w14:solidFill>
                </w14:textFill>
              </w:rPr>
              <w:t>|</w:t>
            </w:r>
            <w:r w:rsidR="0036355B" w:rsidRPr="00502356">
              <w:rPr>
                <w:rFonts w:hint="eastAsia"/>
                <w:color w:val="000000"/>
                <w:w w:val="22"/>
                <w:shd w:val="solid" w:color="000000" w:fill="000000"/>
                <w:fitText w:val="100" w:id="-1032112638"/>
                <w14:textFill>
                  <w14:solidFill>
                    <w14:srgbClr w14:val="000000">
                      <w14:alpha w14:val="100000"/>
                    </w14:srgbClr>
                  </w14:solidFill>
                </w14:textFill>
              </w:rPr>
              <w:t xml:space="preserve">　</w:t>
            </w:r>
          </w:p>
        </w:tc>
        <w:tc>
          <w:tcPr>
            <w:tcW w:w="1103" w:type="pct"/>
          </w:tcPr>
          <w:p w14:paraId="4DD01286" w14:textId="77777777" w:rsidR="008A7B1A" w:rsidRPr="005E6CBC" w:rsidRDefault="008A7B1A" w:rsidP="001D4554">
            <w:pPr>
              <w:pStyle w:val="COMTabletext"/>
              <w:jc w:val="center"/>
              <w:rPr>
                <w:rFonts w:ascii="Times" w:hAnsi="Times"/>
              </w:rPr>
            </w:pPr>
            <w:r w:rsidRPr="004E454A">
              <w:t>$31,543</w:t>
            </w:r>
          </w:p>
        </w:tc>
        <w:tc>
          <w:tcPr>
            <w:tcW w:w="838" w:type="pct"/>
          </w:tcPr>
          <w:p w14:paraId="426375D2" w14:textId="21E1D5C2" w:rsidR="008A7B1A" w:rsidRPr="005E6CBC" w:rsidRDefault="0036355B" w:rsidP="001D4554">
            <w:pPr>
              <w:pStyle w:val="COMTabletext"/>
              <w:jc w:val="center"/>
              <w:rPr>
                <w:rFonts w:ascii="Times" w:hAnsi="Times"/>
              </w:rPr>
            </w:pPr>
            <w:r>
              <w:t xml:space="preserve"> </w:t>
            </w:r>
            <w:r w:rsidRPr="0036355B">
              <w:rPr>
                <w:color w:val="000000"/>
                <w:spacing w:val="40"/>
                <w:shd w:val="solid" w:color="000000" w:fill="000000"/>
                <w:fitText w:val="460" w:id="-1032112635"/>
                <w14:textFill>
                  <w14:solidFill>
                    <w14:srgbClr w14:val="000000">
                      <w14:alpha w14:val="100000"/>
                    </w14:srgbClr>
                  </w14:solidFill>
                </w14:textFill>
              </w:rPr>
              <w:t>|||||</w:t>
            </w:r>
            <w:r w:rsidRPr="0036355B">
              <w:rPr>
                <w:color w:val="000000"/>
                <w:spacing w:val="5"/>
                <w:shd w:val="solid" w:color="000000" w:fill="000000"/>
                <w:fitText w:val="460" w:id="-1032112635"/>
                <w14:textFill>
                  <w14:solidFill>
                    <w14:srgbClr w14:val="000000">
                      <w14:alpha w14:val="100000"/>
                    </w14:srgbClr>
                  </w14:solidFill>
                </w14:textFill>
              </w:rPr>
              <w:t>|</w:t>
            </w:r>
          </w:p>
        </w:tc>
      </w:tr>
      <w:tr w:rsidR="008A7B1A" w:rsidRPr="005E6CBC" w14:paraId="46F027E0" w14:textId="77777777" w:rsidTr="001D4554">
        <w:tc>
          <w:tcPr>
            <w:tcW w:w="1888" w:type="pct"/>
            <w:vAlign w:val="center"/>
          </w:tcPr>
          <w:p w14:paraId="683C7A3C" w14:textId="77777777" w:rsidR="008A7B1A" w:rsidRPr="00E2771E" w:rsidRDefault="008A7B1A" w:rsidP="001D4554">
            <w:pPr>
              <w:pStyle w:val="COMTabletext"/>
              <w:rPr>
                <w:rFonts w:ascii="Times" w:hAnsi="Times"/>
              </w:rPr>
            </w:pPr>
            <w:r>
              <w:t>QALYs</w:t>
            </w:r>
          </w:p>
        </w:tc>
        <w:tc>
          <w:tcPr>
            <w:tcW w:w="1171" w:type="pct"/>
          </w:tcPr>
          <w:p w14:paraId="732A36F8" w14:textId="77777777" w:rsidR="008A7B1A" w:rsidRPr="005E6CBC" w:rsidRDefault="008A7B1A" w:rsidP="001D4554">
            <w:pPr>
              <w:pStyle w:val="COMTabletext"/>
              <w:jc w:val="center"/>
              <w:rPr>
                <w:rFonts w:ascii="Times" w:hAnsi="Times"/>
              </w:rPr>
            </w:pPr>
            <w:r w:rsidRPr="006028A0">
              <w:t>9.039</w:t>
            </w:r>
          </w:p>
        </w:tc>
        <w:tc>
          <w:tcPr>
            <w:tcW w:w="1103" w:type="pct"/>
          </w:tcPr>
          <w:p w14:paraId="358BCCDE" w14:textId="77777777" w:rsidR="008A7B1A" w:rsidRPr="005E6CBC" w:rsidRDefault="008A7B1A" w:rsidP="001D4554">
            <w:pPr>
              <w:pStyle w:val="COMTabletext"/>
              <w:jc w:val="center"/>
              <w:rPr>
                <w:rFonts w:ascii="Times" w:hAnsi="Times"/>
              </w:rPr>
            </w:pPr>
            <w:r w:rsidRPr="006028A0">
              <w:t>8.779</w:t>
            </w:r>
          </w:p>
        </w:tc>
        <w:tc>
          <w:tcPr>
            <w:tcW w:w="838" w:type="pct"/>
          </w:tcPr>
          <w:p w14:paraId="4F3F3564" w14:textId="77777777" w:rsidR="008A7B1A" w:rsidRPr="005E6CBC" w:rsidRDefault="008A7B1A" w:rsidP="001D4554">
            <w:pPr>
              <w:pStyle w:val="COMTabletext"/>
              <w:jc w:val="center"/>
            </w:pPr>
            <w:r w:rsidRPr="006028A0">
              <w:t>0.260</w:t>
            </w:r>
          </w:p>
        </w:tc>
      </w:tr>
      <w:tr w:rsidR="008A7B1A" w:rsidRPr="000653B5" w14:paraId="46E224A8" w14:textId="77777777" w:rsidTr="001D4554">
        <w:tc>
          <w:tcPr>
            <w:tcW w:w="4162" w:type="pct"/>
            <w:gridSpan w:val="3"/>
            <w:vAlign w:val="center"/>
          </w:tcPr>
          <w:p w14:paraId="0636A175" w14:textId="77777777" w:rsidR="008A7B1A" w:rsidRPr="000653B5" w:rsidRDefault="008A7B1A" w:rsidP="001D4554">
            <w:pPr>
              <w:pStyle w:val="COMTabletext"/>
              <w:rPr>
                <w:rFonts w:ascii="Times" w:hAnsi="Times"/>
                <w:b/>
              </w:rPr>
            </w:pPr>
            <w:r w:rsidRPr="000653B5">
              <w:rPr>
                <w:b/>
              </w:rPr>
              <w:t>Incremental cost/extra QALY gained (base case)</w:t>
            </w:r>
          </w:p>
        </w:tc>
        <w:tc>
          <w:tcPr>
            <w:tcW w:w="838" w:type="pct"/>
            <w:vAlign w:val="center"/>
          </w:tcPr>
          <w:p w14:paraId="78DCBA40" w14:textId="0D7E5F2F" w:rsidR="008A7B1A" w:rsidRPr="00236F6B" w:rsidRDefault="0036355B" w:rsidP="001D4554">
            <w:pPr>
              <w:pStyle w:val="COMTabletext"/>
              <w:jc w:val="center"/>
              <w:rPr>
                <w:rFonts w:ascii="Times" w:hAnsi="Times"/>
                <w:b/>
                <w:bCs w:val="0"/>
              </w:rPr>
            </w:pPr>
            <w:r w:rsidRPr="003F3210">
              <w:rPr>
                <w:b/>
                <w:bCs w:val="0"/>
                <w:color w:val="000000"/>
                <w:spacing w:val="40"/>
                <w:shd w:val="solid" w:color="000000" w:fill="000000"/>
                <w:fitText w:val="650" w:id="-1032112632"/>
                <w14:textFill>
                  <w14:solidFill>
                    <w14:srgbClr w14:val="000000">
                      <w14:alpha w14:val="100000"/>
                    </w14:srgbClr>
                  </w14:solidFill>
                </w14:textFill>
              </w:rPr>
              <w:t>|||||||</w:t>
            </w:r>
            <w:r w:rsidRPr="003F3210">
              <w:rPr>
                <w:b/>
                <w:bCs w:val="0"/>
                <w:color w:val="000000"/>
                <w:spacing w:val="3"/>
                <w:shd w:val="solid" w:color="000000" w:fill="000000"/>
                <w:fitText w:val="650" w:id="-1032112632"/>
                <w14:textFill>
                  <w14:solidFill>
                    <w14:srgbClr w14:val="000000">
                      <w14:alpha w14:val="100000"/>
                    </w14:srgbClr>
                  </w14:solidFill>
                </w14:textFill>
              </w:rPr>
              <w:t>|</w:t>
            </w:r>
            <w:r w:rsidR="00980A59">
              <w:rPr>
                <w:snapToGrid w:val="0"/>
                <w:sz w:val="18"/>
                <w:szCs w:val="22"/>
                <w:vertAlign w:val="superscript"/>
              </w:rPr>
              <w:t>2</w:t>
            </w:r>
          </w:p>
        </w:tc>
      </w:tr>
      <w:tr w:rsidR="00EB54E6" w:rsidRPr="005E6CBC" w14:paraId="25109616" w14:textId="77777777" w:rsidTr="00B61BA5">
        <w:tc>
          <w:tcPr>
            <w:tcW w:w="5000" w:type="pct"/>
            <w:gridSpan w:val="4"/>
            <w:vAlign w:val="center"/>
          </w:tcPr>
          <w:p w14:paraId="4CEC6CA3" w14:textId="4AE0FF45" w:rsidR="00EB54E6" w:rsidRPr="005E6CBC" w:rsidRDefault="00EB54E6" w:rsidP="00B61BA5">
            <w:pPr>
              <w:pStyle w:val="COMTableheadingrow"/>
            </w:pPr>
            <w:r>
              <w:t>Pre-PBAC revised base case (7% adjustment for potential impact of mineral oil and $2,000 cost applied to the ‘event free’ health state)</w:t>
            </w:r>
          </w:p>
        </w:tc>
      </w:tr>
      <w:tr w:rsidR="00EB54E6" w:rsidRPr="005E6CBC" w14:paraId="44DDF334" w14:textId="77777777" w:rsidTr="00B61BA5">
        <w:tc>
          <w:tcPr>
            <w:tcW w:w="1888" w:type="pct"/>
            <w:vAlign w:val="center"/>
          </w:tcPr>
          <w:p w14:paraId="085AA0EA" w14:textId="77777777" w:rsidR="00EB54E6" w:rsidRPr="00E2771E" w:rsidRDefault="00EB54E6" w:rsidP="00B61BA5">
            <w:pPr>
              <w:pStyle w:val="COMTabletext"/>
              <w:rPr>
                <w:rFonts w:ascii="Times" w:hAnsi="Times"/>
              </w:rPr>
            </w:pPr>
            <w:r w:rsidRPr="00E2771E">
              <w:t>Costs</w:t>
            </w:r>
          </w:p>
        </w:tc>
        <w:tc>
          <w:tcPr>
            <w:tcW w:w="1171" w:type="pct"/>
          </w:tcPr>
          <w:p w14:paraId="17DBD919" w14:textId="07D4E5DF" w:rsidR="00EB54E6" w:rsidRPr="005E6CBC" w:rsidRDefault="00502356" w:rsidP="00B61BA5">
            <w:pPr>
              <w:pStyle w:val="COMTabletext"/>
              <w:jc w:val="center"/>
              <w:rPr>
                <w:rFonts w:ascii="Times" w:hAnsi="Times"/>
              </w:rPr>
            </w:pPr>
            <w:r>
              <w:rPr>
                <w:rFonts w:hint="eastAsia"/>
              </w:rPr>
              <w:t>$</w:t>
            </w:r>
            <w:r w:rsidR="0036355B" w:rsidRPr="00502356">
              <w:rPr>
                <w:rFonts w:hint="eastAsia"/>
                <w:color w:val="000000"/>
                <w:w w:val="22"/>
                <w:shd w:val="solid" w:color="000000" w:fill="000000"/>
                <w:fitText w:val="100" w:id="-1032112629"/>
                <w14:textFill>
                  <w14:solidFill>
                    <w14:srgbClr w14:val="000000">
                      <w14:alpha w14:val="100000"/>
                    </w14:srgbClr>
                  </w14:solidFill>
                </w14:textFill>
              </w:rPr>
              <w:t xml:space="preserve">　</w:t>
            </w:r>
            <w:r w:rsidR="0036355B" w:rsidRPr="00502356">
              <w:rPr>
                <w:color w:val="000000"/>
                <w:w w:val="22"/>
                <w:shd w:val="solid" w:color="000000" w:fill="000000"/>
                <w:fitText w:val="100" w:id="-1032112629"/>
                <w14:textFill>
                  <w14:solidFill>
                    <w14:srgbClr w14:val="000000">
                      <w14:alpha w14:val="100000"/>
                    </w14:srgbClr>
                  </w14:solidFill>
                </w14:textFill>
              </w:rPr>
              <w:t>|</w:t>
            </w:r>
            <w:r w:rsidR="0036355B" w:rsidRPr="00502356">
              <w:rPr>
                <w:rFonts w:hint="eastAsia"/>
                <w:color w:val="000000"/>
                <w:w w:val="22"/>
                <w:shd w:val="solid" w:color="000000" w:fill="000000"/>
                <w:fitText w:val="100" w:id="-1032112629"/>
                <w14:textFill>
                  <w14:solidFill>
                    <w14:srgbClr w14:val="000000">
                      <w14:alpha w14:val="100000"/>
                    </w14:srgbClr>
                  </w14:solidFill>
                </w14:textFill>
              </w:rPr>
              <w:t xml:space="preserve">　</w:t>
            </w:r>
          </w:p>
        </w:tc>
        <w:tc>
          <w:tcPr>
            <w:tcW w:w="1103" w:type="pct"/>
          </w:tcPr>
          <w:p w14:paraId="68244E60" w14:textId="4D09F263" w:rsidR="00EB54E6" w:rsidRPr="005E6CBC" w:rsidRDefault="00EB54E6" w:rsidP="00B61BA5">
            <w:pPr>
              <w:pStyle w:val="COMTabletext"/>
              <w:jc w:val="center"/>
              <w:rPr>
                <w:rFonts w:ascii="Times" w:hAnsi="Times"/>
              </w:rPr>
            </w:pPr>
            <w:r w:rsidRPr="004E454A">
              <w:t>$</w:t>
            </w:r>
            <w:r>
              <w:t>47,307</w:t>
            </w:r>
          </w:p>
        </w:tc>
        <w:tc>
          <w:tcPr>
            <w:tcW w:w="838" w:type="pct"/>
          </w:tcPr>
          <w:p w14:paraId="53DF9EDA" w14:textId="77F8BF2D" w:rsidR="00EB54E6" w:rsidRPr="005E6CBC" w:rsidRDefault="0036355B" w:rsidP="00B61BA5">
            <w:pPr>
              <w:pStyle w:val="COMTabletext"/>
              <w:jc w:val="center"/>
              <w:rPr>
                <w:rFonts w:ascii="Times" w:hAnsi="Times"/>
              </w:rPr>
            </w:pPr>
            <w:r>
              <w:t xml:space="preserve"> </w:t>
            </w:r>
            <w:r w:rsidRPr="0036355B">
              <w:rPr>
                <w:color w:val="000000"/>
                <w:spacing w:val="40"/>
                <w:shd w:val="solid" w:color="000000" w:fill="000000"/>
                <w:fitText w:val="460" w:id="-1032112626"/>
                <w14:textFill>
                  <w14:solidFill>
                    <w14:srgbClr w14:val="000000">
                      <w14:alpha w14:val="100000"/>
                    </w14:srgbClr>
                  </w14:solidFill>
                </w14:textFill>
              </w:rPr>
              <w:t>|||||</w:t>
            </w:r>
            <w:r w:rsidRPr="0036355B">
              <w:rPr>
                <w:color w:val="000000"/>
                <w:spacing w:val="5"/>
                <w:shd w:val="solid" w:color="000000" w:fill="000000"/>
                <w:fitText w:val="460" w:id="-1032112626"/>
                <w14:textFill>
                  <w14:solidFill>
                    <w14:srgbClr w14:val="000000">
                      <w14:alpha w14:val="100000"/>
                    </w14:srgbClr>
                  </w14:solidFill>
                </w14:textFill>
              </w:rPr>
              <w:t>|</w:t>
            </w:r>
          </w:p>
        </w:tc>
      </w:tr>
      <w:tr w:rsidR="00EB54E6" w:rsidRPr="005E6CBC" w14:paraId="7411A523" w14:textId="77777777" w:rsidTr="00B61BA5">
        <w:tc>
          <w:tcPr>
            <w:tcW w:w="1888" w:type="pct"/>
            <w:vAlign w:val="center"/>
          </w:tcPr>
          <w:p w14:paraId="11C7DBD9" w14:textId="77777777" w:rsidR="00EB54E6" w:rsidRPr="00E2771E" w:rsidRDefault="00EB54E6" w:rsidP="00B61BA5">
            <w:pPr>
              <w:pStyle w:val="COMTabletext"/>
              <w:rPr>
                <w:rFonts w:ascii="Times" w:hAnsi="Times"/>
              </w:rPr>
            </w:pPr>
            <w:r>
              <w:t>QALYs</w:t>
            </w:r>
          </w:p>
        </w:tc>
        <w:tc>
          <w:tcPr>
            <w:tcW w:w="1171" w:type="pct"/>
          </w:tcPr>
          <w:p w14:paraId="3B49D206" w14:textId="6E5B3540" w:rsidR="00EB54E6" w:rsidRPr="005E6CBC" w:rsidRDefault="00EB54E6" w:rsidP="00B61BA5">
            <w:pPr>
              <w:pStyle w:val="COMTabletext"/>
              <w:jc w:val="center"/>
              <w:rPr>
                <w:rFonts w:ascii="Times" w:hAnsi="Times"/>
              </w:rPr>
            </w:pPr>
            <w:r>
              <w:t>9.130</w:t>
            </w:r>
          </w:p>
        </w:tc>
        <w:tc>
          <w:tcPr>
            <w:tcW w:w="1103" w:type="pct"/>
          </w:tcPr>
          <w:p w14:paraId="1A0B00E1" w14:textId="622308F1" w:rsidR="00EB54E6" w:rsidRPr="005E6CBC" w:rsidRDefault="00EB54E6" w:rsidP="00B61BA5">
            <w:pPr>
              <w:pStyle w:val="COMTabletext"/>
              <w:jc w:val="center"/>
              <w:rPr>
                <w:rFonts w:ascii="Times" w:hAnsi="Times"/>
              </w:rPr>
            </w:pPr>
            <w:r>
              <w:t>8.893</w:t>
            </w:r>
          </w:p>
        </w:tc>
        <w:tc>
          <w:tcPr>
            <w:tcW w:w="838" w:type="pct"/>
          </w:tcPr>
          <w:p w14:paraId="332D8344" w14:textId="79929FC1" w:rsidR="00EB54E6" w:rsidRPr="005E6CBC" w:rsidRDefault="00EB54E6" w:rsidP="00B61BA5">
            <w:pPr>
              <w:pStyle w:val="COMTabletext"/>
              <w:jc w:val="center"/>
            </w:pPr>
            <w:r>
              <w:t>0.237</w:t>
            </w:r>
          </w:p>
        </w:tc>
      </w:tr>
      <w:tr w:rsidR="00EB54E6" w:rsidRPr="000653B5" w14:paraId="289FC4CA" w14:textId="77777777" w:rsidTr="00B61BA5">
        <w:tc>
          <w:tcPr>
            <w:tcW w:w="4162" w:type="pct"/>
            <w:gridSpan w:val="3"/>
            <w:vAlign w:val="center"/>
          </w:tcPr>
          <w:p w14:paraId="63F91CF5" w14:textId="77777777" w:rsidR="00EB54E6" w:rsidRPr="000653B5" w:rsidRDefault="00EB54E6" w:rsidP="00B61BA5">
            <w:pPr>
              <w:pStyle w:val="COMTabletext"/>
              <w:rPr>
                <w:rFonts w:ascii="Times" w:hAnsi="Times"/>
                <w:b/>
              </w:rPr>
            </w:pPr>
            <w:r w:rsidRPr="000653B5">
              <w:rPr>
                <w:b/>
              </w:rPr>
              <w:t>Incremental cost/extra QALY gained (base case)</w:t>
            </w:r>
          </w:p>
        </w:tc>
        <w:tc>
          <w:tcPr>
            <w:tcW w:w="838" w:type="pct"/>
            <w:vAlign w:val="center"/>
          </w:tcPr>
          <w:p w14:paraId="66D8DCE9" w14:textId="0DACFF6F" w:rsidR="00EB54E6" w:rsidRPr="00236F6B" w:rsidRDefault="0036355B" w:rsidP="00B61BA5">
            <w:pPr>
              <w:pStyle w:val="COMTabletext"/>
              <w:jc w:val="center"/>
              <w:rPr>
                <w:rFonts w:ascii="Times" w:hAnsi="Times"/>
                <w:b/>
                <w:bCs w:val="0"/>
              </w:rPr>
            </w:pPr>
            <w:r w:rsidRPr="003F3210">
              <w:rPr>
                <w:b/>
                <w:bCs w:val="0"/>
                <w:color w:val="000000"/>
                <w:spacing w:val="40"/>
                <w:shd w:val="solid" w:color="000000" w:fill="000000"/>
                <w:fitText w:val="650" w:id="-1032112640"/>
                <w14:textFill>
                  <w14:solidFill>
                    <w14:srgbClr w14:val="000000">
                      <w14:alpha w14:val="100000"/>
                    </w14:srgbClr>
                  </w14:solidFill>
                </w14:textFill>
              </w:rPr>
              <w:t>|||||||</w:t>
            </w:r>
            <w:r w:rsidRPr="003F3210">
              <w:rPr>
                <w:b/>
                <w:bCs w:val="0"/>
                <w:color w:val="000000"/>
                <w:spacing w:val="3"/>
                <w:shd w:val="solid" w:color="000000" w:fill="000000"/>
                <w:fitText w:val="650" w:id="-1032112640"/>
                <w14:textFill>
                  <w14:solidFill>
                    <w14:srgbClr w14:val="000000">
                      <w14:alpha w14:val="100000"/>
                    </w14:srgbClr>
                  </w14:solidFill>
                </w14:textFill>
              </w:rPr>
              <w:t>|</w:t>
            </w:r>
            <w:r w:rsidR="00980A59">
              <w:rPr>
                <w:snapToGrid w:val="0"/>
                <w:sz w:val="18"/>
                <w:szCs w:val="22"/>
                <w:vertAlign w:val="superscript"/>
              </w:rPr>
              <w:t>2</w:t>
            </w:r>
          </w:p>
        </w:tc>
      </w:tr>
    </w:tbl>
    <w:p w14:paraId="6CA52129" w14:textId="77777777" w:rsidR="008A7B1A" w:rsidRDefault="008A7B1A" w:rsidP="005441F2">
      <w:pPr>
        <w:pStyle w:val="COMTablefooter"/>
        <w:spacing w:after="0"/>
      </w:pPr>
      <w:r>
        <w:t>Source: Constructed using the Section 3 economic model Excel workbook.</w:t>
      </w:r>
    </w:p>
    <w:p w14:paraId="15F623D3" w14:textId="1BFB9B18" w:rsidR="008A7B1A" w:rsidRDefault="008A7B1A" w:rsidP="005441F2">
      <w:pPr>
        <w:pStyle w:val="COMTablefooter"/>
        <w:spacing w:after="0"/>
      </w:pPr>
      <w:r>
        <w:t xml:space="preserve">Abbreviations: </w:t>
      </w:r>
      <w:r w:rsidR="002F4519">
        <w:t xml:space="preserve">LY, life year; </w:t>
      </w:r>
      <w:r>
        <w:t>QALY, quality-adjusted life year.</w:t>
      </w:r>
    </w:p>
    <w:p w14:paraId="1E79A443" w14:textId="36C0B66D" w:rsidR="00980A59" w:rsidRPr="005441F2" w:rsidRDefault="00980A59" w:rsidP="00980A59">
      <w:pPr>
        <w:rPr>
          <w:rFonts w:ascii="Arial Narrow" w:hAnsi="Arial Narrow"/>
          <w:i/>
          <w:iCs/>
          <w:snapToGrid w:val="0"/>
          <w:sz w:val="18"/>
          <w:szCs w:val="22"/>
        </w:rPr>
      </w:pPr>
      <w:r w:rsidRPr="005441F2">
        <w:rPr>
          <w:rFonts w:ascii="Arial Narrow" w:hAnsi="Arial Narrow"/>
          <w:i/>
          <w:iCs/>
          <w:snapToGrid w:val="0"/>
          <w:sz w:val="18"/>
          <w:szCs w:val="22"/>
        </w:rPr>
        <w:t>The redacted values correspond to the following ranges:</w:t>
      </w:r>
    </w:p>
    <w:p w14:paraId="1A23517C" w14:textId="101D6BC2" w:rsidR="00980A59" w:rsidRPr="005441F2" w:rsidRDefault="00980A59" w:rsidP="00980A59">
      <w:pPr>
        <w:rPr>
          <w:rFonts w:ascii="Arial Narrow" w:hAnsi="Arial Narrow"/>
          <w:i/>
          <w:iCs/>
          <w:snapToGrid w:val="0"/>
          <w:sz w:val="18"/>
          <w:szCs w:val="22"/>
        </w:rPr>
      </w:pPr>
      <w:r w:rsidRPr="005441F2">
        <w:rPr>
          <w:rFonts w:ascii="Arial Narrow" w:hAnsi="Arial Narrow"/>
          <w:i/>
          <w:iCs/>
          <w:snapToGrid w:val="0"/>
          <w:sz w:val="18"/>
          <w:szCs w:val="22"/>
          <w:vertAlign w:val="superscript"/>
        </w:rPr>
        <w:t>1</w:t>
      </w:r>
      <w:r w:rsidRPr="005441F2">
        <w:rPr>
          <w:rFonts w:ascii="Arial Narrow" w:hAnsi="Arial Narrow"/>
          <w:i/>
          <w:iCs/>
          <w:snapToGrid w:val="0"/>
          <w:sz w:val="18"/>
          <w:szCs w:val="22"/>
        </w:rPr>
        <w:t xml:space="preserve"> $155,000 to &lt; $255,000</w:t>
      </w:r>
    </w:p>
    <w:p w14:paraId="53BB9A63" w14:textId="03D2C45A" w:rsidR="00980A59" w:rsidRPr="005441F2" w:rsidRDefault="00980A59" w:rsidP="00980A59">
      <w:pPr>
        <w:rPr>
          <w:rFonts w:ascii="Arial Narrow" w:hAnsi="Arial Narrow"/>
          <w:i/>
          <w:iCs/>
          <w:snapToGrid w:val="0"/>
          <w:sz w:val="18"/>
          <w:szCs w:val="22"/>
        </w:rPr>
      </w:pPr>
      <w:r w:rsidRPr="005441F2">
        <w:rPr>
          <w:rFonts w:ascii="Arial Narrow" w:hAnsi="Arial Narrow"/>
          <w:i/>
          <w:iCs/>
          <w:snapToGrid w:val="0"/>
          <w:sz w:val="18"/>
          <w:szCs w:val="22"/>
          <w:vertAlign w:val="superscript"/>
        </w:rPr>
        <w:t>2</w:t>
      </w:r>
      <w:r w:rsidRPr="005441F2">
        <w:rPr>
          <w:rFonts w:ascii="Arial Narrow" w:hAnsi="Arial Narrow"/>
          <w:i/>
          <w:iCs/>
          <w:snapToGrid w:val="0"/>
          <w:sz w:val="18"/>
          <w:szCs w:val="22"/>
        </w:rPr>
        <w:t xml:space="preserve"> $25,000 to &lt; $35,000</w:t>
      </w:r>
    </w:p>
    <w:p w14:paraId="3B0D4A9E" w14:textId="0F9D305E" w:rsidR="00980A59" w:rsidRPr="004671F3" w:rsidRDefault="00980A59" w:rsidP="004671F3">
      <w:pPr>
        <w:spacing w:after="120"/>
        <w:rPr>
          <w:rFonts w:ascii="Arial Narrow" w:hAnsi="Arial Narrow"/>
          <w:i/>
          <w:iCs/>
          <w:snapToGrid w:val="0"/>
          <w:sz w:val="18"/>
          <w:szCs w:val="22"/>
        </w:rPr>
      </w:pPr>
      <w:r w:rsidRPr="005441F2">
        <w:rPr>
          <w:rFonts w:ascii="Arial Narrow" w:hAnsi="Arial Narrow"/>
          <w:i/>
          <w:iCs/>
          <w:snapToGrid w:val="0"/>
          <w:sz w:val="18"/>
          <w:szCs w:val="22"/>
          <w:vertAlign w:val="superscript"/>
        </w:rPr>
        <w:t>3</w:t>
      </w:r>
      <w:r w:rsidRPr="005441F2">
        <w:rPr>
          <w:rFonts w:ascii="Arial Narrow" w:hAnsi="Arial Narrow"/>
          <w:i/>
          <w:iCs/>
          <w:snapToGrid w:val="0"/>
          <w:sz w:val="18"/>
          <w:szCs w:val="22"/>
        </w:rPr>
        <w:t xml:space="preserve"> $15,000 to &lt; $25,000</w:t>
      </w:r>
    </w:p>
    <w:p w14:paraId="5CAA2E00" w14:textId="50DA881B" w:rsidR="008A7B1A" w:rsidRDefault="008A7B1A" w:rsidP="0091664F">
      <w:pPr>
        <w:widowControl w:val="0"/>
        <w:numPr>
          <w:ilvl w:val="1"/>
          <w:numId w:val="1"/>
        </w:numPr>
        <w:spacing w:after="120"/>
        <w:ind w:left="720" w:hanging="720"/>
      </w:pPr>
      <w:r>
        <w:t>Based on the economic model, treatment with icosapent ethyl was associated with an incremental cost per QALY gained of $</w:t>
      </w:r>
      <w:r w:rsidR="00206A01">
        <w:t>25,000 to &lt; $35,000</w:t>
      </w:r>
      <w:r>
        <w:t xml:space="preserve"> compared to standard of care</w:t>
      </w:r>
      <w:r w:rsidR="00497975">
        <w:t>, or $</w:t>
      </w:r>
      <w:r w:rsidR="00206A01">
        <w:t>25,000 to &lt; $35,000</w:t>
      </w:r>
      <w:r w:rsidR="00497975">
        <w:t>, based on the pre-PBAC response</w:t>
      </w:r>
      <w:r>
        <w:t>.</w:t>
      </w:r>
    </w:p>
    <w:p w14:paraId="17198FFB" w14:textId="77777777" w:rsidR="00131D25" w:rsidRPr="00835F52" w:rsidRDefault="008164C8" w:rsidP="0091664F">
      <w:pPr>
        <w:widowControl w:val="0"/>
        <w:numPr>
          <w:ilvl w:val="1"/>
          <w:numId w:val="1"/>
        </w:numPr>
        <w:spacing w:after="120"/>
        <w:ind w:left="720" w:hanging="720"/>
      </w:pPr>
      <w:r w:rsidRPr="00835F52">
        <w:t>The difference in total cost between treatment arms was primarily driven by the icosapent ethyl drug costs, which were partially offset by costs associated with the post myocardial infarction health state, and costs associated with coronary revascularisation. The difference in health outcomes between treatment arms was primarily driven by the higher number of life years accrued in the icosapent ethyl compared to the standard of care treatment arm, and by differences in time spent in the event-free health state.</w:t>
      </w:r>
    </w:p>
    <w:p w14:paraId="020B6AC3" w14:textId="4E9DCEF6" w:rsidR="00131D25" w:rsidRPr="00131D25" w:rsidRDefault="00131D25" w:rsidP="0091664F">
      <w:pPr>
        <w:widowControl w:val="0"/>
        <w:numPr>
          <w:ilvl w:val="1"/>
          <w:numId w:val="1"/>
        </w:numPr>
        <w:spacing w:after="120"/>
        <w:ind w:left="720" w:hanging="720"/>
        <w:rPr>
          <w:i/>
          <w:iCs/>
        </w:rPr>
      </w:pPr>
      <w:r w:rsidRPr="00131D25">
        <w:lastRenderedPageBreak/>
        <w:t>In the model, 81% of incremental QALYs, 15% of the incremental drug costs, 73% of the incremental health state savings (post myocardial infarction, post stroke, post myocardial infarction and stroke), 104% of the incremental cardiovascular event savings (nonfatal myocardial infarction, nonfatal stroke, cardiovascular death, non-cardiovascular death, coronary revascularisation, hospitalisation for unstable angina), and 29% of the incremental adverse event costs (serious bleeding, hospitalisation for atrial fibrillation) were accrued in the extrapolated period beyond 5 years.</w:t>
      </w:r>
    </w:p>
    <w:p w14:paraId="5134E3DB" w14:textId="135DD007" w:rsidR="00131D25" w:rsidRPr="00131D25" w:rsidRDefault="00131D25" w:rsidP="0091664F">
      <w:pPr>
        <w:widowControl w:val="0"/>
        <w:numPr>
          <w:ilvl w:val="1"/>
          <w:numId w:val="1"/>
        </w:numPr>
        <w:spacing w:after="120"/>
        <w:ind w:left="720" w:hanging="720"/>
      </w:pPr>
      <w:r w:rsidRPr="00131D25">
        <w:t>For every 1</w:t>
      </w:r>
      <w:r w:rsidR="00D810F7">
        <w:t>,</w:t>
      </w:r>
      <w:r w:rsidRPr="00131D25">
        <w:t>00</w:t>
      </w:r>
      <w:r w:rsidR="00D810F7">
        <w:t>0</w:t>
      </w:r>
      <w:r w:rsidRPr="00131D25">
        <w:t xml:space="preserve"> patients treated with icosapent ethyl versus standard of care and followed up for 25 years, the economic evaluation (without discounting) estimated that there would be:</w:t>
      </w:r>
    </w:p>
    <w:p w14:paraId="75163857" w14:textId="3FB67ECD" w:rsidR="00131D25" w:rsidRPr="00131D25" w:rsidRDefault="00131D25" w:rsidP="004E40F4">
      <w:pPr>
        <w:pStyle w:val="COMexecsummbulletlist"/>
      </w:pPr>
      <w:r w:rsidRPr="00131D25">
        <w:t>An additional 44</w:t>
      </w:r>
      <w:r w:rsidR="00B22FB3">
        <w:t>.</w:t>
      </w:r>
      <w:r w:rsidRPr="00131D25">
        <w:t>6 years of life lived.</w:t>
      </w:r>
    </w:p>
    <w:p w14:paraId="707C52D2" w14:textId="32FC3CDA" w:rsidR="00131D25" w:rsidRPr="00131D25" w:rsidRDefault="00131D25" w:rsidP="004E40F4">
      <w:pPr>
        <w:pStyle w:val="COMexecsummbulletlist"/>
      </w:pPr>
      <w:r w:rsidRPr="00131D25">
        <w:t>An additional 43</w:t>
      </w:r>
      <w:r w:rsidR="00B22FB3">
        <w:t>.</w:t>
      </w:r>
      <w:r w:rsidRPr="00131D25">
        <w:t>4 years of quality-adjusted life lived.</w:t>
      </w:r>
    </w:p>
    <w:p w14:paraId="6C822DCF" w14:textId="486C80B0" w:rsidR="00131D25" w:rsidRPr="00131D25" w:rsidRDefault="00131D25" w:rsidP="004E40F4">
      <w:pPr>
        <w:pStyle w:val="COMexecsummbulletlist"/>
      </w:pPr>
      <w:r w:rsidRPr="00131D25">
        <w:t>A reduction of 31 nonfatal myocardial infarctions, 3 nonfatal strokes, 15</w:t>
      </w:r>
      <w:r w:rsidR="004E40F4">
        <w:t> </w:t>
      </w:r>
      <w:r w:rsidRPr="00131D25">
        <w:t>cardiovascular deaths, 13 hospitalisations for unstable angina, 59 coronary revascularisations; and an additional 9 non-cardiovascular deaths.</w:t>
      </w:r>
    </w:p>
    <w:p w14:paraId="59245137" w14:textId="5E58898A" w:rsidR="00131D25" w:rsidRPr="00131D25" w:rsidRDefault="00131D25" w:rsidP="004E40F4">
      <w:pPr>
        <w:pStyle w:val="COMexecsummbulletlist"/>
      </w:pPr>
      <w:r w:rsidRPr="00131D25">
        <w:t xml:space="preserve">Additional drug costs of </w:t>
      </w:r>
      <w:r w:rsidR="004671F3">
        <w:t>$</w:t>
      </w:r>
      <w:r w:rsidR="0036355B" w:rsidRPr="004671F3">
        <w:rPr>
          <w:color w:val="000000"/>
          <w:spacing w:val="10"/>
          <w:w w:val="36"/>
          <w:shd w:val="solid" w:color="000000" w:fill="000000"/>
          <w:fitText w:val="120" w:id="-1032112637"/>
          <w14:textFill>
            <w14:solidFill>
              <w14:srgbClr w14:val="000000">
                <w14:alpha w14:val="100000"/>
              </w14:srgbClr>
            </w14:solidFill>
          </w14:textFill>
        </w:rPr>
        <w:t>|</w:t>
      </w:r>
      <w:r w:rsidR="004671F3" w:rsidRPr="004671F3">
        <w:rPr>
          <w:color w:val="000000"/>
          <w:spacing w:val="10"/>
          <w:w w:val="36"/>
          <w:shd w:val="solid" w:color="000000" w:fill="000000"/>
          <w:fitText w:val="120" w:id="-1032112637"/>
          <w14:textFill>
            <w14:solidFill>
              <w14:srgbClr w14:val="000000">
                <w14:alpha w14:val="100000"/>
              </w14:srgbClr>
            </w14:solidFill>
          </w14:textFill>
        </w:rPr>
        <w:t xml:space="preserve"> </w:t>
      </w:r>
      <w:r w:rsidR="0036355B" w:rsidRPr="004671F3">
        <w:rPr>
          <w:color w:val="000000"/>
          <w:spacing w:val="1"/>
          <w:w w:val="36"/>
          <w:shd w:val="solid" w:color="000000" w:fill="000000"/>
          <w:fitText w:val="120" w:id="-1032112637"/>
          <w14:textFill>
            <w14:solidFill>
              <w14:srgbClr w14:val="000000">
                <w14:alpha w14:val="100000"/>
              </w14:srgbClr>
            </w14:solidFill>
          </w14:textFill>
        </w:rPr>
        <w:t>|</w:t>
      </w:r>
      <w:r w:rsidR="004671F3">
        <w:t xml:space="preserve"> </w:t>
      </w:r>
      <w:r w:rsidR="006E342D">
        <w:t>million</w:t>
      </w:r>
      <w:r w:rsidRPr="00131D25">
        <w:t xml:space="preserve"> and additional costs associated with the management of adverse events (serious bleeding, hospitalisation for atrial fibrillation) of $</w:t>
      </w:r>
      <w:r w:rsidR="006E342D">
        <w:t>0.0</w:t>
      </w:r>
      <w:r w:rsidRPr="00131D25">
        <w:t>7</w:t>
      </w:r>
      <w:r w:rsidR="006E342D">
        <w:t xml:space="preserve"> million</w:t>
      </w:r>
      <w:r w:rsidRPr="00131D25">
        <w:t>.</w:t>
      </w:r>
    </w:p>
    <w:p w14:paraId="614C7DED" w14:textId="52D6347A" w:rsidR="00131D25" w:rsidRPr="00131D25" w:rsidRDefault="00131D25" w:rsidP="004E40F4">
      <w:pPr>
        <w:pStyle w:val="COMexecsummbulletlist"/>
      </w:pPr>
      <w:r w:rsidRPr="00131D25">
        <w:t>A reduction in health state costs of $2</w:t>
      </w:r>
      <w:r w:rsidR="006E342D">
        <w:t>.0 million</w:t>
      </w:r>
      <w:r w:rsidRPr="00131D25">
        <w:t xml:space="preserve"> and a reduction in cardiovascular event costs (nonfatal myocardial infarction, nonfatal stroke, cardiovascular death, hospitalisation for unstable angina, coronary revascularisation procedures) of $1</w:t>
      </w:r>
      <w:r w:rsidR="006E342D">
        <w:t>.4</w:t>
      </w:r>
      <w:r w:rsidR="004E40F4">
        <w:t> </w:t>
      </w:r>
      <w:r w:rsidR="006E342D">
        <w:t>million.</w:t>
      </w:r>
    </w:p>
    <w:p w14:paraId="1BAC1159" w14:textId="7489C54B" w:rsidR="00A86E8B" w:rsidRPr="00D23D11" w:rsidRDefault="00D23D11" w:rsidP="0091664F">
      <w:pPr>
        <w:widowControl w:val="0"/>
        <w:numPr>
          <w:ilvl w:val="1"/>
          <w:numId w:val="1"/>
        </w:numPr>
        <w:spacing w:after="120"/>
        <w:ind w:left="720" w:hanging="720"/>
      </w:pPr>
      <w:r w:rsidRPr="00D23D11">
        <w:t xml:space="preserve">The results of key sensitivity analyses </w:t>
      </w:r>
      <w:r w:rsidR="00131D25">
        <w:t xml:space="preserve">presented in the </w:t>
      </w:r>
      <w:r w:rsidR="00131D25" w:rsidRPr="00835F52">
        <w:t xml:space="preserve">submission and conducted during the evaluation </w:t>
      </w:r>
      <w:r w:rsidRPr="00835F52">
        <w:t>are summarised</w:t>
      </w:r>
      <w:r w:rsidRPr="00D23D11">
        <w:t xml:space="preserve"> </w:t>
      </w:r>
      <w:r w:rsidR="00E16AD8">
        <w:t xml:space="preserve">in </w:t>
      </w:r>
      <w:r w:rsidR="00E16AD8">
        <w:fldChar w:fldCharType="begin" w:fldLock="1"/>
      </w:r>
      <w:r w:rsidR="00E16AD8">
        <w:instrText xml:space="preserve"> REF _Ref104804865 \h </w:instrText>
      </w:r>
      <w:r w:rsidR="00E16AD8">
        <w:fldChar w:fldCharType="separate"/>
      </w:r>
      <w:r w:rsidR="003F1735">
        <w:t xml:space="preserve">Table </w:t>
      </w:r>
      <w:r w:rsidR="003F1735">
        <w:rPr>
          <w:noProof/>
        </w:rPr>
        <w:t>13</w:t>
      </w:r>
      <w:r w:rsidR="00E16AD8">
        <w:fldChar w:fldCharType="end"/>
      </w:r>
      <w:r w:rsidRPr="00D23D11">
        <w:t>.</w:t>
      </w:r>
    </w:p>
    <w:p w14:paraId="3A64F4E7" w14:textId="57493ADD" w:rsidR="00D23D11" w:rsidRPr="00FD4ED6" w:rsidRDefault="00E16AD8" w:rsidP="008A76A6">
      <w:pPr>
        <w:pStyle w:val="COMtablefigcaption"/>
        <w:keepLines/>
      </w:pPr>
      <w:bookmarkStart w:id="59" w:name="_Ref104804865"/>
      <w:r>
        <w:t xml:space="preserve">Table </w:t>
      </w:r>
      <w:fldSimple w:instr=" SEQ Table \* ARABIC " w:fldLock="1">
        <w:r w:rsidR="003F1735">
          <w:rPr>
            <w:noProof/>
          </w:rPr>
          <w:t>13</w:t>
        </w:r>
      </w:fldSimple>
      <w:bookmarkEnd w:id="59"/>
      <w:r>
        <w:t>:</w:t>
      </w:r>
      <w:r w:rsidR="00354F64" w:rsidRPr="00FD4ED6">
        <w:t xml:space="preserve"> </w:t>
      </w:r>
      <w:r w:rsidR="00D15314" w:rsidRPr="00FD4ED6">
        <w:t>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3: Sensitivity analyses"/>
        <w:tblDescription w:val="Table 13: Sensitivity analyses"/>
      </w:tblPr>
      <w:tblGrid>
        <w:gridCol w:w="4646"/>
        <w:gridCol w:w="1172"/>
        <w:gridCol w:w="1172"/>
        <w:gridCol w:w="1235"/>
        <w:gridCol w:w="792"/>
      </w:tblGrid>
      <w:tr w:rsidR="000E63B0" w:rsidRPr="00E211D2" w14:paraId="7C905496" w14:textId="77777777" w:rsidTr="00957134">
        <w:trPr>
          <w:tblHeader/>
        </w:trPr>
        <w:tc>
          <w:tcPr>
            <w:tcW w:w="2576" w:type="pct"/>
            <w:vAlign w:val="center"/>
          </w:tcPr>
          <w:p w14:paraId="2D692157" w14:textId="77777777" w:rsidR="000E63B0" w:rsidRPr="00E211D2" w:rsidRDefault="000E63B0" w:rsidP="008A76A6">
            <w:pPr>
              <w:pStyle w:val="COMTableheadingrow"/>
              <w:keepLines/>
            </w:pPr>
            <w:r w:rsidRPr="00E211D2">
              <w:t>Analyses</w:t>
            </w:r>
          </w:p>
        </w:tc>
        <w:tc>
          <w:tcPr>
            <w:tcW w:w="650" w:type="pct"/>
            <w:vAlign w:val="center"/>
          </w:tcPr>
          <w:p w14:paraId="3530CFF6" w14:textId="0B458182" w:rsidR="000E63B0" w:rsidRPr="00E211D2" w:rsidRDefault="000E63B0" w:rsidP="008A76A6">
            <w:pPr>
              <w:pStyle w:val="COMTableheadingrow"/>
              <w:keepLines/>
              <w:jc w:val="center"/>
            </w:pPr>
            <w:r w:rsidRPr="00E211D2">
              <w:t>Incremental cost</w:t>
            </w:r>
            <w:r w:rsidR="004671F3">
              <w:t xml:space="preserve"> ($)</w:t>
            </w:r>
          </w:p>
        </w:tc>
        <w:tc>
          <w:tcPr>
            <w:tcW w:w="650" w:type="pct"/>
            <w:vAlign w:val="center"/>
          </w:tcPr>
          <w:p w14:paraId="2CA6E38A" w14:textId="77777777" w:rsidR="000E63B0" w:rsidRPr="00E211D2" w:rsidRDefault="000E63B0" w:rsidP="008A76A6">
            <w:pPr>
              <w:pStyle w:val="COMTableheadingrow"/>
              <w:keepLines/>
              <w:jc w:val="center"/>
            </w:pPr>
            <w:r w:rsidRPr="00E211D2">
              <w:t>Incremental QALY</w:t>
            </w:r>
          </w:p>
        </w:tc>
        <w:tc>
          <w:tcPr>
            <w:tcW w:w="685" w:type="pct"/>
            <w:vAlign w:val="center"/>
          </w:tcPr>
          <w:p w14:paraId="1973F070" w14:textId="77777777" w:rsidR="000E63B0" w:rsidRPr="00E211D2" w:rsidRDefault="000E63B0" w:rsidP="008A76A6">
            <w:pPr>
              <w:pStyle w:val="COMTableheadingrow"/>
              <w:keepLines/>
              <w:jc w:val="center"/>
            </w:pPr>
            <w:r w:rsidRPr="00E211D2">
              <w:t>ICER</w:t>
            </w:r>
          </w:p>
        </w:tc>
        <w:tc>
          <w:tcPr>
            <w:tcW w:w="439" w:type="pct"/>
            <w:vAlign w:val="center"/>
          </w:tcPr>
          <w:p w14:paraId="0FDBC139" w14:textId="77777777" w:rsidR="000E63B0" w:rsidRPr="00E211D2" w:rsidRDefault="000E63B0" w:rsidP="008A76A6">
            <w:pPr>
              <w:pStyle w:val="COMTableheadingrow"/>
              <w:keepLines/>
              <w:jc w:val="center"/>
            </w:pPr>
            <w:r w:rsidRPr="00E211D2">
              <w:t>% change</w:t>
            </w:r>
          </w:p>
        </w:tc>
      </w:tr>
      <w:tr w:rsidR="000E63B0" w:rsidRPr="00E211D2" w14:paraId="318CC0FB" w14:textId="77777777" w:rsidTr="00957134">
        <w:tc>
          <w:tcPr>
            <w:tcW w:w="2576" w:type="pct"/>
          </w:tcPr>
          <w:p w14:paraId="4809F720" w14:textId="77777777" w:rsidR="000E63B0" w:rsidRPr="00E211D2" w:rsidRDefault="000E63B0" w:rsidP="008A76A6">
            <w:pPr>
              <w:pStyle w:val="COMTabletext"/>
              <w:keepLines/>
              <w:rPr>
                <w:b/>
                <w:vertAlign w:val="superscript"/>
              </w:rPr>
            </w:pPr>
            <w:r w:rsidRPr="00E211D2">
              <w:rPr>
                <w:b/>
              </w:rPr>
              <w:t>Base case</w:t>
            </w:r>
          </w:p>
        </w:tc>
        <w:tc>
          <w:tcPr>
            <w:tcW w:w="650" w:type="pct"/>
            <w:vAlign w:val="center"/>
          </w:tcPr>
          <w:p w14:paraId="415A718C" w14:textId="1C101904" w:rsidR="000E63B0" w:rsidRPr="00E211D2" w:rsidRDefault="0036355B" w:rsidP="008A76A6">
            <w:pPr>
              <w:pStyle w:val="COMTabletext"/>
              <w:keepLines/>
              <w:jc w:val="center"/>
              <w:rPr>
                <w:b/>
                <w:bCs w:val="0"/>
              </w:rPr>
            </w:pPr>
            <w:r w:rsidRPr="004671F3">
              <w:rPr>
                <w:b/>
                <w:bCs w:val="0"/>
                <w:color w:val="000000"/>
                <w:spacing w:val="584"/>
                <w:shd w:val="solid" w:color="000000" w:fill="000000"/>
                <w:fitText w:val="630" w:id="-1032112632"/>
                <w14:textFill>
                  <w14:solidFill>
                    <w14:srgbClr w14:val="000000">
                      <w14:alpha w14:val="100000"/>
                    </w14:srgbClr>
                  </w14:solidFill>
                </w14:textFill>
              </w:rPr>
              <w:t>|</w:t>
            </w:r>
          </w:p>
        </w:tc>
        <w:tc>
          <w:tcPr>
            <w:tcW w:w="650" w:type="pct"/>
            <w:vAlign w:val="center"/>
          </w:tcPr>
          <w:p w14:paraId="45C2E96A" w14:textId="77777777" w:rsidR="000E63B0" w:rsidRPr="00E211D2" w:rsidRDefault="000E63B0" w:rsidP="008A76A6">
            <w:pPr>
              <w:pStyle w:val="COMTabletext"/>
              <w:keepLines/>
              <w:jc w:val="center"/>
              <w:rPr>
                <w:b/>
                <w:bCs w:val="0"/>
              </w:rPr>
            </w:pPr>
            <w:r w:rsidRPr="00E211D2">
              <w:rPr>
                <w:b/>
                <w:bCs w:val="0"/>
              </w:rPr>
              <w:t>0.260</w:t>
            </w:r>
          </w:p>
        </w:tc>
        <w:tc>
          <w:tcPr>
            <w:tcW w:w="685" w:type="pct"/>
            <w:vAlign w:val="center"/>
          </w:tcPr>
          <w:p w14:paraId="61817460" w14:textId="3E810F61" w:rsidR="000E63B0" w:rsidRPr="00E211D2" w:rsidRDefault="0036355B" w:rsidP="008A76A6">
            <w:pPr>
              <w:pStyle w:val="COMTabletext"/>
              <w:keepLines/>
              <w:jc w:val="center"/>
              <w:rPr>
                <w:b/>
                <w:bCs w:val="0"/>
              </w:rPr>
            </w:pPr>
            <w:r w:rsidRPr="004671F3">
              <w:rPr>
                <w:b/>
                <w:bCs w:val="0"/>
                <w:color w:val="000000"/>
                <w:spacing w:val="37"/>
                <w:shd w:val="solid" w:color="000000" w:fill="000000"/>
                <w:fitText w:val="630" w:id="-1032112627"/>
                <w14:textFill>
                  <w14:solidFill>
                    <w14:srgbClr w14:val="000000">
                      <w14:alpha w14:val="100000"/>
                    </w14:srgbClr>
                  </w14:solidFill>
                </w14:textFill>
              </w:rPr>
              <w:t>|||||||</w:t>
            </w:r>
            <w:r w:rsidRPr="004671F3">
              <w:rPr>
                <w:b/>
                <w:bCs w:val="0"/>
                <w:color w:val="000000"/>
                <w:spacing w:val="4"/>
                <w:shd w:val="solid" w:color="000000" w:fill="000000"/>
                <w:fitText w:val="630" w:id="-1032112627"/>
                <w14:textFill>
                  <w14:solidFill>
                    <w14:srgbClr w14:val="000000">
                      <w14:alpha w14:val="100000"/>
                    </w14:srgbClr>
                  </w14:solidFill>
                </w14:textFill>
              </w:rPr>
              <w:t>|</w:t>
            </w:r>
            <w:r w:rsidR="00206A01">
              <w:rPr>
                <w:sz w:val="18"/>
                <w:szCs w:val="18"/>
                <w:vertAlign w:val="superscript"/>
              </w:rPr>
              <w:t>1</w:t>
            </w:r>
          </w:p>
        </w:tc>
        <w:tc>
          <w:tcPr>
            <w:tcW w:w="439" w:type="pct"/>
            <w:vAlign w:val="center"/>
          </w:tcPr>
          <w:p w14:paraId="3E5A8428" w14:textId="77777777" w:rsidR="000E63B0" w:rsidRPr="00E211D2" w:rsidRDefault="000E63B0" w:rsidP="008A76A6">
            <w:pPr>
              <w:pStyle w:val="COMTabletext"/>
              <w:keepLines/>
              <w:jc w:val="center"/>
              <w:rPr>
                <w:b/>
                <w:bCs w:val="0"/>
              </w:rPr>
            </w:pPr>
            <w:r w:rsidRPr="00E211D2">
              <w:rPr>
                <w:b/>
                <w:bCs w:val="0"/>
              </w:rPr>
              <w:t>-</w:t>
            </w:r>
          </w:p>
        </w:tc>
      </w:tr>
      <w:tr w:rsidR="000E63B0" w:rsidRPr="00E211D2" w14:paraId="0C554716" w14:textId="77777777" w:rsidTr="001D4554">
        <w:tc>
          <w:tcPr>
            <w:tcW w:w="5000" w:type="pct"/>
            <w:gridSpan w:val="5"/>
            <w:vAlign w:val="center"/>
          </w:tcPr>
          <w:p w14:paraId="7FD43DD6" w14:textId="77777777" w:rsidR="000E63B0" w:rsidRPr="00E211D2" w:rsidRDefault="000E63B0" w:rsidP="008A76A6">
            <w:pPr>
              <w:pStyle w:val="COMTabletext"/>
              <w:keepLines/>
              <w:rPr>
                <w:b/>
                <w:bCs w:val="0"/>
              </w:rPr>
            </w:pPr>
            <w:r w:rsidRPr="00E211D2">
              <w:rPr>
                <w:b/>
                <w:bCs w:val="0"/>
              </w:rPr>
              <w:t>Discounting (base case: 5% costs and outcomes)</w:t>
            </w:r>
          </w:p>
        </w:tc>
      </w:tr>
      <w:tr w:rsidR="000E63B0" w:rsidRPr="00E211D2" w14:paraId="3192AFB3" w14:textId="77777777" w:rsidTr="00957134">
        <w:trPr>
          <w:trHeight w:val="62"/>
        </w:trPr>
        <w:tc>
          <w:tcPr>
            <w:tcW w:w="2576" w:type="pct"/>
          </w:tcPr>
          <w:p w14:paraId="3E94D2B6" w14:textId="77777777" w:rsidR="000E63B0" w:rsidRPr="00E211D2" w:rsidRDefault="000E63B0" w:rsidP="008A76A6">
            <w:pPr>
              <w:pStyle w:val="COMTabletext"/>
              <w:keepLines/>
            </w:pPr>
            <w:r w:rsidRPr="00E211D2">
              <w:t>0% costs and outcomes</w:t>
            </w:r>
          </w:p>
        </w:tc>
        <w:tc>
          <w:tcPr>
            <w:tcW w:w="650" w:type="pct"/>
          </w:tcPr>
          <w:p w14:paraId="6E64610A" w14:textId="1876FB09" w:rsidR="000E63B0" w:rsidRPr="005441F2" w:rsidRDefault="0036355B" w:rsidP="008A76A6">
            <w:pPr>
              <w:pStyle w:val="COMTabletext"/>
              <w:keepLines/>
              <w:jc w:val="center"/>
              <w:rPr>
                <w:highlight w:val="darkGray"/>
              </w:rPr>
            </w:pPr>
            <w:r w:rsidRPr="004671F3">
              <w:rPr>
                <w:color w:val="000000"/>
                <w:spacing w:val="76"/>
                <w:shd w:val="solid" w:color="000000" w:fill="000000"/>
                <w:fitText w:val="520" w:id="-1032112639"/>
                <w14:textFill>
                  <w14:solidFill>
                    <w14:srgbClr w14:val="000000">
                      <w14:alpha w14:val="100000"/>
                    </w14:srgbClr>
                  </w14:solidFill>
                </w14:textFill>
              </w:rPr>
              <w:t>||||</w:t>
            </w:r>
            <w:r w:rsidRPr="004671F3">
              <w:rPr>
                <w:color w:val="000000"/>
                <w:spacing w:val="4"/>
                <w:shd w:val="solid" w:color="000000" w:fill="000000"/>
                <w:fitText w:val="520" w:id="-1032112639"/>
                <w14:textFill>
                  <w14:solidFill>
                    <w14:srgbClr w14:val="000000">
                      <w14:alpha w14:val="100000"/>
                    </w14:srgbClr>
                  </w14:solidFill>
                </w14:textFill>
              </w:rPr>
              <w:t>|</w:t>
            </w:r>
          </w:p>
        </w:tc>
        <w:tc>
          <w:tcPr>
            <w:tcW w:w="650" w:type="pct"/>
          </w:tcPr>
          <w:p w14:paraId="1BEB9D11" w14:textId="77777777" w:rsidR="000E63B0" w:rsidRPr="00E211D2" w:rsidRDefault="000E63B0" w:rsidP="008A76A6">
            <w:pPr>
              <w:pStyle w:val="COMTabletext"/>
              <w:keepLines/>
              <w:jc w:val="center"/>
            </w:pPr>
            <w:r w:rsidRPr="00E211D2">
              <w:t>0.434</w:t>
            </w:r>
          </w:p>
        </w:tc>
        <w:tc>
          <w:tcPr>
            <w:tcW w:w="685" w:type="pct"/>
          </w:tcPr>
          <w:p w14:paraId="38F56653" w14:textId="1064F4FF" w:rsidR="000E63B0" w:rsidRPr="005441F2" w:rsidRDefault="0036355B" w:rsidP="008A76A6">
            <w:pPr>
              <w:pStyle w:val="COMTabletext"/>
              <w:keepLines/>
              <w:jc w:val="center"/>
              <w:rPr>
                <w:highlight w:val="darkGray"/>
              </w:rPr>
            </w:pPr>
            <w:r>
              <w:t xml:space="preserve"> </w:t>
            </w:r>
            <w:r w:rsidRPr="0036355B">
              <w:rPr>
                <w:color w:val="000000"/>
                <w:spacing w:val="56"/>
                <w:shd w:val="solid" w:color="000000" w:fill="000000"/>
                <w:fitText w:val="540" w:id="-1032112636"/>
                <w14:textFill>
                  <w14:solidFill>
                    <w14:srgbClr w14:val="000000">
                      <w14:alpha w14:val="100000"/>
                    </w14:srgbClr>
                  </w14:solidFill>
                </w14:textFill>
              </w:rPr>
              <w:t>|||||</w:t>
            </w:r>
            <w:r w:rsidRPr="0036355B">
              <w:rPr>
                <w:color w:val="000000"/>
                <w:spacing w:val="5"/>
                <w:shd w:val="solid" w:color="000000" w:fill="000000"/>
                <w:fitText w:val="540" w:id="-1032112636"/>
                <w14:textFill>
                  <w14:solidFill>
                    <w14:srgbClr w14:val="000000">
                      <w14:alpha w14:val="100000"/>
                    </w14:srgbClr>
                  </w14:solidFill>
                </w14:textFill>
              </w:rPr>
              <w:t>|</w:t>
            </w:r>
            <w:r w:rsidR="00206A01">
              <w:rPr>
                <w:sz w:val="18"/>
                <w:szCs w:val="18"/>
                <w:vertAlign w:val="superscript"/>
              </w:rPr>
              <w:t>2</w:t>
            </w:r>
          </w:p>
        </w:tc>
        <w:tc>
          <w:tcPr>
            <w:tcW w:w="439" w:type="pct"/>
          </w:tcPr>
          <w:p w14:paraId="39634D21" w14:textId="36055D76" w:rsidR="000E63B0" w:rsidRPr="00E211D2" w:rsidRDefault="000E63B0" w:rsidP="008A76A6">
            <w:pPr>
              <w:pStyle w:val="COMTabletext"/>
              <w:keepLines/>
              <w:jc w:val="center"/>
            </w:pPr>
            <w:r w:rsidRPr="00E211D2">
              <w:t>-</w:t>
            </w:r>
            <w:r w:rsidR="0036355B">
              <w:rPr>
                <w:rFonts w:hint="eastAsia"/>
              </w:rPr>
              <w:t xml:space="preserve"> </w:t>
            </w:r>
            <w:r w:rsidR="0036355B" w:rsidRPr="004671F3">
              <w:rPr>
                <w:color w:val="000000"/>
                <w:spacing w:val="214"/>
                <w:shd w:val="solid" w:color="000000" w:fill="000000"/>
                <w:fitText w:val="300" w:id="-1032112381"/>
                <w14:textFill>
                  <w14:solidFill>
                    <w14:srgbClr w14:val="000000">
                      <w14:alpha w14:val="100000"/>
                    </w14:srgbClr>
                  </w14:solidFill>
                </w14:textFill>
              </w:rPr>
              <w:t>|</w:t>
            </w:r>
            <w:r w:rsidR="0036355B" w:rsidRPr="004671F3">
              <w:rPr>
                <w:color w:val="000000"/>
                <w:shd w:val="solid" w:color="000000" w:fill="000000"/>
                <w:fitText w:val="300" w:id="-1032112381"/>
                <w14:textFill>
                  <w14:solidFill>
                    <w14:srgbClr w14:val="000000">
                      <w14:alpha w14:val="100000"/>
                    </w14:srgbClr>
                  </w14:solidFill>
                </w14:textFill>
              </w:rPr>
              <w:t>|</w:t>
            </w:r>
          </w:p>
        </w:tc>
      </w:tr>
      <w:tr w:rsidR="000E63B0" w:rsidRPr="00E211D2" w14:paraId="605CE0DB" w14:textId="77777777" w:rsidTr="00957134">
        <w:trPr>
          <w:trHeight w:val="62"/>
        </w:trPr>
        <w:tc>
          <w:tcPr>
            <w:tcW w:w="2576" w:type="pct"/>
          </w:tcPr>
          <w:p w14:paraId="636B2F28" w14:textId="77777777" w:rsidR="000E63B0" w:rsidRPr="00E211D2" w:rsidRDefault="000E63B0" w:rsidP="008A76A6">
            <w:pPr>
              <w:pStyle w:val="COMTabletext"/>
              <w:keepLines/>
            </w:pPr>
            <w:r w:rsidRPr="00E211D2">
              <w:t>3.5% costs and outcomes</w:t>
            </w:r>
          </w:p>
        </w:tc>
        <w:tc>
          <w:tcPr>
            <w:tcW w:w="650" w:type="pct"/>
          </w:tcPr>
          <w:p w14:paraId="21FCF629" w14:textId="77BC1CD5" w:rsidR="000E63B0" w:rsidRPr="005441F2" w:rsidRDefault="0036355B" w:rsidP="008A76A6">
            <w:pPr>
              <w:pStyle w:val="COMTabletext"/>
              <w:keepLines/>
              <w:jc w:val="center"/>
              <w:rPr>
                <w:highlight w:val="darkGray"/>
              </w:rPr>
            </w:pPr>
            <w:r w:rsidRPr="004671F3">
              <w:rPr>
                <w:color w:val="000000"/>
                <w:spacing w:val="52"/>
                <w:shd w:val="solid" w:color="000000" w:fill="000000"/>
                <w:fitText w:val="520" w:id="-1032112376"/>
                <w14:textFill>
                  <w14:solidFill>
                    <w14:srgbClr w14:val="000000">
                      <w14:alpha w14:val="100000"/>
                    </w14:srgbClr>
                  </w14:solidFill>
                </w14:textFill>
              </w:rPr>
              <w:t>|||||</w:t>
            </w:r>
            <w:r w:rsidRPr="004671F3">
              <w:rPr>
                <w:color w:val="000000"/>
                <w:spacing w:val="5"/>
                <w:shd w:val="solid" w:color="000000" w:fill="000000"/>
                <w:fitText w:val="520" w:id="-1032112376"/>
                <w14:textFill>
                  <w14:solidFill>
                    <w14:srgbClr w14:val="000000">
                      <w14:alpha w14:val="100000"/>
                    </w14:srgbClr>
                  </w14:solidFill>
                </w14:textFill>
              </w:rPr>
              <w:t>|</w:t>
            </w:r>
          </w:p>
        </w:tc>
        <w:tc>
          <w:tcPr>
            <w:tcW w:w="650" w:type="pct"/>
          </w:tcPr>
          <w:p w14:paraId="007C5A91" w14:textId="77777777" w:rsidR="000E63B0" w:rsidRPr="00E211D2" w:rsidRDefault="000E63B0" w:rsidP="008A76A6">
            <w:pPr>
              <w:pStyle w:val="COMTabletext"/>
              <w:keepLines/>
              <w:jc w:val="center"/>
            </w:pPr>
            <w:r w:rsidRPr="00E211D2">
              <w:t>0.300</w:t>
            </w:r>
          </w:p>
        </w:tc>
        <w:tc>
          <w:tcPr>
            <w:tcW w:w="685" w:type="pct"/>
          </w:tcPr>
          <w:p w14:paraId="3DAB0DB8" w14:textId="487D041C" w:rsidR="000E63B0" w:rsidRPr="005441F2" w:rsidRDefault="0036355B" w:rsidP="008A76A6">
            <w:pPr>
              <w:pStyle w:val="COMTabletext"/>
              <w:keepLines/>
              <w:jc w:val="center"/>
              <w:rPr>
                <w:highlight w:val="darkGray"/>
              </w:rPr>
            </w:pPr>
            <w:r>
              <w:t xml:space="preserve"> </w:t>
            </w:r>
            <w:r w:rsidRPr="0036355B">
              <w:rPr>
                <w:color w:val="000000"/>
                <w:spacing w:val="56"/>
                <w:shd w:val="solid" w:color="000000" w:fill="000000"/>
                <w:fitText w:val="540" w:id="-1032112373"/>
                <w14:textFill>
                  <w14:solidFill>
                    <w14:srgbClr w14:val="000000">
                      <w14:alpha w14:val="100000"/>
                    </w14:srgbClr>
                  </w14:solidFill>
                </w14:textFill>
              </w:rPr>
              <w:t>|||||</w:t>
            </w:r>
            <w:r w:rsidRPr="0036355B">
              <w:rPr>
                <w:color w:val="000000"/>
                <w:spacing w:val="5"/>
                <w:shd w:val="solid" w:color="000000" w:fill="000000"/>
                <w:fitText w:val="540" w:id="-1032112373"/>
                <w14:textFill>
                  <w14:solidFill>
                    <w14:srgbClr w14:val="000000">
                      <w14:alpha w14:val="100000"/>
                    </w14:srgbClr>
                  </w14:solidFill>
                </w14:textFill>
              </w:rPr>
              <w:t>|</w:t>
            </w:r>
            <w:r w:rsidR="00206A01">
              <w:rPr>
                <w:sz w:val="18"/>
                <w:szCs w:val="18"/>
                <w:vertAlign w:val="superscript"/>
              </w:rPr>
              <w:t>2</w:t>
            </w:r>
          </w:p>
        </w:tc>
        <w:tc>
          <w:tcPr>
            <w:tcW w:w="439" w:type="pct"/>
          </w:tcPr>
          <w:p w14:paraId="663A29A7" w14:textId="679215E2" w:rsidR="000E63B0" w:rsidRPr="00E211D2" w:rsidRDefault="000E63B0" w:rsidP="008A76A6">
            <w:pPr>
              <w:pStyle w:val="COMTabletext"/>
              <w:keepLines/>
              <w:jc w:val="center"/>
            </w:pPr>
            <w:r w:rsidRPr="00E211D2">
              <w:t>-</w:t>
            </w:r>
            <w:r w:rsidR="004671F3">
              <w:t xml:space="preserve"> </w:t>
            </w:r>
            <w:r w:rsidR="0036355B" w:rsidRPr="004671F3">
              <w:rPr>
                <w:color w:val="000000"/>
                <w:spacing w:val="214"/>
                <w:shd w:val="solid" w:color="000000" w:fill="000000"/>
                <w:fitText w:val="300" w:id="-1032112368"/>
                <w14:textFill>
                  <w14:solidFill>
                    <w14:srgbClr w14:val="000000">
                      <w14:alpha w14:val="100000"/>
                    </w14:srgbClr>
                  </w14:solidFill>
                </w14:textFill>
              </w:rPr>
              <w:t>|</w:t>
            </w:r>
            <w:r w:rsidR="0036355B" w:rsidRPr="004671F3">
              <w:rPr>
                <w:color w:val="000000"/>
                <w:shd w:val="solid" w:color="000000" w:fill="000000"/>
                <w:fitText w:val="300" w:id="-1032112368"/>
                <w14:textFill>
                  <w14:solidFill>
                    <w14:srgbClr w14:val="000000">
                      <w14:alpha w14:val="100000"/>
                    </w14:srgbClr>
                  </w14:solidFill>
                </w14:textFill>
              </w:rPr>
              <w:t>|</w:t>
            </w:r>
          </w:p>
        </w:tc>
      </w:tr>
      <w:tr w:rsidR="000E63B0" w:rsidRPr="00E211D2" w14:paraId="1CDF940A" w14:textId="77777777" w:rsidTr="001D4554">
        <w:tc>
          <w:tcPr>
            <w:tcW w:w="5000" w:type="pct"/>
            <w:gridSpan w:val="5"/>
            <w:vAlign w:val="center"/>
          </w:tcPr>
          <w:p w14:paraId="662B0EB1" w14:textId="77777777" w:rsidR="000E63B0" w:rsidRPr="00E211D2" w:rsidRDefault="000E63B0" w:rsidP="008A76A6">
            <w:pPr>
              <w:pStyle w:val="COMTabletext"/>
              <w:keepLines/>
              <w:rPr>
                <w:b/>
                <w:bCs w:val="0"/>
              </w:rPr>
            </w:pPr>
            <w:r w:rsidRPr="00E211D2">
              <w:rPr>
                <w:b/>
                <w:bCs w:val="0"/>
              </w:rPr>
              <w:t>Time horizon (base case: 25 years)</w:t>
            </w:r>
          </w:p>
        </w:tc>
      </w:tr>
      <w:tr w:rsidR="000E63B0" w:rsidRPr="00E211D2" w14:paraId="68A21286" w14:textId="77777777" w:rsidTr="00957134">
        <w:tc>
          <w:tcPr>
            <w:tcW w:w="2576" w:type="pct"/>
          </w:tcPr>
          <w:p w14:paraId="72E031EA" w14:textId="77777777" w:rsidR="000E63B0" w:rsidRPr="00E211D2" w:rsidRDefault="000E63B0" w:rsidP="008A76A6">
            <w:pPr>
              <w:pStyle w:val="COMTabletext"/>
              <w:keepLines/>
            </w:pPr>
            <w:r w:rsidRPr="00E211D2">
              <w:t>15 years</w:t>
            </w:r>
          </w:p>
        </w:tc>
        <w:tc>
          <w:tcPr>
            <w:tcW w:w="650" w:type="pct"/>
          </w:tcPr>
          <w:p w14:paraId="1DE7D00D" w14:textId="5CF16D87" w:rsidR="000E63B0" w:rsidRPr="005441F2" w:rsidRDefault="0036355B" w:rsidP="008A76A6">
            <w:pPr>
              <w:pStyle w:val="COMTabletext"/>
              <w:keepLines/>
              <w:jc w:val="center"/>
              <w:rPr>
                <w:highlight w:val="darkGray"/>
              </w:rPr>
            </w:pPr>
            <w:r w:rsidRPr="004671F3">
              <w:rPr>
                <w:color w:val="000000"/>
                <w:spacing w:val="52"/>
                <w:shd w:val="solid" w:color="000000" w:fill="000000"/>
                <w:fitText w:val="520" w:id="-1032112380"/>
                <w14:textFill>
                  <w14:solidFill>
                    <w14:srgbClr w14:val="000000">
                      <w14:alpha w14:val="100000"/>
                    </w14:srgbClr>
                  </w14:solidFill>
                </w14:textFill>
              </w:rPr>
              <w:t>|||||</w:t>
            </w:r>
            <w:r w:rsidRPr="004671F3">
              <w:rPr>
                <w:color w:val="000000"/>
                <w:spacing w:val="5"/>
                <w:shd w:val="solid" w:color="000000" w:fill="000000"/>
                <w:fitText w:val="520" w:id="-1032112380"/>
                <w14:textFill>
                  <w14:solidFill>
                    <w14:srgbClr w14:val="000000">
                      <w14:alpha w14:val="100000"/>
                    </w14:srgbClr>
                  </w14:solidFill>
                </w14:textFill>
              </w:rPr>
              <w:t>|</w:t>
            </w:r>
          </w:p>
        </w:tc>
        <w:tc>
          <w:tcPr>
            <w:tcW w:w="650" w:type="pct"/>
          </w:tcPr>
          <w:p w14:paraId="612547E1" w14:textId="77777777" w:rsidR="000E63B0" w:rsidRPr="00E211D2" w:rsidRDefault="000E63B0" w:rsidP="008A76A6">
            <w:pPr>
              <w:pStyle w:val="COMTabletext"/>
              <w:keepLines/>
              <w:jc w:val="center"/>
            </w:pPr>
            <w:r w:rsidRPr="00E211D2">
              <w:t>0.211</w:t>
            </w:r>
          </w:p>
        </w:tc>
        <w:tc>
          <w:tcPr>
            <w:tcW w:w="685" w:type="pct"/>
          </w:tcPr>
          <w:p w14:paraId="6E4375AD" w14:textId="5977EAF8" w:rsidR="000E63B0" w:rsidRPr="005441F2" w:rsidRDefault="0036355B" w:rsidP="008A76A6">
            <w:pPr>
              <w:pStyle w:val="COMTabletext"/>
              <w:keepLines/>
              <w:jc w:val="center"/>
              <w:rPr>
                <w:highlight w:val="darkGray"/>
              </w:rPr>
            </w:pPr>
            <w:r>
              <w:t xml:space="preserve"> </w:t>
            </w:r>
            <w:r w:rsidRPr="0036355B">
              <w:rPr>
                <w:color w:val="000000"/>
                <w:spacing w:val="56"/>
                <w:shd w:val="solid" w:color="000000" w:fill="000000"/>
                <w:fitText w:val="540" w:id="-1032112377"/>
                <w14:textFill>
                  <w14:solidFill>
                    <w14:srgbClr w14:val="000000">
                      <w14:alpha w14:val="100000"/>
                    </w14:srgbClr>
                  </w14:solidFill>
                </w14:textFill>
              </w:rPr>
              <w:t>|||||</w:t>
            </w:r>
            <w:r w:rsidRPr="0036355B">
              <w:rPr>
                <w:color w:val="000000"/>
                <w:spacing w:val="5"/>
                <w:shd w:val="solid" w:color="000000" w:fill="000000"/>
                <w:fitText w:val="540" w:id="-1032112377"/>
                <w14:textFill>
                  <w14:solidFill>
                    <w14:srgbClr w14:val="000000">
                      <w14:alpha w14:val="100000"/>
                    </w14:srgbClr>
                  </w14:solidFill>
                </w14:textFill>
              </w:rPr>
              <w:t>|</w:t>
            </w:r>
            <w:r w:rsidR="00D0265D">
              <w:rPr>
                <w:sz w:val="18"/>
                <w:szCs w:val="18"/>
                <w:vertAlign w:val="superscript"/>
              </w:rPr>
              <w:t>1</w:t>
            </w:r>
          </w:p>
        </w:tc>
        <w:tc>
          <w:tcPr>
            <w:tcW w:w="439" w:type="pct"/>
          </w:tcPr>
          <w:p w14:paraId="2D06601D" w14:textId="3503B4ED" w:rsidR="000E63B0" w:rsidRPr="00E211D2" w:rsidRDefault="0036355B" w:rsidP="008A76A6">
            <w:pPr>
              <w:pStyle w:val="COMTabletext"/>
              <w:keepLines/>
              <w:jc w:val="center"/>
            </w:pPr>
            <w:r w:rsidRPr="0036355B">
              <w:rPr>
                <w:color w:val="000000"/>
                <w:spacing w:val="174"/>
                <w:shd w:val="solid" w:color="000000" w:fill="000000"/>
                <w:fitText w:val="260" w:id="-1032112373"/>
                <w14:textFill>
                  <w14:solidFill>
                    <w14:srgbClr w14:val="000000">
                      <w14:alpha w14:val="100000"/>
                    </w14:srgbClr>
                  </w14:solidFill>
                </w14:textFill>
              </w:rPr>
              <w:t>|</w:t>
            </w:r>
            <w:r w:rsidRPr="0036355B">
              <w:rPr>
                <w:color w:val="000000"/>
                <w:spacing w:val="1"/>
                <w:shd w:val="solid" w:color="000000" w:fill="000000"/>
                <w:fitText w:val="260" w:id="-1032112373"/>
                <w14:textFill>
                  <w14:solidFill>
                    <w14:srgbClr w14:val="000000">
                      <w14:alpha w14:val="100000"/>
                    </w14:srgbClr>
                  </w14:solidFill>
                </w14:textFill>
              </w:rPr>
              <w:t>|</w:t>
            </w:r>
          </w:p>
        </w:tc>
      </w:tr>
      <w:tr w:rsidR="000E63B0" w:rsidRPr="00E211D2" w14:paraId="149E53EF" w14:textId="77777777" w:rsidTr="00957134">
        <w:tc>
          <w:tcPr>
            <w:tcW w:w="2576" w:type="pct"/>
          </w:tcPr>
          <w:p w14:paraId="2CAD7E4A" w14:textId="77777777" w:rsidR="000E63B0" w:rsidRPr="00E211D2" w:rsidRDefault="000E63B0" w:rsidP="008A76A6">
            <w:pPr>
              <w:pStyle w:val="COMTabletext"/>
              <w:keepLines/>
            </w:pPr>
            <w:r w:rsidRPr="00E211D2">
              <w:t>20 years</w:t>
            </w:r>
          </w:p>
        </w:tc>
        <w:tc>
          <w:tcPr>
            <w:tcW w:w="650" w:type="pct"/>
          </w:tcPr>
          <w:p w14:paraId="16D2AE08" w14:textId="6391C34A" w:rsidR="000E63B0" w:rsidRPr="005441F2" w:rsidRDefault="0036355B" w:rsidP="008A76A6">
            <w:pPr>
              <w:pStyle w:val="COMTabletext"/>
              <w:keepLines/>
              <w:jc w:val="center"/>
              <w:rPr>
                <w:highlight w:val="darkGray"/>
              </w:rPr>
            </w:pPr>
            <w:r w:rsidRPr="004671F3">
              <w:rPr>
                <w:color w:val="000000"/>
                <w:spacing w:val="52"/>
                <w:shd w:val="solid" w:color="000000" w:fill="000000"/>
                <w:fitText w:val="520" w:id="-1032112368"/>
                <w14:textFill>
                  <w14:solidFill>
                    <w14:srgbClr w14:val="000000">
                      <w14:alpha w14:val="100000"/>
                    </w14:srgbClr>
                  </w14:solidFill>
                </w14:textFill>
              </w:rPr>
              <w:t>|||||</w:t>
            </w:r>
            <w:r w:rsidRPr="004671F3">
              <w:rPr>
                <w:color w:val="000000"/>
                <w:spacing w:val="5"/>
                <w:shd w:val="solid" w:color="000000" w:fill="000000"/>
                <w:fitText w:val="520" w:id="-1032112368"/>
                <w14:textFill>
                  <w14:solidFill>
                    <w14:srgbClr w14:val="000000">
                      <w14:alpha w14:val="100000"/>
                    </w14:srgbClr>
                  </w14:solidFill>
                </w14:textFill>
              </w:rPr>
              <w:t>|</w:t>
            </w:r>
          </w:p>
        </w:tc>
        <w:tc>
          <w:tcPr>
            <w:tcW w:w="650" w:type="pct"/>
          </w:tcPr>
          <w:p w14:paraId="2B6B37E2" w14:textId="77777777" w:rsidR="000E63B0" w:rsidRPr="00E211D2" w:rsidRDefault="000E63B0" w:rsidP="008A76A6">
            <w:pPr>
              <w:pStyle w:val="COMTabletext"/>
              <w:keepLines/>
              <w:jc w:val="center"/>
            </w:pPr>
            <w:r w:rsidRPr="00E211D2">
              <w:t>0.246</w:t>
            </w:r>
          </w:p>
        </w:tc>
        <w:tc>
          <w:tcPr>
            <w:tcW w:w="685" w:type="pct"/>
          </w:tcPr>
          <w:p w14:paraId="4B4B9DCF" w14:textId="6961BB99" w:rsidR="000E63B0" w:rsidRPr="005441F2" w:rsidRDefault="0036355B" w:rsidP="008A76A6">
            <w:pPr>
              <w:pStyle w:val="COMTabletext"/>
              <w:keepLines/>
              <w:jc w:val="center"/>
              <w:rPr>
                <w:highlight w:val="darkGray"/>
              </w:rPr>
            </w:pPr>
            <w:r>
              <w:t xml:space="preserve"> </w:t>
            </w:r>
            <w:r w:rsidRPr="0036355B">
              <w:rPr>
                <w:color w:val="000000"/>
                <w:spacing w:val="56"/>
                <w:shd w:val="solid" w:color="000000" w:fill="000000"/>
                <w:fitText w:val="540" w:id="-1032112382"/>
                <w14:textFill>
                  <w14:solidFill>
                    <w14:srgbClr w14:val="000000">
                      <w14:alpha w14:val="100000"/>
                    </w14:srgbClr>
                  </w14:solidFill>
                </w14:textFill>
              </w:rPr>
              <w:t>|||||</w:t>
            </w:r>
            <w:r w:rsidRPr="0036355B">
              <w:rPr>
                <w:color w:val="000000"/>
                <w:spacing w:val="5"/>
                <w:shd w:val="solid" w:color="000000" w:fill="000000"/>
                <w:fitText w:val="540" w:id="-1032112382"/>
                <w14:textFill>
                  <w14:solidFill>
                    <w14:srgbClr w14:val="000000">
                      <w14:alpha w14:val="100000"/>
                    </w14:srgbClr>
                  </w14:solidFill>
                </w14:textFill>
              </w:rPr>
              <w:t>|</w:t>
            </w:r>
            <w:r w:rsidR="00D0265D">
              <w:rPr>
                <w:sz w:val="18"/>
                <w:szCs w:val="18"/>
                <w:vertAlign w:val="superscript"/>
              </w:rPr>
              <w:t>1</w:t>
            </w:r>
          </w:p>
        </w:tc>
        <w:tc>
          <w:tcPr>
            <w:tcW w:w="439" w:type="pct"/>
          </w:tcPr>
          <w:p w14:paraId="2EF1FDB2" w14:textId="6A40BC9D" w:rsidR="000E63B0" w:rsidRPr="00E211D2" w:rsidRDefault="0036355B" w:rsidP="008A76A6">
            <w:pPr>
              <w:pStyle w:val="COMTabletext"/>
              <w:keepLines/>
              <w:jc w:val="center"/>
            </w:pPr>
            <w:r w:rsidRPr="0036355B">
              <w:rPr>
                <w:color w:val="000000"/>
                <w:spacing w:val="174"/>
                <w:shd w:val="solid" w:color="000000" w:fill="000000"/>
                <w:fitText w:val="260" w:id="-1032112378"/>
                <w14:textFill>
                  <w14:solidFill>
                    <w14:srgbClr w14:val="000000">
                      <w14:alpha w14:val="100000"/>
                    </w14:srgbClr>
                  </w14:solidFill>
                </w14:textFill>
              </w:rPr>
              <w:t>|</w:t>
            </w:r>
            <w:r w:rsidRPr="0036355B">
              <w:rPr>
                <w:color w:val="000000"/>
                <w:spacing w:val="1"/>
                <w:shd w:val="solid" w:color="000000" w:fill="000000"/>
                <w:fitText w:val="260" w:id="-1032112378"/>
                <w14:textFill>
                  <w14:solidFill>
                    <w14:srgbClr w14:val="000000">
                      <w14:alpha w14:val="100000"/>
                    </w14:srgbClr>
                  </w14:solidFill>
                </w14:textFill>
              </w:rPr>
              <w:t>|</w:t>
            </w:r>
          </w:p>
        </w:tc>
      </w:tr>
      <w:tr w:rsidR="000E63B0" w:rsidRPr="00E211D2" w14:paraId="36158327" w14:textId="77777777" w:rsidTr="00957134">
        <w:tc>
          <w:tcPr>
            <w:tcW w:w="2576" w:type="pct"/>
          </w:tcPr>
          <w:p w14:paraId="1906A921" w14:textId="77777777" w:rsidR="000E63B0" w:rsidRPr="00E211D2" w:rsidRDefault="000E63B0" w:rsidP="008A76A6">
            <w:pPr>
              <w:pStyle w:val="COMTabletext"/>
              <w:keepLines/>
            </w:pPr>
            <w:r w:rsidRPr="00E211D2">
              <w:t>37 years (to age 100)</w:t>
            </w:r>
          </w:p>
        </w:tc>
        <w:tc>
          <w:tcPr>
            <w:tcW w:w="650" w:type="pct"/>
          </w:tcPr>
          <w:p w14:paraId="2F931E65" w14:textId="6B70DB16" w:rsidR="000E63B0" w:rsidRPr="005441F2" w:rsidRDefault="0036355B" w:rsidP="008A76A6">
            <w:pPr>
              <w:pStyle w:val="COMTabletext"/>
              <w:keepLines/>
              <w:jc w:val="center"/>
              <w:rPr>
                <w:highlight w:val="darkGray"/>
              </w:rPr>
            </w:pPr>
            <w:r w:rsidRPr="004671F3">
              <w:rPr>
                <w:color w:val="000000"/>
                <w:spacing w:val="52"/>
                <w:shd w:val="solid" w:color="000000" w:fill="000000"/>
                <w:fitText w:val="520" w:id="-1032112373"/>
                <w14:textFill>
                  <w14:solidFill>
                    <w14:srgbClr w14:val="000000">
                      <w14:alpha w14:val="100000"/>
                    </w14:srgbClr>
                  </w14:solidFill>
                </w14:textFill>
              </w:rPr>
              <w:t>|||||</w:t>
            </w:r>
            <w:r w:rsidRPr="004671F3">
              <w:rPr>
                <w:color w:val="000000"/>
                <w:spacing w:val="5"/>
                <w:shd w:val="solid" w:color="000000" w:fill="000000"/>
                <w:fitText w:val="520" w:id="-1032112373"/>
                <w14:textFill>
                  <w14:solidFill>
                    <w14:srgbClr w14:val="000000">
                      <w14:alpha w14:val="100000"/>
                    </w14:srgbClr>
                  </w14:solidFill>
                </w14:textFill>
              </w:rPr>
              <w:t>|</w:t>
            </w:r>
          </w:p>
        </w:tc>
        <w:tc>
          <w:tcPr>
            <w:tcW w:w="650" w:type="pct"/>
          </w:tcPr>
          <w:p w14:paraId="3A01E681" w14:textId="77777777" w:rsidR="000E63B0" w:rsidRPr="00E211D2" w:rsidRDefault="000E63B0" w:rsidP="008A76A6">
            <w:pPr>
              <w:pStyle w:val="COMTabletext"/>
              <w:keepLines/>
              <w:jc w:val="center"/>
            </w:pPr>
            <w:r w:rsidRPr="00E211D2">
              <w:t>0.264</w:t>
            </w:r>
          </w:p>
        </w:tc>
        <w:tc>
          <w:tcPr>
            <w:tcW w:w="685" w:type="pct"/>
          </w:tcPr>
          <w:p w14:paraId="75F4A639" w14:textId="12773CF9" w:rsidR="000E63B0" w:rsidRPr="005441F2" w:rsidRDefault="0036355B" w:rsidP="008A76A6">
            <w:pPr>
              <w:pStyle w:val="COMTabletext"/>
              <w:keepLines/>
              <w:jc w:val="center"/>
              <w:rPr>
                <w:highlight w:val="darkGray"/>
              </w:rPr>
            </w:pPr>
            <w:r>
              <w:t xml:space="preserve"> </w:t>
            </w:r>
            <w:r w:rsidRPr="0036355B">
              <w:rPr>
                <w:color w:val="000000"/>
                <w:spacing w:val="56"/>
                <w:shd w:val="solid" w:color="000000" w:fill="000000"/>
                <w:fitText w:val="540" w:id="-1032112370"/>
                <w14:textFill>
                  <w14:solidFill>
                    <w14:srgbClr w14:val="000000">
                      <w14:alpha w14:val="100000"/>
                    </w14:srgbClr>
                  </w14:solidFill>
                </w14:textFill>
              </w:rPr>
              <w:t>|||||</w:t>
            </w:r>
            <w:r w:rsidRPr="0036355B">
              <w:rPr>
                <w:color w:val="000000"/>
                <w:spacing w:val="5"/>
                <w:shd w:val="solid" w:color="000000" w:fill="000000"/>
                <w:fitText w:val="540" w:id="-1032112370"/>
                <w14:textFill>
                  <w14:solidFill>
                    <w14:srgbClr w14:val="000000">
                      <w14:alpha w14:val="100000"/>
                    </w14:srgbClr>
                  </w14:solidFill>
                </w14:textFill>
              </w:rPr>
              <w:t>|</w:t>
            </w:r>
            <w:r w:rsidR="00D0265D">
              <w:rPr>
                <w:sz w:val="18"/>
                <w:szCs w:val="18"/>
                <w:vertAlign w:val="superscript"/>
              </w:rPr>
              <w:t>1</w:t>
            </w:r>
          </w:p>
        </w:tc>
        <w:tc>
          <w:tcPr>
            <w:tcW w:w="439" w:type="pct"/>
          </w:tcPr>
          <w:p w14:paraId="4599BDDC" w14:textId="1F194076" w:rsidR="000E63B0" w:rsidRPr="00E211D2" w:rsidRDefault="000E63B0" w:rsidP="008A76A6">
            <w:pPr>
              <w:pStyle w:val="COMTabletext"/>
              <w:keepLines/>
              <w:jc w:val="center"/>
            </w:pPr>
            <w:r w:rsidRPr="00E211D2">
              <w:t>-</w:t>
            </w:r>
            <w:r w:rsidR="0036355B">
              <w:rPr>
                <w:rFonts w:hint="eastAsia"/>
              </w:rPr>
              <w:t xml:space="preserve"> </w:t>
            </w:r>
            <w:r w:rsidR="0036355B" w:rsidRPr="004671F3">
              <w:rPr>
                <w:color w:val="000000"/>
                <w:spacing w:val="214"/>
                <w:shd w:val="solid" w:color="000000" w:fill="000000"/>
                <w:fitText w:val="300" w:id="-1032112382"/>
                <w14:textFill>
                  <w14:solidFill>
                    <w14:srgbClr w14:val="000000">
                      <w14:alpha w14:val="100000"/>
                    </w14:srgbClr>
                  </w14:solidFill>
                </w14:textFill>
              </w:rPr>
              <w:t>|</w:t>
            </w:r>
            <w:r w:rsidR="0036355B" w:rsidRPr="004671F3">
              <w:rPr>
                <w:color w:val="000000"/>
                <w:shd w:val="solid" w:color="000000" w:fill="000000"/>
                <w:fitText w:val="300" w:id="-1032112382"/>
                <w14:textFill>
                  <w14:solidFill>
                    <w14:srgbClr w14:val="000000">
                      <w14:alpha w14:val="100000"/>
                    </w14:srgbClr>
                  </w14:solidFill>
                </w14:textFill>
              </w:rPr>
              <w:t>|</w:t>
            </w:r>
          </w:p>
        </w:tc>
      </w:tr>
      <w:tr w:rsidR="000E63B0" w:rsidRPr="00E211D2" w14:paraId="4D9F3ABC" w14:textId="77777777" w:rsidTr="001D4554">
        <w:tc>
          <w:tcPr>
            <w:tcW w:w="5000" w:type="pct"/>
            <w:gridSpan w:val="5"/>
            <w:vAlign w:val="center"/>
          </w:tcPr>
          <w:p w14:paraId="72554E06" w14:textId="77777777" w:rsidR="000E63B0" w:rsidRPr="00E211D2" w:rsidRDefault="000E63B0" w:rsidP="008A76A6">
            <w:pPr>
              <w:pStyle w:val="COMTabletext"/>
              <w:keepLines/>
              <w:rPr>
                <w:b/>
                <w:bCs w:val="0"/>
              </w:rPr>
            </w:pPr>
            <w:r w:rsidRPr="00E211D2">
              <w:rPr>
                <w:b/>
                <w:bCs w:val="0"/>
              </w:rPr>
              <w:t>Population cardiovascular event risks (base case: derived from REDUCE-IT trial)</w:t>
            </w:r>
          </w:p>
        </w:tc>
      </w:tr>
      <w:tr w:rsidR="000E63B0" w:rsidRPr="00E211D2" w14:paraId="4CF74D66" w14:textId="77777777" w:rsidTr="00957134">
        <w:tc>
          <w:tcPr>
            <w:tcW w:w="2576" w:type="pct"/>
          </w:tcPr>
          <w:p w14:paraId="709D1031" w14:textId="77777777" w:rsidR="000E63B0" w:rsidRPr="00E211D2" w:rsidRDefault="000E63B0" w:rsidP="008A76A6">
            <w:pPr>
              <w:pStyle w:val="COMTabletext"/>
              <w:keepLines/>
            </w:pPr>
            <w:r w:rsidRPr="00E211D2">
              <w:t>Reduced by 20%</w:t>
            </w:r>
          </w:p>
        </w:tc>
        <w:tc>
          <w:tcPr>
            <w:tcW w:w="650" w:type="pct"/>
          </w:tcPr>
          <w:p w14:paraId="54831618" w14:textId="69FDE817" w:rsidR="000E63B0" w:rsidRPr="005441F2" w:rsidRDefault="0036355B" w:rsidP="008A76A6">
            <w:pPr>
              <w:pStyle w:val="COMTabletext"/>
              <w:keepLines/>
              <w:jc w:val="center"/>
              <w:rPr>
                <w:highlight w:val="darkGray"/>
              </w:rPr>
            </w:pPr>
            <w:r w:rsidRPr="004671F3">
              <w:rPr>
                <w:color w:val="000000"/>
                <w:spacing w:val="52"/>
                <w:shd w:val="solid" w:color="000000" w:fill="000000"/>
                <w:fitText w:val="520" w:id="-1032112377"/>
                <w14:textFill>
                  <w14:solidFill>
                    <w14:srgbClr w14:val="000000">
                      <w14:alpha w14:val="100000"/>
                    </w14:srgbClr>
                  </w14:solidFill>
                </w14:textFill>
              </w:rPr>
              <w:t>|||||</w:t>
            </w:r>
            <w:r w:rsidRPr="004671F3">
              <w:rPr>
                <w:color w:val="000000"/>
                <w:spacing w:val="5"/>
                <w:shd w:val="solid" w:color="000000" w:fill="000000"/>
                <w:fitText w:val="520" w:id="-1032112377"/>
                <w14:textFill>
                  <w14:solidFill>
                    <w14:srgbClr w14:val="000000">
                      <w14:alpha w14:val="100000"/>
                    </w14:srgbClr>
                  </w14:solidFill>
                </w14:textFill>
              </w:rPr>
              <w:t>|</w:t>
            </w:r>
          </w:p>
        </w:tc>
        <w:tc>
          <w:tcPr>
            <w:tcW w:w="650" w:type="pct"/>
          </w:tcPr>
          <w:p w14:paraId="43F37EF2" w14:textId="77777777" w:rsidR="000E63B0" w:rsidRPr="00E211D2" w:rsidRDefault="000E63B0" w:rsidP="008A76A6">
            <w:pPr>
              <w:pStyle w:val="COMTabletext"/>
              <w:keepLines/>
              <w:jc w:val="center"/>
            </w:pPr>
            <w:r w:rsidRPr="00E211D2">
              <w:t>0.219</w:t>
            </w:r>
          </w:p>
        </w:tc>
        <w:tc>
          <w:tcPr>
            <w:tcW w:w="685" w:type="pct"/>
          </w:tcPr>
          <w:p w14:paraId="6F59D6CA" w14:textId="652EC92A" w:rsidR="000E63B0" w:rsidRPr="005441F2" w:rsidRDefault="0036355B" w:rsidP="008A76A6">
            <w:pPr>
              <w:pStyle w:val="COMTabletext"/>
              <w:keepLines/>
              <w:jc w:val="center"/>
              <w:rPr>
                <w:highlight w:val="darkGray"/>
              </w:rPr>
            </w:pPr>
            <w:r>
              <w:t xml:space="preserve"> </w:t>
            </w:r>
            <w:r w:rsidRPr="0036355B">
              <w:rPr>
                <w:color w:val="000000"/>
                <w:spacing w:val="56"/>
                <w:shd w:val="solid" w:color="000000" w:fill="000000"/>
                <w:fitText w:val="540" w:id="-1032112374"/>
                <w14:textFill>
                  <w14:solidFill>
                    <w14:srgbClr w14:val="000000">
                      <w14:alpha w14:val="100000"/>
                    </w14:srgbClr>
                  </w14:solidFill>
                </w14:textFill>
              </w:rPr>
              <w:t>|||||</w:t>
            </w:r>
            <w:r w:rsidRPr="0036355B">
              <w:rPr>
                <w:color w:val="000000"/>
                <w:spacing w:val="5"/>
                <w:shd w:val="solid" w:color="000000" w:fill="000000"/>
                <w:fitText w:val="540" w:id="-1032112374"/>
                <w14:textFill>
                  <w14:solidFill>
                    <w14:srgbClr w14:val="000000">
                      <w14:alpha w14:val="100000"/>
                    </w14:srgbClr>
                  </w14:solidFill>
                </w14:textFill>
              </w:rPr>
              <w:t>|</w:t>
            </w:r>
            <w:r w:rsidR="00D0265D">
              <w:rPr>
                <w:sz w:val="18"/>
                <w:szCs w:val="18"/>
                <w:vertAlign w:val="superscript"/>
              </w:rPr>
              <w:t>1</w:t>
            </w:r>
          </w:p>
        </w:tc>
        <w:tc>
          <w:tcPr>
            <w:tcW w:w="439" w:type="pct"/>
          </w:tcPr>
          <w:p w14:paraId="6491EB28" w14:textId="27F62BB8" w:rsidR="000E63B0" w:rsidRPr="005441F2" w:rsidRDefault="0036355B" w:rsidP="008A76A6">
            <w:pPr>
              <w:pStyle w:val="COMTabletext"/>
              <w:keepLines/>
              <w:jc w:val="center"/>
              <w:rPr>
                <w:highlight w:val="darkGray"/>
              </w:rPr>
            </w:pPr>
            <w:r w:rsidRPr="004671F3">
              <w:rPr>
                <w:color w:val="000000"/>
                <w:spacing w:val="217"/>
                <w:shd w:val="solid" w:color="000000" w:fill="000000"/>
                <w:fitText w:val="260" w:id="-1032112370"/>
                <w14:textFill>
                  <w14:solidFill>
                    <w14:srgbClr w14:val="000000">
                      <w14:alpha w14:val="100000"/>
                    </w14:srgbClr>
                  </w14:solidFill>
                </w14:textFill>
              </w:rPr>
              <w:t>|</w:t>
            </w:r>
          </w:p>
        </w:tc>
      </w:tr>
      <w:tr w:rsidR="000E63B0" w:rsidRPr="00E211D2" w14:paraId="5F244DEF" w14:textId="77777777" w:rsidTr="00957134">
        <w:tc>
          <w:tcPr>
            <w:tcW w:w="2576" w:type="pct"/>
          </w:tcPr>
          <w:p w14:paraId="46612329" w14:textId="77777777" w:rsidR="000E63B0" w:rsidRPr="00E211D2" w:rsidRDefault="000E63B0" w:rsidP="008A76A6">
            <w:pPr>
              <w:pStyle w:val="COMTabletext"/>
              <w:keepLines/>
            </w:pPr>
            <w:r w:rsidRPr="00E211D2">
              <w:t>Reduced by 40%</w:t>
            </w:r>
          </w:p>
        </w:tc>
        <w:tc>
          <w:tcPr>
            <w:tcW w:w="650" w:type="pct"/>
          </w:tcPr>
          <w:p w14:paraId="178EC552" w14:textId="4CBD9E02" w:rsidR="000E63B0" w:rsidRPr="005441F2" w:rsidRDefault="0036355B" w:rsidP="008A76A6">
            <w:pPr>
              <w:pStyle w:val="COMTabletext"/>
              <w:keepLines/>
              <w:jc w:val="center"/>
              <w:rPr>
                <w:highlight w:val="darkGray"/>
              </w:rPr>
            </w:pPr>
            <w:r w:rsidRPr="004671F3">
              <w:rPr>
                <w:color w:val="000000"/>
                <w:spacing w:val="52"/>
                <w:shd w:val="solid" w:color="000000" w:fill="000000"/>
                <w:fitText w:val="520" w:id="-1032112382"/>
                <w14:textFill>
                  <w14:solidFill>
                    <w14:srgbClr w14:val="000000">
                      <w14:alpha w14:val="100000"/>
                    </w14:srgbClr>
                  </w14:solidFill>
                </w14:textFill>
              </w:rPr>
              <w:t>|||||</w:t>
            </w:r>
            <w:r w:rsidRPr="004671F3">
              <w:rPr>
                <w:color w:val="000000"/>
                <w:spacing w:val="5"/>
                <w:shd w:val="solid" w:color="000000" w:fill="000000"/>
                <w:fitText w:val="520" w:id="-1032112382"/>
                <w14:textFill>
                  <w14:solidFill>
                    <w14:srgbClr w14:val="000000">
                      <w14:alpha w14:val="100000"/>
                    </w14:srgbClr>
                  </w14:solidFill>
                </w14:textFill>
              </w:rPr>
              <w:t>|</w:t>
            </w:r>
          </w:p>
        </w:tc>
        <w:tc>
          <w:tcPr>
            <w:tcW w:w="650" w:type="pct"/>
          </w:tcPr>
          <w:p w14:paraId="5B34A411" w14:textId="77777777" w:rsidR="000E63B0" w:rsidRPr="00E211D2" w:rsidRDefault="000E63B0" w:rsidP="008A76A6">
            <w:pPr>
              <w:pStyle w:val="COMTabletext"/>
              <w:keepLines/>
              <w:jc w:val="center"/>
            </w:pPr>
            <w:r w:rsidRPr="00E211D2">
              <w:t>0.174</w:t>
            </w:r>
          </w:p>
        </w:tc>
        <w:tc>
          <w:tcPr>
            <w:tcW w:w="685" w:type="pct"/>
          </w:tcPr>
          <w:p w14:paraId="0D8712BF" w14:textId="65CFE571" w:rsidR="000E63B0" w:rsidRPr="005441F2" w:rsidRDefault="0036355B" w:rsidP="008A76A6">
            <w:pPr>
              <w:pStyle w:val="COMTabletext"/>
              <w:keepLines/>
              <w:jc w:val="center"/>
              <w:rPr>
                <w:highlight w:val="darkGray"/>
              </w:rPr>
            </w:pPr>
            <w:r>
              <w:t xml:space="preserve"> </w:t>
            </w:r>
            <w:r w:rsidRPr="0036355B">
              <w:rPr>
                <w:color w:val="000000"/>
                <w:spacing w:val="56"/>
                <w:shd w:val="solid" w:color="000000" w:fill="000000"/>
                <w:fitText w:val="540" w:id="-1032112379"/>
                <w14:textFill>
                  <w14:solidFill>
                    <w14:srgbClr w14:val="000000">
                      <w14:alpha w14:val="100000"/>
                    </w14:srgbClr>
                  </w14:solidFill>
                </w14:textFill>
              </w:rPr>
              <w:t>|||||</w:t>
            </w:r>
            <w:r w:rsidRPr="0036355B">
              <w:rPr>
                <w:color w:val="000000"/>
                <w:spacing w:val="5"/>
                <w:shd w:val="solid" w:color="000000" w:fill="000000"/>
                <w:fitText w:val="540" w:id="-1032112379"/>
                <w14:textFill>
                  <w14:solidFill>
                    <w14:srgbClr w14:val="000000">
                      <w14:alpha w14:val="100000"/>
                    </w14:srgbClr>
                  </w14:solidFill>
                </w14:textFill>
              </w:rPr>
              <w:t>|</w:t>
            </w:r>
            <w:r w:rsidR="002B6606">
              <w:rPr>
                <w:sz w:val="18"/>
                <w:szCs w:val="18"/>
                <w:vertAlign w:val="superscript"/>
              </w:rPr>
              <w:t>3</w:t>
            </w:r>
          </w:p>
        </w:tc>
        <w:tc>
          <w:tcPr>
            <w:tcW w:w="439" w:type="pct"/>
          </w:tcPr>
          <w:p w14:paraId="11E6D273" w14:textId="29F7F2F5" w:rsidR="000E63B0" w:rsidRPr="005441F2" w:rsidRDefault="0036355B" w:rsidP="008A76A6">
            <w:pPr>
              <w:pStyle w:val="COMTabletext"/>
              <w:keepLines/>
              <w:jc w:val="center"/>
              <w:rPr>
                <w:highlight w:val="darkGray"/>
              </w:rPr>
            </w:pPr>
            <w:r w:rsidRPr="004671F3">
              <w:rPr>
                <w:color w:val="000000"/>
                <w:spacing w:val="174"/>
                <w:shd w:val="solid" w:color="000000" w:fill="000000"/>
                <w:fitText w:val="260" w:id="-1032112375"/>
                <w14:textFill>
                  <w14:solidFill>
                    <w14:srgbClr w14:val="000000">
                      <w14:alpha w14:val="100000"/>
                    </w14:srgbClr>
                  </w14:solidFill>
                </w14:textFill>
              </w:rPr>
              <w:t>|</w:t>
            </w:r>
            <w:r w:rsidRPr="004671F3">
              <w:rPr>
                <w:color w:val="000000"/>
                <w:shd w:val="solid" w:color="000000" w:fill="000000"/>
                <w:fitText w:val="260" w:id="-1032112375"/>
                <w14:textFill>
                  <w14:solidFill>
                    <w14:srgbClr w14:val="000000">
                      <w14:alpha w14:val="100000"/>
                    </w14:srgbClr>
                  </w14:solidFill>
                </w14:textFill>
              </w:rPr>
              <w:t>|</w:t>
            </w:r>
          </w:p>
        </w:tc>
      </w:tr>
      <w:tr w:rsidR="000E63B0" w:rsidRPr="00E211D2" w14:paraId="22059A3A" w14:textId="77777777" w:rsidTr="00957134">
        <w:tc>
          <w:tcPr>
            <w:tcW w:w="2576" w:type="pct"/>
          </w:tcPr>
          <w:p w14:paraId="0ECEA098" w14:textId="77777777" w:rsidR="000E63B0" w:rsidRPr="00E211D2" w:rsidRDefault="000E63B0" w:rsidP="008A76A6">
            <w:pPr>
              <w:pStyle w:val="COMTabletext"/>
              <w:keepLines/>
            </w:pPr>
            <w:r w:rsidRPr="00E211D2">
              <w:t>Increased by 20%</w:t>
            </w:r>
          </w:p>
        </w:tc>
        <w:tc>
          <w:tcPr>
            <w:tcW w:w="650" w:type="pct"/>
          </w:tcPr>
          <w:p w14:paraId="27F3A7BC" w14:textId="2163A2E5" w:rsidR="000E63B0" w:rsidRPr="005441F2" w:rsidRDefault="0036355B" w:rsidP="008A76A6">
            <w:pPr>
              <w:pStyle w:val="COMTabletext"/>
              <w:keepLines/>
              <w:jc w:val="center"/>
              <w:rPr>
                <w:highlight w:val="darkGray"/>
              </w:rPr>
            </w:pPr>
            <w:r w:rsidRPr="004671F3">
              <w:rPr>
                <w:color w:val="000000"/>
                <w:spacing w:val="52"/>
                <w:shd w:val="solid" w:color="000000" w:fill="000000"/>
                <w:fitText w:val="520" w:id="-1032112370"/>
                <w14:textFill>
                  <w14:solidFill>
                    <w14:srgbClr w14:val="000000">
                      <w14:alpha w14:val="100000"/>
                    </w14:srgbClr>
                  </w14:solidFill>
                </w14:textFill>
              </w:rPr>
              <w:t>|||||</w:t>
            </w:r>
            <w:r w:rsidRPr="004671F3">
              <w:rPr>
                <w:color w:val="000000"/>
                <w:spacing w:val="5"/>
                <w:shd w:val="solid" w:color="000000" w:fill="000000"/>
                <w:fitText w:val="520" w:id="-1032112370"/>
                <w14:textFill>
                  <w14:solidFill>
                    <w14:srgbClr w14:val="000000">
                      <w14:alpha w14:val="100000"/>
                    </w14:srgbClr>
                  </w14:solidFill>
                </w14:textFill>
              </w:rPr>
              <w:t>|</w:t>
            </w:r>
          </w:p>
        </w:tc>
        <w:tc>
          <w:tcPr>
            <w:tcW w:w="650" w:type="pct"/>
          </w:tcPr>
          <w:p w14:paraId="497699D5" w14:textId="77777777" w:rsidR="000E63B0" w:rsidRPr="00E211D2" w:rsidRDefault="000E63B0" w:rsidP="008A76A6">
            <w:pPr>
              <w:pStyle w:val="COMTabletext"/>
              <w:keepLines/>
              <w:jc w:val="center"/>
            </w:pPr>
            <w:r w:rsidRPr="00E211D2">
              <w:t>0.297</w:t>
            </w:r>
          </w:p>
        </w:tc>
        <w:tc>
          <w:tcPr>
            <w:tcW w:w="685" w:type="pct"/>
          </w:tcPr>
          <w:p w14:paraId="65F8659B" w14:textId="4079A64B" w:rsidR="000E63B0" w:rsidRPr="005441F2" w:rsidRDefault="0036355B" w:rsidP="008A76A6">
            <w:pPr>
              <w:pStyle w:val="COMTabletext"/>
              <w:keepLines/>
              <w:jc w:val="center"/>
              <w:rPr>
                <w:highlight w:val="darkGray"/>
              </w:rPr>
            </w:pPr>
            <w:r>
              <w:t xml:space="preserve"> </w:t>
            </w:r>
            <w:r w:rsidRPr="0036355B">
              <w:rPr>
                <w:color w:val="000000"/>
                <w:spacing w:val="56"/>
                <w:shd w:val="solid" w:color="000000" w:fill="000000"/>
                <w:fitText w:val="540" w:id="-1032112384"/>
                <w14:textFill>
                  <w14:solidFill>
                    <w14:srgbClr w14:val="000000">
                      <w14:alpha w14:val="100000"/>
                    </w14:srgbClr>
                  </w14:solidFill>
                </w14:textFill>
              </w:rPr>
              <w:t>|||||</w:t>
            </w:r>
            <w:r w:rsidRPr="0036355B">
              <w:rPr>
                <w:color w:val="000000"/>
                <w:spacing w:val="5"/>
                <w:shd w:val="solid" w:color="000000" w:fill="000000"/>
                <w:fitText w:val="540" w:id="-1032112384"/>
                <w14:textFill>
                  <w14:solidFill>
                    <w14:srgbClr w14:val="000000">
                      <w14:alpha w14:val="100000"/>
                    </w14:srgbClr>
                  </w14:solidFill>
                </w14:textFill>
              </w:rPr>
              <w:t>|</w:t>
            </w:r>
            <w:r w:rsidR="00206A01">
              <w:rPr>
                <w:sz w:val="18"/>
                <w:szCs w:val="18"/>
                <w:vertAlign w:val="superscript"/>
              </w:rPr>
              <w:t>2</w:t>
            </w:r>
          </w:p>
        </w:tc>
        <w:tc>
          <w:tcPr>
            <w:tcW w:w="439" w:type="pct"/>
          </w:tcPr>
          <w:p w14:paraId="055ED45D" w14:textId="283074ED" w:rsidR="000E63B0" w:rsidRPr="00E211D2" w:rsidRDefault="000E63B0" w:rsidP="008A76A6">
            <w:pPr>
              <w:pStyle w:val="COMTabletext"/>
              <w:keepLines/>
              <w:jc w:val="center"/>
            </w:pPr>
            <w:r w:rsidRPr="00E211D2">
              <w:t>-</w:t>
            </w:r>
            <w:r w:rsidR="0036355B">
              <w:rPr>
                <w:rFonts w:hint="eastAsia"/>
              </w:rPr>
              <w:t xml:space="preserve"> </w:t>
            </w:r>
            <w:r w:rsidR="0036355B" w:rsidRPr="004671F3">
              <w:rPr>
                <w:color w:val="000000"/>
                <w:spacing w:val="214"/>
                <w:shd w:val="solid" w:color="000000" w:fill="000000"/>
                <w:fitText w:val="300" w:id="-1032112379"/>
                <w14:textFill>
                  <w14:solidFill>
                    <w14:srgbClr w14:val="000000">
                      <w14:alpha w14:val="100000"/>
                    </w14:srgbClr>
                  </w14:solidFill>
                </w14:textFill>
              </w:rPr>
              <w:t>|</w:t>
            </w:r>
            <w:r w:rsidR="0036355B" w:rsidRPr="004671F3">
              <w:rPr>
                <w:color w:val="000000"/>
                <w:shd w:val="solid" w:color="000000" w:fill="000000"/>
                <w:fitText w:val="300" w:id="-1032112379"/>
                <w14:textFill>
                  <w14:solidFill>
                    <w14:srgbClr w14:val="000000">
                      <w14:alpha w14:val="100000"/>
                    </w14:srgbClr>
                  </w14:solidFill>
                </w14:textFill>
              </w:rPr>
              <w:t>|</w:t>
            </w:r>
          </w:p>
        </w:tc>
      </w:tr>
      <w:tr w:rsidR="000E63B0" w:rsidRPr="00E211D2" w14:paraId="37FB32EA" w14:textId="77777777" w:rsidTr="00957134">
        <w:tc>
          <w:tcPr>
            <w:tcW w:w="2576" w:type="pct"/>
          </w:tcPr>
          <w:p w14:paraId="4BFA5D84" w14:textId="77777777" w:rsidR="000E63B0" w:rsidRPr="00E211D2" w:rsidRDefault="000E63B0" w:rsidP="008A76A6">
            <w:pPr>
              <w:pStyle w:val="COMTabletext"/>
              <w:keepLines/>
            </w:pPr>
            <w:r w:rsidRPr="00E211D2">
              <w:t>Increased by 40%</w:t>
            </w:r>
          </w:p>
        </w:tc>
        <w:tc>
          <w:tcPr>
            <w:tcW w:w="650" w:type="pct"/>
          </w:tcPr>
          <w:p w14:paraId="5EE25E81" w14:textId="066D01D0" w:rsidR="000E63B0" w:rsidRPr="005441F2" w:rsidRDefault="0036355B" w:rsidP="008A76A6">
            <w:pPr>
              <w:pStyle w:val="COMTabletext"/>
              <w:keepLines/>
              <w:jc w:val="center"/>
              <w:rPr>
                <w:highlight w:val="darkGray"/>
              </w:rPr>
            </w:pPr>
            <w:r w:rsidRPr="004671F3">
              <w:rPr>
                <w:color w:val="000000"/>
                <w:spacing w:val="52"/>
                <w:shd w:val="solid" w:color="000000" w:fill="000000"/>
                <w:fitText w:val="520" w:id="-1032112374"/>
                <w14:textFill>
                  <w14:solidFill>
                    <w14:srgbClr w14:val="000000">
                      <w14:alpha w14:val="100000"/>
                    </w14:srgbClr>
                  </w14:solidFill>
                </w14:textFill>
              </w:rPr>
              <w:t>|||||</w:t>
            </w:r>
            <w:r w:rsidRPr="004671F3">
              <w:rPr>
                <w:color w:val="000000"/>
                <w:spacing w:val="5"/>
                <w:shd w:val="solid" w:color="000000" w:fill="000000"/>
                <w:fitText w:val="520" w:id="-1032112374"/>
                <w14:textFill>
                  <w14:solidFill>
                    <w14:srgbClr w14:val="000000">
                      <w14:alpha w14:val="100000"/>
                    </w14:srgbClr>
                  </w14:solidFill>
                </w14:textFill>
              </w:rPr>
              <w:t>|</w:t>
            </w:r>
          </w:p>
        </w:tc>
        <w:tc>
          <w:tcPr>
            <w:tcW w:w="650" w:type="pct"/>
          </w:tcPr>
          <w:p w14:paraId="2D5054A1" w14:textId="77777777" w:rsidR="000E63B0" w:rsidRPr="00E211D2" w:rsidRDefault="000E63B0" w:rsidP="008A76A6">
            <w:pPr>
              <w:pStyle w:val="COMTabletext"/>
              <w:keepLines/>
              <w:jc w:val="center"/>
            </w:pPr>
            <w:r w:rsidRPr="00E211D2">
              <w:t>0.330</w:t>
            </w:r>
          </w:p>
        </w:tc>
        <w:tc>
          <w:tcPr>
            <w:tcW w:w="685" w:type="pct"/>
          </w:tcPr>
          <w:p w14:paraId="7DCB6F30" w14:textId="47C4E579" w:rsidR="000E63B0" w:rsidRPr="005441F2" w:rsidRDefault="0036355B" w:rsidP="008A76A6">
            <w:pPr>
              <w:pStyle w:val="COMTabletext"/>
              <w:keepLines/>
              <w:jc w:val="center"/>
              <w:rPr>
                <w:highlight w:val="darkGray"/>
              </w:rPr>
            </w:pPr>
            <w:r>
              <w:t xml:space="preserve"> </w:t>
            </w:r>
            <w:r w:rsidRPr="0036355B">
              <w:rPr>
                <w:color w:val="000000"/>
                <w:spacing w:val="56"/>
                <w:shd w:val="solid" w:color="000000" w:fill="000000"/>
                <w:fitText w:val="540" w:id="-1032112371"/>
                <w14:textFill>
                  <w14:solidFill>
                    <w14:srgbClr w14:val="000000">
                      <w14:alpha w14:val="100000"/>
                    </w14:srgbClr>
                  </w14:solidFill>
                </w14:textFill>
              </w:rPr>
              <w:t>|||||</w:t>
            </w:r>
            <w:r w:rsidRPr="0036355B">
              <w:rPr>
                <w:color w:val="000000"/>
                <w:spacing w:val="5"/>
                <w:shd w:val="solid" w:color="000000" w:fill="000000"/>
                <w:fitText w:val="540" w:id="-1032112371"/>
                <w14:textFill>
                  <w14:solidFill>
                    <w14:srgbClr w14:val="000000">
                      <w14:alpha w14:val="100000"/>
                    </w14:srgbClr>
                  </w14:solidFill>
                </w14:textFill>
              </w:rPr>
              <w:t>|</w:t>
            </w:r>
            <w:r w:rsidR="00206A01">
              <w:rPr>
                <w:sz w:val="18"/>
                <w:szCs w:val="18"/>
                <w:vertAlign w:val="superscript"/>
              </w:rPr>
              <w:t>2</w:t>
            </w:r>
          </w:p>
        </w:tc>
        <w:tc>
          <w:tcPr>
            <w:tcW w:w="439" w:type="pct"/>
          </w:tcPr>
          <w:p w14:paraId="00758851" w14:textId="66026C5B" w:rsidR="000E63B0" w:rsidRPr="00E211D2" w:rsidRDefault="000E63B0" w:rsidP="008A76A6">
            <w:pPr>
              <w:pStyle w:val="COMTabletext"/>
              <w:keepLines/>
              <w:jc w:val="center"/>
            </w:pPr>
            <w:r w:rsidRPr="00E211D2">
              <w:t>-</w:t>
            </w:r>
            <w:r w:rsidR="0036355B">
              <w:rPr>
                <w:rFonts w:hint="eastAsia"/>
              </w:rPr>
              <w:t xml:space="preserve"> </w:t>
            </w:r>
            <w:r w:rsidR="0036355B" w:rsidRPr="004671F3">
              <w:rPr>
                <w:color w:val="000000"/>
                <w:spacing w:val="214"/>
                <w:shd w:val="solid" w:color="000000" w:fill="000000"/>
                <w:fitText w:val="300" w:id="-1032112383"/>
                <w14:textFill>
                  <w14:solidFill>
                    <w14:srgbClr w14:val="000000">
                      <w14:alpha w14:val="100000"/>
                    </w14:srgbClr>
                  </w14:solidFill>
                </w14:textFill>
              </w:rPr>
              <w:t>|</w:t>
            </w:r>
            <w:r w:rsidR="0036355B" w:rsidRPr="004671F3">
              <w:rPr>
                <w:color w:val="000000"/>
                <w:shd w:val="solid" w:color="000000" w:fill="000000"/>
                <w:fitText w:val="300" w:id="-1032112383"/>
                <w14:textFill>
                  <w14:solidFill>
                    <w14:srgbClr w14:val="000000">
                      <w14:alpha w14:val="100000"/>
                    </w14:srgbClr>
                  </w14:solidFill>
                </w14:textFill>
              </w:rPr>
              <w:t>|</w:t>
            </w:r>
          </w:p>
        </w:tc>
      </w:tr>
      <w:tr w:rsidR="000E63B0" w:rsidRPr="00E211D2" w14:paraId="4CE05834" w14:textId="77777777" w:rsidTr="001D4554">
        <w:tc>
          <w:tcPr>
            <w:tcW w:w="5000" w:type="pct"/>
            <w:gridSpan w:val="5"/>
            <w:vAlign w:val="center"/>
          </w:tcPr>
          <w:p w14:paraId="3ADD0A49" w14:textId="77777777" w:rsidR="000E63B0" w:rsidRPr="00E211D2" w:rsidRDefault="000E63B0" w:rsidP="008A76A6">
            <w:pPr>
              <w:pStyle w:val="COMTabletext"/>
              <w:keepLines/>
              <w:rPr>
                <w:b/>
                <w:bCs w:val="0"/>
              </w:rPr>
            </w:pPr>
            <w:r w:rsidRPr="00E211D2">
              <w:rPr>
                <w:b/>
                <w:bCs w:val="0"/>
              </w:rPr>
              <w:t>Remove individual cardiovascular events from the model (base case: all included)</w:t>
            </w:r>
          </w:p>
        </w:tc>
      </w:tr>
      <w:tr w:rsidR="000E63B0" w:rsidRPr="00E211D2" w14:paraId="4CC673AE" w14:textId="77777777" w:rsidTr="00957134">
        <w:tc>
          <w:tcPr>
            <w:tcW w:w="2576" w:type="pct"/>
          </w:tcPr>
          <w:p w14:paraId="55A499E2" w14:textId="77777777" w:rsidR="000E63B0" w:rsidRPr="00E211D2" w:rsidRDefault="000E63B0" w:rsidP="008A76A6">
            <w:pPr>
              <w:pStyle w:val="COMTabletext"/>
              <w:keepLines/>
            </w:pPr>
            <w:r w:rsidRPr="00E211D2">
              <w:t>Cardiovascular death</w:t>
            </w:r>
          </w:p>
        </w:tc>
        <w:tc>
          <w:tcPr>
            <w:tcW w:w="650" w:type="pct"/>
          </w:tcPr>
          <w:p w14:paraId="26B04886" w14:textId="1EEB3B24" w:rsidR="000E63B0" w:rsidRPr="005441F2" w:rsidRDefault="0036355B" w:rsidP="008A76A6">
            <w:pPr>
              <w:pStyle w:val="COMTabletext"/>
              <w:keepLines/>
              <w:jc w:val="center"/>
              <w:rPr>
                <w:highlight w:val="darkGray"/>
              </w:rPr>
            </w:pPr>
            <w:r w:rsidRPr="004671F3">
              <w:rPr>
                <w:color w:val="000000"/>
                <w:spacing w:val="52"/>
                <w:shd w:val="solid" w:color="000000" w:fill="000000"/>
                <w:fitText w:val="520" w:id="-1032112378"/>
                <w14:textFill>
                  <w14:solidFill>
                    <w14:srgbClr w14:val="000000">
                      <w14:alpha w14:val="100000"/>
                    </w14:srgbClr>
                  </w14:solidFill>
                </w14:textFill>
              </w:rPr>
              <w:t>|||||</w:t>
            </w:r>
            <w:r w:rsidRPr="004671F3">
              <w:rPr>
                <w:color w:val="000000"/>
                <w:spacing w:val="5"/>
                <w:shd w:val="solid" w:color="000000" w:fill="000000"/>
                <w:fitText w:val="520" w:id="-1032112378"/>
                <w14:textFill>
                  <w14:solidFill>
                    <w14:srgbClr w14:val="000000">
                      <w14:alpha w14:val="100000"/>
                    </w14:srgbClr>
                  </w14:solidFill>
                </w14:textFill>
              </w:rPr>
              <w:t>|</w:t>
            </w:r>
          </w:p>
        </w:tc>
        <w:tc>
          <w:tcPr>
            <w:tcW w:w="650" w:type="pct"/>
          </w:tcPr>
          <w:p w14:paraId="53DAF2DA" w14:textId="77777777" w:rsidR="000E63B0" w:rsidRPr="00E211D2" w:rsidRDefault="000E63B0" w:rsidP="008A76A6">
            <w:pPr>
              <w:pStyle w:val="COMTabletext"/>
              <w:keepLines/>
              <w:jc w:val="center"/>
            </w:pPr>
            <w:r w:rsidRPr="00E211D2">
              <w:t>0.059</w:t>
            </w:r>
          </w:p>
        </w:tc>
        <w:tc>
          <w:tcPr>
            <w:tcW w:w="685" w:type="pct"/>
          </w:tcPr>
          <w:p w14:paraId="11A37B8D" w14:textId="4259BBAF" w:rsidR="000E63B0" w:rsidRPr="005441F2" w:rsidRDefault="0036355B" w:rsidP="008A76A6">
            <w:pPr>
              <w:pStyle w:val="COMTabletext"/>
              <w:keepLines/>
              <w:jc w:val="center"/>
              <w:rPr>
                <w:highlight w:val="darkGray"/>
              </w:rPr>
            </w:pPr>
            <w:r>
              <w:t xml:space="preserve"> </w:t>
            </w:r>
            <w:r w:rsidRPr="0036355B">
              <w:rPr>
                <w:color w:val="000000"/>
                <w:spacing w:val="56"/>
                <w:shd w:val="solid" w:color="000000" w:fill="000000"/>
                <w:fitText w:val="540" w:id="-1032112375"/>
                <w14:textFill>
                  <w14:solidFill>
                    <w14:srgbClr w14:val="000000">
                      <w14:alpha w14:val="100000"/>
                    </w14:srgbClr>
                  </w14:solidFill>
                </w14:textFill>
              </w:rPr>
              <w:t>|||||</w:t>
            </w:r>
            <w:r w:rsidRPr="0036355B">
              <w:rPr>
                <w:color w:val="000000"/>
                <w:spacing w:val="5"/>
                <w:shd w:val="solid" w:color="000000" w:fill="000000"/>
                <w:fitText w:val="540" w:id="-1032112375"/>
                <w14:textFill>
                  <w14:solidFill>
                    <w14:srgbClr w14:val="000000">
                      <w14:alpha w14:val="100000"/>
                    </w14:srgbClr>
                  </w14:solidFill>
                </w14:textFill>
              </w:rPr>
              <w:t>|</w:t>
            </w:r>
            <w:r w:rsidR="00726655">
              <w:rPr>
                <w:sz w:val="18"/>
                <w:szCs w:val="18"/>
                <w:vertAlign w:val="superscript"/>
              </w:rPr>
              <w:t>4</w:t>
            </w:r>
          </w:p>
        </w:tc>
        <w:tc>
          <w:tcPr>
            <w:tcW w:w="439" w:type="pct"/>
          </w:tcPr>
          <w:p w14:paraId="47C78858" w14:textId="0603CB1C" w:rsidR="000E63B0" w:rsidRPr="005441F2" w:rsidRDefault="0036355B" w:rsidP="008A76A6">
            <w:pPr>
              <w:pStyle w:val="COMTabletext"/>
              <w:keepLines/>
              <w:jc w:val="center"/>
              <w:rPr>
                <w:highlight w:val="darkGray"/>
              </w:rPr>
            </w:pPr>
            <w:r w:rsidRPr="004671F3">
              <w:rPr>
                <w:color w:val="000000"/>
                <w:spacing w:val="174"/>
                <w:shd w:val="solid" w:color="000000" w:fill="000000"/>
                <w:fitText w:val="260" w:id="-1032112371"/>
                <w14:textFill>
                  <w14:solidFill>
                    <w14:srgbClr w14:val="000000">
                      <w14:alpha w14:val="100000"/>
                    </w14:srgbClr>
                  </w14:solidFill>
                </w14:textFill>
              </w:rPr>
              <w:t>|</w:t>
            </w:r>
            <w:r w:rsidRPr="004671F3">
              <w:rPr>
                <w:color w:val="000000"/>
                <w:shd w:val="solid" w:color="000000" w:fill="000000"/>
                <w:fitText w:val="260" w:id="-1032112371"/>
                <w14:textFill>
                  <w14:solidFill>
                    <w14:srgbClr w14:val="000000">
                      <w14:alpha w14:val="100000"/>
                    </w14:srgbClr>
                  </w14:solidFill>
                </w14:textFill>
              </w:rPr>
              <w:t>|</w:t>
            </w:r>
          </w:p>
        </w:tc>
      </w:tr>
      <w:tr w:rsidR="000E63B0" w:rsidRPr="00E211D2" w14:paraId="07D6B9BB" w14:textId="77777777" w:rsidTr="00957134">
        <w:tc>
          <w:tcPr>
            <w:tcW w:w="2576" w:type="pct"/>
          </w:tcPr>
          <w:p w14:paraId="7450C0A3" w14:textId="77777777" w:rsidR="000E63B0" w:rsidRPr="00E211D2" w:rsidRDefault="000E63B0" w:rsidP="008A76A6">
            <w:pPr>
              <w:pStyle w:val="COMTabletext"/>
              <w:keepLines/>
            </w:pPr>
            <w:r w:rsidRPr="00E211D2">
              <w:t>Hospitalisation for unstable angina</w:t>
            </w:r>
          </w:p>
        </w:tc>
        <w:tc>
          <w:tcPr>
            <w:tcW w:w="650" w:type="pct"/>
          </w:tcPr>
          <w:p w14:paraId="58FB12AB" w14:textId="41489EDB" w:rsidR="000E63B0" w:rsidRPr="005441F2" w:rsidRDefault="0036355B" w:rsidP="008A76A6">
            <w:pPr>
              <w:pStyle w:val="COMTabletext"/>
              <w:keepLines/>
              <w:jc w:val="center"/>
              <w:rPr>
                <w:highlight w:val="darkGray"/>
              </w:rPr>
            </w:pPr>
            <w:r w:rsidRPr="004671F3">
              <w:rPr>
                <w:color w:val="000000"/>
                <w:spacing w:val="52"/>
                <w:shd w:val="solid" w:color="000000" w:fill="000000"/>
                <w:fitText w:val="520" w:id="-1032112128"/>
                <w14:textFill>
                  <w14:solidFill>
                    <w14:srgbClr w14:val="000000">
                      <w14:alpha w14:val="100000"/>
                    </w14:srgbClr>
                  </w14:solidFill>
                </w14:textFill>
              </w:rPr>
              <w:t>|||||</w:t>
            </w:r>
            <w:r w:rsidRPr="004671F3">
              <w:rPr>
                <w:color w:val="000000"/>
                <w:spacing w:val="5"/>
                <w:shd w:val="solid" w:color="000000" w:fill="000000"/>
                <w:fitText w:val="520" w:id="-1032112128"/>
                <w14:textFill>
                  <w14:solidFill>
                    <w14:srgbClr w14:val="000000">
                      <w14:alpha w14:val="100000"/>
                    </w14:srgbClr>
                  </w14:solidFill>
                </w14:textFill>
              </w:rPr>
              <w:t>|</w:t>
            </w:r>
          </w:p>
        </w:tc>
        <w:tc>
          <w:tcPr>
            <w:tcW w:w="650" w:type="pct"/>
          </w:tcPr>
          <w:p w14:paraId="330801DD" w14:textId="77777777" w:rsidR="000E63B0" w:rsidRPr="00E211D2" w:rsidRDefault="000E63B0" w:rsidP="008A76A6">
            <w:pPr>
              <w:pStyle w:val="COMTabletext"/>
              <w:keepLines/>
              <w:jc w:val="center"/>
            </w:pPr>
            <w:r w:rsidRPr="00E211D2">
              <w:t>0.259</w:t>
            </w:r>
          </w:p>
        </w:tc>
        <w:tc>
          <w:tcPr>
            <w:tcW w:w="685" w:type="pct"/>
          </w:tcPr>
          <w:p w14:paraId="553C49A9" w14:textId="1885B981" w:rsidR="000E63B0" w:rsidRPr="005441F2" w:rsidRDefault="0036355B" w:rsidP="008A76A6">
            <w:pPr>
              <w:pStyle w:val="COMTabletext"/>
              <w:keepLines/>
              <w:jc w:val="center"/>
              <w:rPr>
                <w:highlight w:val="darkGray"/>
              </w:rPr>
            </w:pPr>
            <w:r>
              <w:t xml:space="preserve"> </w:t>
            </w:r>
            <w:r w:rsidRPr="0036355B">
              <w:rPr>
                <w:color w:val="000000"/>
                <w:spacing w:val="56"/>
                <w:shd w:val="solid" w:color="000000" w:fill="000000"/>
                <w:fitText w:val="540" w:id="-1032112125"/>
                <w14:textFill>
                  <w14:solidFill>
                    <w14:srgbClr w14:val="000000">
                      <w14:alpha w14:val="100000"/>
                    </w14:srgbClr>
                  </w14:solidFill>
                </w14:textFill>
              </w:rPr>
              <w:t>|||||</w:t>
            </w:r>
            <w:r w:rsidRPr="0036355B">
              <w:rPr>
                <w:color w:val="000000"/>
                <w:spacing w:val="5"/>
                <w:shd w:val="solid" w:color="000000" w:fill="000000"/>
                <w:fitText w:val="540" w:id="-1032112125"/>
                <w14:textFill>
                  <w14:solidFill>
                    <w14:srgbClr w14:val="000000">
                      <w14:alpha w14:val="100000"/>
                    </w14:srgbClr>
                  </w14:solidFill>
                </w14:textFill>
              </w:rPr>
              <w:t>|</w:t>
            </w:r>
            <w:r w:rsidR="00206A01">
              <w:rPr>
                <w:sz w:val="18"/>
                <w:szCs w:val="18"/>
                <w:vertAlign w:val="superscript"/>
              </w:rPr>
              <w:t>1</w:t>
            </w:r>
          </w:p>
        </w:tc>
        <w:tc>
          <w:tcPr>
            <w:tcW w:w="439" w:type="pct"/>
          </w:tcPr>
          <w:p w14:paraId="04E2B216" w14:textId="5A93A1CD" w:rsidR="000E63B0" w:rsidRPr="005441F2" w:rsidRDefault="0036355B" w:rsidP="008A76A6">
            <w:pPr>
              <w:pStyle w:val="COMTabletext"/>
              <w:keepLines/>
              <w:jc w:val="center"/>
              <w:rPr>
                <w:highlight w:val="darkGray"/>
              </w:rPr>
            </w:pPr>
            <w:r w:rsidRPr="004671F3">
              <w:rPr>
                <w:color w:val="000000"/>
                <w:spacing w:val="174"/>
                <w:shd w:val="solid" w:color="000000" w:fill="000000"/>
                <w:fitText w:val="260" w:id="-1032112121"/>
                <w14:textFill>
                  <w14:solidFill>
                    <w14:srgbClr w14:val="000000">
                      <w14:alpha w14:val="100000"/>
                    </w14:srgbClr>
                  </w14:solidFill>
                </w14:textFill>
              </w:rPr>
              <w:t>|</w:t>
            </w:r>
            <w:r w:rsidRPr="004671F3">
              <w:rPr>
                <w:color w:val="000000"/>
                <w:shd w:val="solid" w:color="000000" w:fill="000000"/>
                <w:fitText w:val="260" w:id="-1032112121"/>
                <w14:textFill>
                  <w14:solidFill>
                    <w14:srgbClr w14:val="000000">
                      <w14:alpha w14:val="100000"/>
                    </w14:srgbClr>
                  </w14:solidFill>
                </w14:textFill>
              </w:rPr>
              <w:t>|</w:t>
            </w:r>
          </w:p>
        </w:tc>
      </w:tr>
      <w:tr w:rsidR="000E63B0" w:rsidRPr="00E211D2" w14:paraId="5969F67B" w14:textId="77777777" w:rsidTr="00957134">
        <w:tc>
          <w:tcPr>
            <w:tcW w:w="2576" w:type="pct"/>
          </w:tcPr>
          <w:p w14:paraId="539FF633" w14:textId="77777777" w:rsidR="000E63B0" w:rsidRPr="00E211D2" w:rsidRDefault="000E63B0" w:rsidP="003F1735">
            <w:pPr>
              <w:pStyle w:val="COMTabletext"/>
              <w:keepNext w:val="0"/>
            </w:pPr>
            <w:r w:rsidRPr="00E211D2">
              <w:lastRenderedPageBreak/>
              <w:t>Coronary revascularisation</w:t>
            </w:r>
          </w:p>
        </w:tc>
        <w:tc>
          <w:tcPr>
            <w:tcW w:w="650" w:type="pct"/>
          </w:tcPr>
          <w:p w14:paraId="3AB4F65E" w14:textId="1A031C0A" w:rsidR="000E63B0" w:rsidRPr="005441F2" w:rsidRDefault="0036355B" w:rsidP="003F1735">
            <w:pPr>
              <w:pStyle w:val="COMTabletext"/>
              <w:keepNext w:val="0"/>
              <w:jc w:val="center"/>
              <w:rPr>
                <w:highlight w:val="darkGray"/>
              </w:rPr>
            </w:pPr>
            <w:r w:rsidRPr="004671F3">
              <w:rPr>
                <w:color w:val="000000"/>
                <w:spacing w:val="52"/>
                <w:shd w:val="solid" w:color="000000" w:fill="000000"/>
                <w:fitText w:val="520" w:id="-1032112116"/>
                <w14:textFill>
                  <w14:solidFill>
                    <w14:srgbClr w14:val="000000">
                      <w14:alpha w14:val="100000"/>
                    </w14:srgbClr>
                  </w14:solidFill>
                </w14:textFill>
              </w:rPr>
              <w:t>|||||</w:t>
            </w:r>
            <w:r w:rsidRPr="004671F3">
              <w:rPr>
                <w:color w:val="000000"/>
                <w:spacing w:val="5"/>
                <w:shd w:val="solid" w:color="000000" w:fill="000000"/>
                <w:fitText w:val="520" w:id="-1032112116"/>
                <w14:textFill>
                  <w14:solidFill>
                    <w14:srgbClr w14:val="000000">
                      <w14:alpha w14:val="100000"/>
                    </w14:srgbClr>
                  </w14:solidFill>
                </w14:textFill>
              </w:rPr>
              <w:t>|</w:t>
            </w:r>
          </w:p>
        </w:tc>
        <w:tc>
          <w:tcPr>
            <w:tcW w:w="650" w:type="pct"/>
          </w:tcPr>
          <w:p w14:paraId="4B5C46F2" w14:textId="77777777" w:rsidR="000E63B0" w:rsidRPr="00E211D2" w:rsidRDefault="000E63B0" w:rsidP="003F1735">
            <w:pPr>
              <w:pStyle w:val="COMTabletext"/>
              <w:keepNext w:val="0"/>
              <w:jc w:val="center"/>
            </w:pPr>
            <w:r w:rsidRPr="00E211D2">
              <w:t>0.259</w:t>
            </w:r>
          </w:p>
        </w:tc>
        <w:tc>
          <w:tcPr>
            <w:tcW w:w="685" w:type="pct"/>
          </w:tcPr>
          <w:p w14:paraId="2E1A80BD" w14:textId="7602B70B" w:rsidR="000E63B0" w:rsidRPr="005441F2" w:rsidRDefault="0036355B" w:rsidP="003F1735">
            <w:pPr>
              <w:pStyle w:val="COMTabletext"/>
              <w:keepNext w:val="0"/>
              <w:jc w:val="center"/>
              <w:rPr>
                <w:highlight w:val="darkGray"/>
              </w:rPr>
            </w:pPr>
            <w:r>
              <w:t xml:space="preserve"> </w:t>
            </w:r>
            <w:r w:rsidRPr="0036355B">
              <w:rPr>
                <w:color w:val="000000"/>
                <w:spacing w:val="56"/>
                <w:shd w:val="solid" w:color="000000" w:fill="000000"/>
                <w:fitText w:val="540" w:id="-1032112113"/>
                <w14:textFill>
                  <w14:solidFill>
                    <w14:srgbClr w14:val="000000">
                      <w14:alpha w14:val="100000"/>
                    </w14:srgbClr>
                  </w14:solidFill>
                </w14:textFill>
              </w:rPr>
              <w:t>|||||</w:t>
            </w:r>
            <w:r w:rsidRPr="0036355B">
              <w:rPr>
                <w:color w:val="000000"/>
                <w:spacing w:val="5"/>
                <w:shd w:val="solid" w:color="000000" w:fill="000000"/>
                <w:fitText w:val="540" w:id="-1032112113"/>
                <w14:textFill>
                  <w14:solidFill>
                    <w14:srgbClr w14:val="000000">
                      <w14:alpha w14:val="100000"/>
                    </w14:srgbClr>
                  </w14:solidFill>
                </w14:textFill>
              </w:rPr>
              <w:t>|</w:t>
            </w:r>
            <w:r w:rsidR="00206A01">
              <w:rPr>
                <w:sz w:val="18"/>
                <w:szCs w:val="18"/>
                <w:vertAlign w:val="superscript"/>
              </w:rPr>
              <w:t>1</w:t>
            </w:r>
          </w:p>
        </w:tc>
        <w:tc>
          <w:tcPr>
            <w:tcW w:w="439" w:type="pct"/>
          </w:tcPr>
          <w:p w14:paraId="49C9AFCC" w14:textId="6CB30AE3" w:rsidR="000E63B0" w:rsidRPr="005441F2" w:rsidRDefault="0036355B" w:rsidP="003F1735">
            <w:pPr>
              <w:pStyle w:val="COMTabletext"/>
              <w:keepNext w:val="0"/>
              <w:jc w:val="center"/>
              <w:rPr>
                <w:highlight w:val="darkGray"/>
              </w:rPr>
            </w:pPr>
            <w:r w:rsidRPr="004671F3">
              <w:rPr>
                <w:color w:val="000000"/>
                <w:spacing w:val="174"/>
                <w:shd w:val="solid" w:color="000000" w:fill="000000"/>
                <w:fitText w:val="260" w:id="-1032112126"/>
                <w14:textFill>
                  <w14:solidFill>
                    <w14:srgbClr w14:val="000000">
                      <w14:alpha w14:val="100000"/>
                    </w14:srgbClr>
                  </w14:solidFill>
                </w14:textFill>
              </w:rPr>
              <w:t>|</w:t>
            </w:r>
            <w:r w:rsidRPr="004671F3">
              <w:rPr>
                <w:color w:val="000000"/>
                <w:shd w:val="solid" w:color="000000" w:fill="000000"/>
                <w:fitText w:val="260" w:id="-1032112126"/>
                <w14:textFill>
                  <w14:solidFill>
                    <w14:srgbClr w14:val="000000">
                      <w14:alpha w14:val="100000"/>
                    </w14:srgbClr>
                  </w14:solidFill>
                </w14:textFill>
              </w:rPr>
              <w:t>|</w:t>
            </w:r>
          </w:p>
        </w:tc>
      </w:tr>
      <w:tr w:rsidR="000E63B0" w:rsidRPr="00E211D2" w14:paraId="4A6E4C57" w14:textId="77777777" w:rsidTr="00957134">
        <w:tc>
          <w:tcPr>
            <w:tcW w:w="2576" w:type="pct"/>
          </w:tcPr>
          <w:p w14:paraId="5121B090" w14:textId="77777777" w:rsidR="000E63B0" w:rsidRPr="00E211D2" w:rsidRDefault="000E63B0" w:rsidP="003F1735">
            <w:pPr>
              <w:pStyle w:val="COMTabletext"/>
              <w:keepNext w:val="0"/>
            </w:pPr>
            <w:r w:rsidRPr="00E211D2">
              <w:t>Nonfatal MI</w:t>
            </w:r>
          </w:p>
        </w:tc>
        <w:tc>
          <w:tcPr>
            <w:tcW w:w="650" w:type="pct"/>
          </w:tcPr>
          <w:p w14:paraId="147F6306" w14:textId="0457755E" w:rsidR="000E63B0" w:rsidRPr="005441F2" w:rsidRDefault="0036355B" w:rsidP="003F1735">
            <w:pPr>
              <w:pStyle w:val="COMTabletext"/>
              <w:keepNext w:val="0"/>
              <w:jc w:val="center"/>
              <w:rPr>
                <w:highlight w:val="darkGray"/>
              </w:rPr>
            </w:pPr>
            <w:r w:rsidRPr="004671F3">
              <w:rPr>
                <w:color w:val="000000"/>
                <w:spacing w:val="52"/>
                <w:shd w:val="solid" w:color="000000" w:fill="000000"/>
                <w:fitText w:val="520" w:id="-1032112121"/>
                <w14:textFill>
                  <w14:solidFill>
                    <w14:srgbClr w14:val="000000">
                      <w14:alpha w14:val="100000"/>
                    </w14:srgbClr>
                  </w14:solidFill>
                </w14:textFill>
              </w:rPr>
              <w:t>|||||</w:t>
            </w:r>
            <w:r w:rsidRPr="004671F3">
              <w:rPr>
                <w:color w:val="000000"/>
                <w:spacing w:val="5"/>
                <w:shd w:val="solid" w:color="000000" w:fill="000000"/>
                <w:fitText w:val="520" w:id="-1032112121"/>
                <w14:textFill>
                  <w14:solidFill>
                    <w14:srgbClr w14:val="000000">
                      <w14:alpha w14:val="100000"/>
                    </w14:srgbClr>
                  </w14:solidFill>
                </w14:textFill>
              </w:rPr>
              <w:t>|</w:t>
            </w:r>
          </w:p>
        </w:tc>
        <w:tc>
          <w:tcPr>
            <w:tcW w:w="650" w:type="pct"/>
          </w:tcPr>
          <w:p w14:paraId="7606A76E" w14:textId="77777777" w:rsidR="000E63B0" w:rsidRPr="00E211D2" w:rsidRDefault="000E63B0" w:rsidP="003F1735">
            <w:pPr>
              <w:pStyle w:val="COMTabletext"/>
              <w:keepNext w:val="0"/>
              <w:jc w:val="center"/>
            </w:pPr>
            <w:r w:rsidRPr="00E211D2">
              <w:t>0.235</w:t>
            </w:r>
          </w:p>
        </w:tc>
        <w:tc>
          <w:tcPr>
            <w:tcW w:w="685" w:type="pct"/>
          </w:tcPr>
          <w:p w14:paraId="78522763" w14:textId="45877665" w:rsidR="000E63B0" w:rsidRPr="005441F2" w:rsidRDefault="0036355B" w:rsidP="003F1735">
            <w:pPr>
              <w:pStyle w:val="COMTabletext"/>
              <w:keepNext w:val="0"/>
              <w:jc w:val="center"/>
              <w:rPr>
                <w:highlight w:val="darkGray"/>
              </w:rPr>
            </w:pPr>
            <w:r>
              <w:t xml:space="preserve"> </w:t>
            </w:r>
            <w:r w:rsidRPr="0036355B">
              <w:rPr>
                <w:color w:val="000000"/>
                <w:spacing w:val="56"/>
                <w:shd w:val="solid" w:color="000000" w:fill="000000"/>
                <w:fitText w:val="540" w:id="-1032112118"/>
                <w14:textFill>
                  <w14:solidFill>
                    <w14:srgbClr w14:val="000000">
                      <w14:alpha w14:val="100000"/>
                    </w14:srgbClr>
                  </w14:solidFill>
                </w14:textFill>
              </w:rPr>
              <w:t>|||||</w:t>
            </w:r>
            <w:r w:rsidRPr="0036355B">
              <w:rPr>
                <w:color w:val="000000"/>
                <w:spacing w:val="5"/>
                <w:shd w:val="solid" w:color="000000" w:fill="000000"/>
                <w:fitText w:val="540" w:id="-1032112118"/>
                <w14:textFill>
                  <w14:solidFill>
                    <w14:srgbClr w14:val="000000">
                      <w14:alpha w14:val="100000"/>
                    </w14:srgbClr>
                  </w14:solidFill>
                </w14:textFill>
              </w:rPr>
              <w:t>|</w:t>
            </w:r>
            <w:r w:rsidR="00206A01">
              <w:rPr>
                <w:sz w:val="18"/>
                <w:szCs w:val="18"/>
                <w:vertAlign w:val="superscript"/>
              </w:rPr>
              <w:t>1</w:t>
            </w:r>
          </w:p>
        </w:tc>
        <w:tc>
          <w:tcPr>
            <w:tcW w:w="439" w:type="pct"/>
          </w:tcPr>
          <w:p w14:paraId="02BDE7B2" w14:textId="2BB5A95E" w:rsidR="000E63B0" w:rsidRPr="005441F2" w:rsidRDefault="0036355B" w:rsidP="003F1735">
            <w:pPr>
              <w:pStyle w:val="COMTabletext"/>
              <w:keepNext w:val="0"/>
              <w:jc w:val="center"/>
              <w:rPr>
                <w:highlight w:val="darkGray"/>
              </w:rPr>
            </w:pPr>
            <w:r w:rsidRPr="004671F3">
              <w:rPr>
                <w:color w:val="000000"/>
                <w:spacing w:val="174"/>
                <w:shd w:val="solid" w:color="000000" w:fill="000000"/>
                <w:fitText w:val="260" w:id="-1032112114"/>
                <w14:textFill>
                  <w14:solidFill>
                    <w14:srgbClr w14:val="000000">
                      <w14:alpha w14:val="100000"/>
                    </w14:srgbClr>
                  </w14:solidFill>
                </w14:textFill>
              </w:rPr>
              <w:t>|</w:t>
            </w:r>
            <w:r w:rsidRPr="004671F3">
              <w:rPr>
                <w:color w:val="000000"/>
                <w:shd w:val="solid" w:color="000000" w:fill="000000"/>
                <w:fitText w:val="260" w:id="-1032112114"/>
                <w14:textFill>
                  <w14:solidFill>
                    <w14:srgbClr w14:val="000000">
                      <w14:alpha w14:val="100000"/>
                    </w14:srgbClr>
                  </w14:solidFill>
                </w14:textFill>
              </w:rPr>
              <w:t>|</w:t>
            </w:r>
          </w:p>
        </w:tc>
      </w:tr>
      <w:tr w:rsidR="000E63B0" w:rsidRPr="00E211D2" w14:paraId="6B87E783" w14:textId="77777777" w:rsidTr="00957134">
        <w:tc>
          <w:tcPr>
            <w:tcW w:w="2576" w:type="pct"/>
          </w:tcPr>
          <w:p w14:paraId="047373B0" w14:textId="77777777" w:rsidR="000E63B0" w:rsidRPr="00E211D2" w:rsidRDefault="000E63B0" w:rsidP="003F1735">
            <w:pPr>
              <w:pStyle w:val="COMTabletext"/>
              <w:keepNext w:val="0"/>
            </w:pPr>
            <w:r w:rsidRPr="00E211D2">
              <w:t>Nonfatal stroke</w:t>
            </w:r>
          </w:p>
        </w:tc>
        <w:tc>
          <w:tcPr>
            <w:tcW w:w="650" w:type="pct"/>
          </w:tcPr>
          <w:p w14:paraId="5C29D564" w14:textId="2A3E4070" w:rsidR="000E63B0" w:rsidRPr="005441F2" w:rsidRDefault="0036355B" w:rsidP="003F1735">
            <w:pPr>
              <w:pStyle w:val="COMTabletext"/>
              <w:keepNext w:val="0"/>
              <w:jc w:val="center"/>
              <w:rPr>
                <w:highlight w:val="darkGray"/>
              </w:rPr>
            </w:pPr>
            <w:r w:rsidRPr="004671F3">
              <w:rPr>
                <w:color w:val="000000"/>
                <w:spacing w:val="52"/>
                <w:shd w:val="solid" w:color="000000" w:fill="000000"/>
                <w:fitText w:val="520" w:id="-1032112126"/>
                <w14:textFill>
                  <w14:solidFill>
                    <w14:srgbClr w14:val="000000">
                      <w14:alpha w14:val="100000"/>
                    </w14:srgbClr>
                  </w14:solidFill>
                </w14:textFill>
              </w:rPr>
              <w:t>|||||</w:t>
            </w:r>
            <w:r w:rsidRPr="004671F3">
              <w:rPr>
                <w:color w:val="000000"/>
                <w:spacing w:val="5"/>
                <w:shd w:val="solid" w:color="000000" w:fill="000000"/>
                <w:fitText w:val="520" w:id="-1032112126"/>
                <w14:textFill>
                  <w14:solidFill>
                    <w14:srgbClr w14:val="000000">
                      <w14:alpha w14:val="100000"/>
                    </w14:srgbClr>
                  </w14:solidFill>
                </w14:textFill>
              </w:rPr>
              <w:t>|</w:t>
            </w:r>
          </w:p>
        </w:tc>
        <w:tc>
          <w:tcPr>
            <w:tcW w:w="650" w:type="pct"/>
          </w:tcPr>
          <w:p w14:paraId="4BEC4ED8" w14:textId="77777777" w:rsidR="000E63B0" w:rsidRPr="00E211D2" w:rsidRDefault="000E63B0" w:rsidP="003F1735">
            <w:pPr>
              <w:pStyle w:val="COMTabletext"/>
              <w:keepNext w:val="0"/>
              <w:jc w:val="center"/>
            </w:pPr>
            <w:r w:rsidRPr="00E211D2">
              <w:t>0.252</w:t>
            </w:r>
          </w:p>
        </w:tc>
        <w:tc>
          <w:tcPr>
            <w:tcW w:w="685" w:type="pct"/>
          </w:tcPr>
          <w:p w14:paraId="4399956D" w14:textId="78A3BF9E" w:rsidR="000E63B0" w:rsidRPr="005441F2" w:rsidRDefault="0036355B" w:rsidP="003F1735">
            <w:pPr>
              <w:pStyle w:val="COMTabletext"/>
              <w:keepNext w:val="0"/>
              <w:jc w:val="center"/>
              <w:rPr>
                <w:highlight w:val="darkGray"/>
              </w:rPr>
            </w:pPr>
            <w:r>
              <w:t xml:space="preserve"> </w:t>
            </w:r>
            <w:r w:rsidRPr="0036355B">
              <w:rPr>
                <w:color w:val="000000"/>
                <w:spacing w:val="56"/>
                <w:shd w:val="solid" w:color="000000" w:fill="000000"/>
                <w:fitText w:val="540" w:id="-1032112123"/>
                <w14:textFill>
                  <w14:solidFill>
                    <w14:srgbClr w14:val="000000">
                      <w14:alpha w14:val="100000"/>
                    </w14:srgbClr>
                  </w14:solidFill>
                </w14:textFill>
              </w:rPr>
              <w:t>|||||</w:t>
            </w:r>
            <w:r w:rsidRPr="0036355B">
              <w:rPr>
                <w:color w:val="000000"/>
                <w:spacing w:val="5"/>
                <w:shd w:val="solid" w:color="000000" w:fill="000000"/>
                <w:fitText w:val="540" w:id="-1032112123"/>
                <w14:textFill>
                  <w14:solidFill>
                    <w14:srgbClr w14:val="000000">
                      <w14:alpha w14:val="100000"/>
                    </w14:srgbClr>
                  </w14:solidFill>
                </w14:textFill>
              </w:rPr>
              <w:t>|</w:t>
            </w:r>
            <w:r w:rsidR="00206A01">
              <w:rPr>
                <w:sz w:val="18"/>
                <w:szCs w:val="18"/>
                <w:vertAlign w:val="superscript"/>
              </w:rPr>
              <w:t>1</w:t>
            </w:r>
          </w:p>
        </w:tc>
        <w:tc>
          <w:tcPr>
            <w:tcW w:w="439" w:type="pct"/>
          </w:tcPr>
          <w:p w14:paraId="76065215" w14:textId="732F3B36" w:rsidR="000E63B0" w:rsidRPr="005441F2" w:rsidRDefault="0036355B" w:rsidP="003F1735">
            <w:pPr>
              <w:pStyle w:val="COMTabletext"/>
              <w:keepNext w:val="0"/>
              <w:jc w:val="center"/>
              <w:rPr>
                <w:highlight w:val="darkGray"/>
              </w:rPr>
            </w:pPr>
            <w:r w:rsidRPr="004671F3">
              <w:rPr>
                <w:color w:val="000000"/>
                <w:spacing w:val="174"/>
                <w:shd w:val="solid" w:color="000000" w:fill="000000"/>
                <w:fitText w:val="260" w:id="-1032112119"/>
                <w14:textFill>
                  <w14:solidFill>
                    <w14:srgbClr w14:val="000000">
                      <w14:alpha w14:val="100000"/>
                    </w14:srgbClr>
                  </w14:solidFill>
                </w14:textFill>
              </w:rPr>
              <w:t>|</w:t>
            </w:r>
            <w:r w:rsidRPr="004671F3">
              <w:rPr>
                <w:color w:val="000000"/>
                <w:shd w:val="solid" w:color="000000" w:fill="000000"/>
                <w:fitText w:val="260" w:id="-1032112119"/>
                <w14:textFill>
                  <w14:solidFill>
                    <w14:srgbClr w14:val="000000">
                      <w14:alpha w14:val="100000"/>
                    </w14:srgbClr>
                  </w14:solidFill>
                </w14:textFill>
              </w:rPr>
              <w:t>|</w:t>
            </w:r>
          </w:p>
        </w:tc>
      </w:tr>
      <w:tr w:rsidR="000E63B0" w:rsidRPr="00E211D2" w14:paraId="68033252" w14:textId="77777777" w:rsidTr="001D4554">
        <w:tc>
          <w:tcPr>
            <w:tcW w:w="5000" w:type="pct"/>
            <w:gridSpan w:val="5"/>
            <w:vAlign w:val="center"/>
          </w:tcPr>
          <w:p w14:paraId="57C97E68" w14:textId="575563C0" w:rsidR="000E63B0" w:rsidRPr="00E211D2" w:rsidRDefault="000E63B0" w:rsidP="003F1735">
            <w:pPr>
              <w:pStyle w:val="COMTabletext"/>
              <w:keepNext w:val="0"/>
              <w:rPr>
                <w:b/>
                <w:bCs w:val="0"/>
              </w:rPr>
            </w:pPr>
            <w:r w:rsidRPr="00E211D2">
              <w:rPr>
                <w:b/>
                <w:bCs w:val="0"/>
              </w:rPr>
              <w:t>Impact of mineral oil on event risks in placebo arm of REDUCE-IT (base case: 3%)</w:t>
            </w:r>
          </w:p>
        </w:tc>
      </w:tr>
      <w:tr w:rsidR="000E63B0" w:rsidRPr="00E211D2" w14:paraId="57C14DD9" w14:textId="77777777" w:rsidTr="00957134">
        <w:tc>
          <w:tcPr>
            <w:tcW w:w="2576" w:type="pct"/>
          </w:tcPr>
          <w:p w14:paraId="5DAE6C1F" w14:textId="77777777" w:rsidR="000E63B0" w:rsidRPr="00E211D2" w:rsidRDefault="000E63B0" w:rsidP="003F1735">
            <w:pPr>
              <w:pStyle w:val="COMTabletext"/>
              <w:keepNext w:val="0"/>
            </w:pPr>
            <w:r w:rsidRPr="00E211D2">
              <w:t>0%</w:t>
            </w:r>
          </w:p>
        </w:tc>
        <w:tc>
          <w:tcPr>
            <w:tcW w:w="650" w:type="pct"/>
          </w:tcPr>
          <w:p w14:paraId="0776D687" w14:textId="313ABF63" w:rsidR="000E63B0" w:rsidRPr="005441F2" w:rsidRDefault="0036355B" w:rsidP="003F1735">
            <w:pPr>
              <w:pStyle w:val="COMTabletext"/>
              <w:keepNext w:val="0"/>
              <w:jc w:val="center"/>
              <w:rPr>
                <w:highlight w:val="darkGray"/>
              </w:rPr>
            </w:pPr>
            <w:r w:rsidRPr="004671F3">
              <w:rPr>
                <w:color w:val="000000"/>
                <w:spacing w:val="52"/>
                <w:shd w:val="solid" w:color="000000" w:fill="000000"/>
                <w:fitText w:val="520" w:id="-1032112114"/>
                <w14:textFill>
                  <w14:solidFill>
                    <w14:srgbClr w14:val="000000">
                      <w14:alpha w14:val="100000"/>
                    </w14:srgbClr>
                  </w14:solidFill>
                </w14:textFill>
              </w:rPr>
              <w:t>|||||</w:t>
            </w:r>
            <w:r w:rsidRPr="004671F3">
              <w:rPr>
                <w:color w:val="000000"/>
                <w:spacing w:val="5"/>
                <w:shd w:val="solid" w:color="000000" w:fill="000000"/>
                <w:fitText w:val="520" w:id="-1032112114"/>
                <w14:textFill>
                  <w14:solidFill>
                    <w14:srgbClr w14:val="000000">
                      <w14:alpha w14:val="100000"/>
                    </w14:srgbClr>
                  </w14:solidFill>
                </w14:textFill>
              </w:rPr>
              <w:t>|</w:t>
            </w:r>
          </w:p>
        </w:tc>
        <w:tc>
          <w:tcPr>
            <w:tcW w:w="650" w:type="pct"/>
          </w:tcPr>
          <w:p w14:paraId="7510B6C8" w14:textId="77777777" w:rsidR="000E63B0" w:rsidRPr="00E211D2" w:rsidRDefault="000E63B0" w:rsidP="003F1735">
            <w:pPr>
              <w:pStyle w:val="COMTabletext"/>
              <w:keepNext w:val="0"/>
              <w:jc w:val="center"/>
            </w:pPr>
            <w:r w:rsidRPr="00E211D2">
              <w:t>0.277</w:t>
            </w:r>
          </w:p>
        </w:tc>
        <w:tc>
          <w:tcPr>
            <w:tcW w:w="685" w:type="pct"/>
          </w:tcPr>
          <w:p w14:paraId="1D410A46" w14:textId="399E8DDD" w:rsidR="000E63B0" w:rsidRPr="005441F2" w:rsidRDefault="0036355B" w:rsidP="003F1735">
            <w:pPr>
              <w:pStyle w:val="COMTabletext"/>
              <w:keepNext w:val="0"/>
              <w:jc w:val="center"/>
              <w:rPr>
                <w:highlight w:val="darkGray"/>
              </w:rPr>
            </w:pPr>
            <w:r>
              <w:t xml:space="preserve"> </w:t>
            </w:r>
            <w:r w:rsidRPr="0036355B">
              <w:rPr>
                <w:color w:val="000000"/>
                <w:spacing w:val="56"/>
                <w:shd w:val="solid" w:color="000000" w:fill="000000"/>
                <w:fitText w:val="540" w:id="-1032112128"/>
                <w14:textFill>
                  <w14:solidFill>
                    <w14:srgbClr w14:val="000000">
                      <w14:alpha w14:val="100000"/>
                    </w14:srgbClr>
                  </w14:solidFill>
                </w14:textFill>
              </w:rPr>
              <w:t>|||||</w:t>
            </w:r>
            <w:r w:rsidRPr="0036355B">
              <w:rPr>
                <w:color w:val="000000"/>
                <w:spacing w:val="5"/>
                <w:shd w:val="solid" w:color="000000" w:fill="000000"/>
                <w:fitText w:val="540" w:id="-1032112128"/>
                <w14:textFill>
                  <w14:solidFill>
                    <w14:srgbClr w14:val="000000">
                      <w14:alpha w14:val="100000"/>
                    </w14:srgbClr>
                  </w14:solidFill>
                </w14:textFill>
              </w:rPr>
              <w:t>|</w:t>
            </w:r>
            <w:r w:rsidR="005936E3">
              <w:rPr>
                <w:sz w:val="18"/>
                <w:szCs w:val="18"/>
                <w:vertAlign w:val="superscript"/>
              </w:rPr>
              <w:t>2</w:t>
            </w:r>
          </w:p>
        </w:tc>
        <w:tc>
          <w:tcPr>
            <w:tcW w:w="439" w:type="pct"/>
          </w:tcPr>
          <w:p w14:paraId="6333DD65" w14:textId="75FF6C11" w:rsidR="000E63B0" w:rsidRPr="00E211D2" w:rsidRDefault="000E63B0" w:rsidP="003F1735">
            <w:pPr>
              <w:pStyle w:val="COMTabletext"/>
              <w:keepNext w:val="0"/>
              <w:jc w:val="center"/>
            </w:pPr>
            <w:r w:rsidRPr="00E211D2">
              <w:t>-</w:t>
            </w:r>
            <w:r w:rsidR="0036355B">
              <w:rPr>
                <w:rFonts w:hint="eastAsia"/>
              </w:rPr>
              <w:t xml:space="preserve"> </w:t>
            </w:r>
            <w:r w:rsidR="0036355B" w:rsidRPr="004671F3">
              <w:rPr>
                <w:color w:val="000000"/>
                <w:spacing w:val="214"/>
                <w:shd w:val="solid" w:color="000000" w:fill="000000"/>
                <w:fitText w:val="300" w:id="-1032112123"/>
                <w14:textFill>
                  <w14:solidFill>
                    <w14:srgbClr w14:val="000000">
                      <w14:alpha w14:val="100000"/>
                    </w14:srgbClr>
                  </w14:solidFill>
                </w14:textFill>
              </w:rPr>
              <w:t>|</w:t>
            </w:r>
            <w:r w:rsidR="0036355B" w:rsidRPr="004671F3">
              <w:rPr>
                <w:color w:val="000000"/>
                <w:shd w:val="solid" w:color="000000" w:fill="000000"/>
                <w:fitText w:val="300" w:id="-1032112123"/>
                <w14:textFill>
                  <w14:solidFill>
                    <w14:srgbClr w14:val="000000">
                      <w14:alpha w14:val="100000"/>
                    </w14:srgbClr>
                  </w14:solidFill>
                </w14:textFill>
              </w:rPr>
              <w:t>|</w:t>
            </w:r>
          </w:p>
        </w:tc>
      </w:tr>
      <w:tr w:rsidR="000E63B0" w:rsidRPr="00E211D2" w14:paraId="23D8A3AC" w14:textId="77777777" w:rsidTr="00957134">
        <w:tc>
          <w:tcPr>
            <w:tcW w:w="2576" w:type="pct"/>
          </w:tcPr>
          <w:p w14:paraId="2DD455B9" w14:textId="77777777" w:rsidR="000E63B0" w:rsidRPr="00E211D2" w:rsidRDefault="000E63B0" w:rsidP="003F1735">
            <w:pPr>
              <w:pStyle w:val="COMTabletext"/>
              <w:keepNext w:val="0"/>
            </w:pPr>
            <w:r w:rsidRPr="00E211D2">
              <w:t>5%</w:t>
            </w:r>
          </w:p>
        </w:tc>
        <w:tc>
          <w:tcPr>
            <w:tcW w:w="650" w:type="pct"/>
          </w:tcPr>
          <w:p w14:paraId="45E97685" w14:textId="35CD035F" w:rsidR="000E63B0" w:rsidRPr="005441F2" w:rsidRDefault="0036355B" w:rsidP="003F1735">
            <w:pPr>
              <w:pStyle w:val="COMTabletext"/>
              <w:keepNext w:val="0"/>
              <w:jc w:val="center"/>
              <w:rPr>
                <w:highlight w:val="darkGray"/>
              </w:rPr>
            </w:pPr>
            <w:r w:rsidRPr="004671F3">
              <w:rPr>
                <w:color w:val="000000"/>
                <w:spacing w:val="52"/>
                <w:shd w:val="solid" w:color="000000" w:fill="000000"/>
                <w:fitText w:val="520" w:id="-1032112118"/>
                <w14:textFill>
                  <w14:solidFill>
                    <w14:srgbClr w14:val="000000">
                      <w14:alpha w14:val="100000"/>
                    </w14:srgbClr>
                  </w14:solidFill>
                </w14:textFill>
              </w:rPr>
              <w:t>|||||</w:t>
            </w:r>
            <w:r w:rsidRPr="004671F3">
              <w:rPr>
                <w:color w:val="000000"/>
                <w:spacing w:val="5"/>
                <w:shd w:val="solid" w:color="000000" w:fill="000000"/>
                <w:fitText w:val="520" w:id="-1032112118"/>
                <w14:textFill>
                  <w14:solidFill>
                    <w14:srgbClr w14:val="000000">
                      <w14:alpha w14:val="100000"/>
                    </w14:srgbClr>
                  </w14:solidFill>
                </w14:textFill>
              </w:rPr>
              <w:t>|</w:t>
            </w:r>
          </w:p>
        </w:tc>
        <w:tc>
          <w:tcPr>
            <w:tcW w:w="650" w:type="pct"/>
          </w:tcPr>
          <w:p w14:paraId="28749DC4" w14:textId="77777777" w:rsidR="000E63B0" w:rsidRPr="00E211D2" w:rsidRDefault="000E63B0" w:rsidP="003F1735">
            <w:pPr>
              <w:pStyle w:val="COMTabletext"/>
              <w:keepNext w:val="0"/>
              <w:jc w:val="center"/>
            </w:pPr>
            <w:r w:rsidRPr="00E211D2">
              <w:t>0.249</w:t>
            </w:r>
          </w:p>
        </w:tc>
        <w:tc>
          <w:tcPr>
            <w:tcW w:w="685" w:type="pct"/>
          </w:tcPr>
          <w:p w14:paraId="1CD52CB1" w14:textId="507B3D6D" w:rsidR="000E63B0" w:rsidRPr="005441F2" w:rsidRDefault="0036355B" w:rsidP="003F1735">
            <w:pPr>
              <w:pStyle w:val="COMTabletext"/>
              <w:keepNext w:val="0"/>
              <w:jc w:val="center"/>
              <w:rPr>
                <w:highlight w:val="darkGray"/>
              </w:rPr>
            </w:pPr>
            <w:r>
              <w:t xml:space="preserve"> </w:t>
            </w:r>
            <w:r w:rsidRPr="0036355B">
              <w:rPr>
                <w:color w:val="000000"/>
                <w:spacing w:val="56"/>
                <w:shd w:val="solid" w:color="000000" w:fill="000000"/>
                <w:fitText w:val="540" w:id="-1032112115"/>
                <w14:textFill>
                  <w14:solidFill>
                    <w14:srgbClr w14:val="000000">
                      <w14:alpha w14:val="100000"/>
                    </w14:srgbClr>
                  </w14:solidFill>
                </w14:textFill>
              </w:rPr>
              <w:t>|||||</w:t>
            </w:r>
            <w:r w:rsidRPr="0036355B">
              <w:rPr>
                <w:color w:val="000000"/>
                <w:spacing w:val="5"/>
                <w:shd w:val="solid" w:color="000000" w:fill="000000"/>
                <w:fitText w:val="540" w:id="-1032112115"/>
                <w14:textFill>
                  <w14:solidFill>
                    <w14:srgbClr w14:val="000000">
                      <w14:alpha w14:val="100000"/>
                    </w14:srgbClr>
                  </w14:solidFill>
                </w14:textFill>
              </w:rPr>
              <w:t>|</w:t>
            </w:r>
            <w:r w:rsidR="005936E3">
              <w:rPr>
                <w:sz w:val="18"/>
                <w:szCs w:val="18"/>
                <w:vertAlign w:val="superscript"/>
              </w:rPr>
              <w:t>1</w:t>
            </w:r>
          </w:p>
        </w:tc>
        <w:tc>
          <w:tcPr>
            <w:tcW w:w="439" w:type="pct"/>
          </w:tcPr>
          <w:p w14:paraId="39203687" w14:textId="62E1C647" w:rsidR="000E63B0" w:rsidRPr="005441F2" w:rsidRDefault="0036355B" w:rsidP="003F1735">
            <w:pPr>
              <w:pStyle w:val="COMTabletext"/>
              <w:keepNext w:val="0"/>
              <w:jc w:val="center"/>
              <w:rPr>
                <w:highlight w:val="darkGray"/>
              </w:rPr>
            </w:pPr>
            <w:r w:rsidRPr="004671F3">
              <w:rPr>
                <w:color w:val="000000"/>
                <w:spacing w:val="174"/>
                <w:shd w:val="solid" w:color="000000" w:fill="000000"/>
                <w:fitText w:val="260" w:id="-1032112128"/>
                <w14:textFill>
                  <w14:solidFill>
                    <w14:srgbClr w14:val="000000">
                      <w14:alpha w14:val="100000"/>
                    </w14:srgbClr>
                  </w14:solidFill>
                </w14:textFill>
              </w:rPr>
              <w:t>|</w:t>
            </w:r>
            <w:r w:rsidRPr="004671F3">
              <w:rPr>
                <w:color w:val="000000"/>
                <w:shd w:val="solid" w:color="000000" w:fill="000000"/>
                <w:fitText w:val="260" w:id="-1032112128"/>
                <w14:textFill>
                  <w14:solidFill>
                    <w14:srgbClr w14:val="000000">
                      <w14:alpha w14:val="100000"/>
                    </w14:srgbClr>
                  </w14:solidFill>
                </w14:textFill>
              </w:rPr>
              <w:t>|</w:t>
            </w:r>
          </w:p>
        </w:tc>
      </w:tr>
      <w:tr w:rsidR="00960DC2" w:rsidRPr="00E211D2" w14:paraId="4AF00BD4" w14:textId="77777777" w:rsidTr="00957134">
        <w:tc>
          <w:tcPr>
            <w:tcW w:w="2576" w:type="pct"/>
          </w:tcPr>
          <w:p w14:paraId="68D24A2F" w14:textId="24A205B8" w:rsidR="00960DC2" w:rsidRPr="00E211D2" w:rsidRDefault="00960DC2" w:rsidP="003F1735">
            <w:pPr>
              <w:pStyle w:val="COMTabletext"/>
              <w:keepNext w:val="0"/>
            </w:pPr>
            <w:r w:rsidRPr="00E211D2">
              <w:t>7% [A]</w:t>
            </w:r>
          </w:p>
        </w:tc>
        <w:tc>
          <w:tcPr>
            <w:tcW w:w="650" w:type="pct"/>
          </w:tcPr>
          <w:p w14:paraId="6674E050" w14:textId="15071527" w:rsidR="00960DC2" w:rsidRPr="005441F2" w:rsidRDefault="0036355B" w:rsidP="003F1735">
            <w:pPr>
              <w:pStyle w:val="COMTabletext"/>
              <w:keepNext w:val="0"/>
              <w:jc w:val="center"/>
              <w:rPr>
                <w:highlight w:val="darkGray"/>
              </w:rPr>
            </w:pPr>
            <w:r w:rsidRPr="004671F3">
              <w:rPr>
                <w:color w:val="000000"/>
                <w:spacing w:val="52"/>
                <w:shd w:val="solid" w:color="000000" w:fill="000000"/>
                <w:fitText w:val="520" w:id="-1032112123"/>
                <w14:textFill>
                  <w14:solidFill>
                    <w14:srgbClr w14:val="000000">
                      <w14:alpha w14:val="100000"/>
                    </w14:srgbClr>
                  </w14:solidFill>
                </w14:textFill>
              </w:rPr>
              <w:t>|||||</w:t>
            </w:r>
            <w:r w:rsidRPr="004671F3">
              <w:rPr>
                <w:color w:val="000000"/>
                <w:spacing w:val="5"/>
                <w:shd w:val="solid" w:color="000000" w:fill="000000"/>
                <w:fitText w:val="520" w:id="-1032112123"/>
                <w14:textFill>
                  <w14:solidFill>
                    <w14:srgbClr w14:val="000000">
                      <w14:alpha w14:val="100000"/>
                    </w14:srgbClr>
                  </w14:solidFill>
                </w14:textFill>
              </w:rPr>
              <w:t>|</w:t>
            </w:r>
          </w:p>
        </w:tc>
        <w:tc>
          <w:tcPr>
            <w:tcW w:w="650" w:type="pct"/>
          </w:tcPr>
          <w:p w14:paraId="2CCE44D7" w14:textId="0191BEFA" w:rsidR="00960DC2" w:rsidRPr="00E211D2" w:rsidRDefault="00960DC2" w:rsidP="003F1735">
            <w:pPr>
              <w:pStyle w:val="COMTabletext"/>
              <w:keepNext w:val="0"/>
              <w:jc w:val="center"/>
            </w:pPr>
            <w:r w:rsidRPr="00E211D2">
              <w:t>0.237</w:t>
            </w:r>
          </w:p>
        </w:tc>
        <w:tc>
          <w:tcPr>
            <w:tcW w:w="685" w:type="pct"/>
          </w:tcPr>
          <w:p w14:paraId="0033B58A" w14:textId="00A09CA5" w:rsidR="00960DC2" w:rsidRPr="005441F2" w:rsidRDefault="0036355B" w:rsidP="003F1735">
            <w:pPr>
              <w:pStyle w:val="COMTabletext"/>
              <w:keepNext w:val="0"/>
              <w:jc w:val="center"/>
              <w:rPr>
                <w:highlight w:val="darkGray"/>
              </w:rPr>
            </w:pPr>
            <w:r>
              <w:t xml:space="preserve"> </w:t>
            </w:r>
            <w:r w:rsidRPr="0036355B">
              <w:rPr>
                <w:color w:val="000000"/>
                <w:spacing w:val="56"/>
                <w:shd w:val="solid" w:color="000000" w:fill="000000"/>
                <w:fitText w:val="540" w:id="-1032112120"/>
                <w14:textFill>
                  <w14:solidFill>
                    <w14:srgbClr w14:val="000000">
                      <w14:alpha w14:val="100000"/>
                    </w14:srgbClr>
                  </w14:solidFill>
                </w14:textFill>
              </w:rPr>
              <w:t>|||||</w:t>
            </w:r>
            <w:r w:rsidRPr="0036355B">
              <w:rPr>
                <w:color w:val="000000"/>
                <w:spacing w:val="5"/>
                <w:shd w:val="solid" w:color="000000" w:fill="000000"/>
                <w:fitText w:val="540" w:id="-1032112120"/>
                <w14:textFill>
                  <w14:solidFill>
                    <w14:srgbClr w14:val="000000">
                      <w14:alpha w14:val="100000"/>
                    </w14:srgbClr>
                  </w14:solidFill>
                </w14:textFill>
              </w:rPr>
              <w:t>|</w:t>
            </w:r>
            <w:r w:rsidR="005936E3">
              <w:rPr>
                <w:sz w:val="18"/>
                <w:szCs w:val="18"/>
                <w:vertAlign w:val="superscript"/>
              </w:rPr>
              <w:t>1</w:t>
            </w:r>
          </w:p>
        </w:tc>
        <w:tc>
          <w:tcPr>
            <w:tcW w:w="439" w:type="pct"/>
          </w:tcPr>
          <w:p w14:paraId="5AC822E8" w14:textId="0A80869C" w:rsidR="00960DC2" w:rsidRPr="005441F2" w:rsidRDefault="0036355B" w:rsidP="003F1735">
            <w:pPr>
              <w:pStyle w:val="COMTabletext"/>
              <w:keepNext w:val="0"/>
              <w:jc w:val="center"/>
              <w:rPr>
                <w:highlight w:val="darkGray"/>
              </w:rPr>
            </w:pPr>
            <w:r w:rsidRPr="004671F3">
              <w:rPr>
                <w:color w:val="000000"/>
                <w:spacing w:val="174"/>
                <w:shd w:val="solid" w:color="000000" w:fill="000000"/>
                <w:fitText w:val="260" w:id="-1032112116"/>
                <w14:textFill>
                  <w14:solidFill>
                    <w14:srgbClr w14:val="000000">
                      <w14:alpha w14:val="100000"/>
                    </w14:srgbClr>
                  </w14:solidFill>
                </w14:textFill>
              </w:rPr>
              <w:t>|</w:t>
            </w:r>
            <w:r w:rsidRPr="004671F3">
              <w:rPr>
                <w:color w:val="000000"/>
                <w:shd w:val="solid" w:color="000000" w:fill="000000"/>
                <w:fitText w:val="260" w:id="-1032112116"/>
                <w14:textFill>
                  <w14:solidFill>
                    <w14:srgbClr w14:val="000000">
                      <w14:alpha w14:val="100000"/>
                    </w14:srgbClr>
                  </w14:solidFill>
                </w14:textFill>
              </w:rPr>
              <w:t>|</w:t>
            </w:r>
          </w:p>
        </w:tc>
      </w:tr>
      <w:tr w:rsidR="00960DC2" w:rsidRPr="00E211D2" w14:paraId="11B279F7" w14:textId="77777777" w:rsidTr="00957134">
        <w:tc>
          <w:tcPr>
            <w:tcW w:w="2576" w:type="pct"/>
          </w:tcPr>
          <w:p w14:paraId="74FCFE72" w14:textId="4213B5B9" w:rsidR="00960DC2" w:rsidRPr="00E211D2" w:rsidRDefault="00960DC2" w:rsidP="003F1735">
            <w:pPr>
              <w:pStyle w:val="COMTabletext"/>
              <w:keepNext w:val="0"/>
            </w:pPr>
            <w:r w:rsidRPr="00E211D2">
              <w:t>10%</w:t>
            </w:r>
            <w:r w:rsidR="00957134" w:rsidRPr="00E211D2">
              <w:t xml:space="preserve"> [B]</w:t>
            </w:r>
          </w:p>
        </w:tc>
        <w:tc>
          <w:tcPr>
            <w:tcW w:w="650" w:type="pct"/>
          </w:tcPr>
          <w:p w14:paraId="28BA5ED7" w14:textId="4AA43CDD" w:rsidR="00960DC2" w:rsidRPr="005441F2" w:rsidRDefault="0036355B" w:rsidP="003F1735">
            <w:pPr>
              <w:pStyle w:val="COMTabletext"/>
              <w:keepNext w:val="0"/>
              <w:jc w:val="center"/>
              <w:rPr>
                <w:highlight w:val="darkGray"/>
              </w:rPr>
            </w:pPr>
            <w:r w:rsidRPr="004671F3">
              <w:rPr>
                <w:color w:val="000000"/>
                <w:spacing w:val="52"/>
                <w:shd w:val="solid" w:color="000000" w:fill="000000"/>
                <w:fitText w:val="520" w:id="-1032112128"/>
                <w14:textFill>
                  <w14:solidFill>
                    <w14:srgbClr w14:val="000000">
                      <w14:alpha w14:val="100000"/>
                    </w14:srgbClr>
                  </w14:solidFill>
                </w14:textFill>
              </w:rPr>
              <w:t>|||||</w:t>
            </w:r>
            <w:r w:rsidRPr="004671F3">
              <w:rPr>
                <w:color w:val="000000"/>
                <w:spacing w:val="5"/>
                <w:shd w:val="solid" w:color="000000" w:fill="000000"/>
                <w:fitText w:val="520" w:id="-1032112128"/>
                <w14:textFill>
                  <w14:solidFill>
                    <w14:srgbClr w14:val="000000">
                      <w14:alpha w14:val="100000"/>
                    </w14:srgbClr>
                  </w14:solidFill>
                </w14:textFill>
              </w:rPr>
              <w:t>|</w:t>
            </w:r>
          </w:p>
        </w:tc>
        <w:tc>
          <w:tcPr>
            <w:tcW w:w="650" w:type="pct"/>
          </w:tcPr>
          <w:p w14:paraId="10D528AA" w14:textId="1504D3F2" w:rsidR="00960DC2" w:rsidRPr="00E211D2" w:rsidRDefault="00960DC2" w:rsidP="003F1735">
            <w:pPr>
              <w:pStyle w:val="COMTabletext"/>
              <w:keepNext w:val="0"/>
              <w:jc w:val="center"/>
            </w:pPr>
            <w:r w:rsidRPr="00E211D2">
              <w:t>0.220</w:t>
            </w:r>
          </w:p>
        </w:tc>
        <w:tc>
          <w:tcPr>
            <w:tcW w:w="685" w:type="pct"/>
          </w:tcPr>
          <w:p w14:paraId="5C85AAF8" w14:textId="3DED1E71" w:rsidR="00960DC2" w:rsidRPr="005441F2" w:rsidRDefault="0036355B" w:rsidP="003F1735">
            <w:pPr>
              <w:pStyle w:val="COMTabletext"/>
              <w:keepNext w:val="0"/>
              <w:jc w:val="center"/>
              <w:rPr>
                <w:highlight w:val="darkGray"/>
              </w:rPr>
            </w:pPr>
            <w:r>
              <w:t xml:space="preserve"> </w:t>
            </w:r>
            <w:r w:rsidRPr="0036355B">
              <w:rPr>
                <w:color w:val="000000"/>
                <w:spacing w:val="56"/>
                <w:shd w:val="solid" w:color="000000" w:fill="000000"/>
                <w:fitText w:val="540" w:id="-1032112125"/>
                <w14:textFill>
                  <w14:solidFill>
                    <w14:srgbClr w14:val="000000">
                      <w14:alpha w14:val="100000"/>
                    </w14:srgbClr>
                  </w14:solidFill>
                </w14:textFill>
              </w:rPr>
              <w:t>|||||</w:t>
            </w:r>
            <w:r w:rsidRPr="0036355B">
              <w:rPr>
                <w:color w:val="000000"/>
                <w:spacing w:val="5"/>
                <w:shd w:val="solid" w:color="000000" w:fill="000000"/>
                <w:fitText w:val="540" w:id="-1032112125"/>
                <w14:textFill>
                  <w14:solidFill>
                    <w14:srgbClr w14:val="000000">
                      <w14:alpha w14:val="100000"/>
                    </w14:srgbClr>
                  </w14:solidFill>
                </w14:textFill>
              </w:rPr>
              <w:t>|</w:t>
            </w:r>
            <w:r w:rsidR="005936E3">
              <w:rPr>
                <w:sz w:val="18"/>
                <w:szCs w:val="18"/>
                <w:vertAlign w:val="superscript"/>
              </w:rPr>
              <w:t>1</w:t>
            </w:r>
          </w:p>
        </w:tc>
        <w:tc>
          <w:tcPr>
            <w:tcW w:w="439" w:type="pct"/>
          </w:tcPr>
          <w:p w14:paraId="0EFCC231" w14:textId="6F0291B5" w:rsidR="00960DC2" w:rsidRPr="005441F2" w:rsidRDefault="0036355B" w:rsidP="003F1735">
            <w:pPr>
              <w:pStyle w:val="COMTabletext"/>
              <w:keepNext w:val="0"/>
              <w:jc w:val="center"/>
              <w:rPr>
                <w:highlight w:val="darkGray"/>
              </w:rPr>
            </w:pPr>
            <w:r w:rsidRPr="004671F3">
              <w:rPr>
                <w:color w:val="000000"/>
                <w:spacing w:val="217"/>
                <w:shd w:val="solid" w:color="000000" w:fill="000000"/>
                <w:fitText w:val="260" w:id="-1032111871"/>
                <w14:textFill>
                  <w14:solidFill>
                    <w14:srgbClr w14:val="000000">
                      <w14:alpha w14:val="100000"/>
                    </w14:srgbClr>
                  </w14:solidFill>
                </w14:textFill>
              </w:rPr>
              <w:t>|</w:t>
            </w:r>
          </w:p>
        </w:tc>
      </w:tr>
      <w:tr w:rsidR="000E63B0" w:rsidRPr="00E211D2" w14:paraId="65D1E283" w14:textId="77777777" w:rsidTr="001D4554">
        <w:tc>
          <w:tcPr>
            <w:tcW w:w="5000" w:type="pct"/>
            <w:gridSpan w:val="5"/>
            <w:vAlign w:val="center"/>
          </w:tcPr>
          <w:p w14:paraId="490BD407" w14:textId="0B79B65A" w:rsidR="000E63B0" w:rsidRPr="00E211D2" w:rsidRDefault="000E63B0" w:rsidP="003F1735">
            <w:pPr>
              <w:pStyle w:val="COMTabletext"/>
              <w:keepNext w:val="0"/>
              <w:rPr>
                <w:b/>
                <w:bCs w:val="0"/>
              </w:rPr>
            </w:pPr>
            <w:r w:rsidRPr="00E211D2">
              <w:rPr>
                <w:b/>
                <w:bCs w:val="0"/>
              </w:rPr>
              <w:t>Duration of treatment effect (base case: 25 years; while on treatment)</w:t>
            </w:r>
          </w:p>
        </w:tc>
      </w:tr>
      <w:tr w:rsidR="000E63B0" w:rsidRPr="00E211D2" w14:paraId="0D29BB9A" w14:textId="77777777" w:rsidTr="00957134">
        <w:tc>
          <w:tcPr>
            <w:tcW w:w="2576" w:type="pct"/>
          </w:tcPr>
          <w:p w14:paraId="3FEBB0DA" w14:textId="77777777" w:rsidR="000E63B0" w:rsidRPr="00E211D2" w:rsidRDefault="000E63B0" w:rsidP="003F1735">
            <w:pPr>
              <w:pStyle w:val="COMTabletext"/>
              <w:keepNext w:val="0"/>
            </w:pPr>
            <w:r w:rsidRPr="00E211D2">
              <w:t>5 years</w:t>
            </w:r>
          </w:p>
        </w:tc>
        <w:tc>
          <w:tcPr>
            <w:tcW w:w="650" w:type="pct"/>
          </w:tcPr>
          <w:p w14:paraId="4FEC7F4D" w14:textId="0AF32426" w:rsidR="000E63B0" w:rsidRPr="005441F2" w:rsidRDefault="0036355B" w:rsidP="003F1735">
            <w:pPr>
              <w:pStyle w:val="COMTabletext"/>
              <w:keepNext w:val="0"/>
              <w:jc w:val="center"/>
              <w:rPr>
                <w:highlight w:val="darkGray"/>
              </w:rPr>
            </w:pPr>
            <w:r w:rsidRPr="004671F3">
              <w:rPr>
                <w:color w:val="000000"/>
                <w:spacing w:val="52"/>
                <w:shd w:val="solid" w:color="000000" w:fill="000000"/>
                <w:fitText w:val="520" w:id="-1032111866"/>
                <w14:textFill>
                  <w14:solidFill>
                    <w14:srgbClr w14:val="000000">
                      <w14:alpha w14:val="100000"/>
                    </w14:srgbClr>
                  </w14:solidFill>
                </w14:textFill>
              </w:rPr>
              <w:t>|||||</w:t>
            </w:r>
            <w:r w:rsidRPr="004671F3">
              <w:rPr>
                <w:color w:val="000000"/>
                <w:spacing w:val="5"/>
                <w:shd w:val="solid" w:color="000000" w:fill="000000"/>
                <w:fitText w:val="520" w:id="-1032111866"/>
                <w14:textFill>
                  <w14:solidFill>
                    <w14:srgbClr w14:val="000000">
                      <w14:alpha w14:val="100000"/>
                    </w14:srgbClr>
                  </w14:solidFill>
                </w14:textFill>
              </w:rPr>
              <w:t>|</w:t>
            </w:r>
          </w:p>
        </w:tc>
        <w:tc>
          <w:tcPr>
            <w:tcW w:w="650" w:type="pct"/>
          </w:tcPr>
          <w:p w14:paraId="3EDC7A39" w14:textId="77777777" w:rsidR="000E63B0" w:rsidRPr="00E211D2" w:rsidRDefault="000E63B0" w:rsidP="003F1735">
            <w:pPr>
              <w:pStyle w:val="COMTabletext"/>
              <w:keepNext w:val="0"/>
              <w:jc w:val="center"/>
            </w:pPr>
            <w:r w:rsidRPr="00E211D2">
              <w:t>0.218</w:t>
            </w:r>
          </w:p>
        </w:tc>
        <w:tc>
          <w:tcPr>
            <w:tcW w:w="685" w:type="pct"/>
          </w:tcPr>
          <w:p w14:paraId="2B49C0F6" w14:textId="451D00DE" w:rsidR="000E63B0" w:rsidRPr="005441F2" w:rsidRDefault="0036355B" w:rsidP="003F1735">
            <w:pPr>
              <w:pStyle w:val="COMTabletext"/>
              <w:keepNext w:val="0"/>
              <w:jc w:val="center"/>
              <w:rPr>
                <w:highlight w:val="darkGray"/>
              </w:rPr>
            </w:pPr>
            <w:r>
              <w:t xml:space="preserve"> </w:t>
            </w:r>
            <w:r w:rsidRPr="0036355B">
              <w:rPr>
                <w:color w:val="000000"/>
                <w:spacing w:val="56"/>
                <w:shd w:val="solid" w:color="000000" w:fill="000000"/>
                <w:fitText w:val="540" w:id="-1032111863"/>
                <w14:textFill>
                  <w14:solidFill>
                    <w14:srgbClr w14:val="000000">
                      <w14:alpha w14:val="100000"/>
                    </w14:srgbClr>
                  </w14:solidFill>
                </w14:textFill>
              </w:rPr>
              <w:t>|||||</w:t>
            </w:r>
            <w:r w:rsidRPr="0036355B">
              <w:rPr>
                <w:color w:val="000000"/>
                <w:spacing w:val="5"/>
                <w:shd w:val="solid" w:color="000000" w:fill="000000"/>
                <w:fitText w:val="540" w:id="-1032111863"/>
                <w14:textFill>
                  <w14:solidFill>
                    <w14:srgbClr w14:val="000000">
                      <w14:alpha w14:val="100000"/>
                    </w14:srgbClr>
                  </w14:solidFill>
                </w14:textFill>
              </w:rPr>
              <w:t>|</w:t>
            </w:r>
            <w:r w:rsidR="005936E3">
              <w:rPr>
                <w:sz w:val="18"/>
                <w:szCs w:val="18"/>
                <w:vertAlign w:val="superscript"/>
              </w:rPr>
              <w:t>1</w:t>
            </w:r>
          </w:p>
        </w:tc>
        <w:tc>
          <w:tcPr>
            <w:tcW w:w="439" w:type="pct"/>
          </w:tcPr>
          <w:p w14:paraId="477C788E" w14:textId="509CAED6" w:rsidR="000E63B0" w:rsidRPr="005441F2" w:rsidRDefault="0036355B" w:rsidP="003F1735">
            <w:pPr>
              <w:pStyle w:val="COMTabletext"/>
              <w:keepNext w:val="0"/>
              <w:jc w:val="center"/>
              <w:rPr>
                <w:highlight w:val="darkGray"/>
              </w:rPr>
            </w:pPr>
            <w:r w:rsidRPr="004671F3">
              <w:rPr>
                <w:color w:val="000000"/>
                <w:spacing w:val="174"/>
                <w:shd w:val="solid" w:color="000000" w:fill="000000"/>
                <w:fitText w:val="260" w:id="-1032111859"/>
                <w14:textFill>
                  <w14:solidFill>
                    <w14:srgbClr w14:val="000000">
                      <w14:alpha w14:val="100000"/>
                    </w14:srgbClr>
                  </w14:solidFill>
                </w14:textFill>
              </w:rPr>
              <w:t>|</w:t>
            </w:r>
            <w:r w:rsidRPr="004671F3">
              <w:rPr>
                <w:color w:val="000000"/>
                <w:shd w:val="solid" w:color="000000" w:fill="000000"/>
                <w:fitText w:val="260" w:id="-1032111859"/>
                <w14:textFill>
                  <w14:solidFill>
                    <w14:srgbClr w14:val="000000">
                      <w14:alpha w14:val="100000"/>
                    </w14:srgbClr>
                  </w14:solidFill>
                </w14:textFill>
              </w:rPr>
              <w:t>|</w:t>
            </w:r>
          </w:p>
        </w:tc>
      </w:tr>
      <w:tr w:rsidR="000E63B0" w:rsidRPr="00E211D2" w14:paraId="6CCFEDC1" w14:textId="77777777" w:rsidTr="00957134">
        <w:tc>
          <w:tcPr>
            <w:tcW w:w="2576" w:type="pct"/>
          </w:tcPr>
          <w:p w14:paraId="150EB886" w14:textId="77777777" w:rsidR="000E63B0" w:rsidRPr="00E211D2" w:rsidRDefault="000E63B0" w:rsidP="003F1735">
            <w:pPr>
              <w:pStyle w:val="COMTabletext"/>
              <w:keepNext w:val="0"/>
            </w:pPr>
            <w:r w:rsidRPr="00E211D2">
              <w:t>10 years</w:t>
            </w:r>
          </w:p>
        </w:tc>
        <w:tc>
          <w:tcPr>
            <w:tcW w:w="650" w:type="pct"/>
          </w:tcPr>
          <w:p w14:paraId="70C99B48" w14:textId="5424BFD8" w:rsidR="000E63B0" w:rsidRPr="005441F2" w:rsidRDefault="0036355B" w:rsidP="003F1735">
            <w:pPr>
              <w:pStyle w:val="COMTabletext"/>
              <w:keepNext w:val="0"/>
              <w:jc w:val="center"/>
              <w:rPr>
                <w:highlight w:val="darkGray"/>
              </w:rPr>
            </w:pPr>
            <w:r w:rsidRPr="004671F3">
              <w:rPr>
                <w:color w:val="000000"/>
                <w:spacing w:val="52"/>
                <w:shd w:val="solid" w:color="000000" w:fill="000000"/>
                <w:fitText w:val="520" w:id="-1032111871"/>
                <w14:textFill>
                  <w14:solidFill>
                    <w14:srgbClr w14:val="000000">
                      <w14:alpha w14:val="100000"/>
                    </w14:srgbClr>
                  </w14:solidFill>
                </w14:textFill>
              </w:rPr>
              <w:t>|||||</w:t>
            </w:r>
            <w:r w:rsidRPr="004671F3">
              <w:rPr>
                <w:color w:val="000000"/>
                <w:spacing w:val="5"/>
                <w:shd w:val="solid" w:color="000000" w:fill="000000"/>
                <w:fitText w:val="520" w:id="-1032111871"/>
                <w14:textFill>
                  <w14:solidFill>
                    <w14:srgbClr w14:val="000000">
                      <w14:alpha w14:val="100000"/>
                    </w14:srgbClr>
                  </w14:solidFill>
                </w14:textFill>
              </w:rPr>
              <w:t>|</w:t>
            </w:r>
          </w:p>
        </w:tc>
        <w:tc>
          <w:tcPr>
            <w:tcW w:w="650" w:type="pct"/>
          </w:tcPr>
          <w:p w14:paraId="0157189D" w14:textId="77777777" w:rsidR="000E63B0" w:rsidRPr="00E211D2" w:rsidRDefault="000E63B0" w:rsidP="003F1735">
            <w:pPr>
              <w:pStyle w:val="COMTabletext"/>
              <w:keepNext w:val="0"/>
              <w:jc w:val="center"/>
            </w:pPr>
            <w:r w:rsidRPr="00E211D2">
              <w:t>0.259</w:t>
            </w:r>
          </w:p>
        </w:tc>
        <w:tc>
          <w:tcPr>
            <w:tcW w:w="685" w:type="pct"/>
          </w:tcPr>
          <w:p w14:paraId="0557F177" w14:textId="1BCD4B7E" w:rsidR="000E63B0" w:rsidRPr="005441F2" w:rsidRDefault="0036355B" w:rsidP="003F1735">
            <w:pPr>
              <w:pStyle w:val="COMTabletext"/>
              <w:keepNext w:val="0"/>
              <w:jc w:val="center"/>
              <w:rPr>
                <w:highlight w:val="darkGray"/>
              </w:rPr>
            </w:pPr>
            <w:r>
              <w:t xml:space="preserve"> </w:t>
            </w:r>
            <w:r w:rsidRPr="0036355B">
              <w:rPr>
                <w:color w:val="000000"/>
                <w:spacing w:val="56"/>
                <w:shd w:val="solid" w:color="000000" w:fill="000000"/>
                <w:fitText w:val="540" w:id="-1032111868"/>
                <w14:textFill>
                  <w14:solidFill>
                    <w14:srgbClr w14:val="000000">
                      <w14:alpha w14:val="100000"/>
                    </w14:srgbClr>
                  </w14:solidFill>
                </w14:textFill>
              </w:rPr>
              <w:t>|||||</w:t>
            </w:r>
            <w:r w:rsidRPr="0036355B">
              <w:rPr>
                <w:color w:val="000000"/>
                <w:spacing w:val="5"/>
                <w:shd w:val="solid" w:color="000000" w:fill="000000"/>
                <w:fitText w:val="540" w:id="-1032111868"/>
                <w14:textFill>
                  <w14:solidFill>
                    <w14:srgbClr w14:val="000000">
                      <w14:alpha w14:val="100000"/>
                    </w14:srgbClr>
                  </w14:solidFill>
                </w14:textFill>
              </w:rPr>
              <w:t>|</w:t>
            </w:r>
            <w:r w:rsidR="005936E3">
              <w:rPr>
                <w:sz w:val="18"/>
                <w:szCs w:val="18"/>
                <w:vertAlign w:val="superscript"/>
              </w:rPr>
              <w:t>1</w:t>
            </w:r>
          </w:p>
        </w:tc>
        <w:tc>
          <w:tcPr>
            <w:tcW w:w="439" w:type="pct"/>
          </w:tcPr>
          <w:p w14:paraId="19D71F13" w14:textId="25EC18BE" w:rsidR="000E63B0" w:rsidRPr="005441F2" w:rsidRDefault="0036355B" w:rsidP="003F1735">
            <w:pPr>
              <w:pStyle w:val="COMTabletext"/>
              <w:keepNext w:val="0"/>
              <w:jc w:val="center"/>
              <w:rPr>
                <w:highlight w:val="darkGray"/>
              </w:rPr>
            </w:pPr>
            <w:r w:rsidRPr="004671F3">
              <w:rPr>
                <w:color w:val="000000"/>
                <w:spacing w:val="174"/>
                <w:shd w:val="solid" w:color="000000" w:fill="000000"/>
                <w:fitText w:val="260" w:id="-1032111864"/>
                <w14:textFill>
                  <w14:solidFill>
                    <w14:srgbClr w14:val="000000">
                      <w14:alpha w14:val="100000"/>
                    </w14:srgbClr>
                  </w14:solidFill>
                </w14:textFill>
              </w:rPr>
              <w:t>|</w:t>
            </w:r>
            <w:r w:rsidRPr="004671F3">
              <w:rPr>
                <w:color w:val="000000"/>
                <w:shd w:val="solid" w:color="000000" w:fill="000000"/>
                <w:fitText w:val="260" w:id="-1032111864"/>
                <w14:textFill>
                  <w14:solidFill>
                    <w14:srgbClr w14:val="000000">
                      <w14:alpha w14:val="100000"/>
                    </w14:srgbClr>
                  </w14:solidFill>
                </w14:textFill>
              </w:rPr>
              <w:t>|</w:t>
            </w:r>
          </w:p>
        </w:tc>
      </w:tr>
      <w:tr w:rsidR="000E63B0" w:rsidRPr="00E211D2" w14:paraId="0A1156D5" w14:textId="77777777" w:rsidTr="00957134">
        <w:tc>
          <w:tcPr>
            <w:tcW w:w="2576" w:type="pct"/>
          </w:tcPr>
          <w:p w14:paraId="7FE0FB7A" w14:textId="77777777" w:rsidR="000E63B0" w:rsidRPr="00E211D2" w:rsidRDefault="000E63B0" w:rsidP="003F1735">
            <w:pPr>
              <w:pStyle w:val="COMTabletext"/>
              <w:keepNext w:val="0"/>
            </w:pPr>
            <w:r w:rsidRPr="00E211D2">
              <w:t>15 years</w:t>
            </w:r>
          </w:p>
        </w:tc>
        <w:tc>
          <w:tcPr>
            <w:tcW w:w="650" w:type="pct"/>
          </w:tcPr>
          <w:p w14:paraId="751C7F2A" w14:textId="20E0A62D" w:rsidR="000E63B0" w:rsidRPr="005441F2" w:rsidRDefault="0036355B" w:rsidP="003F1735">
            <w:pPr>
              <w:pStyle w:val="COMTabletext"/>
              <w:keepNext w:val="0"/>
              <w:jc w:val="center"/>
              <w:rPr>
                <w:highlight w:val="darkGray"/>
              </w:rPr>
            </w:pPr>
            <w:r w:rsidRPr="004671F3">
              <w:rPr>
                <w:color w:val="000000"/>
                <w:spacing w:val="52"/>
                <w:shd w:val="solid" w:color="000000" w:fill="000000"/>
                <w:fitText w:val="520" w:id="-1032111859"/>
                <w14:textFill>
                  <w14:solidFill>
                    <w14:srgbClr w14:val="000000">
                      <w14:alpha w14:val="100000"/>
                    </w14:srgbClr>
                  </w14:solidFill>
                </w14:textFill>
              </w:rPr>
              <w:t>|||||</w:t>
            </w:r>
            <w:r w:rsidRPr="004671F3">
              <w:rPr>
                <w:color w:val="000000"/>
                <w:spacing w:val="5"/>
                <w:shd w:val="solid" w:color="000000" w:fill="000000"/>
                <w:fitText w:val="520" w:id="-1032111859"/>
                <w14:textFill>
                  <w14:solidFill>
                    <w14:srgbClr w14:val="000000">
                      <w14:alpha w14:val="100000"/>
                    </w14:srgbClr>
                  </w14:solidFill>
                </w14:textFill>
              </w:rPr>
              <w:t>|</w:t>
            </w:r>
          </w:p>
        </w:tc>
        <w:tc>
          <w:tcPr>
            <w:tcW w:w="650" w:type="pct"/>
          </w:tcPr>
          <w:p w14:paraId="6147543C" w14:textId="77777777" w:rsidR="000E63B0" w:rsidRPr="00E211D2" w:rsidRDefault="000E63B0" w:rsidP="003F1735">
            <w:pPr>
              <w:pStyle w:val="COMTabletext"/>
              <w:keepNext w:val="0"/>
              <w:jc w:val="center"/>
            </w:pPr>
            <w:r w:rsidRPr="00E211D2">
              <w:t>0.260</w:t>
            </w:r>
          </w:p>
        </w:tc>
        <w:tc>
          <w:tcPr>
            <w:tcW w:w="685" w:type="pct"/>
          </w:tcPr>
          <w:p w14:paraId="087763E2" w14:textId="750D8A2C" w:rsidR="000E63B0" w:rsidRPr="005441F2" w:rsidRDefault="0036355B" w:rsidP="003F1735">
            <w:pPr>
              <w:pStyle w:val="COMTabletext"/>
              <w:keepNext w:val="0"/>
              <w:jc w:val="center"/>
              <w:rPr>
                <w:highlight w:val="darkGray"/>
              </w:rPr>
            </w:pPr>
            <w:r>
              <w:t xml:space="preserve"> </w:t>
            </w:r>
            <w:r w:rsidRPr="0036355B">
              <w:rPr>
                <w:color w:val="000000"/>
                <w:spacing w:val="56"/>
                <w:shd w:val="solid" w:color="000000" w:fill="000000"/>
                <w:fitText w:val="540" w:id="-1032111856"/>
                <w14:textFill>
                  <w14:solidFill>
                    <w14:srgbClr w14:val="000000">
                      <w14:alpha w14:val="100000"/>
                    </w14:srgbClr>
                  </w14:solidFill>
                </w14:textFill>
              </w:rPr>
              <w:t>|||||</w:t>
            </w:r>
            <w:r w:rsidRPr="0036355B">
              <w:rPr>
                <w:color w:val="000000"/>
                <w:spacing w:val="5"/>
                <w:shd w:val="solid" w:color="000000" w:fill="000000"/>
                <w:fitText w:val="540" w:id="-1032111856"/>
                <w14:textFill>
                  <w14:solidFill>
                    <w14:srgbClr w14:val="000000">
                      <w14:alpha w14:val="100000"/>
                    </w14:srgbClr>
                  </w14:solidFill>
                </w14:textFill>
              </w:rPr>
              <w:t>|</w:t>
            </w:r>
            <w:r w:rsidR="005936E3">
              <w:rPr>
                <w:sz w:val="18"/>
                <w:szCs w:val="18"/>
                <w:vertAlign w:val="superscript"/>
              </w:rPr>
              <w:t>1</w:t>
            </w:r>
          </w:p>
        </w:tc>
        <w:tc>
          <w:tcPr>
            <w:tcW w:w="439" w:type="pct"/>
          </w:tcPr>
          <w:p w14:paraId="673F7FA9" w14:textId="6D7DF20F" w:rsidR="000E63B0" w:rsidRPr="005441F2" w:rsidRDefault="0036355B" w:rsidP="003F1735">
            <w:pPr>
              <w:pStyle w:val="COMTabletext"/>
              <w:keepNext w:val="0"/>
              <w:jc w:val="center"/>
              <w:rPr>
                <w:highlight w:val="darkGray"/>
              </w:rPr>
            </w:pPr>
            <w:r w:rsidRPr="004671F3">
              <w:rPr>
                <w:color w:val="000000"/>
                <w:spacing w:val="174"/>
                <w:shd w:val="solid" w:color="000000" w:fill="000000"/>
                <w:fitText w:val="260" w:id="-1032111869"/>
                <w14:textFill>
                  <w14:solidFill>
                    <w14:srgbClr w14:val="000000">
                      <w14:alpha w14:val="100000"/>
                    </w14:srgbClr>
                  </w14:solidFill>
                </w14:textFill>
              </w:rPr>
              <w:t>|</w:t>
            </w:r>
            <w:r w:rsidRPr="004671F3">
              <w:rPr>
                <w:color w:val="000000"/>
                <w:shd w:val="solid" w:color="000000" w:fill="000000"/>
                <w:fitText w:val="260" w:id="-1032111869"/>
                <w14:textFill>
                  <w14:solidFill>
                    <w14:srgbClr w14:val="000000">
                      <w14:alpha w14:val="100000"/>
                    </w14:srgbClr>
                  </w14:solidFill>
                </w14:textFill>
              </w:rPr>
              <w:t>|</w:t>
            </w:r>
          </w:p>
        </w:tc>
      </w:tr>
      <w:tr w:rsidR="000E63B0" w:rsidRPr="00E211D2" w14:paraId="676BD85E" w14:textId="77777777" w:rsidTr="001D4554">
        <w:tc>
          <w:tcPr>
            <w:tcW w:w="5000" w:type="pct"/>
            <w:gridSpan w:val="5"/>
          </w:tcPr>
          <w:p w14:paraId="0C81B790" w14:textId="77777777" w:rsidR="000E63B0" w:rsidRPr="00E211D2" w:rsidRDefault="000E63B0" w:rsidP="003F1735">
            <w:pPr>
              <w:pStyle w:val="COMTabletext"/>
              <w:keepNext w:val="0"/>
              <w:rPr>
                <w:b/>
                <w:bCs w:val="0"/>
              </w:rPr>
            </w:pPr>
            <w:r w:rsidRPr="00E211D2">
              <w:rPr>
                <w:b/>
                <w:bCs w:val="0"/>
              </w:rPr>
              <w:t>Transition probability calculation (base case: censoring for discontinuation applied to icosapent ethyl arm only; inclusive of recurrent events)</w:t>
            </w:r>
          </w:p>
        </w:tc>
      </w:tr>
      <w:tr w:rsidR="000E63B0" w:rsidRPr="00E211D2" w14:paraId="75E75A74" w14:textId="77777777" w:rsidTr="00957134">
        <w:tc>
          <w:tcPr>
            <w:tcW w:w="2576" w:type="pct"/>
          </w:tcPr>
          <w:p w14:paraId="2F586BCF" w14:textId="562B5C90" w:rsidR="000E63B0" w:rsidRPr="00E211D2" w:rsidRDefault="000E63B0" w:rsidP="003F1735">
            <w:pPr>
              <w:pStyle w:val="COMTabletext"/>
              <w:keepNext w:val="0"/>
            </w:pPr>
            <w:r w:rsidRPr="00E211D2">
              <w:t>Applied to neither arm; inclusive of recurrent events</w:t>
            </w:r>
            <w:r w:rsidR="00960DC2" w:rsidRPr="00E211D2">
              <w:t xml:space="preserve"> [</w:t>
            </w:r>
            <w:r w:rsidR="00957134" w:rsidRPr="00E211D2">
              <w:t>C</w:t>
            </w:r>
            <w:r w:rsidR="00960DC2" w:rsidRPr="00E211D2">
              <w:t>]</w:t>
            </w:r>
          </w:p>
        </w:tc>
        <w:tc>
          <w:tcPr>
            <w:tcW w:w="650" w:type="pct"/>
          </w:tcPr>
          <w:p w14:paraId="6E2CBFFC" w14:textId="6553C49E" w:rsidR="000E63B0" w:rsidRPr="005441F2" w:rsidRDefault="0036355B" w:rsidP="003F1735">
            <w:pPr>
              <w:pStyle w:val="COMTabletext"/>
              <w:keepNext w:val="0"/>
              <w:jc w:val="center"/>
              <w:rPr>
                <w:highlight w:val="darkGray"/>
              </w:rPr>
            </w:pPr>
            <w:r w:rsidRPr="004671F3">
              <w:rPr>
                <w:color w:val="000000"/>
                <w:spacing w:val="52"/>
                <w:shd w:val="solid" w:color="000000" w:fill="000000"/>
                <w:fitText w:val="520" w:id="-1032111864"/>
                <w14:textFill>
                  <w14:solidFill>
                    <w14:srgbClr w14:val="000000">
                      <w14:alpha w14:val="100000"/>
                    </w14:srgbClr>
                  </w14:solidFill>
                </w14:textFill>
              </w:rPr>
              <w:t>|||||</w:t>
            </w:r>
            <w:r w:rsidRPr="004671F3">
              <w:rPr>
                <w:color w:val="000000"/>
                <w:spacing w:val="5"/>
                <w:shd w:val="solid" w:color="000000" w:fill="000000"/>
                <w:fitText w:val="520" w:id="-1032111864"/>
                <w14:textFill>
                  <w14:solidFill>
                    <w14:srgbClr w14:val="000000">
                      <w14:alpha w14:val="100000"/>
                    </w14:srgbClr>
                  </w14:solidFill>
                </w14:textFill>
              </w:rPr>
              <w:t>|</w:t>
            </w:r>
          </w:p>
        </w:tc>
        <w:tc>
          <w:tcPr>
            <w:tcW w:w="650" w:type="pct"/>
          </w:tcPr>
          <w:p w14:paraId="45CE13F1" w14:textId="77777777" w:rsidR="000E63B0" w:rsidRPr="00E211D2" w:rsidRDefault="000E63B0" w:rsidP="003F1735">
            <w:pPr>
              <w:pStyle w:val="COMTabletext"/>
              <w:keepNext w:val="0"/>
              <w:jc w:val="center"/>
            </w:pPr>
            <w:r w:rsidRPr="00E211D2">
              <w:t>0.142</w:t>
            </w:r>
          </w:p>
        </w:tc>
        <w:tc>
          <w:tcPr>
            <w:tcW w:w="685" w:type="pct"/>
          </w:tcPr>
          <w:p w14:paraId="0DDFE5E3" w14:textId="01EE14FA" w:rsidR="000E63B0" w:rsidRPr="005441F2" w:rsidRDefault="0036355B" w:rsidP="003F1735">
            <w:pPr>
              <w:pStyle w:val="COMTabletext"/>
              <w:keepNext w:val="0"/>
              <w:jc w:val="center"/>
              <w:rPr>
                <w:highlight w:val="darkGray"/>
              </w:rPr>
            </w:pPr>
            <w:r>
              <w:t xml:space="preserve"> </w:t>
            </w:r>
            <w:r w:rsidRPr="0036355B">
              <w:rPr>
                <w:color w:val="000000"/>
                <w:spacing w:val="56"/>
                <w:shd w:val="solid" w:color="000000" w:fill="000000"/>
                <w:fitText w:val="540" w:id="-1032111861"/>
                <w14:textFill>
                  <w14:solidFill>
                    <w14:srgbClr w14:val="000000">
                      <w14:alpha w14:val="100000"/>
                    </w14:srgbClr>
                  </w14:solidFill>
                </w14:textFill>
              </w:rPr>
              <w:t>|||||</w:t>
            </w:r>
            <w:r w:rsidRPr="0036355B">
              <w:rPr>
                <w:color w:val="000000"/>
                <w:spacing w:val="5"/>
                <w:shd w:val="solid" w:color="000000" w:fill="000000"/>
                <w:fitText w:val="540" w:id="-1032111861"/>
                <w14:textFill>
                  <w14:solidFill>
                    <w14:srgbClr w14:val="000000">
                      <w14:alpha w14:val="100000"/>
                    </w14:srgbClr>
                  </w14:solidFill>
                </w14:textFill>
              </w:rPr>
              <w:t>|</w:t>
            </w:r>
            <w:r w:rsidR="00B57821">
              <w:rPr>
                <w:sz w:val="18"/>
                <w:szCs w:val="18"/>
                <w:vertAlign w:val="superscript"/>
              </w:rPr>
              <w:t>5</w:t>
            </w:r>
          </w:p>
        </w:tc>
        <w:tc>
          <w:tcPr>
            <w:tcW w:w="439" w:type="pct"/>
          </w:tcPr>
          <w:p w14:paraId="6182E711" w14:textId="13BC1CC4" w:rsidR="000E63B0" w:rsidRPr="005441F2" w:rsidRDefault="0036355B" w:rsidP="003F1735">
            <w:pPr>
              <w:pStyle w:val="COMTabletext"/>
              <w:keepNext w:val="0"/>
              <w:jc w:val="center"/>
              <w:rPr>
                <w:highlight w:val="darkGray"/>
              </w:rPr>
            </w:pPr>
            <w:r w:rsidRPr="004671F3">
              <w:rPr>
                <w:color w:val="000000"/>
                <w:spacing w:val="174"/>
                <w:shd w:val="solid" w:color="000000" w:fill="000000"/>
                <w:fitText w:val="260" w:id="-1032111857"/>
                <w14:textFill>
                  <w14:solidFill>
                    <w14:srgbClr w14:val="000000">
                      <w14:alpha w14:val="100000"/>
                    </w14:srgbClr>
                  </w14:solidFill>
                </w14:textFill>
              </w:rPr>
              <w:t>|</w:t>
            </w:r>
            <w:r w:rsidRPr="004671F3">
              <w:rPr>
                <w:color w:val="000000"/>
                <w:shd w:val="solid" w:color="000000" w:fill="000000"/>
                <w:fitText w:val="260" w:id="-1032111857"/>
                <w14:textFill>
                  <w14:solidFill>
                    <w14:srgbClr w14:val="000000">
                      <w14:alpha w14:val="100000"/>
                    </w14:srgbClr>
                  </w14:solidFill>
                </w14:textFill>
              </w:rPr>
              <w:t>|</w:t>
            </w:r>
          </w:p>
        </w:tc>
      </w:tr>
      <w:tr w:rsidR="000E63B0" w:rsidRPr="00E211D2" w14:paraId="591778C0" w14:textId="77777777" w:rsidTr="00957134">
        <w:tc>
          <w:tcPr>
            <w:tcW w:w="2576" w:type="pct"/>
          </w:tcPr>
          <w:p w14:paraId="478607D4" w14:textId="77777777" w:rsidR="000E63B0" w:rsidRPr="00E211D2" w:rsidRDefault="000E63B0" w:rsidP="003F1735">
            <w:pPr>
              <w:pStyle w:val="COMTabletext"/>
              <w:keepNext w:val="0"/>
            </w:pPr>
            <w:r w:rsidRPr="00E211D2">
              <w:t>Applied to both arms; inclusive of recurrent events</w:t>
            </w:r>
          </w:p>
        </w:tc>
        <w:tc>
          <w:tcPr>
            <w:tcW w:w="650" w:type="pct"/>
          </w:tcPr>
          <w:p w14:paraId="7BE73B3C" w14:textId="10A9DFB4" w:rsidR="000E63B0" w:rsidRPr="005441F2" w:rsidRDefault="0036355B" w:rsidP="003F1735">
            <w:pPr>
              <w:pStyle w:val="COMTabletext"/>
              <w:keepNext w:val="0"/>
              <w:jc w:val="center"/>
              <w:rPr>
                <w:highlight w:val="darkGray"/>
              </w:rPr>
            </w:pPr>
            <w:r w:rsidRPr="004671F3">
              <w:rPr>
                <w:color w:val="000000"/>
                <w:spacing w:val="52"/>
                <w:shd w:val="solid" w:color="000000" w:fill="000000"/>
                <w:fitText w:val="520" w:id="-1032111869"/>
                <w14:textFill>
                  <w14:solidFill>
                    <w14:srgbClr w14:val="000000">
                      <w14:alpha w14:val="100000"/>
                    </w14:srgbClr>
                  </w14:solidFill>
                </w14:textFill>
              </w:rPr>
              <w:t>|||||</w:t>
            </w:r>
            <w:r w:rsidRPr="004671F3">
              <w:rPr>
                <w:color w:val="000000"/>
                <w:spacing w:val="5"/>
                <w:shd w:val="solid" w:color="000000" w:fill="000000"/>
                <w:fitText w:val="520" w:id="-1032111869"/>
                <w14:textFill>
                  <w14:solidFill>
                    <w14:srgbClr w14:val="000000">
                      <w14:alpha w14:val="100000"/>
                    </w14:srgbClr>
                  </w14:solidFill>
                </w14:textFill>
              </w:rPr>
              <w:t>|</w:t>
            </w:r>
          </w:p>
        </w:tc>
        <w:tc>
          <w:tcPr>
            <w:tcW w:w="650" w:type="pct"/>
          </w:tcPr>
          <w:p w14:paraId="70D86A39" w14:textId="77777777" w:rsidR="000E63B0" w:rsidRPr="00E211D2" w:rsidRDefault="000E63B0" w:rsidP="003F1735">
            <w:pPr>
              <w:pStyle w:val="COMTabletext"/>
              <w:keepNext w:val="0"/>
              <w:jc w:val="center"/>
            </w:pPr>
            <w:r w:rsidRPr="00E211D2">
              <w:t>0.094</w:t>
            </w:r>
          </w:p>
        </w:tc>
        <w:tc>
          <w:tcPr>
            <w:tcW w:w="685" w:type="pct"/>
          </w:tcPr>
          <w:p w14:paraId="39700F9C" w14:textId="08FB2B63" w:rsidR="000E63B0" w:rsidRPr="005441F2" w:rsidRDefault="0036355B" w:rsidP="003F1735">
            <w:pPr>
              <w:pStyle w:val="COMTabletext"/>
              <w:keepNext w:val="0"/>
              <w:jc w:val="center"/>
              <w:rPr>
                <w:highlight w:val="darkGray"/>
              </w:rPr>
            </w:pPr>
            <w:r>
              <w:t xml:space="preserve"> </w:t>
            </w:r>
            <w:r w:rsidRPr="0036355B">
              <w:rPr>
                <w:color w:val="000000"/>
                <w:spacing w:val="56"/>
                <w:shd w:val="solid" w:color="000000" w:fill="000000"/>
                <w:fitText w:val="540" w:id="-1032111866"/>
                <w14:textFill>
                  <w14:solidFill>
                    <w14:srgbClr w14:val="000000">
                      <w14:alpha w14:val="100000"/>
                    </w14:srgbClr>
                  </w14:solidFill>
                </w14:textFill>
              </w:rPr>
              <w:t>|||||</w:t>
            </w:r>
            <w:r w:rsidRPr="0036355B">
              <w:rPr>
                <w:color w:val="000000"/>
                <w:spacing w:val="5"/>
                <w:shd w:val="solid" w:color="000000" w:fill="000000"/>
                <w:fitText w:val="540" w:id="-1032111866"/>
                <w14:textFill>
                  <w14:solidFill>
                    <w14:srgbClr w14:val="000000">
                      <w14:alpha w14:val="100000"/>
                    </w14:srgbClr>
                  </w14:solidFill>
                </w14:textFill>
              </w:rPr>
              <w:t>|</w:t>
            </w:r>
            <w:r w:rsidR="00CF5EF5">
              <w:rPr>
                <w:sz w:val="18"/>
                <w:szCs w:val="18"/>
                <w:vertAlign w:val="superscript"/>
              </w:rPr>
              <w:t>6</w:t>
            </w:r>
          </w:p>
        </w:tc>
        <w:tc>
          <w:tcPr>
            <w:tcW w:w="439" w:type="pct"/>
          </w:tcPr>
          <w:p w14:paraId="1B1393BD" w14:textId="32A853A9" w:rsidR="000E63B0" w:rsidRPr="005441F2" w:rsidRDefault="0036355B" w:rsidP="003F1735">
            <w:pPr>
              <w:pStyle w:val="COMTabletext"/>
              <w:keepNext w:val="0"/>
              <w:jc w:val="center"/>
              <w:rPr>
                <w:highlight w:val="darkGray"/>
              </w:rPr>
            </w:pPr>
            <w:r w:rsidRPr="004671F3">
              <w:rPr>
                <w:color w:val="000000"/>
                <w:spacing w:val="174"/>
                <w:shd w:val="solid" w:color="000000" w:fill="000000"/>
                <w:fitText w:val="260" w:id="-1032111862"/>
                <w14:textFill>
                  <w14:solidFill>
                    <w14:srgbClr w14:val="000000">
                      <w14:alpha w14:val="100000"/>
                    </w14:srgbClr>
                  </w14:solidFill>
                </w14:textFill>
              </w:rPr>
              <w:t>|</w:t>
            </w:r>
            <w:r w:rsidRPr="004671F3">
              <w:rPr>
                <w:color w:val="000000"/>
                <w:shd w:val="solid" w:color="000000" w:fill="000000"/>
                <w:fitText w:val="260" w:id="-1032111862"/>
                <w14:textFill>
                  <w14:solidFill>
                    <w14:srgbClr w14:val="000000">
                      <w14:alpha w14:val="100000"/>
                    </w14:srgbClr>
                  </w14:solidFill>
                </w14:textFill>
              </w:rPr>
              <w:t>|</w:t>
            </w:r>
          </w:p>
        </w:tc>
      </w:tr>
      <w:tr w:rsidR="000E63B0" w:rsidRPr="00E211D2" w14:paraId="72D1C25D" w14:textId="77777777" w:rsidTr="00957134">
        <w:tc>
          <w:tcPr>
            <w:tcW w:w="2576" w:type="pct"/>
          </w:tcPr>
          <w:p w14:paraId="74803557" w14:textId="77777777" w:rsidR="000E63B0" w:rsidRPr="00E211D2" w:rsidRDefault="000E63B0" w:rsidP="003F1735">
            <w:pPr>
              <w:pStyle w:val="COMTabletext"/>
              <w:keepNext w:val="0"/>
            </w:pPr>
            <w:r w:rsidRPr="00E211D2">
              <w:t>Applied to icosapent ethyl arm only; first event only</w:t>
            </w:r>
          </w:p>
        </w:tc>
        <w:tc>
          <w:tcPr>
            <w:tcW w:w="650" w:type="pct"/>
          </w:tcPr>
          <w:p w14:paraId="758B3167" w14:textId="2EAB3DBD" w:rsidR="000E63B0" w:rsidRPr="005441F2" w:rsidRDefault="0036355B" w:rsidP="003F1735">
            <w:pPr>
              <w:pStyle w:val="COMTabletext"/>
              <w:keepNext w:val="0"/>
              <w:jc w:val="center"/>
              <w:rPr>
                <w:highlight w:val="darkGray"/>
              </w:rPr>
            </w:pPr>
            <w:r w:rsidRPr="004671F3">
              <w:rPr>
                <w:color w:val="000000"/>
                <w:spacing w:val="52"/>
                <w:shd w:val="solid" w:color="000000" w:fill="000000"/>
                <w:fitText w:val="520" w:id="-1032111857"/>
                <w14:textFill>
                  <w14:solidFill>
                    <w14:srgbClr w14:val="000000">
                      <w14:alpha w14:val="100000"/>
                    </w14:srgbClr>
                  </w14:solidFill>
                </w14:textFill>
              </w:rPr>
              <w:t>|||||</w:t>
            </w:r>
            <w:r w:rsidRPr="004671F3">
              <w:rPr>
                <w:color w:val="000000"/>
                <w:spacing w:val="5"/>
                <w:shd w:val="solid" w:color="000000" w:fill="000000"/>
                <w:fitText w:val="520" w:id="-1032111857"/>
                <w14:textFill>
                  <w14:solidFill>
                    <w14:srgbClr w14:val="000000">
                      <w14:alpha w14:val="100000"/>
                    </w14:srgbClr>
                  </w14:solidFill>
                </w14:textFill>
              </w:rPr>
              <w:t>|</w:t>
            </w:r>
          </w:p>
        </w:tc>
        <w:tc>
          <w:tcPr>
            <w:tcW w:w="650" w:type="pct"/>
          </w:tcPr>
          <w:p w14:paraId="77F344B6" w14:textId="77777777" w:rsidR="000E63B0" w:rsidRPr="00E211D2" w:rsidRDefault="000E63B0" w:rsidP="003F1735">
            <w:pPr>
              <w:pStyle w:val="COMTabletext"/>
              <w:keepNext w:val="0"/>
              <w:jc w:val="center"/>
            </w:pPr>
            <w:r w:rsidRPr="00E211D2">
              <w:t>0.251</w:t>
            </w:r>
          </w:p>
        </w:tc>
        <w:tc>
          <w:tcPr>
            <w:tcW w:w="685" w:type="pct"/>
          </w:tcPr>
          <w:p w14:paraId="4A9FE38A" w14:textId="6ACE63E3" w:rsidR="000E63B0" w:rsidRPr="005441F2" w:rsidRDefault="0036355B" w:rsidP="003F1735">
            <w:pPr>
              <w:pStyle w:val="COMTabletext"/>
              <w:keepNext w:val="0"/>
              <w:jc w:val="center"/>
              <w:rPr>
                <w:highlight w:val="darkGray"/>
              </w:rPr>
            </w:pPr>
            <w:r>
              <w:t xml:space="preserve"> </w:t>
            </w:r>
            <w:r w:rsidRPr="0036355B">
              <w:rPr>
                <w:color w:val="000000"/>
                <w:spacing w:val="56"/>
                <w:shd w:val="solid" w:color="000000" w:fill="000000"/>
                <w:fitText w:val="540" w:id="-1032111871"/>
                <w14:textFill>
                  <w14:solidFill>
                    <w14:srgbClr w14:val="000000">
                      <w14:alpha w14:val="100000"/>
                    </w14:srgbClr>
                  </w14:solidFill>
                </w14:textFill>
              </w:rPr>
              <w:t>|||||</w:t>
            </w:r>
            <w:r w:rsidRPr="0036355B">
              <w:rPr>
                <w:color w:val="000000"/>
                <w:spacing w:val="5"/>
                <w:shd w:val="solid" w:color="000000" w:fill="000000"/>
                <w:fitText w:val="540" w:id="-1032111871"/>
                <w14:textFill>
                  <w14:solidFill>
                    <w14:srgbClr w14:val="000000">
                      <w14:alpha w14:val="100000"/>
                    </w14:srgbClr>
                  </w14:solidFill>
                </w14:textFill>
              </w:rPr>
              <w:t>|</w:t>
            </w:r>
            <w:r w:rsidR="005936E3">
              <w:rPr>
                <w:sz w:val="18"/>
                <w:szCs w:val="18"/>
                <w:vertAlign w:val="superscript"/>
              </w:rPr>
              <w:t>3</w:t>
            </w:r>
          </w:p>
        </w:tc>
        <w:tc>
          <w:tcPr>
            <w:tcW w:w="439" w:type="pct"/>
          </w:tcPr>
          <w:p w14:paraId="72E914D9" w14:textId="7E9E46AB" w:rsidR="000E63B0" w:rsidRPr="005441F2" w:rsidRDefault="0036355B" w:rsidP="003F1735">
            <w:pPr>
              <w:pStyle w:val="COMTabletext"/>
              <w:keepNext w:val="0"/>
              <w:jc w:val="center"/>
              <w:rPr>
                <w:highlight w:val="darkGray"/>
              </w:rPr>
            </w:pPr>
            <w:r w:rsidRPr="004671F3">
              <w:rPr>
                <w:color w:val="000000"/>
                <w:spacing w:val="174"/>
                <w:shd w:val="solid" w:color="000000" w:fill="000000"/>
                <w:fitText w:val="260" w:id="-1032111867"/>
                <w14:textFill>
                  <w14:solidFill>
                    <w14:srgbClr w14:val="000000">
                      <w14:alpha w14:val="100000"/>
                    </w14:srgbClr>
                  </w14:solidFill>
                </w14:textFill>
              </w:rPr>
              <w:t>|</w:t>
            </w:r>
            <w:r w:rsidRPr="004671F3">
              <w:rPr>
                <w:color w:val="000000"/>
                <w:shd w:val="solid" w:color="000000" w:fill="000000"/>
                <w:fitText w:val="260" w:id="-1032111867"/>
                <w14:textFill>
                  <w14:solidFill>
                    <w14:srgbClr w14:val="000000">
                      <w14:alpha w14:val="100000"/>
                    </w14:srgbClr>
                  </w14:solidFill>
                </w14:textFill>
              </w:rPr>
              <w:t>|</w:t>
            </w:r>
          </w:p>
        </w:tc>
      </w:tr>
      <w:tr w:rsidR="000E63B0" w:rsidRPr="00E211D2" w14:paraId="43D6D9C3" w14:textId="77777777" w:rsidTr="00957134">
        <w:tc>
          <w:tcPr>
            <w:tcW w:w="2576" w:type="pct"/>
          </w:tcPr>
          <w:p w14:paraId="741A5B99" w14:textId="77777777" w:rsidR="000E63B0" w:rsidRPr="00E211D2" w:rsidRDefault="000E63B0" w:rsidP="003F1735">
            <w:pPr>
              <w:pStyle w:val="COMTabletext"/>
              <w:keepNext w:val="0"/>
            </w:pPr>
            <w:r w:rsidRPr="00E211D2">
              <w:t>Applied to both arms; first event only</w:t>
            </w:r>
          </w:p>
        </w:tc>
        <w:tc>
          <w:tcPr>
            <w:tcW w:w="650" w:type="pct"/>
          </w:tcPr>
          <w:p w14:paraId="3238F97D" w14:textId="7A6C41CA" w:rsidR="000E63B0" w:rsidRPr="005441F2" w:rsidRDefault="0036355B" w:rsidP="003F1735">
            <w:pPr>
              <w:pStyle w:val="COMTabletext"/>
              <w:keepNext w:val="0"/>
              <w:jc w:val="center"/>
              <w:rPr>
                <w:highlight w:val="darkGray"/>
              </w:rPr>
            </w:pPr>
            <w:r w:rsidRPr="004671F3">
              <w:rPr>
                <w:color w:val="000000"/>
                <w:spacing w:val="52"/>
                <w:shd w:val="solid" w:color="000000" w:fill="000000"/>
                <w:fitText w:val="520" w:id="-1032111862"/>
                <w14:textFill>
                  <w14:solidFill>
                    <w14:srgbClr w14:val="000000">
                      <w14:alpha w14:val="100000"/>
                    </w14:srgbClr>
                  </w14:solidFill>
                </w14:textFill>
              </w:rPr>
              <w:t>|||||</w:t>
            </w:r>
            <w:r w:rsidRPr="004671F3">
              <w:rPr>
                <w:color w:val="000000"/>
                <w:spacing w:val="5"/>
                <w:shd w:val="solid" w:color="000000" w:fill="000000"/>
                <w:fitText w:val="520" w:id="-1032111862"/>
                <w14:textFill>
                  <w14:solidFill>
                    <w14:srgbClr w14:val="000000">
                      <w14:alpha w14:val="100000"/>
                    </w14:srgbClr>
                  </w14:solidFill>
                </w14:textFill>
              </w:rPr>
              <w:t>|</w:t>
            </w:r>
          </w:p>
        </w:tc>
        <w:tc>
          <w:tcPr>
            <w:tcW w:w="650" w:type="pct"/>
          </w:tcPr>
          <w:p w14:paraId="4EC80275" w14:textId="77777777" w:rsidR="000E63B0" w:rsidRPr="00E211D2" w:rsidRDefault="000E63B0" w:rsidP="003F1735">
            <w:pPr>
              <w:pStyle w:val="COMTabletext"/>
              <w:keepNext w:val="0"/>
              <w:jc w:val="center"/>
            </w:pPr>
            <w:r w:rsidRPr="00E211D2">
              <w:t>0.083</w:t>
            </w:r>
          </w:p>
        </w:tc>
        <w:tc>
          <w:tcPr>
            <w:tcW w:w="685" w:type="pct"/>
          </w:tcPr>
          <w:p w14:paraId="6A13185F" w14:textId="7A7A2478" w:rsidR="000E63B0" w:rsidRPr="005441F2" w:rsidRDefault="0036355B" w:rsidP="003F1735">
            <w:pPr>
              <w:pStyle w:val="COMTabletext"/>
              <w:keepNext w:val="0"/>
              <w:jc w:val="center"/>
              <w:rPr>
                <w:highlight w:val="darkGray"/>
              </w:rPr>
            </w:pPr>
            <w:r>
              <w:t xml:space="preserve"> </w:t>
            </w:r>
            <w:r w:rsidRPr="0036355B">
              <w:rPr>
                <w:color w:val="000000"/>
                <w:spacing w:val="56"/>
                <w:shd w:val="solid" w:color="000000" w:fill="000000"/>
                <w:fitText w:val="540" w:id="-1032111859"/>
                <w14:textFill>
                  <w14:solidFill>
                    <w14:srgbClr w14:val="000000">
                      <w14:alpha w14:val="100000"/>
                    </w14:srgbClr>
                  </w14:solidFill>
                </w14:textFill>
              </w:rPr>
              <w:t>|||||</w:t>
            </w:r>
            <w:r w:rsidRPr="0036355B">
              <w:rPr>
                <w:color w:val="000000"/>
                <w:spacing w:val="5"/>
                <w:shd w:val="solid" w:color="000000" w:fill="000000"/>
                <w:fitText w:val="540" w:id="-1032111859"/>
                <w14:textFill>
                  <w14:solidFill>
                    <w14:srgbClr w14:val="000000">
                      <w14:alpha w14:val="100000"/>
                    </w14:srgbClr>
                  </w14:solidFill>
                </w14:textFill>
              </w:rPr>
              <w:t>|</w:t>
            </w:r>
            <w:r w:rsidR="00841F95">
              <w:rPr>
                <w:sz w:val="18"/>
                <w:szCs w:val="18"/>
                <w:vertAlign w:val="superscript"/>
              </w:rPr>
              <w:t>7</w:t>
            </w:r>
          </w:p>
        </w:tc>
        <w:tc>
          <w:tcPr>
            <w:tcW w:w="439" w:type="pct"/>
          </w:tcPr>
          <w:p w14:paraId="799AD47E" w14:textId="190A0AE1" w:rsidR="000E63B0" w:rsidRPr="005441F2" w:rsidRDefault="0036355B" w:rsidP="003F1735">
            <w:pPr>
              <w:pStyle w:val="COMTabletext"/>
              <w:keepNext w:val="0"/>
              <w:jc w:val="center"/>
              <w:rPr>
                <w:highlight w:val="darkGray"/>
              </w:rPr>
            </w:pPr>
            <w:r w:rsidRPr="004671F3">
              <w:rPr>
                <w:color w:val="000000"/>
                <w:spacing w:val="174"/>
                <w:shd w:val="solid" w:color="000000" w:fill="000000"/>
                <w:fitText w:val="260" w:id="-1032111872"/>
                <w14:textFill>
                  <w14:solidFill>
                    <w14:srgbClr w14:val="000000">
                      <w14:alpha w14:val="100000"/>
                    </w14:srgbClr>
                  </w14:solidFill>
                </w14:textFill>
              </w:rPr>
              <w:t>|</w:t>
            </w:r>
            <w:r w:rsidRPr="004671F3">
              <w:rPr>
                <w:color w:val="000000"/>
                <w:shd w:val="solid" w:color="000000" w:fill="000000"/>
                <w:fitText w:val="260" w:id="-1032111872"/>
                <w14:textFill>
                  <w14:solidFill>
                    <w14:srgbClr w14:val="000000">
                      <w14:alpha w14:val="100000"/>
                    </w14:srgbClr>
                  </w14:solidFill>
                </w14:textFill>
              </w:rPr>
              <w:t>|</w:t>
            </w:r>
          </w:p>
        </w:tc>
      </w:tr>
      <w:tr w:rsidR="0005035D" w:rsidRPr="00E211D2" w14:paraId="1073FD39" w14:textId="77777777" w:rsidTr="00957134">
        <w:tc>
          <w:tcPr>
            <w:tcW w:w="2576" w:type="pct"/>
          </w:tcPr>
          <w:p w14:paraId="00B06D04" w14:textId="3ABA2F75" w:rsidR="0005035D" w:rsidRPr="00E211D2" w:rsidRDefault="005D3C22" w:rsidP="003F1735">
            <w:pPr>
              <w:pStyle w:val="COMTabletext"/>
              <w:keepNext w:val="0"/>
            </w:pPr>
            <w:r w:rsidRPr="00E211D2">
              <w:t>Applied to icosapent ethyl arm only; first event only; event probabilities inclusive of recurrent events</w:t>
            </w:r>
          </w:p>
        </w:tc>
        <w:tc>
          <w:tcPr>
            <w:tcW w:w="650" w:type="pct"/>
            <w:vAlign w:val="center"/>
          </w:tcPr>
          <w:p w14:paraId="0B52E7F5" w14:textId="702C6534" w:rsidR="0005035D" w:rsidRPr="005441F2" w:rsidRDefault="0036355B" w:rsidP="003F1735">
            <w:pPr>
              <w:pStyle w:val="COMTabletext"/>
              <w:keepNext w:val="0"/>
              <w:jc w:val="center"/>
              <w:rPr>
                <w:highlight w:val="darkGray"/>
              </w:rPr>
            </w:pPr>
            <w:r w:rsidRPr="004671F3">
              <w:rPr>
                <w:color w:val="000000"/>
                <w:spacing w:val="76"/>
                <w:shd w:val="solid" w:color="000000" w:fill="000000"/>
                <w:fitText w:val="520" w:id="-1032111867"/>
                <w14:textFill>
                  <w14:solidFill>
                    <w14:srgbClr w14:val="000000">
                      <w14:alpha w14:val="100000"/>
                    </w14:srgbClr>
                  </w14:solidFill>
                </w14:textFill>
              </w:rPr>
              <w:t>||||</w:t>
            </w:r>
            <w:r w:rsidRPr="004671F3">
              <w:rPr>
                <w:color w:val="000000"/>
                <w:spacing w:val="4"/>
                <w:shd w:val="solid" w:color="000000" w:fill="000000"/>
                <w:fitText w:val="520" w:id="-1032111867"/>
                <w14:textFill>
                  <w14:solidFill>
                    <w14:srgbClr w14:val="000000">
                      <w14:alpha w14:val="100000"/>
                    </w14:srgbClr>
                  </w14:solidFill>
                </w14:textFill>
              </w:rPr>
              <w:t>|</w:t>
            </w:r>
          </w:p>
        </w:tc>
        <w:tc>
          <w:tcPr>
            <w:tcW w:w="650" w:type="pct"/>
            <w:vAlign w:val="center"/>
          </w:tcPr>
          <w:p w14:paraId="069949A5" w14:textId="49ADE1A4" w:rsidR="0005035D" w:rsidRPr="00E211D2" w:rsidRDefault="005D3C22" w:rsidP="003F1735">
            <w:pPr>
              <w:pStyle w:val="COMTabletext"/>
              <w:keepNext w:val="0"/>
              <w:jc w:val="center"/>
            </w:pPr>
            <w:r w:rsidRPr="00E211D2">
              <w:t>0.2515</w:t>
            </w:r>
          </w:p>
        </w:tc>
        <w:tc>
          <w:tcPr>
            <w:tcW w:w="685" w:type="pct"/>
            <w:vAlign w:val="center"/>
          </w:tcPr>
          <w:p w14:paraId="41AB014A" w14:textId="3309C8E8" w:rsidR="0005035D" w:rsidRPr="005441F2" w:rsidRDefault="0036355B" w:rsidP="003F1735">
            <w:pPr>
              <w:pStyle w:val="COMTabletext"/>
              <w:keepNext w:val="0"/>
              <w:jc w:val="center"/>
              <w:rPr>
                <w:highlight w:val="darkGray"/>
              </w:rPr>
            </w:pPr>
            <w:r>
              <w:t xml:space="preserve"> </w:t>
            </w:r>
            <w:r w:rsidRPr="0036355B">
              <w:rPr>
                <w:color w:val="000000"/>
                <w:spacing w:val="56"/>
                <w:shd w:val="solid" w:color="000000" w:fill="000000"/>
                <w:fitText w:val="540" w:id="-1032111864"/>
                <w14:textFill>
                  <w14:solidFill>
                    <w14:srgbClr w14:val="000000">
                      <w14:alpha w14:val="100000"/>
                    </w14:srgbClr>
                  </w14:solidFill>
                </w14:textFill>
              </w:rPr>
              <w:t>|||||</w:t>
            </w:r>
            <w:r w:rsidRPr="0036355B">
              <w:rPr>
                <w:color w:val="000000"/>
                <w:spacing w:val="5"/>
                <w:shd w:val="solid" w:color="000000" w:fill="000000"/>
                <w:fitText w:val="540" w:id="-1032111864"/>
                <w14:textFill>
                  <w14:solidFill>
                    <w14:srgbClr w14:val="000000">
                      <w14:alpha w14:val="100000"/>
                    </w14:srgbClr>
                  </w14:solidFill>
                </w14:textFill>
              </w:rPr>
              <w:t>|</w:t>
            </w:r>
            <w:r w:rsidR="005936E3">
              <w:rPr>
                <w:sz w:val="18"/>
                <w:szCs w:val="18"/>
                <w:vertAlign w:val="superscript"/>
              </w:rPr>
              <w:t>1</w:t>
            </w:r>
          </w:p>
        </w:tc>
        <w:tc>
          <w:tcPr>
            <w:tcW w:w="439" w:type="pct"/>
            <w:vAlign w:val="center"/>
          </w:tcPr>
          <w:p w14:paraId="585D5ADF" w14:textId="6995EBF1" w:rsidR="0005035D" w:rsidRPr="005441F2" w:rsidRDefault="0036355B" w:rsidP="003F1735">
            <w:pPr>
              <w:pStyle w:val="COMTabletext"/>
              <w:keepNext w:val="0"/>
              <w:jc w:val="center"/>
              <w:rPr>
                <w:highlight w:val="darkGray"/>
              </w:rPr>
            </w:pPr>
            <w:r w:rsidRPr="004671F3">
              <w:rPr>
                <w:color w:val="000000"/>
                <w:spacing w:val="217"/>
                <w:shd w:val="solid" w:color="000000" w:fill="000000"/>
                <w:fitText w:val="260" w:id="-1032111860"/>
                <w14:textFill>
                  <w14:solidFill>
                    <w14:srgbClr w14:val="000000">
                      <w14:alpha w14:val="100000"/>
                    </w14:srgbClr>
                  </w14:solidFill>
                </w14:textFill>
              </w:rPr>
              <w:t>|</w:t>
            </w:r>
          </w:p>
        </w:tc>
      </w:tr>
      <w:tr w:rsidR="000E63B0" w:rsidRPr="00E211D2" w14:paraId="020943FD" w14:textId="77777777" w:rsidTr="001D4554">
        <w:tc>
          <w:tcPr>
            <w:tcW w:w="5000" w:type="pct"/>
            <w:gridSpan w:val="5"/>
          </w:tcPr>
          <w:p w14:paraId="246CEE93" w14:textId="77777777" w:rsidR="000E63B0" w:rsidRPr="00E211D2" w:rsidRDefault="000E63B0" w:rsidP="003F1735">
            <w:pPr>
              <w:pStyle w:val="COMTabletext"/>
              <w:keepNext w:val="0"/>
              <w:rPr>
                <w:b/>
                <w:bCs w:val="0"/>
              </w:rPr>
            </w:pPr>
            <w:r w:rsidRPr="00E211D2">
              <w:rPr>
                <w:b/>
                <w:bCs w:val="0"/>
              </w:rPr>
              <w:t>Non-cardiovascular death (base case: obtained from Australian life tables)</w:t>
            </w:r>
          </w:p>
        </w:tc>
      </w:tr>
      <w:tr w:rsidR="000E63B0" w:rsidRPr="00E211D2" w14:paraId="721107A2" w14:textId="77777777" w:rsidTr="00957134">
        <w:tc>
          <w:tcPr>
            <w:tcW w:w="2576" w:type="pct"/>
          </w:tcPr>
          <w:p w14:paraId="3881F86F" w14:textId="77777777" w:rsidR="000E63B0" w:rsidRPr="00E211D2" w:rsidRDefault="000E63B0" w:rsidP="003F1735">
            <w:pPr>
              <w:pStyle w:val="COMTabletext"/>
              <w:keepNext w:val="0"/>
            </w:pPr>
            <w:r w:rsidRPr="00E211D2">
              <w:t>Derived from REDUCE-IT trial</w:t>
            </w:r>
          </w:p>
        </w:tc>
        <w:tc>
          <w:tcPr>
            <w:tcW w:w="650" w:type="pct"/>
          </w:tcPr>
          <w:p w14:paraId="6D2484A7" w14:textId="01B47022" w:rsidR="000E63B0" w:rsidRPr="00E211D2" w:rsidRDefault="0036355B" w:rsidP="003F1735">
            <w:pPr>
              <w:pStyle w:val="COMTabletext"/>
              <w:keepNext w:val="0"/>
              <w:jc w:val="center"/>
            </w:pPr>
            <w:r>
              <w:rPr>
                <w:rFonts w:hint="eastAsia"/>
              </w:rPr>
              <w:t xml:space="preserve"> </w:t>
            </w:r>
            <w:r w:rsidRPr="0036355B">
              <w:rPr>
                <w:color w:val="000000"/>
                <w:spacing w:val="52"/>
                <w:shd w:val="solid" w:color="000000" w:fill="000000"/>
                <w:fitText w:val="520" w:id="-1032111872"/>
                <w14:textFill>
                  <w14:solidFill>
                    <w14:srgbClr w14:val="000000">
                      <w14:alpha w14:val="100000"/>
                    </w14:srgbClr>
                  </w14:solidFill>
                </w14:textFill>
              </w:rPr>
              <w:t>|||||</w:t>
            </w:r>
            <w:r w:rsidRPr="0036355B">
              <w:rPr>
                <w:color w:val="000000"/>
                <w:spacing w:val="5"/>
                <w:shd w:val="solid" w:color="000000" w:fill="000000"/>
                <w:fitText w:val="520" w:id="-1032111872"/>
                <w14:textFill>
                  <w14:solidFill>
                    <w14:srgbClr w14:val="000000">
                      <w14:alpha w14:val="100000"/>
                    </w14:srgbClr>
                  </w14:solidFill>
                </w14:textFill>
              </w:rPr>
              <w:t>|</w:t>
            </w:r>
          </w:p>
        </w:tc>
        <w:tc>
          <w:tcPr>
            <w:tcW w:w="650" w:type="pct"/>
          </w:tcPr>
          <w:p w14:paraId="2D01F2B4" w14:textId="77777777" w:rsidR="000E63B0" w:rsidRPr="00E211D2" w:rsidRDefault="000E63B0" w:rsidP="003F1735">
            <w:pPr>
              <w:pStyle w:val="COMTabletext"/>
              <w:keepNext w:val="0"/>
              <w:jc w:val="center"/>
            </w:pPr>
            <w:r w:rsidRPr="00E211D2">
              <w:t>0.366</w:t>
            </w:r>
          </w:p>
        </w:tc>
        <w:tc>
          <w:tcPr>
            <w:tcW w:w="685" w:type="pct"/>
          </w:tcPr>
          <w:p w14:paraId="3EC8BCEE" w14:textId="6453C060" w:rsidR="000E63B0" w:rsidRPr="00E211D2" w:rsidRDefault="0036355B" w:rsidP="003F1735">
            <w:pPr>
              <w:pStyle w:val="COMTabletext"/>
              <w:keepNext w:val="0"/>
              <w:jc w:val="center"/>
            </w:pPr>
            <w:r>
              <w:t xml:space="preserve"> </w:t>
            </w:r>
            <w:r w:rsidRPr="0036355B">
              <w:rPr>
                <w:color w:val="000000"/>
                <w:spacing w:val="56"/>
                <w:shd w:val="solid" w:color="000000" w:fill="000000"/>
                <w:fitText w:val="540" w:id="-1032111869"/>
                <w14:textFill>
                  <w14:solidFill>
                    <w14:srgbClr w14:val="000000">
                      <w14:alpha w14:val="100000"/>
                    </w14:srgbClr>
                  </w14:solidFill>
                </w14:textFill>
              </w:rPr>
              <w:t>|||||</w:t>
            </w:r>
            <w:r w:rsidRPr="0036355B">
              <w:rPr>
                <w:color w:val="000000"/>
                <w:spacing w:val="5"/>
                <w:shd w:val="solid" w:color="000000" w:fill="000000"/>
                <w:fitText w:val="540" w:id="-1032111869"/>
                <w14:textFill>
                  <w14:solidFill>
                    <w14:srgbClr w14:val="000000">
                      <w14:alpha w14:val="100000"/>
                    </w14:srgbClr>
                  </w14:solidFill>
                </w14:textFill>
              </w:rPr>
              <w:t>|</w:t>
            </w:r>
            <w:r w:rsidR="005936E3">
              <w:rPr>
                <w:sz w:val="18"/>
                <w:szCs w:val="18"/>
                <w:vertAlign w:val="superscript"/>
              </w:rPr>
              <w:t>2</w:t>
            </w:r>
          </w:p>
        </w:tc>
        <w:tc>
          <w:tcPr>
            <w:tcW w:w="439" w:type="pct"/>
          </w:tcPr>
          <w:p w14:paraId="3604D2A0" w14:textId="37895BC9" w:rsidR="000E63B0" w:rsidRPr="00E211D2" w:rsidRDefault="000E63B0" w:rsidP="003F1735">
            <w:pPr>
              <w:pStyle w:val="COMTabletext"/>
              <w:keepNext w:val="0"/>
              <w:jc w:val="center"/>
            </w:pPr>
            <w:r w:rsidRPr="00E211D2">
              <w:t>-</w:t>
            </w:r>
            <w:r w:rsidR="0036355B">
              <w:rPr>
                <w:rFonts w:hint="eastAsia"/>
              </w:rPr>
              <w:t xml:space="preserve"> </w:t>
            </w:r>
            <w:r w:rsidR="0036355B" w:rsidRPr="004671F3">
              <w:rPr>
                <w:color w:val="000000"/>
                <w:spacing w:val="214"/>
                <w:shd w:val="solid" w:color="000000" w:fill="000000"/>
                <w:fitText w:val="300" w:id="-1032111616"/>
                <w14:textFill>
                  <w14:solidFill>
                    <w14:srgbClr w14:val="000000">
                      <w14:alpha w14:val="100000"/>
                    </w14:srgbClr>
                  </w14:solidFill>
                </w14:textFill>
              </w:rPr>
              <w:t>|</w:t>
            </w:r>
            <w:r w:rsidR="0036355B" w:rsidRPr="004671F3">
              <w:rPr>
                <w:color w:val="000000"/>
                <w:shd w:val="solid" w:color="000000" w:fill="000000"/>
                <w:fitText w:val="300" w:id="-1032111616"/>
                <w14:textFill>
                  <w14:solidFill>
                    <w14:srgbClr w14:val="000000">
                      <w14:alpha w14:val="100000"/>
                    </w14:srgbClr>
                  </w14:solidFill>
                </w14:textFill>
              </w:rPr>
              <w:t>|</w:t>
            </w:r>
          </w:p>
        </w:tc>
      </w:tr>
      <w:tr w:rsidR="000E63B0" w:rsidRPr="00E211D2" w14:paraId="58B62B63" w14:textId="77777777" w:rsidTr="001D4554">
        <w:tc>
          <w:tcPr>
            <w:tcW w:w="5000" w:type="pct"/>
            <w:gridSpan w:val="5"/>
          </w:tcPr>
          <w:p w14:paraId="125EC4F2" w14:textId="77777777" w:rsidR="000E63B0" w:rsidRPr="00E211D2" w:rsidRDefault="000E63B0" w:rsidP="003F1735">
            <w:pPr>
              <w:pStyle w:val="COMTabletext"/>
              <w:keepNext w:val="0"/>
              <w:rPr>
                <w:b/>
                <w:bCs w:val="0"/>
              </w:rPr>
            </w:pPr>
            <w:r w:rsidRPr="00E211D2">
              <w:rPr>
                <w:b/>
                <w:bCs w:val="0"/>
              </w:rPr>
              <w:t>Baseline age (base case: 63 years)</w:t>
            </w:r>
          </w:p>
        </w:tc>
      </w:tr>
      <w:tr w:rsidR="000E63B0" w:rsidRPr="00E211D2" w14:paraId="13D28504" w14:textId="77777777" w:rsidTr="00957134">
        <w:tc>
          <w:tcPr>
            <w:tcW w:w="2576" w:type="pct"/>
          </w:tcPr>
          <w:p w14:paraId="5FAB6D00" w14:textId="77777777" w:rsidR="000E63B0" w:rsidRPr="00E211D2" w:rsidRDefault="000E63B0" w:rsidP="003F1735">
            <w:pPr>
              <w:pStyle w:val="COMTabletext"/>
              <w:keepNext w:val="0"/>
            </w:pPr>
            <w:r w:rsidRPr="00E211D2">
              <w:t>60 years</w:t>
            </w:r>
          </w:p>
        </w:tc>
        <w:tc>
          <w:tcPr>
            <w:tcW w:w="650" w:type="pct"/>
          </w:tcPr>
          <w:p w14:paraId="4E817264" w14:textId="3835C431" w:rsidR="000E63B0" w:rsidRPr="005441F2" w:rsidRDefault="0036355B" w:rsidP="003F1735">
            <w:pPr>
              <w:pStyle w:val="COMTabletext"/>
              <w:keepNext w:val="0"/>
              <w:jc w:val="center"/>
              <w:rPr>
                <w:highlight w:val="darkGray"/>
              </w:rPr>
            </w:pPr>
            <w:r w:rsidRPr="004671F3">
              <w:rPr>
                <w:color w:val="000000"/>
                <w:spacing w:val="52"/>
                <w:shd w:val="solid" w:color="000000" w:fill="000000"/>
                <w:fitText w:val="520" w:id="-1032111611"/>
                <w14:textFill>
                  <w14:solidFill>
                    <w14:srgbClr w14:val="000000">
                      <w14:alpha w14:val="100000"/>
                    </w14:srgbClr>
                  </w14:solidFill>
                </w14:textFill>
              </w:rPr>
              <w:t>|||||</w:t>
            </w:r>
            <w:r w:rsidRPr="004671F3">
              <w:rPr>
                <w:color w:val="000000"/>
                <w:spacing w:val="5"/>
                <w:shd w:val="solid" w:color="000000" w:fill="000000"/>
                <w:fitText w:val="520" w:id="-1032111611"/>
                <w14:textFill>
                  <w14:solidFill>
                    <w14:srgbClr w14:val="000000">
                      <w14:alpha w14:val="100000"/>
                    </w14:srgbClr>
                  </w14:solidFill>
                </w14:textFill>
              </w:rPr>
              <w:t>|</w:t>
            </w:r>
          </w:p>
        </w:tc>
        <w:tc>
          <w:tcPr>
            <w:tcW w:w="650" w:type="pct"/>
          </w:tcPr>
          <w:p w14:paraId="570E348D" w14:textId="77777777" w:rsidR="000E63B0" w:rsidRPr="00E211D2" w:rsidRDefault="000E63B0" w:rsidP="003F1735">
            <w:pPr>
              <w:pStyle w:val="COMTabletext"/>
              <w:keepNext w:val="0"/>
              <w:jc w:val="center"/>
            </w:pPr>
            <w:r w:rsidRPr="00E211D2">
              <w:t>0.273</w:t>
            </w:r>
          </w:p>
        </w:tc>
        <w:tc>
          <w:tcPr>
            <w:tcW w:w="685" w:type="pct"/>
          </w:tcPr>
          <w:p w14:paraId="5702F756" w14:textId="346F5D77" w:rsidR="000E63B0" w:rsidRPr="005441F2" w:rsidRDefault="0036355B" w:rsidP="003F1735">
            <w:pPr>
              <w:pStyle w:val="COMTabletext"/>
              <w:keepNext w:val="0"/>
              <w:jc w:val="center"/>
              <w:rPr>
                <w:highlight w:val="darkGray"/>
              </w:rPr>
            </w:pPr>
            <w:r>
              <w:t xml:space="preserve"> </w:t>
            </w:r>
            <w:r w:rsidRPr="0036355B">
              <w:rPr>
                <w:color w:val="000000"/>
                <w:spacing w:val="56"/>
                <w:shd w:val="solid" w:color="000000" w:fill="000000"/>
                <w:fitText w:val="540" w:id="-1032111608"/>
                <w14:textFill>
                  <w14:solidFill>
                    <w14:srgbClr w14:val="000000">
                      <w14:alpha w14:val="100000"/>
                    </w14:srgbClr>
                  </w14:solidFill>
                </w14:textFill>
              </w:rPr>
              <w:t>|||||</w:t>
            </w:r>
            <w:r w:rsidRPr="0036355B">
              <w:rPr>
                <w:color w:val="000000"/>
                <w:spacing w:val="5"/>
                <w:shd w:val="solid" w:color="000000" w:fill="000000"/>
                <w:fitText w:val="540" w:id="-1032111608"/>
                <w14:textFill>
                  <w14:solidFill>
                    <w14:srgbClr w14:val="000000">
                      <w14:alpha w14:val="100000"/>
                    </w14:srgbClr>
                  </w14:solidFill>
                </w14:textFill>
              </w:rPr>
              <w:t>|</w:t>
            </w:r>
            <w:r w:rsidR="005936E3">
              <w:rPr>
                <w:sz w:val="18"/>
                <w:szCs w:val="18"/>
                <w:vertAlign w:val="superscript"/>
              </w:rPr>
              <w:t>2</w:t>
            </w:r>
          </w:p>
        </w:tc>
        <w:tc>
          <w:tcPr>
            <w:tcW w:w="439" w:type="pct"/>
          </w:tcPr>
          <w:p w14:paraId="27D79096" w14:textId="2B9302B1" w:rsidR="000E63B0" w:rsidRPr="00E211D2" w:rsidRDefault="000E63B0" w:rsidP="003F1735">
            <w:pPr>
              <w:pStyle w:val="COMTabletext"/>
              <w:keepNext w:val="0"/>
              <w:jc w:val="center"/>
            </w:pPr>
            <w:r w:rsidRPr="00E211D2">
              <w:t>-</w:t>
            </w:r>
            <w:r w:rsidR="0036355B">
              <w:rPr>
                <w:rFonts w:hint="eastAsia"/>
              </w:rPr>
              <w:t xml:space="preserve"> </w:t>
            </w:r>
            <w:r w:rsidR="0036355B" w:rsidRPr="004671F3">
              <w:rPr>
                <w:color w:val="000000"/>
                <w:spacing w:val="214"/>
                <w:shd w:val="solid" w:color="000000" w:fill="000000"/>
                <w:fitText w:val="300" w:id="-1032111603"/>
                <w14:textFill>
                  <w14:solidFill>
                    <w14:srgbClr w14:val="000000">
                      <w14:alpha w14:val="100000"/>
                    </w14:srgbClr>
                  </w14:solidFill>
                </w14:textFill>
              </w:rPr>
              <w:t>|</w:t>
            </w:r>
            <w:r w:rsidR="0036355B" w:rsidRPr="004671F3">
              <w:rPr>
                <w:color w:val="000000"/>
                <w:shd w:val="solid" w:color="000000" w:fill="000000"/>
                <w:fitText w:val="300" w:id="-1032111603"/>
                <w14:textFill>
                  <w14:solidFill>
                    <w14:srgbClr w14:val="000000">
                      <w14:alpha w14:val="100000"/>
                    </w14:srgbClr>
                  </w14:solidFill>
                </w14:textFill>
              </w:rPr>
              <w:t>|</w:t>
            </w:r>
          </w:p>
        </w:tc>
      </w:tr>
      <w:tr w:rsidR="000E63B0" w:rsidRPr="00E211D2" w14:paraId="653163FB" w14:textId="77777777" w:rsidTr="00957134">
        <w:tc>
          <w:tcPr>
            <w:tcW w:w="2576" w:type="pct"/>
          </w:tcPr>
          <w:p w14:paraId="0E45989D" w14:textId="77777777" w:rsidR="000E63B0" w:rsidRPr="00E211D2" w:rsidRDefault="000E63B0" w:rsidP="003F1735">
            <w:pPr>
              <w:pStyle w:val="COMTabletext"/>
              <w:keepNext w:val="0"/>
            </w:pPr>
            <w:r w:rsidRPr="00E211D2">
              <w:t>66 years</w:t>
            </w:r>
          </w:p>
        </w:tc>
        <w:tc>
          <w:tcPr>
            <w:tcW w:w="650" w:type="pct"/>
          </w:tcPr>
          <w:p w14:paraId="1EFC6E51" w14:textId="33605756" w:rsidR="000E63B0" w:rsidRPr="005441F2" w:rsidRDefault="0036355B" w:rsidP="003F1735">
            <w:pPr>
              <w:pStyle w:val="COMTabletext"/>
              <w:keepNext w:val="0"/>
              <w:jc w:val="center"/>
              <w:rPr>
                <w:highlight w:val="darkGray"/>
              </w:rPr>
            </w:pPr>
            <w:r>
              <w:rPr>
                <w:rFonts w:hint="eastAsia"/>
              </w:rPr>
              <w:t xml:space="preserve"> </w:t>
            </w:r>
            <w:r w:rsidRPr="0036355B">
              <w:rPr>
                <w:color w:val="000000"/>
                <w:spacing w:val="52"/>
                <w:shd w:val="solid" w:color="000000" w:fill="000000"/>
                <w:fitText w:val="520" w:id="-1032111615"/>
                <w14:textFill>
                  <w14:solidFill>
                    <w14:srgbClr w14:val="000000">
                      <w14:alpha w14:val="100000"/>
                    </w14:srgbClr>
                  </w14:solidFill>
                </w14:textFill>
              </w:rPr>
              <w:t>|||||</w:t>
            </w:r>
            <w:r w:rsidRPr="0036355B">
              <w:rPr>
                <w:color w:val="000000"/>
                <w:spacing w:val="5"/>
                <w:shd w:val="solid" w:color="000000" w:fill="000000"/>
                <w:fitText w:val="520" w:id="-1032111615"/>
                <w14:textFill>
                  <w14:solidFill>
                    <w14:srgbClr w14:val="000000">
                      <w14:alpha w14:val="100000"/>
                    </w14:srgbClr>
                  </w14:solidFill>
                </w14:textFill>
              </w:rPr>
              <w:t>|</w:t>
            </w:r>
          </w:p>
        </w:tc>
        <w:tc>
          <w:tcPr>
            <w:tcW w:w="650" w:type="pct"/>
          </w:tcPr>
          <w:p w14:paraId="5520E481" w14:textId="77777777" w:rsidR="000E63B0" w:rsidRPr="00E211D2" w:rsidRDefault="000E63B0" w:rsidP="003F1735">
            <w:pPr>
              <w:pStyle w:val="COMTabletext"/>
              <w:keepNext w:val="0"/>
              <w:jc w:val="center"/>
            </w:pPr>
            <w:r w:rsidRPr="00E211D2">
              <w:t>0.2501</w:t>
            </w:r>
          </w:p>
        </w:tc>
        <w:tc>
          <w:tcPr>
            <w:tcW w:w="685" w:type="pct"/>
          </w:tcPr>
          <w:p w14:paraId="69EB02DA" w14:textId="7FCD0BF1" w:rsidR="000E63B0" w:rsidRPr="005441F2" w:rsidRDefault="0036355B" w:rsidP="003F1735">
            <w:pPr>
              <w:pStyle w:val="COMTabletext"/>
              <w:keepNext w:val="0"/>
              <w:jc w:val="center"/>
              <w:rPr>
                <w:highlight w:val="darkGray"/>
              </w:rPr>
            </w:pPr>
            <w:r>
              <w:t xml:space="preserve"> </w:t>
            </w:r>
            <w:r w:rsidRPr="0036355B">
              <w:rPr>
                <w:color w:val="000000"/>
                <w:spacing w:val="56"/>
                <w:shd w:val="solid" w:color="000000" w:fill="000000"/>
                <w:fitText w:val="540" w:id="-1032111612"/>
                <w14:textFill>
                  <w14:solidFill>
                    <w14:srgbClr w14:val="000000">
                      <w14:alpha w14:val="100000"/>
                    </w14:srgbClr>
                  </w14:solidFill>
                </w14:textFill>
              </w:rPr>
              <w:t>|||||</w:t>
            </w:r>
            <w:r w:rsidRPr="0036355B">
              <w:rPr>
                <w:color w:val="000000"/>
                <w:spacing w:val="5"/>
                <w:shd w:val="solid" w:color="000000" w:fill="000000"/>
                <w:fitText w:val="540" w:id="-1032111612"/>
                <w14:textFill>
                  <w14:solidFill>
                    <w14:srgbClr w14:val="000000">
                      <w14:alpha w14:val="100000"/>
                    </w14:srgbClr>
                  </w14:solidFill>
                </w14:textFill>
              </w:rPr>
              <w:t>|</w:t>
            </w:r>
            <w:r w:rsidR="005936E3">
              <w:rPr>
                <w:sz w:val="18"/>
                <w:szCs w:val="18"/>
                <w:vertAlign w:val="superscript"/>
              </w:rPr>
              <w:t>1</w:t>
            </w:r>
          </w:p>
        </w:tc>
        <w:tc>
          <w:tcPr>
            <w:tcW w:w="439" w:type="pct"/>
          </w:tcPr>
          <w:p w14:paraId="77D944CD" w14:textId="41DAFD84" w:rsidR="000E63B0" w:rsidRPr="005441F2" w:rsidRDefault="0036355B" w:rsidP="003F1735">
            <w:pPr>
              <w:pStyle w:val="COMTabletext"/>
              <w:keepNext w:val="0"/>
              <w:jc w:val="center"/>
              <w:rPr>
                <w:highlight w:val="darkGray"/>
              </w:rPr>
            </w:pPr>
            <w:r w:rsidRPr="004671F3">
              <w:rPr>
                <w:color w:val="000000"/>
                <w:spacing w:val="174"/>
                <w:shd w:val="solid" w:color="000000" w:fill="000000"/>
                <w:fitText w:val="260" w:id="-1032111608"/>
                <w14:textFill>
                  <w14:solidFill>
                    <w14:srgbClr w14:val="000000">
                      <w14:alpha w14:val="100000"/>
                    </w14:srgbClr>
                  </w14:solidFill>
                </w14:textFill>
              </w:rPr>
              <w:t>|</w:t>
            </w:r>
            <w:r w:rsidRPr="004671F3">
              <w:rPr>
                <w:color w:val="000000"/>
                <w:shd w:val="solid" w:color="000000" w:fill="000000"/>
                <w:fitText w:val="260" w:id="-1032111608"/>
                <w14:textFill>
                  <w14:solidFill>
                    <w14:srgbClr w14:val="000000">
                      <w14:alpha w14:val="100000"/>
                    </w14:srgbClr>
                  </w14:solidFill>
                </w14:textFill>
              </w:rPr>
              <w:t>|</w:t>
            </w:r>
          </w:p>
        </w:tc>
      </w:tr>
      <w:tr w:rsidR="000E63B0" w:rsidRPr="00E211D2" w14:paraId="0AD36622" w14:textId="77777777" w:rsidTr="00957134">
        <w:tc>
          <w:tcPr>
            <w:tcW w:w="2576" w:type="pct"/>
          </w:tcPr>
          <w:p w14:paraId="32D58999" w14:textId="77777777" w:rsidR="000E63B0" w:rsidRPr="00E211D2" w:rsidRDefault="000E63B0" w:rsidP="003F1735">
            <w:pPr>
              <w:pStyle w:val="COMTabletext"/>
              <w:keepNext w:val="0"/>
            </w:pPr>
            <w:r w:rsidRPr="00E211D2">
              <w:t>69 years</w:t>
            </w:r>
          </w:p>
        </w:tc>
        <w:tc>
          <w:tcPr>
            <w:tcW w:w="650" w:type="pct"/>
          </w:tcPr>
          <w:p w14:paraId="450C7E42" w14:textId="2368578A" w:rsidR="000E63B0" w:rsidRPr="005441F2" w:rsidRDefault="0036355B" w:rsidP="003F1735">
            <w:pPr>
              <w:pStyle w:val="COMTabletext"/>
              <w:keepNext w:val="0"/>
              <w:jc w:val="center"/>
              <w:rPr>
                <w:highlight w:val="darkGray"/>
              </w:rPr>
            </w:pPr>
            <w:r>
              <w:rPr>
                <w:rFonts w:hint="eastAsia"/>
              </w:rPr>
              <w:t xml:space="preserve"> </w:t>
            </w:r>
            <w:r w:rsidRPr="0036355B">
              <w:rPr>
                <w:color w:val="000000"/>
                <w:spacing w:val="52"/>
                <w:shd w:val="solid" w:color="000000" w:fill="000000"/>
                <w:fitText w:val="520" w:id="-1032111603"/>
                <w14:textFill>
                  <w14:solidFill>
                    <w14:srgbClr w14:val="000000">
                      <w14:alpha w14:val="100000"/>
                    </w14:srgbClr>
                  </w14:solidFill>
                </w14:textFill>
              </w:rPr>
              <w:t>|||||</w:t>
            </w:r>
            <w:r w:rsidRPr="0036355B">
              <w:rPr>
                <w:color w:val="000000"/>
                <w:spacing w:val="5"/>
                <w:shd w:val="solid" w:color="000000" w:fill="000000"/>
                <w:fitText w:val="520" w:id="-1032111603"/>
                <w14:textFill>
                  <w14:solidFill>
                    <w14:srgbClr w14:val="000000">
                      <w14:alpha w14:val="100000"/>
                    </w14:srgbClr>
                  </w14:solidFill>
                </w14:textFill>
              </w:rPr>
              <w:t>|</w:t>
            </w:r>
          </w:p>
        </w:tc>
        <w:tc>
          <w:tcPr>
            <w:tcW w:w="650" w:type="pct"/>
          </w:tcPr>
          <w:p w14:paraId="0B54955A" w14:textId="77777777" w:rsidR="000E63B0" w:rsidRPr="00E211D2" w:rsidRDefault="000E63B0" w:rsidP="003F1735">
            <w:pPr>
              <w:pStyle w:val="COMTabletext"/>
              <w:keepNext w:val="0"/>
              <w:jc w:val="center"/>
            </w:pPr>
            <w:r w:rsidRPr="00E211D2">
              <w:t>0.2393</w:t>
            </w:r>
          </w:p>
        </w:tc>
        <w:tc>
          <w:tcPr>
            <w:tcW w:w="685" w:type="pct"/>
          </w:tcPr>
          <w:p w14:paraId="46F25C56" w14:textId="582DC3D8" w:rsidR="000E63B0" w:rsidRPr="005441F2" w:rsidRDefault="0036355B" w:rsidP="003F1735">
            <w:pPr>
              <w:pStyle w:val="COMTabletext"/>
              <w:keepNext w:val="0"/>
              <w:jc w:val="center"/>
              <w:rPr>
                <w:highlight w:val="darkGray"/>
              </w:rPr>
            </w:pPr>
            <w:r>
              <w:t xml:space="preserve"> </w:t>
            </w:r>
            <w:r w:rsidRPr="0036355B">
              <w:rPr>
                <w:color w:val="000000"/>
                <w:spacing w:val="56"/>
                <w:shd w:val="solid" w:color="000000" w:fill="000000"/>
                <w:fitText w:val="540" w:id="-1032111600"/>
                <w14:textFill>
                  <w14:solidFill>
                    <w14:srgbClr w14:val="000000">
                      <w14:alpha w14:val="100000"/>
                    </w14:srgbClr>
                  </w14:solidFill>
                </w14:textFill>
              </w:rPr>
              <w:t>|||||</w:t>
            </w:r>
            <w:r w:rsidRPr="0036355B">
              <w:rPr>
                <w:color w:val="000000"/>
                <w:spacing w:val="5"/>
                <w:shd w:val="solid" w:color="000000" w:fill="000000"/>
                <w:fitText w:val="540" w:id="-1032111600"/>
                <w14:textFill>
                  <w14:solidFill>
                    <w14:srgbClr w14:val="000000">
                      <w14:alpha w14:val="100000"/>
                    </w14:srgbClr>
                  </w14:solidFill>
                </w14:textFill>
              </w:rPr>
              <w:t>|</w:t>
            </w:r>
            <w:r w:rsidR="005936E3">
              <w:rPr>
                <w:sz w:val="18"/>
                <w:szCs w:val="18"/>
                <w:vertAlign w:val="superscript"/>
              </w:rPr>
              <w:t>1</w:t>
            </w:r>
          </w:p>
        </w:tc>
        <w:tc>
          <w:tcPr>
            <w:tcW w:w="439" w:type="pct"/>
          </w:tcPr>
          <w:p w14:paraId="5ACD2363" w14:textId="093C9A28" w:rsidR="000E63B0" w:rsidRPr="005441F2" w:rsidRDefault="0036355B" w:rsidP="003F1735">
            <w:pPr>
              <w:pStyle w:val="COMTabletext"/>
              <w:keepNext w:val="0"/>
              <w:jc w:val="center"/>
              <w:rPr>
                <w:highlight w:val="darkGray"/>
              </w:rPr>
            </w:pPr>
            <w:r w:rsidRPr="004671F3">
              <w:rPr>
                <w:color w:val="000000"/>
                <w:spacing w:val="174"/>
                <w:shd w:val="solid" w:color="000000" w:fill="000000"/>
                <w:fitText w:val="260" w:id="-1032111613"/>
                <w14:textFill>
                  <w14:solidFill>
                    <w14:srgbClr w14:val="000000">
                      <w14:alpha w14:val="100000"/>
                    </w14:srgbClr>
                  </w14:solidFill>
                </w14:textFill>
              </w:rPr>
              <w:t>|</w:t>
            </w:r>
            <w:r w:rsidRPr="004671F3">
              <w:rPr>
                <w:color w:val="000000"/>
                <w:shd w:val="solid" w:color="000000" w:fill="000000"/>
                <w:fitText w:val="260" w:id="-1032111613"/>
                <w14:textFill>
                  <w14:solidFill>
                    <w14:srgbClr w14:val="000000">
                      <w14:alpha w14:val="100000"/>
                    </w14:srgbClr>
                  </w14:solidFill>
                </w14:textFill>
              </w:rPr>
              <w:t>|</w:t>
            </w:r>
          </w:p>
        </w:tc>
      </w:tr>
      <w:tr w:rsidR="000E63B0" w:rsidRPr="00E211D2" w14:paraId="41EEA19A" w14:textId="77777777" w:rsidTr="001D4554">
        <w:tc>
          <w:tcPr>
            <w:tcW w:w="5000" w:type="pct"/>
            <w:gridSpan w:val="5"/>
            <w:vAlign w:val="center"/>
          </w:tcPr>
          <w:p w14:paraId="6B01DFAB" w14:textId="01E09A6A" w:rsidR="000E63B0" w:rsidRPr="00E211D2" w:rsidRDefault="000E63B0" w:rsidP="003F1735">
            <w:pPr>
              <w:pStyle w:val="COMTabletext"/>
              <w:keepNext w:val="0"/>
              <w:rPr>
                <w:b/>
                <w:bCs w:val="0"/>
              </w:rPr>
            </w:pPr>
            <w:r w:rsidRPr="00E211D2">
              <w:rPr>
                <w:b/>
                <w:bCs w:val="0"/>
              </w:rPr>
              <w:t>Health state utility values (base case: event free: 0.85; post MI: 0.73; post stroke: 0.61; post MI and stroke: 0.61)</w:t>
            </w:r>
          </w:p>
        </w:tc>
      </w:tr>
      <w:tr w:rsidR="000E63B0" w:rsidRPr="00E211D2" w14:paraId="76AEC833" w14:textId="77777777" w:rsidTr="00957134">
        <w:tc>
          <w:tcPr>
            <w:tcW w:w="2576" w:type="pct"/>
          </w:tcPr>
          <w:p w14:paraId="7ABA5BCC" w14:textId="77777777" w:rsidR="000E63B0" w:rsidRPr="00E211D2" w:rsidRDefault="000E63B0" w:rsidP="003F1735">
            <w:pPr>
              <w:pStyle w:val="COMTabletext"/>
              <w:keepNext w:val="0"/>
            </w:pPr>
            <w:r w:rsidRPr="00E211D2">
              <w:t xml:space="preserve">ICER model </w:t>
            </w:r>
            <w:r w:rsidRPr="00E211D2">
              <w:rPr>
                <w:vertAlign w:val="superscript"/>
              </w:rPr>
              <w:t>a</w:t>
            </w:r>
            <w:r w:rsidRPr="00E211D2">
              <w:t xml:space="preserve"> - event free: 0.854; post MI: 0.704; post stroke: 0.650; post MI and stroke: 0.650 (assumption).</w:t>
            </w:r>
          </w:p>
        </w:tc>
        <w:tc>
          <w:tcPr>
            <w:tcW w:w="650" w:type="pct"/>
            <w:vAlign w:val="center"/>
          </w:tcPr>
          <w:p w14:paraId="5A608C8E" w14:textId="048617B2" w:rsidR="000E63B0" w:rsidRPr="005441F2" w:rsidRDefault="0036355B" w:rsidP="003F1735">
            <w:pPr>
              <w:pStyle w:val="COMTabletext"/>
              <w:keepNext w:val="0"/>
              <w:jc w:val="center"/>
              <w:rPr>
                <w:highlight w:val="darkGray"/>
              </w:rPr>
            </w:pPr>
            <w:r w:rsidRPr="004671F3">
              <w:rPr>
                <w:color w:val="000000"/>
                <w:spacing w:val="52"/>
                <w:shd w:val="solid" w:color="000000" w:fill="000000"/>
                <w:fitText w:val="520" w:id="-1032111608"/>
                <w14:textFill>
                  <w14:solidFill>
                    <w14:srgbClr w14:val="000000">
                      <w14:alpha w14:val="100000"/>
                    </w14:srgbClr>
                  </w14:solidFill>
                </w14:textFill>
              </w:rPr>
              <w:t>|||||</w:t>
            </w:r>
            <w:r w:rsidRPr="004671F3">
              <w:rPr>
                <w:color w:val="000000"/>
                <w:spacing w:val="5"/>
                <w:shd w:val="solid" w:color="000000" w:fill="000000"/>
                <w:fitText w:val="520" w:id="-1032111608"/>
                <w14:textFill>
                  <w14:solidFill>
                    <w14:srgbClr w14:val="000000">
                      <w14:alpha w14:val="100000"/>
                    </w14:srgbClr>
                  </w14:solidFill>
                </w14:textFill>
              </w:rPr>
              <w:t>|</w:t>
            </w:r>
          </w:p>
        </w:tc>
        <w:tc>
          <w:tcPr>
            <w:tcW w:w="650" w:type="pct"/>
            <w:vAlign w:val="center"/>
          </w:tcPr>
          <w:p w14:paraId="44FD0FB5" w14:textId="77777777" w:rsidR="000E63B0" w:rsidRPr="00E211D2" w:rsidRDefault="000E63B0" w:rsidP="003F1735">
            <w:pPr>
              <w:pStyle w:val="COMTabletext"/>
              <w:keepNext w:val="0"/>
              <w:jc w:val="center"/>
            </w:pPr>
            <w:r w:rsidRPr="00E211D2">
              <w:t>0.2655</w:t>
            </w:r>
          </w:p>
        </w:tc>
        <w:tc>
          <w:tcPr>
            <w:tcW w:w="685" w:type="pct"/>
            <w:vAlign w:val="center"/>
          </w:tcPr>
          <w:p w14:paraId="3B5070B7" w14:textId="0A90D4A1" w:rsidR="000E63B0" w:rsidRPr="005441F2" w:rsidRDefault="0036355B" w:rsidP="003F1735">
            <w:pPr>
              <w:pStyle w:val="COMTabletext"/>
              <w:keepNext w:val="0"/>
              <w:jc w:val="center"/>
              <w:rPr>
                <w:highlight w:val="darkGray"/>
              </w:rPr>
            </w:pPr>
            <w:r>
              <w:t xml:space="preserve"> </w:t>
            </w:r>
            <w:r w:rsidRPr="0036355B">
              <w:rPr>
                <w:color w:val="000000"/>
                <w:spacing w:val="56"/>
                <w:shd w:val="solid" w:color="000000" w:fill="000000"/>
                <w:fitText w:val="540" w:id="-1032111605"/>
                <w14:textFill>
                  <w14:solidFill>
                    <w14:srgbClr w14:val="000000">
                      <w14:alpha w14:val="100000"/>
                    </w14:srgbClr>
                  </w14:solidFill>
                </w14:textFill>
              </w:rPr>
              <w:t>|||||</w:t>
            </w:r>
            <w:r w:rsidRPr="0036355B">
              <w:rPr>
                <w:color w:val="000000"/>
                <w:spacing w:val="5"/>
                <w:shd w:val="solid" w:color="000000" w:fill="000000"/>
                <w:fitText w:val="540" w:id="-1032111605"/>
                <w14:textFill>
                  <w14:solidFill>
                    <w14:srgbClr w14:val="000000">
                      <w14:alpha w14:val="100000"/>
                    </w14:srgbClr>
                  </w14:solidFill>
                </w14:textFill>
              </w:rPr>
              <w:t>|</w:t>
            </w:r>
            <w:r w:rsidR="005936E3">
              <w:rPr>
                <w:sz w:val="18"/>
                <w:szCs w:val="18"/>
                <w:vertAlign w:val="superscript"/>
              </w:rPr>
              <w:t>2</w:t>
            </w:r>
          </w:p>
        </w:tc>
        <w:tc>
          <w:tcPr>
            <w:tcW w:w="439" w:type="pct"/>
            <w:vAlign w:val="center"/>
          </w:tcPr>
          <w:p w14:paraId="1800EDC8" w14:textId="74F2A4E7" w:rsidR="000E63B0" w:rsidRPr="00E211D2" w:rsidRDefault="000E63B0" w:rsidP="003F1735">
            <w:pPr>
              <w:pStyle w:val="COMTabletext"/>
              <w:keepNext w:val="0"/>
              <w:jc w:val="center"/>
            </w:pPr>
            <w:r w:rsidRPr="00E211D2">
              <w:t>-</w:t>
            </w:r>
            <w:r w:rsidR="0036355B">
              <w:rPr>
                <w:rFonts w:hint="eastAsia"/>
              </w:rPr>
              <w:t xml:space="preserve"> </w:t>
            </w:r>
            <w:r w:rsidR="0036355B" w:rsidRPr="004671F3">
              <w:rPr>
                <w:color w:val="000000"/>
                <w:spacing w:val="214"/>
                <w:shd w:val="solid" w:color="000000" w:fill="000000"/>
                <w:fitText w:val="300" w:id="-1032111600"/>
                <w14:textFill>
                  <w14:solidFill>
                    <w14:srgbClr w14:val="000000">
                      <w14:alpha w14:val="100000"/>
                    </w14:srgbClr>
                  </w14:solidFill>
                </w14:textFill>
              </w:rPr>
              <w:t>|</w:t>
            </w:r>
            <w:r w:rsidR="0036355B" w:rsidRPr="004671F3">
              <w:rPr>
                <w:color w:val="000000"/>
                <w:shd w:val="solid" w:color="000000" w:fill="000000"/>
                <w:fitText w:val="300" w:id="-1032111600"/>
                <w14:textFill>
                  <w14:solidFill>
                    <w14:srgbClr w14:val="000000">
                      <w14:alpha w14:val="100000"/>
                    </w14:srgbClr>
                  </w14:solidFill>
                </w14:textFill>
              </w:rPr>
              <w:t>|</w:t>
            </w:r>
          </w:p>
        </w:tc>
      </w:tr>
      <w:tr w:rsidR="000E63B0" w:rsidRPr="00E211D2" w14:paraId="5F3A5A0C" w14:textId="77777777" w:rsidTr="00957134">
        <w:tc>
          <w:tcPr>
            <w:tcW w:w="2576" w:type="pct"/>
          </w:tcPr>
          <w:p w14:paraId="2A4355B9" w14:textId="70616E06" w:rsidR="000E63B0" w:rsidRPr="00E211D2" w:rsidRDefault="000E63B0" w:rsidP="003F1735">
            <w:pPr>
              <w:pStyle w:val="COMTabletext"/>
              <w:keepNext w:val="0"/>
            </w:pPr>
            <w:r w:rsidRPr="00E211D2">
              <w:t xml:space="preserve">NICE model </w:t>
            </w:r>
            <w:r w:rsidRPr="00E211D2">
              <w:rPr>
                <w:vertAlign w:val="superscript"/>
              </w:rPr>
              <w:t>b</w:t>
            </w:r>
            <w:r w:rsidR="00317A2C" w:rsidRPr="00E211D2">
              <w:rPr>
                <w:vertAlign w:val="superscript"/>
              </w:rPr>
              <w:t xml:space="preserve"> </w:t>
            </w:r>
            <w:r w:rsidR="00317A2C" w:rsidRPr="00E211D2">
              <w:t>-</w:t>
            </w:r>
            <w:r w:rsidRPr="00E211D2">
              <w:t xml:space="preserve"> event free: 0.765; post MI: 0.669; post stroke:0.478; post-MI and stroke: 0.478 (assumption).</w:t>
            </w:r>
          </w:p>
        </w:tc>
        <w:tc>
          <w:tcPr>
            <w:tcW w:w="650" w:type="pct"/>
            <w:vAlign w:val="center"/>
          </w:tcPr>
          <w:p w14:paraId="743C6429" w14:textId="392F0624" w:rsidR="000E63B0" w:rsidRPr="005441F2" w:rsidRDefault="0036355B" w:rsidP="003F1735">
            <w:pPr>
              <w:pStyle w:val="COMTabletext"/>
              <w:keepNext w:val="0"/>
              <w:jc w:val="center"/>
              <w:rPr>
                <w:highlight w:val="darkGray"/>
              </w:rPr>
            </w:pPr>
            <w:r w:rsidRPr="004671F3">
              <w:rPr>
                <w:color w:val="000000"/>
                <w:spacing w:val="52"/>
                <w:shd w:val="solid" w:color="000000" w:fill="000000"/>
                <w:fitText w:val="520" w:id="-1032111612"/>
                <w14:textFill>
                  <w14:solidFill>
                    <w14:srgbClr w14:val="000000">
                      <w14:alpha w14:val="100000"/>
                    </w14:srgbClr>
                  </w14:solidFill>
                </w14:textFill>
              </w:rPr>
              <w:t>|||||</w:t>
            </w:r>
            <w:r w:rsidRPr="004671F3">
              <w:rPr>
                <w:color w:val="000000"/>
                <w:spacing w:val="5"/>
                <w:shd w:val="solid" w:color="000000" w:fill="000000"/>
                <w:fitText w:val="520" w:id="-1032111612"/>
                <w14:textFill>
                  <w14:solidFill>
                    <w14:srgbClr w14:val="000000">
                      <w14:alpha w14:val="100000"/>
                    </w14:srgbClr>
                  </w14:solidFill>
                </w14:textFill>
              </w:rPr>
              <w:t>|</w:t>
            </w:r>
          </w:p>
        </w:tc>
        <w:tc>
          <w:tcPr>
            <w:tcW w:w="650" w:type="pct"/>
            <w:vAlign w:val="center"/>
          </w:tcPr>
          <w:p w14:paraId="4BDB5D73" w14:textId="77777777" w:rsidR="000E63B0" w:rsidRPr="00E211D2" w:rsidRDefault="000E63B0" w:rsidP="003F1735">
            <w:pPr>
              <w:pStyle w:val="COMTabletext"/>
              <w:keepNext w:val="0"/>
              <w:jc w:val="center"/>
            </w:pPr>
            <w:r w:rsidRPr="00E211D2">
              <w:t>0.2352</w:t>
            </w:r>
          </w:p>
        </w:tc>
        <w:tc>
          <w:tcPr>
            <w:tcW w:w="685" w:type="pct"/>
            <w:vAlign w:val="center"/>
          </w:tcPr>
          <w:p w14:paraId="399CD5A0" w14:textId="187DA054" w:rsidR="000E63B0" w:rsidRPr="005441F2" w:rsidRDefault="0036355B" w:rsidP="003F1735">
            <w:pPr>
              <w:pStyle w:val="COMTabletext"/>
              <w:keepNext w:val="0"/>
              <w:jc w:val="center"/>
              <w:rPr>
                <w:highlight w:val="darkGray"/>
              </w:rPr>
            </w:pPr>
            <w:r>
              <w:t xml:space="preserve"> </w:t>
            </w:r>
            <w:r w:rsidRPr="0036355B">
              <w:rPr>
                <w:color w:val="000000"/>
                <w:spacing w:val="56"/>
                <w:shd w:val="solid" w:color="000000" w:fill="000000"/>
                <w:fitText w:val="540" w:id="-1032111609"/>
                <w14:textFill>
                  <w14:solidFill>
                    <w14:srgbClr w14:val="000000">
                      <w14:alpha w14:val="100000"/>
                    </w14:srgbClr>
                  </w14:solidFill>
                </w14:textFill>
              </w:rPr>
              <w:t>|||||</w:t>
            </w:r>
            <w:r w:rsidRPr="0036355B">
              <w:rPr>
                <w:color w:val="000000"/>
                <w:spacing w:val="5"/>
                <w:shd w:val="solid" w:color="000000" w:fill="000000"/>
                <w:fitText w:val="540" w:id="-1032111609"/>
                <w14:textFill>
                  <w14:solidFill>
                    <w14:srgbClr w14:val="000000">
                      <w14:alpha w14:val="100000"/>
                    </w14:srgbClr>
                  </w14:solidFill>
                </w14:textFill>
              </w:rPr>
              <w:t>|</w:t>
            </w:r>
            <w:r w:rsidR="005936E3">
              <w:rPr>
                <w:sz w:val="18"/>
                <w:szCs w:val="18"/>
                <w:vertAlign w:val="superscript"/>
              </w:rPr>
              <w:t>1</w:t>
            </w:r>
          </w:p>
        </w:tc>
        <w:tc>
          <w:tcPr>
            <w:tcW w:w="439" w:type="pct"/>
            <w:vAlign w:val="center"/>
          </w:tcPr>
          <w:p w14:paraId="50BC3497" w14:textId="5E37C348" w:rsidR="000E63B0" w:rsidRPr="00E211D2" w:rsidRDefault="0036355B" w:rsidP="003F1735">
            <w:pPr>
              <w:pStyle w:val="COMTabletext"/>
              <w:keepNext w:val="0"/>
              <w:jc w:val="center"/>
            </w:pPr>
            <w:r w:rsidRPr="004671F3">
              <w:rPr>
                <w:color w:val="000000"/>
                <w:spacing w:val="174"/>
                <w:shd w:val="solid" w:color="000000" w:fill="000000"/>
                <w:fitText w:val="260" w:id="-1032111605"/>
                <w14:textFill>
                  <w14:solidFill>
                    <w14:srgbClr w14:val="000000">
                      <w14:alpha w14:val="100000"/>
                    </w14:srgbClr>
                  </w14:solidFill>
                </w14:textFill>
              </w:rPr>
              <w:t>|</w:t>
            </w:r>
            <w:r w:rsidRPr="004671F3">
              <w:rPr>
                <w:color w:val="000000"/>
                <w:shd w:val="solid" w:color="000000" w:fill="000000"/>
                <w:fitText w:val="260" w:id="-1032111605"/>
                <w14:textFill>
                  <w14:solidFill>
                    <w14:srgbClr w14:val="000000">
                      <w14:alpha w14:val="100000"/>
                    </w14:srgbClr>
                  </w14:solidFill>
                </w14:textFill>
              </w:rPr>
              <w:t>|</w:t>
            </w:r>
          </w:p>
        </w:tc>
      </w:tr>
      <w:tr w:rsidR="000E63B0" w:rsidRPr="00E211D2" w14:paraId="104B767C" w14:textId="77777777" w:rsidTr="001D4554">
        <w:tc>
          <w:tcPr>
            <w:tcW w:w="5000" w:type="pct"/>
            <w:gridSpan w:val="5"/>
            <w:vAlign w:val="center"/>
          </w:tcPr>
          <w:p w14:paraId="44692208" w14:textId="209089EF" w:rsidR="000E63B0" w:rsidRPr="00E211D2" w:rsidRDefault="000E63B0" w:rsidP="003F1735">
            <w:pPr>
              <w:pStyle w:val="COMTabletext"/>
              <w:keepNext w:val="0"/>
              <w:rPr>
                <w:b/>
                <w:bCs w:val="0"/>
              </w:rPr>
            </w:pPr>
            <w:r w:rsidRPr="00E211D2">
              <w:rPr>
                <w:b/>
                <w:bCs w:val="0"/>
              </w:rPr>
              <w:t>Health state costs (base case: derived from Gao et al., 2019; $0 cost included for event free health state)</w:t>
            </w:r>
          </w:p>
        </w:tc>
      </w:tr>
      <w:tr w:rsidR="000E63B0" w:rsidRPr="00E211D2" w14:paraId="0BD53B69" w14:textId="77777777" w:rsidTr="00957134">
        <w:tc>
          <w:tcPr>
            <w:tcW w:w="2576" w:type="pct"/>
          </w:tcPr>
          <w:p w14:paraId="3C7BF21E" w14:textId="77777777" w:rsidR="000E63B0" w:rsidRPr="00E211D2" w:rsidRDefault="000E63B0" w:rsidP="003F1735">
            <w:pPr>
              <w:pStyle w:val="COMTabletext"/>
              <w:keepNext w:val="0"/>
            </w:pPr>
            <w:r w:rsidRPr="00E211D2">
              <w:t>Event free health state cost $2,000</w:t>
            </w:r>
          </w:p>
        </w:tc>
        <w:tc>
          <w:tcPr>
            <w:tcW w:w="650" w:type="pct"/>
          </w:tcPr>
          <w:p w14:paraId="7A043AB8" w14:textId="17BFEE8B" w:rsidR="000E63B0" w:rsidRPr="005441F2" w:rsidRDefault="0036355B" w:rsidP="003F1735">
            <w:pPr>
              <w:pStyle w:val="COMTabletext"/>
              <w:keepNext w:val="0"/>
              <w:jc w:val="center"/>
              <w:rPr>
                <w:highlight w:val="darkGray"/>
              </w:rPr>
            </w:pPr>
            <w:r w:rsidRPr="004671F3">
              <w:rPr>
                <w:color w:val="000000"/>
                <w:spacing w:val="52"/>
                <w:shd w:val="solid" w:color="000000" w:fill="000000"/>
                <w:fitText w:val="520" w:id="-1032111600"/>
                <w14:textFill>
                  <w14:solidFill>
                    <w14:srgbClr w14:val="000000">
                      <w14:alpha w14:val="100000"/>
                    </w14:srgbClr>
                  </w14:solidFill>
                </w14:textFill>
              </w:rPr>
              <w:t>|||||</w:t>
            </w:r>
            <w:r w:rsidRPr="004671F3">
              <w:rPr>
                <w:color w:val="000000"/>
                <w:spacing w:val="5"/>
                <w:shd w:val="solid" w:color="000000" w:fill="000000"/>
                <w:fitText w:val="520" w:id="-1032111600"/>
                <w14:textFill>
                  <w14:solidFill>
                    <w14:srgbClr w14:val="000000">
                      <w14:alpha w14:val="100000"/>
                    </w14:srgbClr>
                  </w14:solidFill>
                </w14:textFill>
              </w:rPr>
              <w:t>|</w:t>
            </w:r>
          </w:p>
        </w:tc>
        <w:tc>
          <w:tcPr>
            <w:tcW w:w="650" w:type="pct"/>
          </w:tcPr>
          <w:p w14:paraId="0F4D8C2C" w14:textId="77777777" w:rsidR="000E63B0" w:rsidRPr="00E211D2" w:rsidRDefault="000E63B0" w:rsidP="003F1735">
            <w:pPr>
              <w:pStyle w:val="COMTabletext"/>
              <w:keepNext w:val="0"/>
              <w:jc w:val="center"/>
            </w:pPr>
            <w:r w:rsidRPr="00E211D2">
              <w:t>0.260</w:t>
            </w:r>
          </w:p>
        </w:tc>
        <w:tc>
          <w:tcPr>
            <w:tcW w:w="685" w:type="pct"/>
          </w:tcPr>
          <w:p w14:paraId="2D073A0B" w14:textId="054F2842" w:rsidR="000E63B0" w:rsidRPr="005441F2" w:rsidRDefault="0036355B" w:rsidP="003F1735">
            <w:pPr>
              <w:pStyle w:val="COMTabletext"/>
              <w:keepNext w:val="0"/>
              <w:jc w:val="center"/>
              <w:rPr>
                <w:highlight w:val="darkGray"/>
              </w:rPr>
            </w:pPr>
            <w:r>
              <w:t xml:space="preserve"> </w:t>
            </w:r>
            <w:r w:rsidRPr="0036355B">
              <w:rPr>
                <w:color w:val="000000"/>
                <w:spacing w:val="56"/>
                <w:shd w:val="solid" w:color="000000" w:fill="000000"/>
                <w:fitText w:val="540" w:id="-1032111614"/>
                <w14:textFill>
                  <w14:solidFill>
                    <w14:srgbClr w14:val="000000">
                      <w14:alpha w14:val="100000"/>
                    </w14:srgbClr>
                  </w14:solidFill>
                </w14:textFill>
              </w:rPr>
              <w:t>|||||</w:t>
            </w:r>
            <w:r w:rsidRPr="0036355B">
              <w:rPr>
                <w:color w:val="000000"/>
                <w:spacing w:val="5"/>
                <w:shd w:val="solid" w:color="000000" w:fill="000000"/>
                <w:fitText w:val="540" w:id="-1032111614"/>
                <w14:textFill>
                  <w14:solidFill>
                    <w14:srgbClr w14:val="000000">
                      <w14:alpha w14:val="100000"/>
                    </w14:srgbClr>
                  </w14:solidFill>
                </w14:textFill>
              </w:rPr>
              <w:t>|</w:t>
            </w:r>
            <w:r w:rsidR="005936E3">
              <w:rPr>
                <w:sz w:val="18"/>
                <w:szCs w:val="18"/>
                <w:vertAlign w:val="superscript"/>
              </w:rPr>
              <w:t>1</w:t>
            </w:r>
          </w:p>
        </w:tc>
        <w:tc>
          <w:tcPr>
            <w:tcW w:w="439" w:type="pct"/>
          </w:tcPr>
          <w:p w14:paraId="094A8B78" w14:textId="1C4B81D1" w:rsidR="000E63B0" w:rsidRPr="005441F2" w:rsidRDefault="0036355B" w:rsidP="003F1735">
            <w:pPr>
              <w:pStyle w:val="COMTabletext"/>
              <w:keepNext w:val="0"/>
              <w:jc w:val="center"/>
              <w:rPr>
                <w:highlight w:val="darkGray"/>
              </w:rPr>
            </w:pPr>
            <w:r w:rsidRPr="004671F3">
              <w:rPr>
                <w:color w:val="000000"/>
                <w:spacing w:val="174"/>
                <w:shd w:val="solid" w:color="000000" w:fill="000000"/>
                <w:fitText w:val="260" w:id="-1032111610"/>
                <w14:textFill>
                  <w14:solidFill>
                    <w14:srgbClr w14:val="000000">
                      <w14:alpha w14:val="100000"/>
                    </w14:srgbClr>
                  </w14:solidFill>
                </w14:textFill>
              </w:rPr>
              <w:t>|</w:t>
            </w:r>
            <w:r w:rsidRPr="004671F3">
              <w:rPr>
                <w:color w:val="000000"/>
                <w:shd w:val="solid" w:color="000000" w:fill="000000"/>
                <w:fitText w:val="260" w:id="-1032111610"/>
                <w14:textFill>
                  <w14:solidFill>
                    <w14:srgbClr w14:val="000000">
                      <w14:alpha w14:val="100000"/>
                    </w14:srgbClr>
                  </w14:solidFill>
                </w14:textFill>
              </w:rPr>
              <w:t>|</w:t>
            </w:r>
          </w:p>
        </w:tc>
      </w:tr>
      <w:tr w:rsidR="001518B9" w:rsidRPr="00E211D2" w14:paraId="3F04B92F" w14:textId="77777777" w:rsidTr="00957134">
        <w:tc>
          <w:tcPr>
            <w:tcW w:w="2576" w:type="pct"/>
          </w:tcPr>
          <w:p w14:paraId="134E1F3E" w14:textId="1A08773A" w:rsidR="001518B9" w:rsidRPr="00E211D2" w:rsidRDefault="001518B9" w:rsidP="003F1735">
            <w:pPr>
              <w:pStyle w:val="COMTabletext"/>
              <w:keepNext w:val="0"/>
            </w:pPr>
            <w:r w:rsidRPr="00E211D2">
              <w:t>Event free health state cost $5,229 [D]</w:t>
            </w:r>
          </w:p>
        </w:tc>
        <w:tc>
          <w:tcPr>
            <w:tcW w:w="650" w:type="pct"/>
          </w:tcPr>
          <w:p w14:paraId="371142B9" w14:textId="123BDF91" w:rsidR="001518B9" w:rsidRPr="005441F2" w:rsidRDefault="0036355B" w:rsidP="003F1735">
            <w:pPr>
              <w:pStyle w:val="COMTabletext"/>
              <w:keepNext w:val="0"/>
              <w:jc w:val="center"/>
              <w:rPr>
                <w:highlight w:val="darkGray"/>
              </w:rPr>
            </w:pPr>
            <w:r w:rsidRPr="004671F3">
              <w:rPr>
                <w:color w:val="000000"/>
                <w:spacing w:val="52"/>
                <w:shd w:val="solid" w:color="000000" w:fill="000000"/>
                <w:fitText w:val="520" w:id="-1032111605"/>
                <w14:textFill>
                  <w14:solidFill>
                    <w14:srgbClr w14:val="000000">
                      <w14:alpha w14:val="100000"/>
                    </w14:srgbClr>
                  </w14:solidFill>
                </w14:textFill>
              </w:rPr>
              <w:t>|||||</w:t>
            </w:r>
            <w:r w:rsidRPr="004671F3">
              <w:rPr>
                <w:color w:val="000000"/>
                <w:spacing w:val="5"/>
                <w:shd w:val="solid" w:color="000000" w:fill="000000"/>
                <w:fitText w:val="520" w:id="-1032111605"/>
                <w14:textFill>
                  <w14:solidFill>
                    <w14:srgbClr w14:val="000000">
                      <w14:alpha w14:val="100000"/>
                    </w14:srgbClr>
                  </w14:solidFill>
                </w14:textFill>
              </w:rPr>
              <w:t>|</w:t>
            </w:r>
          </w:p>
        </w:tc>
        <w:tc>
          <w:tcPr>
            <w:tcW w:w="650" w:type="pct"/>
          </w:tcPr>
          <w:p w14:paraId="2C398BB3" w14:textId="0021FC56" w:rsidR="001518B9" w:rsidRPr="00E211D2" w:rsidRDefault="001518B9" w:rsidP="003F1735">
            <w:pPr>
              <w:pStyle w:val="COMTabletext"/>
              <w:keepNext w:val="0"/>
              <w:jc w:val="center"/>
            </w:pPr>
            <w:r w:rsidRPr="00E211D2">
              <w:t>0.260</w:t>
            </w:r>
          </w:p>
        </w:tc>
        <w:tc>
          <w:tcPr>
            <w:tcW w:w="685" w:type="pct"/>
          </w:tcPr>
          <w:p w14:paraId="36B1195C" w14:textId="05AF1E38" w:rsidR="001518B9" w:rsidRPr="005441F2" w:rsidRDefault="0036355B" w:rsidP="003F1735">
            <w:pPr>
              <w:pStyle w:val="COMTabletext"/>
              <w:keepNext w:val="0"/>
              <w:jc w:val="center"/>
              <w:rPr>
                <w:highlight w:val="darkGray"/>
              </w:rPr>
            </w:pPr>
            <w:r>
              <w:t xml:space="preserve"> </w:t>
            </w:r>
            <w:r w:rsidRPr="0036355B">
              <w:rPr>
                <w:color w:val="000000"/>
                <w:spacing w:val="56"/>
                <w:shd w:val="solid" w:color="000000" w:fill="000000"/>
                <w:fitText w:val="540" w:id="-1032111602"/>
                <w14:textFill>
                  <w14:solidFill>
                    <w14:srgbClr w14:val="000000">
                      <w14:alpha w14:val="100000"/>
                    </w14:srgbClr>
                  </w14:solidFill>
                </w14:textFill>
              </w:rPr>
              <w:t>|||||</w:t>
            </w:r>
            <w:r w:rsidRPr="0036355B">
              <w:rPr>
                <w:color w:val="000000"/>
                <w:spacing w:val="5"/>
                <w:shd w:val="solid" w:color="000000" w:fill="000000"/>
                <w:fitText w:val="540" w:id="-1032111602"/>
                <w14:textFill>
                  <w14:solidFill>
                    <w14:srgbClr w14:val="000000">
                      <w14:alpha w14:val="100000"/>
                    </w14:srgbClr>
                  </w14:solidFill>
                </w14:textFill>
              </w:rPr>
              <w:t>|</w:t>
            </w:r>
            <w:r w:rsidR="005448A1">
              <w:rPr>
                <w:sz w:val="18"/>
                <w:szCs w:val="18"/>
                <w:vertAlign w:val="superscript"/>
              </w:rPr>
              <w:t>3</w:t>
            </w:r>
          </w:p>
        </w:tc>
        <w:tc>
          <w:tcPr>
            <w:tcW w:w="439" w:type="pct"/>
          </w:tcPr>
          <w:p w14:paraId="4326B544" w14:textId="2747B55F" w:rsidR="001518B9" w:rsidRPr="005441F2" w:rsidRDefault="0036355B" w:rsidP="003F1735">
            <w:pPr>
              <w:pStyle w:val="COMTabletext"/>
              <w:keepNext w:val="0"/>
              <w:jc w:val="center"/>
              <w:rPr>
                <w:highlight w:val="darkGray"/>
              </w:rPr>
            </w:pPr>
            <w:r w:rsidRPr="004671F3">
              <w:rPr>
                <w:color w:val="000000"/>
                <w:spacing w:val="174"/>
                <w:shd w:val="solid" w:color="000000" w:fill="000000"/>
                <w:fitText w:val="260" w:id="-1032111615"/>
                <w14:textFill>
                  <w14:solidFill>
                    <w14:srgbClr w14:val="000000">
                      <w14:alpha w14:val="100000"/>
                    </w14:srgbClr>
                  </w14:solidFill>
                </w14:textFill>
              </w:rPr>
              <w:t>|</w:t>
            </w:r>
            <w:r w:rsidRPr="004671F3">
              <w:rPr>
                <w:color w:val="000000"/>
                <w:shd w:val="solid" w:color="000000" w:fill="000000"/>
                <w:fitText w:val="260" w:id="-1032111615"/>
                <w14:textFill>
                  <w14:solidFill>
                    <w14:srgbClr w14:val="000000">
                      <w14:alpha w14:val="100000"/>
                    </w14:srgbClr>
                  </w14:solidFill>
                </w14:textFill>
              </w:rPr>
              <w:t>|</w:t>
            </w:r>
          </w:p>
        </w:tc>
      </w:tr>
      <w:tr w:rsidR="000E63B0" w:rsidRPr="00E211D2" w14:paraId="699CA38B" w14:textId="77777777" w:rsidTr="001D4554">
        <w:tc>
          <w:tcPr>
            <w:tcW w:w="5000" w:type="pct"/>
            <w:gridSpan w:val="5"/>
            <w:vAlign w:val="center"/>
          </w:tcPr>
          <w:p w14:paraId="0E54E332" w14:textId="64085CDB" w:rsidR="000E63B0" w:rsidRPr="00E211D2" w:rsidRDefault="000E63B0" w:rsidP="003F1735">
            <w:pPr>
              <w:pStyle w:val="COMTabletext"/>
              <w:keepNext w:val="0"/>
              <w:rPr>
                <w:b/>
                <w:bCs w:val="0"/>
              </w:rPr>
            </w:pPr>
            <w:r w:rsidRPr="00E211D2">
              <w:rPr>
                <w:b/>
                <w:bCs w:val="0"/>
              </w:rPr>
              <w:t>Acute event costs (base case: derived from NHCDC Public Hospital Report – Round 24)</w:t>
            </w:r>
          </w:p>
        </w:tc>
      </w:tr>
      <w:tr w:rsidR="000E63B0" w:rsidRPr="00E211D2" w14:paraId="60D5B5C2" w14:textId="77777777" w:rsidTr="00957134">
        <w:tc>
          <w:tcPr>
            <w:tcW w:w="2576" w:type="pct"/>
          </w:tcPr>
          <w:p w14:paraId="393AF60B" w14:textId="77777777" w:rsidR="000E63B0" w:rsidRPr="00E211D2" w:rsidRDefault="000E63B0" w:rsidP="003F1735">
            <w:pPr>
              <w:pStyle w:val="COMTabletext"/>
              <w:keepNext w:val="0"/>
            </w:pPr>
            <w:r w:rsidRPr="00E211D2">
              <w:t>Acute event costs doubled</w:t>
            </w:r>
          </w:p>
        </w:tc>
        <w:tc>
          <w:tcPr>
            <w:tcW w:w="650" w:type="pct"/>
          </w:tcPr>
          <w:p w14:paraId="25FDE914" w14:textId="1DFC8935" w:rsidR="000E63B0" w:rsidRPr="005441F2" w:rsidRDefault="0036355B" w:rsidP="003F1735">
            <w:pPr>
              <w:pStyle w:val="COMTabletext"/>
              <w:keepNext w:val="0"/>
              <w:jc w:val="center"/>
              <w:rPr>
                <w:highlight w:val="darkGray"/>
              </w:rPr>
            </w:pPr>
            <w:r w:rsidRPr="004671F3">
              <w:rPr>
                <w:color w:val="000000"/>
                <w:spacing w:val="52"/>
                <w:shd w:val="solid" w:color="000000" w:fill="000000"/>
                <w:fitText w:val="520" w:id="-1032111610"/>
                <w14:textFill>
                  <w14:solidFill>
                    <w14:srgbClr w14:val="000000">
                      <w14:alpha w14:val="100000"/>
                    </w14:srgbClr>
                  </w14:solidFill>
                </w14:textFill>
              </w:rPr>
              <w:t>|||||</w:t>
            </w:r>
            <w:r w:rsidRPr="004671F3">
              <w:rPr>
                <w:color w:val="000000"/>
                <w:spacing w:val="5"/>
                <w:shd w:val="solid" w:color="000000" w:fill="000000"/>
                <w:fitText w:val="520" w:id="-1032111610"/>
                <w14:textFill>
                  <w14:solidFill>
                    <w14:srgbClr w14:val="000000">
                      <w14:alpha w14:val="100000"/>
                    </w14:srgbClr>
                  </w14:solidFill>
                </w14:textFill>
              </w:rPr>
              <w:t>|</w:t>
            </w:r>
          </w:p>
        </w:tc>
        <w:tc>
          <w:tcPr>
            <w:tcW w:w="650" w:type="pct"/>
          </w:tcPr>
          <w:p w14:paraId="18E35905" w14:textId="77777777" w:rsidR="000E63B0" w:rsidRPr="00E211D2" w:rsidRDefault="000E63B0" w:rsidP="003F1735">
            <w:pPr>
              <w:pStyle w:val="COMTabletext"/>
              <w:keepNext w:val="0"/>
              <w:jc w:val="center"/>
            </w:pPr>
            <w:r w:rsidRPr="00E211D2">
              <w:t>0.260</w:t>
            </w:r>
          </w:p>
        </w:tc>
        <w:tc>
          <w:tcPr>
            <w:tcW w:w="685" w:type="pct"/>
          </w:tcPr>
          <w:p w14:paraId="64DAC37F" w14:textId="1FC9AD97" w:rsidR="000E63B0" w:rsidRPr="005441F2" w:rsidRDefault="0036355B" w:rsidP="003F1735">
            <w:pPr>
              <w:pStyle w:val="COMTabletext"/>
              <w:keepNext w:val="0"/>
              <w:jc w:val="center"/>
              <w:rPr>
                <w:highlight w:val="darkGray"/>
              </w:rPr>
            </w:pPr>
            <w:r>
              <w:t xml:space="preserve"> </w:t>
            </w:r>
            <w:r w:rsidRPr="0036355B">
              <w:rPr>
                <w:color w:val="000000"/>
                <w:spacing w:val="56"/>
                <w:shd w:val="solid" w:color="000000" w:fill="000000"/>
                <w:fitText w:val="540" w:id="-1032111607"/>
                <w14:textFill>
                  <w14:solidFill>
                    <w14:srgbClr w14:val="000000">
                      <w14:alpha w14:val="100000"/>
                    </w14:srgbClr>
                  </w14:solidFill>
                </w14:textFill>
              </w:rPr>
              <w:t>|||||</w:t>
            </w:r>
            <w:r w:rsidRPr="0036355B">
              <w:rPr>
                <w:color w:val="000000"/>
                <w:spacing w:val="5"/>
                <w:shd w:val="solid" w:color="000000" w:fill="000000"/>
                <w:fitText w:val="540" w:id="-1032111607"/>
                <w14:textFill>
                  <w14:solidFill>
                    <w14:srgbClr w14:val="000000">
                      <w14:alpha w14:val="100000"/>
                    </w14:srgbClr>
                  </w14:solidFill>
                </w14:textFill>
              </w:rPr>
              <w:t>|</w:t>
            </w:r>
            <w:r w:rsidR="005936E3">
              <w:rPr>
                <w:sz w:val="18"/>
                <w:szCs w:val="18"/>
                <w:vertAlign w:val="superscript"/>
              </w:rPr>
              <w:t>2</w:t>
            </w:r>
          </w:p>
        </w:tc>
        <w:tc>
          <w:tcPr>
            <w:tcW w:w="439" w:type="pct"/>
          </w:tcPr>
          <w:p w14:paraId="378ABF32" w14:textId="0505CFB6" w:rsidR="000E63B0" w:rsidRPr="00E211D2" w:rsidRDefault="000E63B0" w:rsidP="003F1735">
            <w:pPr>
              <w:pStyle w:val="COMTabletext"/>
              <w:keepNext w:val="0"/>
              <w:jc w:val="center"/>
            </w:pPr>
            <w:r w:rsidRPr="00E211D2">
              <w:t>-</w:t>
            </w:r>
            <w:r w:rsidR="0036355B">
              <w:rPr>
                <w:rFonts w:hint="eastAsia"/>
              </w:rPr>
              <w:t xml:space="preserve"> </w:t>
            </w:r>
            <w:r w:rsidR="0036355B" w:rsidRPr="004671F3">
              <w:rPr>
                <w:color w:val="000000"/>
                <w:spacing w:val="214"/>
                <w:shd w:val="solid" w:color="000000" w:fill="000000"/>
                <w:fitText w:val="300" w:id="-1032111602"/>
                <w14:textFill>
                  <w14:solidFill>
                    <w14:srgbClr w14:val="000000">
                      <w14:alpha w14:val="100000"/>
                    </w14:srgbClr>
                  </w14:solidFill>
                </w14:textFill>
              </w:rPr>
              <w:t>|</w:t>
            </w:r>
            <w:r w:rsidR="0036355B" w:rsidRPr="004671F3">
              <w:rPr>
                <w:color w:val="000000"/>
                <w:shd w:val="solid" w:color="000000" w:fill="000000"/>
                <w:fitText w:val="300" w:id="-1032111602"/>
                <w14:textFill>
                  <w14:solidFill>
                    <w14:srgbClr w14:val="000000">
                      <w14:alpha w14:val="100000"/>
                    </w14:srgbClr>
                  </w14:solidFill>
                </w14:textFill>
              </w:rPr>
              <w:t>|</w:t>
            </w:r>
          </w:p>
        </w:tc>
      </w:tr>
      <w:tr w:rsidR="000E63B0" w:rsidRPr="00E211D2" w14:paraId="45286B85" w14:textId="77777777" w:rsidTr="00957134">
        <w:tc>
          <w:tcPr>
            <w:tcW w:w="2576" w:type="pct"/>
          </w:tcPr>
          <w:p w14:paraId="01AAB018" w14:textId="77777777" w:rsidR="000E63B0" w:rsidRPr="00E211D2" w:rsidRDefault="000E63B0" w:rsidP="003F1735">
            <w:pPr>
              <w:pStyle w:val="COMTabletext"/>
              <w:keepNext w:val="0"/>
            </w:pPr>
            <w:r w:rsidRPr="00E211D2">
              <w:t>Reduced by 50%</w:t>
            </w:r>
          </w:p>
        </w:tc>
        <w:tc>
          <w:tcPr>
            <w:tcW w:w="650" w:type="pct"/>
          </w:tcPr>
          <w:p w14:paraId="0C322951" w14:textId="7C286D53" w:rsidR="000E63B0" w:rsidRPr="005441F2" w:rsidRDefault="0036355B" w:rsidP="003F1735">
            <w:pPr>
              <w:pStyle w:val="COMTabletext"/>
              <w:keepNext w:val="0"/>
              <w:jc w:val="center"/>
              <w:rPr>
                <w:highlight w:val="darkGray"/>
              </w:rPr>
            </w:pPr>
            <w:r w:rsidRPr="004671F3">
              <w:rPr>
                <w:color w:val="000000"/>
                <w:spacing w:val="52"/>
                <w:shd w:val="solid" w:color="000000" w:fill="000000"/>
                <w:fitText w:val="520" w:id="-1032111614"/>
                <w14:textFill>
                  <w14:solidFill>
                    <w14:srgbClr w14:val="000000">
                      <w14:alpha w14:val="100000"/>
                    </w14:srgbClr>
                  </w14:solidFill>
                </w14:textFill>
              </w:rPr>
              <w:t>|||||</w:t>
            </w:r>
            <w:r w:rsidRPr="004671F3">
              <w:rPr>
                <w:color w:val="000000"/>
                <w:spacing w:val="5"/>
                <w:shd w:val="solid" w:color="000000" w:fill="000000"/>
                <w:fitText w:val="520" w:id="-1032111614"/>
                <w14:textFill>
                  <w14:solidFill>
                    <w14:srgbClr w14:val="000000">
                      <w14:alpha w14:val="100000"/>
                    </w14:srgbClr>
                  </w14:solidFill>
                </w14:textFill>
              </w:rPr>
              <w:t>|</w:t>
            </w:r>
          </w:p>
        </w:tc>
        <w:tc>
          <w:tcPr>
            <w:tcW w:w="650" w:type="pct"/>
          </w:tcPr>
          <w:p w14:paraId="7B67BC6D" w14:textId="77777777" w:rsidR="000E63B0" w:rsidRPr="00E211D2" w:rsidRDefault="000E63B0" w:rsidP="003F1735">
            <w:pPr>
              <w:pStyle w:val="COMTabletext"/>
              <w:keepNext w:val="0"/>
              <w:jc w:val="center"/>
              <w:rPr>
                <w:highlight w:val="yellow"/>
              </w:rPr>
            </w:pPr>
            <w:r w:rsidRPr="00E211D2">
              <w:t>0.260</w:t>
            </w:r>
          </w:p>
        </w:tc>
        <w:tc>
          <w:tcPr>
            <w:tcW w:w="685" w:type="pct"/>
          </w:tcPr>
          <w:p w14:paraId="55B494AD" w14:textId="6D81F55E" w:rsidR="000E63B0" w:rsidRPr="005441F2" w:rsidRDefault="0036355B" w:rsidP="003F1735">
            <w:pPr>
              <w:pStyle w:val="COMTabletext"/>
              <w:keepNext w:val="0"/>
              <w:jc w:val="center"/>
              <w:rPr>
                <w:highlight w:val="darkGray"/>
              </w:rPr>
            </w:pPr>
            <w:r>
              <w:t xml:space="preserve"> </w:t>
            </w:r>
            <w:r w:rsidRPr="0036355B">
              <w:rPr>
                <w:color w:val="000000"/>
                <w:spacing w:val="56"/>
                <w:shd w:val="solid" w:color="000000" w:fill="000000"/>
                <w:fitText w:val="540" w:id="-1032111611"/>
                <w14:textFill>
                  <w14:solidFill>
                    <w14:srgbClr w14:val="000000">
                      <w14:alpha w14:val="100000"/>
                    </w14:srgbClr>
                  </w14:solidFill>
                </w14:textFill>
              </w:rPr>
              <w:t>|||||</w:t>
            </w:r>
            <w:r w:rsidRPr="0036355B">
              <w:rPr>
                <w:color w:val="000000"/>
                <w:spacing w:val="5"/>
                <w:shd w:val="solid" w:color="000000" w:fill="000000"/>
                <w:fitText w:val="540" w:id="-1032111611"/>
                <w14:textFill>
                  <w14:solidFill>
                    <w14:srgbClr w14:val="000000">
                      <w14:alpha w14:val="100000"/>
                    </w14:srgbClr>
                  </w14:solidFill>
                </w14:textFill>
              </w:rPr>
              <w:t>|</w:t>
            </w:r>
            <w:r w:rsidR="00E32666" w:rsidRPr="009E1381">
              <w:rPr>
                <w:sz w:val="18"/>
                <w:szCs w:val="18"/>
                <w:vertAlign w:val="superscript"/>
              </w:rPr>
              <w:t>1</w:t>
            </w:r>
          </w:p>
        </w:tc>
        <w:tc>
          <w:tcPr>
            <w:tcW w:w="439" w:type="pct"/>
          </w:tcPr>
          <w:p w14:paraId="0BB8A1EB" w14:textId="4AFE368F" w:rsidR="000E63B0" w:rsidRPr="00E211D2" w:rsidRDefault="0036355B" w:rsidP="003F1735">
            <w:pPr>
              <w:pStyle w:val="COMTabletext"/>
              <w:keepNext w:val="0"/>
              <w:jc w:val="center"/>
              <w:rPr>
                <w:highlight w:val="yellow"/>
              </w:rPr>
            </w:pPr>
            <w:r w:rsidRPr="004671F3">
              <w:rPr>
                <w:color w:val="000000"/>
                <w:spacing w:val="174"/>
                <w:shd w:val="solid" w:color="000000" w:fill="000000"/>
                <w:fitText w:val="260" w:id="-1032111607"/>
                <w14:textFill>
                  <w14:solidFill>
                    <w14:srgbClr w14:val="000000">
                      <w14:alpha w14:val="100000"/>
                    </w14:srgbClr>
                  </w14:solidFill>
                </w14:textFill>
              </w:rPr>
              <w:t>|</w:t>
            </w:r>
            <w:r w:rsidRPr="004671F3">
              <w:rPr>
                <w:color w:val="000000"/>
                <w:shd w:val="solid" w:color="000000" w:fill="000000"/>
                <w:fitText w:val="260" w:id="-1032111607"/>
                <w14:textFill>
                  <w14:solidFill>
                    <w14:srgbClr w14:val="000000">
                      <w14:alpha w14:val="100000"/>
                    </w14:srgbClr>
                  </w14:solidFill>
                </w14:textFill>
              </w:rPr>
              <w:t>|</w:t>
            </w:r>
          </w:p>
        </w:tc>
      </w:tr>
      <w:tr w:rsidR="000E63B0" w:rsidRPr="00E211D2" w14:paraId="00F3E55B" w14:textId="77777777" w:rsidTr="001D4554">
        <w:tc>
          <w:tcPr>
            <w:tcW w:w="5000" w:type="pct"/>
            <w:gridSpan w:val="5"/>
          </w:tcPr>
          <w:p w14:paraId="747328DF" w14:textId="77777777" w:rsidR="000E63B0" w:rsidRPr="00E211D2" w:rsidRDefault="000E63B0" w:rsidP="003F1735">
            <w:pPr>
              <w:pStyle w:val="COMTabletext"/>
              <w:keepNext w:val="0"/>
              <w:rPr>
                <w:b/>
                <w:bCs w:val="0"/>
              </w:rPr>
            </w:pPr>
            <w:r w:rsidRPr="00E211D2">
              <w:rPr>
                <w:b/>
                <w:bCs w:val="0"/>
              </w:rPr>
              <w:t>Age-related cardiovascular risk adjustment (base case: included)</w:t>
            </w:r>
          </w:p>
        </w:tc>
      </w:tr>
      <w:tr w:rsidR="000E63B0" w:rsidRPr="00E211D2" w14:paraId="01E6A8FE" w14:textId="77777777" w:rsidTr="00957134">
        <w:tc>
          <w:tcPr>
            <w:tcW w:w="2576" w:type="pct"/>
          </w:tcPr>
          <w:p w14:paraId="27B28EBB" w14:textId="77777777" w:rsidR="000E63B0" w:rsidRPr="00E211D2" w:rsidRDefault="000E63B0" w:rsidP="003F1735">
            <w:pPr>
              <w:pStyle w:val="COMTabletext"/>
              <w:keepNext w:val="0"/>
            </w:pPr>
            <w:r w:rsidRPr="00E211D2">
              <w:t>Removed</w:t>
            </w:r>
          </w:p>
        </w:tc>
        <w:tc>
          <w:tcPr>
            <w:tcW w:w="650" w:type="pct"/>
          </w:tcPr>
          <w:p w14:paraId="081A5808" w14:textId="35F6F666" w:rsidR="000E63B0" w:rsidRPr="00E211D2" w:rsidRDefault="0036355B" w:rsidP="003F1735">
            <w:pPr>
              <w:pStyle w:val="COMTabletext"/>
              <w:keepNext w:val="0"/>
              <w:jc w:val="center"/>
            </w:pPr>
            <w:r w:rsidRPr="004671F3">
              <w:rPr>
                <w:color w:val="000000"/>
                <w:spacing w:val="52"/>
                <w:shd w:val="solid" w:color="000000" w:fill="000000"/>
                <w:fitText w:val="520" w:id="-1032111356"/>
                <w14:textFill>
                  <w14:solidFill>
                    <w14:srgbClr w14:val="000000">
                      <w14:alpha w14:val="100000"/>
                    </w14:srgbClr>
                  </w14:solidFill>
                </w14:textFill>
              </w:rPr>
              <w:t>|||||</w:t>
            </w:r>
            <w:r w:rsidRPr="004671F3">
              <w:rPr>
                <w:color w:val="000000"/>
                <w:spacing w:val="5"/>
                <w:shd w:val="solid" w:color="000000" w:fill="000000"/>
                <w:fitText w:val="520" w:id="-1032111356"/>
                <w14:textFill>
                  <w14:solidFill>
                    <w14:srgbClr w14:val="000000">
                      <w14:alpha w14:val="100000"/>
                    </w14:srgbClr>
                  </w14:solidFill>
                </w14:textFill>
              </w:rPr>
              <w:t>|</w:t>
            </w:r>
            <w:r w:rsidR="000E63B0" w:rsidRPr="00E211D2">
              <w:t xml:space="preserve"> </w:t>
            </w:r>
          </w:p>
        </w:tc>
        <w:tc>
          <w:tcPr>
            <w:tcW w:w="650" w:type="pct"/>
          </w:tcPr>
          <w:p w14:paraId="75AFDD71" w14:textId="77777777" w:rsidR="000E63B0" w:rsidRPr="00E211D2" w:rsidRDefault="000E63B0" w:rsidP="003F1735">
            <w:pPr>
              <w:pStyle w:val="COMTabletext"/>
              <w:keepNext w:val="0"/>
              <w:jc w:val="center"/>
            </w:pPr>
            <w:r w:rsidRPr="00E211D2">
              <w:t>0.2800</w:t>
            </w:r>
          </w:p>
        </w:tc>
        <w:tc>
          <w:tcPr>
            <w:tcW w:w="685" w:type="pct"/>
          </w:tcPr>
          <w:p w14:paraId="76CF38E3" w14:textId="5C87719B" w:rsidR="000E63B0" w:rsidRPr="00E211D2" w:rsidRDefault="0036355B" w:rsidP="003F1735">
            <w:pPr>
              <w:pStyle w:val="COMTabletext"/>
              <w:keepNext w:val="0"/>
              <w:jc w:val="center"/>
            </w:pPr>
            <w:r>
              <w:t xml:space="preserve"> </w:t>
            </w:r>
            <w:r w:rsidRPr="0036355B">
              <w:rPr>
                <w:color w:val="000000"/>
                <w:spacing w:val="56"/>
                <w:shd w:val="solid" w:color="000000" w:fill="000000"/>
                <w:fitText w:val="540" w:id="-1032111353"/>
                <w14:textFill>
                  <w14:solidFill>
                    <w14:srgbClr w14:val="000000">
                      <w14:alpha w14:val="100000"/>
                    </w14:srgbClr>
                  </w14:solidFill>
                </w14:textFill>
              </w:rPr>
              <w:t>|||||</w:t>
            </w:r>
            <w:r w:rsidRPr="0036355B">
              <w:rPr>
                <w:color w:val="000000"/>
                <w:spacing w:val="5"/>
                <w:shd w:val="solid" w:color="000000" w:fill="000000"/>
                <w:fitText w:val="540" w:id="-1032111353"/>
                <w14:textFill>
                  <w14:solidFill>
                    <w14:srgbClr w14:val="000000">
                      <w14:alpha w14:val="100000"/>
                    </w14:srgbClr>
                  </w14:solidFill>
                </w14:textFill>
              </w:rPr>
              <w:t>|</w:t>
            </w:r>
            <w:r w:rsidR="005936E3">
              <w:rPr>
                <w:sz w:val="18"/>
                <w:szCs w:val="18"/>
                <w:vertAlign w:val="superscript"/>
              </w:rPr>
              <w:t>2</w:t>
            </w:r>
          </w:p>
        </w:tc>
        <w:tc>
          <w:tcPr>
            <w:tcW w:w="439" w:type="pct"/>
            <w:vAlign w:val="center"/>
          </w:tcPr>
          <w:p w14:paraId="06C6563A" w14:textId="77E88589" w:rsidR="000E63B0" w:rsidRPr="00E211D2" w:rsidRDefault="000E63B0" w:rsidP="003F1735">
            <w:pPr>
              <w:pStyle w:val="COMTabletext"/>
              <w:keepNext w:val="0"/>
              <w:jc w:val="center"/>
            </w:pPr>
            <w:r w:rsidRPr="00E211D2">
              <w:t>-</w:t>
            </w:r>
            <w:r w:rsidR="0036355B">
              <w:rPr>
                <w:rFonts w:hint="eastAsia"/>
              </w:rPr>
              <w:t xml:space="preserve"> </w:t>
            </w:r>
            <w:r w:rsidR="0036355B" w:rsidRPr="004671F3">
              <w:rPr>
                <w:color w:val="000000"/>
                <w:spacing w:val="257"/>
                <w:shd w:val="solid" w:color="000000" w:fill="000000"/>
                <w:fitText w:val="300" w:id="-1032111348"/>
                <w14:textFill>
                  <w14:solidFill>
                    <w14:srgbClr w14:val="000000">
                      <w14:alpha w14:val="100000"/>
                    </w14:srgbClr>
                  </w14:solidFill>
                </w14:textFill>
              </w:rPr>
              <w:t>|</w:t>
            </w:r>
          </w:p>
        </w:tc>
      </w:tr>
      <w:tr w:rsidR="00960DC2" w:rsidRPr="00E211D2" w14:paraId="1194F60A" w14:textId="77777777" w:rsidTr="00960DC2">
        <w:tc>
          <w:tcPr>
            <w:tcW w:w="5000" w:type="pct"/>
            <w:gridSpan w:val="5"/>
          </w:tcPr>
          <w:p w14:paraId="15DE70AA" w14:textId="0DFB0C50" w:rsidR="00960DC2" w:rsidRPr="00E211D2" w:rsidRDefault="00A80A81" w:rsidP="003F1735">
            <w:pPr>
              <w:pStyle w:val="COMTabletext"/>
              <w:keepNext w:val="0"/>
              <w:rPr>
                <w:b/>
                <w:bCs w:val="0"/>
              </w:rPr>
            </w:pPr>
            <w:r w:rsidRPr="00E211D2">
              <w:rPr>
                <w:b/>
                <w:bCs w:val="0"/>
              </w:rPr>
              <w:t>M</w:t>
            </w:r>
            <w:r w:rsidR="00960DC2" w:rsidRPr="00E211D2">
              <w:rPr>
                <w:b/>
                <w:bCs w:val="0"/>
              </w:rPr>
              <w:t>ultivariate sensitivity analysis</w:t>
            </w:r>
          </w:p>
        </w:tc>
      </w:tr>
      <w:tr w:rsidR="00960DC2" w:rsidRPr="00E211D2" w14:paraId="5FD6DA79" w14:textId="77777777" w:rsidTr="00957134">
        <w:tc>
          <w:tcPr>
            <w:tcW w:w="2576" w:type="pct"/>
          </w:tcPr>
          <w:p w14:paraId="626602EE" w14:textId="13925981" w:rsidR="00960DC2" w:rsidRPr="00E211D2" w:rsidRDefault="00960DC2" w:rsidP="003F1735">
            <w:pPr>
              <w:pStyle w:val="COMTabletext"/>
              <w:keepNext w:val="0"/>
            </w:pPr>
            <w:r w:rsidRPr="00E211D2">
              <w:t xml:space="preserve">[A] Adjustment for effect of mineral oil = 7%; </w:t>
            </w:r>
            <w:r w:rsidR="00957134" w:rsidRPr="00E211D2">
              <w:t xml:space="preserve">and </w:t>
            </w:r>
            <w:r w:rsidRPr="00E211D2">
              <w:t>[</w:t>
            </w:r>
            <w:r w:rsidR="00957134" w:rsidRPr="00E211D2">
              <w:t>C</w:t>
            </w:r>
            <w:r w:rsidRPr="00E211D2">
              <w:t>] Censoring for discontinuation applied to neither arm</w:t>
            </w:r>
          </w:p>
        </w:tc>
        <w:tc>
          <w:tcPr>
            <w:tcW w:w="650" w:type="pct"/>
            <w:vAlign w:val="center"/>
          </w:tcPr>
          <w:p w14:paraId="7E8B4F28" w14:textId="5E577A99" w:rsidR="00960DC2" w:rsidRPr="005441F2" w:rsidRDefault="0036355B" w:rsidP="003F1735">
            <w:pPr>
              <w:pStyle w:val="COMTabletext"/>
              <w:keepNext w:val="0"/>
              <w:jc w:val="center"/>
              <w:rPr>
                <w:highlight w:val="darkGray"/>
              </w:rPr>
            </w:pPr>
            <w:r w:rsidRPr="004671F3">
              <w:rPr>
                <w:color w:val="000000"/>
                <w:spacing w:val="52"/>
                <w:shd w:val="solid" w:color="000000" w:fill="000000"/>
                <w:fitText w:val="520" w:id="-1032111360"/>
                <w14:textFill>
                  <w14:solidFill>
                    <w14:srgbClr w14:val="000000">
                      <w14:alpha w14:val="100000"/>
                    </w14:srgbClr>
                  </w14:solidFill>
                </w14:textFill>
              </w:rPr>
              <w:t>|||||</w:t>
            </w:r>
            <w:r w:rsidRPr="004671F3">
              <w:rPr>
                <w:color w:val="000000"/>
                <w:spacing w:val="5"/>
                <w:shd w:val="solid" w:color="000000" w:fill="000000"/>
                <w:fitText w:val="520" w:id="-1032111360"/>
                <w14:textFill>
                  <w14:solidFill>
                    <w14:srgbClr w14:val="000000">
                      <w14:alpha w14:val="100000"/>
                    </w14:srgbClr>
                  </w14:solidFill>
                </w14:textFill>
              </w:rPr>
              <w:t>|</w:t>
            </w:r>
          </w:p>
        </w:tc>
        <w:tc>
          <w:tcPr>
            <w:tcW w:w="650" w:type="pct"/>
            <w:vAlign w:val="center"/>
          </w:tcPr>
          <w:p w14:paraId="4168A48C" w14:textId="417718B2" w:rsidR="00960DC2" w:rsidRPr="00E211D2" w:rsidRDefault="00B3515E" w:rsidP="003F1735">
            <w:pPr>
              <w:pStyle w:val="COMTabletext"/>
              <w:keepNext w:val="0"/>
              <w:jc w:val="center"/>
            </w:pPr>
            <w:r w:rsidRPr="00E211D2">
              <w:t>0.118</w:t>
            </w:r>
          </w:p>
        </w:tc>
        <w:tc>
          <w:tcPr>
            <w:tcW w:w="685" w:type="pct"/>
            <w:vAlign w:val="center"/>
          </w:tcPr>
          <w:p w14:paraId="667D61CE" w14:textId="55747904" w:rsidR="00960DC2" w:rsidRPr="005441F2" w:rsidRDefault="0036355B" w:rsidP="003F1735">
            <w:pPr>
              <w:pStyle w:val="COMTabletext"/>
              <w:keepNext w:val="0"/>
              <w:jc w:val="center"/>
              <w:rPr>
                <w:highlight w:val="darkGray"/>
              </w:rPr>
            </w:pPr>
            <w:r>
              <w:t xml:space="preserve"> </w:t>
            </w:r>
            <w:r w:rsidRPr="0036355B">
              <w:rPr>
                <w:color w:val="000000"/>
                <w:spacing w:val="56"/>
                <w:shd w:val="solid" w:color="000000" w:fill="000000"/>
                <w:fitText w:val="540" w:id="-1032111357"/>
                <w14:textFill>
                  <w14:solidFill>
                    <w14:srgbClr w14:val="000000">
                      <w14:alpha w14:val="100000"/>
                    </w14:srgbClr>
                  </w14:solidFill>
                </w14:textFill>
              </w:rPr>
              <w:t>|||||</w:t>
            </w:r>
            <w:r w:rsidRPr="0036355B">
              <w:rPr>
                <w:color w:val="000000"/>
                <w:spacing w:val="5"/>
                <w:shd w:val="solid" w:color="000000" w:fill="000000"/>
                <w:fitText w:val="540" w:id="-1032111357"/>
                <w14:textFill>
                  <w14:solidFill>
                    <w14:srgbClr w14:val="000000">
                      <w14:alpha w14:val="100000"/>
                    </w14:srgbClr>
                  </w14:solidFill>
                </w14:textFill>
              </w:rPr>
              <w:t>|</w:t>
            </w:r>
            <w:r w:rsidR="00CF5EF5">
              <w:rPr>
                <w:sz w:val="18"/>
                <w:szCs w:val="18"/>
                <w:vertAlign w:val="superscript"/>
              </w:rPr>
              <w:t>6</w:t>
            </w:r>
          </w:p>
        </w:tc>
        <w:tc>
          <w:tcPr>
            <w:tcW w:w="439" w:type="pct"/>
            <w:vAlign w:val="center"/>
          </w:tcPr>
          <w:p w14:paraId="731DF898" w14:textId="2E57C2DF" w:rsidR="00960DC2" w:rsidRPr="005441F2" w:rsidRDefault="0036355B" w:rsidP="003F1735">
            <w:pPr>
              <w:pStyle w:val="COMTabletext"/>
              <w:keepNext w:val="0"/>
              <w:jc w:val="center"/>
              <w:rPr>
                <w:highlight w:val="darkGray"/>
              </w:rPr>
            </w:pPr>
            <w:r w:rsidRPr="004671F3">
              <w:rPr>
                <w:color w:val="000000"/>
                <w:spacing w:val="174"/>
                <w:shd w:val="solid" w:color="000000" w:fill="000000"/>
                <w:fitText w:val="260" w:id="-1032111353"/>
                <w14:textFill>
                  <w14:solidFill>
                    <w14:srgbClr w14:val="000000">
                      <w14:alpha w14:val="100000"/>
                    </w14:srgbClr>
                  </w14:solidFill>
                </w14:textFill>
              </w:rPr>
              <w:t>|</w:t>
            </w:r>
            <w:r w:rsidRPr="004671F3">
              <w:rPr>
                <w:color w:val="000000"/>
                <w:shd w:val="solid" w:color="000000" w:fill="000000"/>
                <w:fitText w:val="260" w:id="-1032111353"/>
                <w14:textFill>
                  <w14:solidFill>
                    <w14:srgbClr w14:val="000000">
                      <w14:alpha w14:val="100000"/>
                    </w14:srgbClr>
                  </w14:solidFill>
                </w14:textFill>
              </w:rPr>
              <w:t>|</w:t>
            </w:r>
          </w:p>
        </w:tc>
      </w:tr>
      <w:tr w:rsidR="00957134" w:rsidRPr="00E211D2" w14:paraId="76B437C4" w14:textId="77777777" w:rsidTr="00111848">
        <w:tc>
          <w:tcPr>
            <w:tcW w:w="2576" w:type="pct"/>
          </w:tcPr>
          <w:p w14:paraId="32C0F058" w14:textId="016FC3AA" w:rsidR="00957134" w:rsidRPr="00E211D2" w:rsidRDefault="00957134" w:rsidP="003F1735">
            <w:pPr>
              <w:pStyle w:val="COMTabletext"/>
              <w:keepNext w:val="0"/>
            </w:pPr>
            <w:r w:rsidRPr="00E211D2">
              <w:t xml:space="preserve">[B] Adjustment for effect of mineral oil = </w:t>
            </w:r>
            <w:r w:rsidR="000454A5" w:rsidRPr="00E211D2">
              <w:t>10</w:t>
            </w:r>
            <w:r w:rsidRPr="00E211D2">
              <w:t>%; and [C] Censoring for discontinuation applied to neither arm</w:t>
            </w:r>
          </w:p>
        </w:tc>
        <w:tc>
          <w:tcPr>
            <w:tcW w:w="650" w:type="pct"/>
            <w:vAlign w:val="center"/>
          </w:tcPr>
          <w:p w14:paraId="2ED13DDB" w14:textId="5D072DBA" w:rsidR="00957134" w:rsidRPr="005441F2" w:rsidRDefault="0036355B" w:rsidP="003F1735">
            <w:pPr>
              <w:pStyle w:val="COMTabletext"/>
              <w:keepNext w:val="0"/>
              <w:jc w:val="center"/>
              <w:rPr>
                <w:highlight w:val="darkGray"/>
              </w:rPr>
            </w:pPr>
            <w:r w:rsidRPr="004671F3">
              <w:rPr>
                <w:color w:val="000000"/>
                <w:spacing w:val="52"/>
                <w:shd w:val="solid" w:color="000000" w:fill="000000"/>
                <w:fitText w:val="520" w:id="-1032111348"/>
                <w14:textFill>
                  <w14:solidFill>
                    <w14:srgbClr w14:val="000000">
                      <w14:alpha w14:val="100000"/>
                    </w14:srgbClr>
                  </w14:solidFill>
                </w14:textFill>
              </w:rPr>
              <w:t>|||||</w:t>
            </w:r>
            <w:r w:rsidRPr="004671F3">
              <w:rPr>
                <w:color w:val="000000"/>
                <w:spacing w:val="5"/>
                <w:shd w:val="solid" w:color="000000" w:fill="000000"/>
                <w:fitText w:val="520" w:id="-1032111348"/>
                <w14:textFill>
                  <w14:solidFill>
                    <w14:srgbClr w14:val="000000">
                      <w14:alpha w14:val="100000"/>
                    </w14:srgbClr>
                  </w14:solidFill>
                </w14:textFill>
              </w:rPr>
              <w:t>|</w:t>
            </w:r>
          </w:p>
        </w:tc>
        <w:tc>
          <w:tcPr>
            <w:tcW w:w="650" w:type="pct"/>
            <w:vAlign w:val="center"/>
          </w:tcPr>
          <w:p w14:paraId="2C3EC4E4" w14:textId="4235C9DE" w:rsidR="00957134" w:rsidRPr="00E211D2" w:rsidRDefault="00957134" w:rsidP="003F1735">
            <w:pPr>
              <w:pStyle w:val="COMTabletext"/>
              <w:keepNext w:val="0"/>
              <w:jc w:val="center"/>
            </w:pPr>
            <w:r w:rsidRPr="00E211D2">
              <w:t>0.100</w:t>
            </w:r>
          </w:p>
        </w:tc>
        <w:tc>
          <w:tcPr>
            <w:tcW w:w="685" w:type="pct"/>
            <w:vAlign w:val="center"/>
          </w:tcPr>
          <w:p w14:paraId="7F14197E" w14:textId="5E2D3387" w:rsidR="00957134" w:rsidRPr="005441F2" w:rsidRDefault="0036355B" w:rsidP="003F1735">
            <w:pPr>
              <w:pStyle w:val="COMTabletext"/>
              <w:keepNext w:val="0"/>
              <w:jc w:val="center"/>
              <w:rPr>
                <w:highlight w:val="darkGray"/>
              </w:rPr>
            </w:pPr>
            <w:r>
              <w:t xml:space="preserve"> </w:t>
            </w:r>
            <w:r w:rsidRPr="0036355B">
              <w:rPr>
                <w:color w:val="000000"/>
                <w:spacing w:val="56"/>
                <w:shd w:val="solid" w:color="000000" w:fill="000000"/>
                <w:fitText w:val="540" w:id="-1032111345"/>
                <w14:textFill>
                  <w14:solidFill>
                    <w14:srgbClr w14:val="000000">
                      <w14:alpha w14:val="100000"/>
                    </w14:srgbClr>
                  </w14:solidFill>
                </w14:textFill>
              </w:rPr>
              <w:t>|||||</w:t>
            </w:r>
            <w:r w:rsidRPr="0036355B">
              <w:rPr>
                <w:color w:val="000000"/>
                <w:spacing w:val="5"/>
                <w:shd w:val="solid" w:color="000000" w:fill="000000"/>
                <w:fitText w:val="540" w:id="-1032111345"/>
                <w14:textFill>
                  <w14:solidFill>
                    <w14:srgbClr w14:val="000000">
                      <w14:alpha w14:val="100000"/>
                    </w14:srgbClr>
                  </w14:solidFill>
                </w14:textFill>
              </w:rPr>
              <w:t>|</w:t>
            </w:r>
            <w:r w:rsidR="00CF5EF5">
              <w:rPr>
                <w:sz w:val="18"/>
                <w:szCs w:val="18"/>
                <w:vertAlign w:val="superscript"/>
              </w:rPr>
              <w:t>6</w:t>
            </w:r>
          </w:p>
        </w:tc>
        <w:tc>
          <w:tcPr>
            <w:tcW w:w="439" w:type="pct"/>
            <w:vAlign w:val="center"/>
          </w:tcPr>
          <w:p w14:paraId="4122FF98" w14:textId="77DBA047" w:rsidR="00957134" w:rsidRPr="005441F2" w:rsidRDefault="0036355B" w:rsidP="003F1735">
            <w:pPr>
              <w:pStyle w:val="COMTabletext"/>
              <w:keepNext w:val="0"/>
              <w:jc w:val="center"/>
              <w:rPr>
                <w:highlight w:val="darkGray"/>
              </w:rPr>
            </w:pPr>
            <w:r w:rsidRPr="004671F3">
              <w:rPr>
                <w:color w:val="000000"/>
                <w:spacing w:val="174"/>
                <w:shd w:val="solid" w:color="000000" w:fill="000000"/>
                <w:fitText w:val="260" w:id="-1032111358"/>
                <w14:textFill>
                  <w14:solidFill>
                    <w14:srgbClr w14:val="000000">
                      <w14:alpha w14:val="100000"/>
                    </w14:srgbClr>
                  </w14:solidFill>
                </w14:textFill>
              </w:rPr>
              <w:t>|</w:t>
            </w:r>
            <w:r w:rsidRPr="004671F3">
              <w:rPr>
                <w:color w:val="000000"/>
                <w:shd w:val="solid" w:color="000000" w:fill="000000"/>
                <w:fitText w:val="260" w:id="-1032111358"/>
                <w14:textFill>
                  <w14:solidFill>
                    <w14:srgbClr w14:val="000000">
                      <w14:alpha w14:val="100000"/>
                    </w14:srgbClr>
                  </w14:solidFill>
                </w14:textFill>
              </w:rPr>
              <w:t>|</w:t>
            </w:r>
          </w:p>
        </w:tc>
      </w:tr>
      <w:tr w:rsidR="001518B9" w:rsidRPr="00E211D2" w14:paraId="3A86B3EE" w14:textId="77777777" w:rsidTr="00111848">
        <w:tc>
          <w:tcPr>
            <w:tcW w:w="2576" w:type="pct"/>
          </w:tcPr>
          <w:p w14:paraId="78418A00" w14:textId="182AA850" w:rsidR="001518B9" w:rsidRPr="00E211D2" w:rsidRDefault="001518B9" w:rsidP="003F1735">
            <w:pPr>
              <w:pStyle w:val="COMTabletext"/>
              <w:keepNext w:val="0"/>
            </w:pPr>
            <w:r w:rsidRPr="00E211D2">
              <w:t xml:space="preserve">[A] Adjustment for effect of mineral oil = 7%; [C] Censoring for discontinuation applied to neither arm; </w:t>
            </w:r>
            <w:proofErr w:type="gramStart"/>
            <w:r w:rsidRPr="00E211D2">
              <w:t>and</w:t>
            </w:r>
            <w:proofErr w:type="gramEnd"/>
            <w:r w:rsidRPr="00E211D2">
              <w:t xml:space="preserve"> [D] Event free health state cost $5,229</w:t>
            </w:r>
          </w:p>
        </w:tc>
        <w:tc>
          <w:tcPr>
            <w:tcW w:w="650" w:type="pct"/>
            <w:vAlign w:val="center"/>
          </w:tcPr>
          <w:p w14:paraId="05581B03" w14:textId="777212DB" w:rsidR="001518B9" w:rsidRPr="005441F2" w:rsidRDefault="0036355B" w:rsidP="003F1735">
            <w:pPr>
              <w:pStyle w:val="COMTabletext"/>
              <w:keepNext w:val="0"/>
              <w:jc w:val="center"/>
              <w:rPr>
                <w:highlight w:val="darkGray"/>
              </w:rPr>
            </w:pPr>
            <w:r w:rsidRPr="004671F3">
              <w:rPr>
                <w:color w:val="000000"/>
                <w:spacing w:val="52"/>
                <w:shd w:val="solid" w:color="000000" w:fill="000000"/>
                <w:fitText w:val="520" w:id="-1032111353"/>
                <w14:textFill>
                  <w14:solidFill>
                    <w14:srgbClr w14:val="000000">
                      <w14:alpha w14:val="100000"/>
                    </w14:srgbClr>
                  </w14:solidFill>
                </w14:textFill>
              </w:rPr>
              <w:t>|||||</w:t>
            </w:r>
            <w:r w:rsidRPr="004671F3">
              <w:rPr>
                <w:color w:val="000000"/>
                <w:spacing w:val="5"/>
                <w:shd w:val="solid" w:color="000000" w:fill="000000"/>
                <w:fitText w:val="520" w:id="-1032111353"/>
                <w14:textFill>
                  <w14:solidFill>
                    <w14:srgbClr w14:val="000000">
                      <w14:alpha w14:val="100000"/>
                    </w14:srgbClr>
                  </w14:solidFill>
                </w14:textFill>
              </w:rPr>
              <w:t>|</w:t>
            </w:r>
          </w:p>
        </w:tc>
        <w:tc>
          <w:tcPr>
            <w:tcW w:w="650" w:type="pct"/>
            <w:vAlign w:val="center"/>
          </w:tcPr>
          <w:p w14:paraId="2011030E" w14:textId="0470825C" w:rsidR="001518B9" w:rsidRPr="00E211D2" w:rsidRDefault="001518B9" w:rsidP="003F1735">
            <w:pPr>
              <w:pStyle w:val="COMTabletext"/>
              <w:keepNext w:val="0"/>
              <w:jc w:val="center"/>
            </w:pPr>
            <w:r w:rsidRPr="00E211D2">
              <w:t>0.098</w:t>
            </w:r>
          </w:p>
        </w:tc>
        <w:tc>
          <w:tcPr>
            <w:tcW w:w="685" w:type="pct"/>
            <w:vAlign w:val="center"/>
          </w:tcPr>
          <w:p w14:paraId="47AEF612" w14:textId="71A2ACCF" w:rsidR="001518B9" w:rsidRPr="005441F2" w:rsidRDefault="0036355B" w:rsidP="003F1735">
            <w:pPr>
              <w:pStyle w:val="COMTabletext"/>
              <w:keepNext w:val="0"/>
              <w:jc w:val="center"/>
              <w:rPr>
                <w:highlight w:val="darkGray"/>
              </w:rPr>
            </w:pPr>
            <w:r>
              <w:t xml:space="preserve"> </w:t>
            </w:r>
            <w:r w:rsidRPr="0036355B">
              <w:rPr>
                <w:color w:val="000000"/>
                <w:spacing w:val="56"/>
                <w:shd w:val="solid" w:color="000000" w:fill="000000"/>
                <w:fitText w:val="540" w:id="-1032111350"/>
                <w14:textFill>
                  <w14:solidFill>
                    <w14:srgbClr w14:val="000000">
                      <w14:alpha w14:val="100000"/>
                    </w14:srgbClr>
                  </w14:solidFill>
                </w14:textFill>
              </w:rPr>
              <w:t>|||||</w:t>
            </w:r>
            <w:r w:rsidRPr="0036355B">
              <w:rPr>
                <w:color w:val="000000"/>
                <w:spacing w:val="5"/>
                <w:shd w:val="solid" w:color="000000" w:fill="000000"/>
                <w:fitText w:val="540" w:id="-1032111350"/>
                <w14:textFill>
                  <w14:solidFill>
                    <w14:srgbClr w14:val="000000">
                      <w14:alpha w14:val="100000"/>
                    </w14:srgbClr>
                  </w14:solidFill>
                </w14:textFill>
              </w:rPr>
              <w:t>|</w:t>
            </w:r>
            <w:r w:rsidR="00CF5EF5">
              <w:rPr>
                <w:sz w:val="18"/>
                <w:szCs w:val="18"/>
                <w:vertAlign w:val="superscript"/>
              </w:rPr>
              <w:t>6</w:t>
            </w:r>
          </w:p>
        </w:tc>
        <w:tc>
          <w:tcPr>
            <w:tcW w:w="439" w:type="pct"/>
            <w:vAlign w:val="center"/>
          </w:tcPr>
          <w:p w14:paraId="1E22DD0B" w14:textId="13B194CD" w:rsidR="001518B9" w:rsidRPr="005441F2" w:rsidRDefault="0036355B" w:rsidP="003F1735">
            <w:pPr>
              <w:pStyle w:val="COMTabletext"/>
              <w:keepNext w:val="0"/>
              <w:jc w:val="center"/>
              <w:rPr>
                <w:highlight w:val="darkGray"/>
              </w:rPr>
            </w:pPr>
            <w:r w:rsidRPr="004671F3">
              <w:rPr>
                <w:color w:val="000000"/>
                <w:spacing w:val="217"/>
                <w:shd w:val="solid" w:color="000000" w:fill="000000"/>
                <w:fitText w:val="260" w:id="-1032111346"/>
                <w14:textFill>
                  <w14:solidFill>
                    <w14:srgbClr w14:val="000000">
                      <w14:alpha w14:val="100000"/>
                    </w14:srgbClr>
                  </w14:solidFill>
                </w14:textFill>
              </w:rPr>
              <w:t>|</w:t>
            </w:r>
          </w:p>
        </w:tc>
      </w:tr>
    </w:tbl>
    <w:p w14:paraId="5E4C4BDC" w14:textId="77777777" w:rsidR="000E63B0" w:rsidRDefault="000E63B0" w:rsidP="003F1735">
      <w:pPr>
        <w:pStyle w:val="COMTablefooter"/>
      </w:pPr>
      <w:r w:rsidRPr="00245522">
        <w:t>Source: Constructed</w:t>
      </w:r>
      <w:r>
        <w:t xml:space="preserve"> during the evaluation using the Section 3 economic model Excel workbook.</w:t>
      </w:r>
    </w:p>
    <w:p w14:paraId="30070E24" w14:textId="77777777" w:rsidR="000E63B0" w:rsidRDefault="000E63B0" w:rsidP="003F1735">
      <w:pPr>
        <w:pStyle w:val="COMTablefooter"/>
      </w:pPr>
      <w:r>
        <w:t>Abbreviations: MI, myocardial infarction.</w:t>
      </w:r>
    </w:p>
    <w:p w14:paraId="19B63F0A" w14:textId="77777777" w:rsidR="000E63B0" w:rsidRPr="00162431" w:rsidRDefault="000E63B0" w:rsidP="003F1735">
      <w:pPr>
        <w:pStyle w:val="COMTablefooter"/>
      </w:pPr>
      <w:proofErr w:type="spellStart"/>
      <w:r>
        <w:rPr>
          <w:vertAlign w:val="superscript"/>
        </w:rPr>
        <w:t>a</w:t>
      </w:r>
      <w:proofErr w:type="spellEnd"/>
      <w:r>
        <w:t xml:space="preserve"> Institute for Clinical and Economic Review report (</w:t>
      </w:r>
      <w:r w:rsidRPr="00D969E0">
        <w:t>Additive Therapies for Cardiovascular Disease: Effectiveness and Value</w:t>
      </w:r>
      <w:r>
        <w:t>; 2019).</w:t>
      </w:r>
    </w:p>
    <w:p w14:paraId="7F9D32CD" w14:textId="53BEF0A1" w:rsidR="000E63B0" w:rsidRDefault="000E63B0" w:rsidP="003F1735">
      <w:pPr>
        <w:pStyle w:val="COMTablefooter"/>
        <w:spacing w:after="0"/>
      </w:pPr>
      <w:r>
        <w:rPr>
          <w:vertAlign w:val="superscript"/>
        </w:rPr>
        <w:t>b</w:t>
      </w:r>
      <w:r>
        <w:t xml:space="preserve"> </w:t>
      </w:r>
      <w:r w:rsidRPr="008335BB">
        <w:t>National Institute for Health and Care Excellence</w:t>
      </w:r>
      <w:r>
        <w:t xml:space="preserve"> </w:t>
      </w:r>
      <w:r w:rsidRPr="009D1063">
        <w:t>ID3831</w:t>
      </w:r>
      <w:r>
        <w:t xml:space="preserve"> (2022).</w:t>
      </w:r>
    </w:p>
    <w:p w14:paraId="5F222EE5" w14:textId="350E6014" w:rsidR="00206A01" w:rsidRPr="005441F2" w:rsidRDefault="00206A01" w:rsidP="003F1735">
      <w:pPr>
        <w:rPr>
          <w:rFonts w:ascii="Arial Narrow" w:hAnsi="Arial Narrow"/>
          <w:i/>
          <w:iCs/>
          <w:sz w:val="18"/>
          <w:szCs w:val="18"/>
        </w:rPr>
      </w:pPr>
      <w:r w:rsidRPr="005441F2">
        <w:rPr>
          <w:rFonts w:ascii="Arial Narrow" w:hAnsi="Arial Narrow"/>
          <w:i/>
          <w:iCs/>
          <w:sz w:val="18"/>
          <w:szCs w:val="18"/>
        </w:rPr>
        <w:t>The redacted values correspond to the following ranges:</w:t>
      </w:r>
    </w:p>
    <w:p w14:paraId="0388B822" w14:textId="486A0CA8" w:rsidR="00206A01" w:rsidRPr="005441F2" w:rsidRDefault="00206A01" w:rsidP="003F1735">
      <w:pPr>
        <w:rPr>
          <w:rFonts w:ascii="Arial Narrow" w:hAnsi="Arial Narrow"/>
          <w:i/>
          <w:iCs/>
          <w:sz w:val="18"/>
          <w:szCs w:val="18"/>
        </w:rPr>
      </w:pPr>
      <w:r w:rsidRPr="005441F2">
        <w:rPr>
          <w:rFonts w:ascii="Arial Narrow" w:hAnsi="Arial Narrow"/>
          <w:i/>
          <w:iCs/>
          <w:sz w:val="18"/>
          <w:szCs w:val="18"/>
          <w:vertAlign w:val="superscript"/>
        </w:rPr>
        <w:lastRenderedPageBreak/>
        <w:t>1</w:t>
      </w:r>
      <w:r w:rsidRPr="005441F2">
        <w:rPr>
          <w:rFonts w:ascii="Arial Narrow" w:hAnsi="Arial Narrow"/>
          <w:i/>
          <w:iCs/>
          <w:sz w:val="18"/>
          <w:szCs w:val="18"/>
        </w:rPr>
        <w:t xml:space="preserve"> $25,000 to &lt; $35,000</w:t>
      </w:r>
    </w:p>
    <w:p w14:paraId="277466C5" w14:textId="1836D620" w:rsidR="00206A01" w:rsidRPr="005441F2" w:rsidRDefault="00206A01" w:rsidP="003F1735">
      <w:pPr>
        <w:rPr>
          <w:rFonts w:ascii="Arial Narrow" w:hAnsi="Arial Narrow"/>
          <w:i/>
          <w:iCs/>
          <w:sz w:val="18"/>
          <w:szCs w:val="18"/>
        </w:rPr>
      </w:pPr>
      <w:r w:rsidRPr="005441F2">
        <w:rPr>
          <w:rFonts w:ascii="Arial Narrow" w:hAnsi="Arial Narrow"/>
          <w:i/>
          <w:iCs/>
          <w:sz w:val="18"/>
          <w:szCs w:val="18"/>
          <w:vertAlign w:val="superscript"/>
        </w:rPr>
        <w:t>2</w:t>
      </w:r>
      <w:r w:rsidRPr="005441F2">
        <w:rPr>
          <w:rFonts w:ascii="Arial Narrow" w:hAnsi="Arial Narrow"/>
          <w:i/>
          <w:iCs/>
          <w:sz w:val="18"/>
          <w:szCs w:val="18"/>
        </w:rPr>
        <w:t xml:space="preserve"> $15,000 to &lt; $25,000</w:t>
      </w:r>
    </w:p>
    <w:p w14:paraId="52470E09" w14:textId="14316726" w:rsidR="00206A01" w:rsidRPr="005441F2" w:rsidRDefault="002A491B" w:rsidP="003F1735">
      <w:pPr>
        <w:rPr>
          <w:rFonts w:ascii="Arial Narrow" w:hAnsi="Arial Narrow"/>
          <w:i/>
          <w:iCs/>
          <w:sz w:val="18"/>
          <w:szCs w:val="18"/>
        </w:rPr>
      </w:pPr>
      <w:r>
        <w:rPr>
          <w:rFonts w:ascii="Arial Narrow" w:hAnsi="Arial Narrow"/>
          <w:i/>
          <w:iCs/>
          <w:sz w:val="18"/>
          <w:szCs w:val="18"/>
          <w:vertAlign w:val="superscript"/>
        </w:rPr>
        <w:t>3</w:t>
      </w:r>
      <w:r w:rsidR="008A76A6">
        <w:rPr>
          <w:rFonts w:ascii="Arial Narrow" w:hAnsi="Arial Narrow"/>
          <w:i/>
          <w:iCs/>
          <w:sz w:val="18"/>
          <w:szCs w:val="18"/>
          <w:vertAlign w:val="superscript"/>
        </w:rPr>
        <w:t xml:space="preserve"> </w:t>
      </w:r>
      <w:r w:rsidR="00206A01" w:rsidRPr="005441F2">
        <w:rPr>
          <w:rFonts w:ascii="Arial Narrow" w:hAnsi="Arial Narrow"/>
          <w:i/>
          <w:iCs/>
          <w:sz w:val="18"/>
          <w:szCs w:val="18"/>
        </w:rPr>
        <w:t>$35,000 to &lt; $45,000</w:t>
      </w:r>
    </w:p>
    <w:p w14:paraId="0629F99F" w14:textId="2F68172B" w:rsidR="00206A01" w:rsidRPr="005441F2" w:rsidRDefault="002A491B" w:rsidP="003F1735">
      <w:pPr>
        <w:rPr>
          <w:rFonts w:ascii="Arial Narrow" w:hAnsi="Arial Narrow"/>
          <w:i/>
          <w:iCs/>
          <w:sz w:val="18"/>
          <w:szCs w:val="18"/>
        </w:rPr>
      </w:pPr>
      <w:r>
        <w:rPr>
          <w:rFonts w:ascii="Arial Narrow" w:hAnsi="Arial Narrow"/>
          <w:i/>
          <w:iCs/>
          <w:sz w:val="18"/>
          <w:szCs w:val="18"/>
          <w:vertAlign w:val="superscript"/>
        </w:rPr>
        <w:t>4</w:t>
      </w:r>
      <w:r w:rsidR="00206A01" w:rsidRPr="005441F2">
        <w:rPr>
          <w:rFonts w:ascii="Arial Narrow" w:hAnsi="Arial Narrow"/>
          <w:i/>
          <w:iCs/>
          <w:sz w:val="18"/>
          <w:szCs w:val="18"/>
        </w:rPr>
        <w:t xml:space="preserve"> $95,000 to &lt; $115,000</w:t>
      </w:r>
    </w:p>
    <w:p w14:paraId="3F147730" w14:textId="474DABA1" w:rsidR="005936E3" w:rsidRPr="005441F2" w:rsidRDefault="002A491B" w:rsidP="003F1735">
      <w:pPr>
        <w:rPr>
          <w:rFonts w:ascii="Arial Narrow" w:hAnsi="Arial Narrow"/>
          <w:i/>
          <w:iCs/>
          <w:sz w:val="18"/>
          <w:szCs w:val="18"/>
        </w:rPr>
      </w:pPr>
      <w:r>
        <w:rPr>
          <w:rFonts w:ascii="Arial Narrow" w:hAnsi="Arial Narrow"/>
          <w:i/>
          <w:iCs/>
          <w:sz w:val="18"/>
          <w:szCs w:val="18"/>
          <w:vertAlign w:val="superscript"/>
        </w:rPr>
        <w:t>5</w:t>
      </w:r>
      <w:r w:rsidR="005936E3" w:rsidRPr="005441F2">
        <w:rPr>
          <w:rFonts w:ascii="Arial Narrow" w:hAnsi="Arial Narrow"/>
          <w:i/>
          <w:iCs/>
          <w:sz w:val="18"/>
          <w:szCs w:val="18"/>
        </w:rPr>
        <w:t xml:space="preserve"> $45,000 to &lt; $55,000</w:t>
      </w:r>
    </w:p>
    <w:p w14:paraId="22507C46" w14:textId="09BE259F" w:rsidR="005936E3" w:rsidRPr="005441F2" w:rsidRDefault="002A491B" w:rsidP="003F1735">
      <w:pPr>
        <w:rPr>
          <w:rFonts w:ascii="Arial Narrow" w:hAnsi="Arial Narrow"/>
          <w:i/>
          <w:iCs/>
          <w:sz w:val="18"/>
          <w:szCs w:val="18"/>
        </w:rPr>
      </w:pPr>
      <w:r>
        <w:rPr>
          <w:rFonts w:ascii="Arial Narrow" w:hAnsi="Arial Narrow"/>
          <w:i/>
          <w:iCs/>
          <w:sz w:val="18"/>
          <w:szCs w:val="18"/>
          <w:vertAlign w:val="superscript"/>
        </w:rPr>
        <w:t>6</w:t>
      </w:r>
      <w:r w:rsidR="005936E3" w:rsidRPr="005441F2">
        <w:rPr>
          <w:rFonts w:ascii="Arial Narrow" w:hAnsi="Arial Narrow"/>
          <w:i/>
          <w:iCs/>
          <w:sz w:val="18"/>
          <w:szCs w:val="18"/>
        </w:rPr>
        <w:t xml:space="preserve"> $55,000 to &lt; $75,000</w:t>
      </w:r>
    </w:p>
    <w:p w14:paraId="694FE5D6" w14:textId="1EA632DF" w:rsidR="00206A01" w:rsidRPr="004671F3" w:rsidRDefault="002A491B" w:rsidP="003F1735">
      <w:pPr>
        <w:spacing w:after="120"/>
        <w:rPr>
          <w:rFonts w:ascii="Arial Narrow" w:hAnsi="Arial Narrow"/>
          <w:i/>
          <w:iCs/>
          <w:sz w:val="18"/>
          <w:szCs w:val="18"/>
        </w:rPr>
      </w:pPr>
      <w:r>
        <w:rPr>
          <w:rFonts w:ascii="Arial Narrow" w:hAnsi="Arial Narrow"/>
          <w:i/>
          <w:iCs/>
          <w:sz w:val="18"/>
          <w:szCs w:val="18"/>
          <w:vertAlign w:val="superscript"/>
        </w:rPr>
        <w:t>7</w:t>
      </w:r>
      <w:r w:rsidR="005936E3" w:rsidRPr="005441F2">
        <w:rPr>
          <w:rFonts w:ascii="Arial Narrow" w:hAnsi="Arial Narrow"/>
          <w:i/>
          <w:iCs/>
          <w:sz w:val="18"/>
          <w:szCs w:val="18"/>
        </w:rPr>
        <w:t xml:space="preserve"> $75,000 to &lt; $95,000</w:t>
      </w:r>
    </w:p>
    <w:p w14:paraId="3C49D8C2" w14:textId="1066E500" w:rsidR="000E63B0" w:rsidRPr="00E211D2" w:rsidRDefault="000E63B0" w:rsidP="003F1735">
      <w:pPr>
        <w:widowControl w:val="0"/>
        <w:numPr>
          <w:ilvl w:val="1"/>
          <w:numId w:val="1"/>
        </w:numPr>
        <w:spacing w:after="120"/>
        <w:ind w:left="720" w:hanging="720"/>
      </w:pPr>
      <w:r w:rsidRPr="00E211D2">
        <w:t xml:space="preserve">The modelled results were most sensitive to changes in the time horizon, changes in cardiovascular event risk, </w:t>
      </w:r>
      <w:r w:rsidR="00632F83" w:rsidRPr="00E211D2">
        <w:t>changes in health state costs</w:t>
      </w:r>
      <w:r w:rsidRPr="00E211D2">
        <w:t>, and the assumptions associated with the calculation of transition probabilities (i.e., inclusion of patients who discontinue treatment in placebo transition probability calculation; inclusion of first event only versus recurrent events).</w:t>
      </w:r>
    </w:p>
    <w:p w14:paraId="566BF735" w14:textId="6E76E784" w:rsidR="00960DC2" w:rsidRPr="00E211D2" w:rsidRDefault="00960DC2" w:rsidP="0091664F">
      <w:pPr>
        <w:widowControl w:val="0"/>
        <w:numPr>
          <w:ilvl w:val="1"/>
          <w:numId w:val="1"/>
        </w:numPr>
        <w:spacing w:after="120"/>
        <w:ind w:left="720" w:hanging="720"/>
      </w:pPr>
      <w:r w:rsidRPr="00E211D2">
        <w:t xml:space="preserve">The ESC considered that </w:t>
      </w:r>
      <w:r w:rsidR="00A80A81" w:rsidRPr="00E211D2">
        <w:t>the multivariate sensitivity analysis that included a</w:t>
      </w:r>
      <w:r w:rsidRPr="00E211D2">
        <w:t xml:space="preserve"> 7% adjustment for the effects of mineral oil</w:t>
      </w:r>
      <w:r w:rsidR="001518B9" w:rsidRPr="00E211D2">
        <w:t xml:space="preserve">, </w:t>
      </w:r>
      <w:r w:rsidR="00A80A81" w:rsidRPr="00E211D2">
        <w:t xml:space="preserve">did not apply </w:t>
      </w:r>
      <w:r w:rsidRPr="00E211D2">
        <w:t>censoring for discontinuation to either arm</w:t>
      </w:r>
      <w:r w:rsidR="00A80A81" w:rsidRPr="00E211D2">
        <w:t xml:space="preserve"> </w:t>
      </w:r>
      <w:proofErr w:type="gramStart"/>
      <w:r w:rsidR="001518B9" w:rsidRPr="00E211D2">
        <w:t>and</w:t>
      </w:r>
      <w:proofErr w:type="gramEnd"/>
      <w:r w:rsidR="001518B9" w:rsidRPr="00E211D2">
        <w:t xml:space="preserve"> applied event free health state costs of $5,229 </w:t>
      </w:r>
      <w:r w:rsidR="00A80A81" w:rsidRPr="00E211D2">
        <w:t xml:space="preserve">was </w:t>
      </w:r>
      <w:r w:rsidR="00541173">
        <w:t>more appropriate</w:t>
      </w:r>
      <w:r w:rsidR="00957134" w:rsidRPr="00E211D2">
        <w:t xml:space="preserve"> given the utilities </w:t>
      </w:r>
      <w:r w:rsidR="001518B9" w:rsidRPr="00E211D2">
        <w:t xml:space="preserve">remained </w:t>
      </w:r>
      <w:r w:rsidR="00957134" w:rsidRPr="00E211D2">
        <w:t>unreliable</w:t>
      </w:r>
      <w:r w:rsidRPr="00E211D2">
        <w:t xml:space="preserve">. </w:t>
      </w:r>
      <w:r w:rsidR="00957134" w:rsidRPr="00E211D2">
        <w:t>The ESC advised that a revised model and price reduction would be required to ensure icosapent ethyl was cost effective.</w:t>
      </w:r>
      <w:r w:rsidRPr="00E211D2">
        <w:t xml:space="preserve"> </w:t>
      </w:r>
    </w:p>
    <w:p w14:paraId="472842D7" w14:textId="4BBAA917" w:rsidR="00C25D9C" w:rsidRDefault="00C25D9C" w:rsidP="00BB732D">
      <w:pPr>
        <w:pStyle w:val="COMH2-non-numbered"/>
      </w:pPr>
      <w:bookmarkStart w:id="60" w:name="_Toc22897646"/>
      <w:bookmarkStart w:id="61" w:name="_Toc144685992"/>
      <w:bookmarkStart w:id="62" w:name="_Toc145499032"/>
      <w:r w:rsidRPr="002C2775">
        <w:t>Drug cost/patient/year</w:t>
      </w:r>
      <w:bookmarkEnd w:id="60"/>
      <w:bookmarkEnd w:id="61"/>
      <w:bookmarkEnd w:id="62"/>
    </w:p>
    <w:bookmarkStart w:id="63" w:name="_Ref104805102"/>
    <w:p w14:paraId="42816F50" w14:textId="53C371EB" w:rsidR="0035129B" w:rsidRDefault="00EF2573" w:rsidP="0091664F">
      <w:pPr>
        <w:widowControl w:val="0"/>
        <w:numPr>
          <w:ilvl w:val="1"/>
          <w:numId w:val="1"/>
        </w:numPr>
        <w:spacing w:after="120"/>
        <w:ind w:left="720" w:hanging="720"/>
      </w:pPr>
      <w:r>
        <w:fldChar w:fldCharType="begin" w:fldLock="1"/>
      </w:r>
      <w:r>
        <w:instrText xml:space="preserve"> REF _Ref132583386 \h </w:instrText>
      </w:r>
      <w:r>
        <w:fldChar w:fldCharType="separate"/>
      </w:r>
      <w:r w:rsidR="003F1735">
        <w:t xml:space="preserve">Table </w:t>
      </w:r>
      <w:r w:rsidR="003F1735">
        <w:rPr>
          <w:noProof/>
        </w:rPr>
        <w:t>14</w:t>
      </w:r>
      <w:r>
        <w:fldChar w:fldCharType="end"/>
      </w:r>
      <w:r w:rsidR="0035129B">
        <w:t xml:space="preserve"> presents the drug costs for icosapent ethyl plus standard of care and standard of care included in the economic model and financial estimates.</w:t>
      </w:r>
    </w:p>
    <w:p w14:paraId="7A98185D" w14:textId="64B314E5" w:rsidR="0035129B" w:rsidRPr="00FD4ED6" w:rsidRDefault="0035129B" w:rsidP="003F1735">
      <w:pPr>
        <w:pStyle w:val="COMtablefigcaption"/>
      </w:pPr>
      <w:bookmarkStart w:id="64" w:name="_Ref132583386"/>
      <w:r>
        <w:lastRenderedPageBreak/>
        <w:t xml:space="preserve">Table </w:t>
      </w:r>
      <w:fldSimple w:instr=" SEQ Table \* ARABIC " w:fldLock="1">
        <w:r w:rsidR="003F1735">
          <w:rPr>
            <w:noProof/>
          </w:rPr>
          <w:t>14</w:t>
        </w:r>
      </w:fldSimple>
      <w:bookmarkEnd w:id="64"/>
      <w:r>
        <w:t>:</w:t>
      </w:r>
      <w:r w:rsidRPr="00FD4ED6">
        <w:t xml:space="preserve"> Drug cost per patient</w:t>
      </w:r>
      <w:r w:rsidR="00F25395">
        <w:t xml:space="preserve"> for </w:t>
      </w:r>
      <w:r w:rsidR="00C81799">
        <w:t>icosapent ethyl</w:t>
      </w:r>
      <w:r w:rsidR="00F25395" w:rsidRPr="00F25395">
        <w:t xml:space="preserve"> and </w:t>
      </w:r>
      <w:r w:rsidR="00C81799">
        <w:t>standard of care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4: Drug cost per patient for icosapent ethyl and standard of care"/>
        <w:tblDescription w:val="Table 14: Drug cost per patient for icosapent ethyl and standard of care"/>
      </w:tblPr>
      <w:tblGrid>
        <w:gridCol w:w="1555"/>
        <w:gridCol w:w="2487"/>
        <w:gridCol w:w="1244"/>
        <w:gridCol w:w="1244"/>
        <w:gridCol w:w="2487"/>
      </w:tblGrid>
      <w:tr w:rsidR="0035129B" w:rsidRPr="00E2771E" w14:paraId="0F893BD5" w14:textId="77777777" w:rsidTr="006C08A5">
        <w:trPr>
          <w:cantSplit/>
          <w:tblHeader/>
          <w:jc w:val="center"/>
        </w:trPr>
        <w:tc>
          <w:tcPr>
            <w:tcW w:w="862" w:type="pct"/>
            <w:shd w:val="clear" w:color="auto" w:fill="auto"/>
            <w:vAlign w:val="center"/>
          </w:tcPr>
          <w:p w14:paraId="37EBB2DA" w14:textId="77777777" w:rsidR="0035129B" w:rsidRPr="00E2771E" w:rsidRDefault="0035129B" w:rsidP="003F1735">
            <w:pPr>
              <w:pStyle w:val="COMTableheadingrow"/>
              <w:jc w:val="center"/>
            </w:pPr>
          </w:p>
        </w:tc>
        <w:tc>
          <w:tcPr>
            <w:tcW w:w="1379" w:type="pct"/>
            <w:shd w:val="clear" w:color="auto" w:fill="auto"/>
            <w:vAlign w:val="center"/>
          </w:tcPr>
          <w:p w14:paraId="683933D4" w14:textId="0AEFB22B" w:rsidR="0035129B" w:rsidRPr="00F65EAA" w:rsidRDefault="0035129B" w:rsidP="003F1735">
            <w:pPr>
              <w:pStyle w:val="COMTableheadingrow"/>
              <w:jc w:val="center"/>
            </w:pPr>
            <w:r>
              <w:t>REDUCE-IT</w:t>
            </w:r>
          </w:p>
        </w:tc>
        <w:tc>
          <w:tcPr>
            <w:tcW w:w="1380" w:type="pct"/>
            <w:gridSpan w:val="2"/>
            <w:shd w:val="clear" w:color="auto" w:fill="auto"/>
            <w:vAlign w:val="center"/>
          </w:tcPr>
          <w:p w14:paraId="758635A9" w14:textId="77777777" w:rsidR="0035129B" w:rsidRPr="00E2771E" w:rsidRDefault="0035129B" w:rsidP="003F1735">
            <w:pPr>
              <w:pStyle w:val="COMTableheadingrow"/>
              <w:jc w:val="center"/>
            </w:pPr>
            <w:r>
              <w:t>Economic model</w:t>
            </w:r>
          </w:p>
        </w:tc>
        <w:tc>
          <w:tcPr>
            <w:tcW w:w="1379" w:type="pct"/>
            <w:shd w:val="clear" w:color="auto" w:fill="auto"/>
            <w:vAlign w:val="center"/>
          </w:tcPr>
          <w:p w14:paraId="38C598F2" w14:textId="77777777" w:rsidR="0035129B" w:rsidRPr="00E2771E" w:rsidRDefault="0035129B" w:rsidP="003F1735">
            <w:pPr>
              <w:pStyle w:val="COMTableheadingrow"/>
              <w:jc w:val="center"/>
            </w:pPr>
            <w:r>
              <w:t>Financial estimates</w:t>
            </w:r>
          </w:p>
        </w:tc>
      </w:tr>
      <w:tr w:rsidR="00E91F33" w:rsidRPr="00E2771E" w14:paraId="1CA3219C" w14:textId="77777777" w:rsidTr="00E91F33">
        <w:trPr>
          <w:cantSplit/>
          <w:jc w:val="center"/>
        </w:trPr>
        <w:tc>
          <w:tcPr>
            <w:tcW w:w="5000" w:type="pct"/>
            <w:gridSpan w:val="5"/>
            <w:shd w:val="clear" w:color="auto" w:fill="auto"/>
            <w:vAlign w:val="center"/>
          </w:tcPr>
          <w:p w14:paraId="0B858745" w14:textId="0B64A6A1" w:rsidR="00E91F33" w:rsidRPr="00E91F33" w:rsidRDefault="00E91F33" w:rsidP="003F1735">
            <w:pPr>
              <w:pStyle w:val="COMTabletext"/>
              <w:rPr>
                <w:b/>
                <w:lang w:val="en-US"/>
              </w:rPr>
            </w:pPr>
            <w:r>
              <w:rPr>
                <w:b/>
                <w:lang w:val="en-US"/>
              </w:rPr>
              <w:t xml:space="preserve">Icosapent ethyl </w:t>
            </w:r>
            <w:r w:rsidR="000E63B0">
              <w:rPr>
                <w:b/>
                <w:lang w:val="en-US"/>
              </w:rPr>
              <w:t>(plus</w:t>
            </w:r>
            <w:r>
              <w:rPr>
                <w:b/>
                <w:lang w:val="en-US"/>
              </w:rPr>
              <w:t xml:space="preserve"> standard of care</w:t>
            </w:r>
            <w:r w:rsidR="000E63B0">
              <w:rPr>
                <w:b/>
                <w:lang w:val="en-US"/>
              </w:rPr>
              <w:t>)</w:t>
            </w:r>
          </w:p>
        </w:tc>
      </w:tr>
      <w:tr w:rsidR="0035129B" w:rsidRPr="00E2771E" w14:paraId="0A71A70E" w14:textId="77777777" w:rsidTr="00196FA4">
        <w:trPr>
          <w:cantSplit/>
          <w:jc w:val="center"/>
        </w:trPr>
        <w:tc>
          <w:tcPr>
            <w:tcW w:w="862" w:type="pct"/>
            <w:shd w:val="clear" w:color="auto" w:fill="auto"/>
            <w:vAlign w:val="center"/>
          </w:tcPr>
          <w:p w14:paraId="1EC90B89" w14:textId="77777777" w:rsidR="0035129B" w:rsidRDefault="0035129B" w:rsidP="003F1735">
            <w:pPr>
              <w:pStyle w:val="COMTabletext"/>
              <w:rPr>
                <w:lang w:val="en-US"/>
              </w:rPr>
            </w:pPr>
            <w:r>
              <w:rPr>
                <w:lang w:val="en-US"/>
              </w:rPr>
              <w:t>Treatment regimen</w:t>
            </w:r>
          </w:p>
        </w:tc>
        <w:tc>
          <w:tcPr>
            <w:tcW w:w="1379" w:type="pct"/>
            <w:shd w:val="clear" w:color="auto" w:fill="auto"/>
            <w:vAlign w:val="center"/>
          </w:tcPr>
          <w:p w14:paraId="2139EE5B" w14:textId="75449C17" w:rsidR="0035129B" w:rsidRDefault="00E91F33" w:rsidP="003F1735">
            <w:pPr>
              <w:pStyle w:val="COMTabletext"/>
              <w:jc w:val="center"/>
              <w:rPr>
                <w:bCs w:val="0"/>
                <w:lang w:val="en-US"/>
              </w:rPr>
            </w:pPr>
            <w:r>
              <w:rPr>
                <w:bCs w:val="0"/>
                <w:lang w:val="en-US"/>
              </w:rPr>
              <w:t>Icosapent ethyl:</w:t>
            </w:r>
            <w:r w:rsidR="004252CD">
              <w:rPr>
                <w:bCs w:val="0"/>
                <w:lang w:val="en-US"/>
              </w:rPr>
              <w:t xml:space="preserve"> 2 g twice daily</w:t>
            </w:r>
          </w:p>
          <w:p w14:paraId="21CC403E" w14:textId="5171CEC1" w:rsidR="00E91F33" w:rsidRDefault="00E91F33" w:rsidP="003F1735">
            <w:pPr>
              <w:pStyle w:val="COMTabletext"/>
              <w:jc w:val="center"/>
              <w:rPr>
                <w:bCs w:val="0"/>
                <w:lang w:val="en-US"/>
              </w:rPr>
            </w:pPr>
            <w:r>
              <w:rPr>
                <w:bCs w:val="0"/>
                <w:lang w:val="en-US"/>
              </w:rPr>
              <w:t>Statin:</w:t>
            </w:r>
            <w:r w:rsidR="004252CD">
              <w:rPr>
                <w:bCs w:val="0"/>
                <w:lang w:val="en-US"/>
              </w:rPr>
              <w:t xml:space="preserve"> NR</w:t>
            </w:r>
          </w:p>
        </w:tc>
        <w:tc>
          <w:tcPr>
            <w:tcW w:w="1380" w:type="pct"/>
            <w:gridSpan w:val="2"/>
            <w:shd w:val="clear" w:color="auto" w:fill="auto"/>
            <w:vAlign w:val="center"/>
          </w:tcPr>
          <w:p w14:paraId="3801ECC5" w14:textId="411E6313" w:rsidR="00E91F33" w:rsidRDefault="00E91F33" w:rsidP="003F1735">
            <w:pPr>
              <w:pStyle w:val="COMTabletext"/>
              <w:jc w:val="center"/>
              <w:rPr>
                <w:bCs w:val="0"/>
                <w:lang w:val="en-US"/>
              </w:rPr>
            </w:pPr>
            <w:r>
              <w:rPr>
                <w:bCs w:val="0"/>
                <w:lang w:val="en-US"/>
              </w:rPr>
              <w:t>Icosapent ethyl:</w:t>
            </w:r>
            <w:r w:rsidR="001431D8">
              <w:rPr>
                <w:bCs w:val="0"/>
                <w:lang w:val="en-US"/>
              </w:rPr>
              <w:t xml:space="preserve"> 2 g twice daily</w:t>
            </w:r>
          </w:p>
          <w:p w14:paraId="33C94A37" w14:textId="586A8824" w:rsidR="0035129B" w:rsidRPr="0061230E" w:rsidRDefault="00E91F33" w:rsidP="003F1735">
            <w:pPr>
              <w:pStyle w:val="COMTabletext"/>
              <w:jc w:val="center"/>
              <w:rPr>
                <w:bCs w:val="0"/>
                <w:lang w:val="en-US"/>
              </w:rPr>
            </w:pPr>
            <w:r>
              <w:rPr>
                <w:bCs w:val="0"/>
                <w:lang w:val="en-US"/>
              </w:rPr>
              <w:t>Statin:</w:t>
            </w:r>
            <w:r w:rsidR="001431D8">
              <w:rPr>
                <w:bCs w:val="0"/>
                <w:lang w:val="en-US"/>
              </w:rPr>
              <w:t xml:space="preserve"> </w:t>
            </w:r>
            <w:r w:rsidR="0019058F">
              <w:rPr>
                <w:bCs w:val="0"/>
                <w:lang w:val="en-US"/>
              </w:rPr>
              <w:t xml:space="preserve">atorvastatin </w:t>
            </w:r>
            <w:r w:rsidR="001431D8">
              <w:rPr>
                <w:bCs w:val="0"/>
                <w:lang w:val="en-US"/>
              </w:rPr>
              <w:t>20 mg daily</w:t>
            </w:r>
          </w:p>
        </w:tc>
        <w:tc>
          <w:tcPr>
            <w:tcW w:w="1379" w:type="pct"/>
            <w:shd w:val="clear" w:color="auto" w:fill="auto"/>
            <w:vAlign w:val="center"/>
          </w:tcPr>
          <w:p w14:paraId="6FBE5D74" w14:textId="77777777" w:rsidR="0035129B" w:rsidRDefault="00E91F33" w:rsidP="003F1735">
            <w:pPr>
              <w:pStyle w:val="COMTabletext"/>
              <w:jc w:val="center"/>
              <w:rPr>
                <w:bCs w:val="0"/>
                <w:lang w:val="en-US"/>
              </w:rPr>
            </w:pPr>
            <w:r>
              <w:rPr>
                <w:bCs w:val="0"/>
                <w:lang w:val="en-US"/>
              </w:rPr>
              <w:t>Icosapent ethyl:</w:t>
            </w:r>
            <w:r w:rsidR="001431D8">
              <w:rPr>
                <w:bCs w:val="0"/>
                <w:lang w:val="en-US"/>
              </w:rPr>
              <w:t xml:space="preserve"> 2 g twice daily</w:t>
            </w:r>
          </w:p>
          <w:p w14:paraId="4C30E297" w14:textId="6F2AFDA1" w:rsidR="001431D8" w:rsidRPr="0061230E" w:rsidRDefault="001431D8" w:rsidP="003F1735">
            <w:pPr>
              <w:pStyle w:val="COMTabletext"/>
              <w:jc w:val="center"/>
              <w:rPr>
                <w:bCs w:val="0"/>
                <w:lang w:val="en-US"/>
              </w:rPr>
            </w:pPr>
            <w:r>
              <w:rPr>
                <w:bCs w:val="0"/>
                <w:lang w:val="en-US"/>
              </w:rPr>
              <w:t xml:space="preserve">Statin: Not </w:t>
            </w:r>
            <w:r w:rsidR="00B96D5D">
              <w:rPr>
                <w:bCs w:val="0"/>
                <w:lang w:val="en-US"/>
              </w:rPr>
              <w:t>included</w:t>
            </w:r>
          </w:p>
        </w:tc>
      </w:tr>
      <w:tr w:rsidR="0035129B" w:rsidRPr="00E2771E" w14:paraId="07D0CC80" w14:textId="77777777" w:rsidTr="00196FA4">
        <w:trPr>
          <w:cantSplit/>
          <w:jc w:val="center"/>
        </w:trPr>
        <w:tc>
          <w:tcPr>
            <w:tcW w:w="862" w:type="pct"/>
            <w:shd w:val="clear" w:color="auto" w:fill="auto"/>
            <w:vAlign w:val="center"/>
          </w:tcPr>
          <w:p w14:paraId="5D111378" w14:textId="77777777" w:rsidR="0035129B" w:rsidRPr="001F5BDA" w:rsidRDefault="0035129B" w:rsidP="003F1735">
            <w:pPr>
              <w:pStyle w:val="COMTabletext"/>
              <w:rPr>
                <w:lang w:val="en-US"/>
              </w:rPr>
            </w:pPr>
            <w:r>
              <w:rPr>
                <w:lang w:val="en-US"/>
              </w:rPr>
              <w:t>Adherence</w:t>
            </w:r>
          </w:p>
        </w:tc>
        <w:tc>
          <w:tcPr>
            <w:tcW w:w="1379" w:type="pct"/>
            <w:shd w:val="clear" w:color="auto" w:fill="auto"/>
            <w:vAlign w:val="center"/>
          </w:tcPr>
          <w:p w14:paraId="59F4677B" w14:textId="179E3869" w:rsidR="00D13A3B" w:rsidRDefault="00D13A3B" w:rsidP="003F1735">
            <w:pPr>
              <w:pStyle w:val="COMTabletext"/>
              <w:jc w:val="center"/>
              <w:rPr>
                <w:bCs w:val="0"/>
                <w:lang w:val="en-US"/>
              </w:rPr>
            </w:pPr>
            <w:r>
              <w:rPr>
                <w:bCs w:val="0"/>
                <w:lang w:val="en-US"/>
              </w:rPr>
              <w:t>Icosapent ethyl: 97.5%</w:t>
            </w:r>
          </w:p>
          <w:p w14:paraId="7324CC51" w14:textId="09FFA734" w:rsidR="0035129B" w:rsidRPr="0061230E" w:rsidRDefault="00D13A3B" w:rsidP="003F1735">
            <w:pPr>
              <w:pStyle w:val="COMTabletext"/>
              <w:jc w:val="center"/>
              <w:rPr>
                <w:bCs w:val="0"/>
                <w:lang w:val="en-US"/>
              </w:rPr>
            </w:pPr>
            <w:r>
              <w:rPr>
                <w:bCs w:val="0"/>
                <w:lang w:val="en-US"/>
              </w:rPr>
              <w:t>Statin: NR</w:t>
            </w:r>
          </w:p>
        </w:tc>
        <w:tc>
          <w:tcPr>
            <w:tcW w:w="1380" w:type="pct"/>
            <w:gridSpan w:val="2"/>
            <w:shd w:val="clear" w:color="auto" w:fill="auto"/>
            <w:vAlign w:val="center"/>
          </w:tcPr>
          <w:p w14:paraId="72DBF7AD" w14:textId="77777777" w:rsidR="0019058F" w:rsidRDefault="0019058F" w:rsidP="003F1735">
            <w:pPr>
              <w:pStyle w:val="COMTabletext"/>
              <w:jc w:val="center"/>
              <w:rPr>
                <w:bCs w:val="0"/>
                <w:lang w:val="en-US"/>
              </w:rPr>
            </w:pPr>
            <w:r>
              <w:rPr>
                <w:bCs w:val="0"/>
                <w:lang w:val="en-US"/>
              </w:rPr>
              <w:t>Icosapent ethyl: 97.5%</w:t>
            </w:r>
          </w:p>
          <w:p w14:paraId="65BF2494" w14:textId="0C745C80" w:rsidR="0035129B" w:rsidRPr="0061230E" w:rsidRDefault="0019058F" w:rsidP="003F1735">
            <w:pPr>
              <w:pStyle w:val="COMTabletext"/>
              <w:jc w:val="center"/>
              <w:rPr>
                <w:bCs w:val="0"/>
                <w:lang w:val="en-US"/>
              </w:rPr>
            </w:pPr>
            <w:r>
              <w:rPr>
                <w:bCs w:val="0"/>
                <w:lang w:val="en-US"/>
              </w:rPr>
              <w:t>Statin: 100%</w:t>
            </w:r>
          </w:p>
        </w:tc>
        <w:tc>
          <w:tcPr>
            <w:tcW w:w="1379" w:type="pct"/>
            <w:shd w:val="clear" w:color="auto" w:fill="auto"/>
            <w:vAlign w:val="center"/>
          </w:tcPr>
          <w:p w14:paraId="70EB23FE" w14:textId="5F510A5D" w:rsidR="0035129B" w:rsidRPr="0061230E" w:rsidRDefault="0019058F" w:rsidP="003F1735">
            <w:pPr>
              <w:pStyle w:val="COMTabletext"/>
              <w:jc w:val="center"/>
              <w:rPr>
                <w:bCs w:val="0"/>
                <w:lang w:val="en-US"/>
              </w:rPr>
            </w:pPr>
            <w:r>
              <w:rPr>
                <w:bCs w:val="0"/>
                <w:lang w:val="en-US"/>
              </w:rPr>
              <w:t>Icosapent ethyl: 97.5%</w:t>
            </w:r>
          </w:p>
        </w:tc>
      </w:tr>
      <w:tr w:rsidR="0035129B" w:rsidRPr="00E2771E" w14:paraId="57A03E59" w14:textId="77777777" w:rsidTr="00196FA4">
        <w:trPr>
          <w:cantSplit/>
          <w:jc w:val="center"/>
        </w:trPr>
        <w:tc>
          <w:tcPr>
            <w:tcW w:w="862" w:type="pct"/>
            <w:shd w:val="clear" w:color="auto" w:fill="auto"/>
            <w:vAlign w:val="center"/>
          </w:tcPr>
          <w:p w14:paraId="7041FC79" w14:textId="77777777" w:rsidR="0035129B" w:rsidRPr="001F5BDA" w:rsidRDefault="0035129B" w:rsidP="003F1735">
            <w:pPr>
              <w:pStyle w:val="COMTabletext"/>
              <w:rPr>
                <w:lang w:val="en-US"/>
              </w:rPr>
            </w:pPr>
            <w:r>
              <w:rPr>
                <w:lang w:val="en-US"/>
              </w:rPr>
              <w:t>Cost per year</w:t>
            </w:r>
          </w:p>
        </w:tc>
        <w:tc>
          <w:tcPr>
            <w:tcW w:w="1379" w:type="pct"/>
            <w:shd w:val="clear" w:color="auto" w:fill="auto"/>
            <w:vAlign w:val="center"/>
          </w:tcPr>
          <w:p w14:paraId="2E7FB415" w14:textId="77777777" w:rsidR="0035129B" w:rsidRPr="0061230E" w:rsidRDefault="0035129B" w:rsidP="003F1735">
            <w:pPr>
              <w:pStyle w:val="COMTabletext"/>
              <w:jc w:val="center"/>
              <w:rPr>
                <w:bCs w:val="0"/>
                <w:lang w:val="en-US"/>
              </w:rPr>
            </w:pPr>
            <w:r>
              <w:rPr>
                <w:bCs w:val="0"/>
                <w:lang w:val="en-US"/>
              </w:rPr>
              <w:t>-</w:t>
            </w:r>
          </w:p>
        </w:tc>
        <w:tc>
          <w:tcPr>
            <w:tcW w:w="1380" w:type="pct"/>
            <w:gridSpan w:val="2"/>
            <w:shd w:val="clear" w:color="auto" w:fill="auto"/>
            <w:vAlign w:val="center"/>
          </w:tcPr>
          <w:p w14:paraId="5198517D" w14:textId="15025857" w:rsidR="0035129B" w:rsidRPr="002520A0" w:rsidRDefault="009F447E" w:rsidP="003F1735">
            <w:pPr>
              <w:pStyle w:val="COMTabletext"/>
              <w:jc w:val="center"/>
              <w:rPr>
                <w:bCs w:val="0"/>
                <w:vertAlign w:val="superscript"/>
                <w:lang w:val="en-US"/>
              </w:rPr>
            </w:pPr>
            <w:r>
              <w:rPr>
                <w:bCs w:val="0"/>
                <w:lang w:val="en-US"/>
              </w:rPr>
              <w:t xml:space="preserve">Icosapent ethyl: </w:t>
            </w:r>
            <w:r w:rsidR="004671F3">
              <w:rPr>
                <w:bCs w:val="0"/>
                <w:lang w:val="en-US"/>
              </w:rPr>
              <w:t>$</w:t>
            </w:r>
            <w:r w:rsidR="0036355B" w:rsidRPr="004671F3">
              <w:rPr>
                <w:bCs w:val="0"/>
                <w:color w:val="000000"/>
                <w:spacing w:val="49"/>
                <w:shd w:val="solid" w:color="000000" w:fill="000000"/>
                <w:fitText w:val="320" w:id="-1032111360"/>
                <w:lang w:val="en-US"/>
                <w14:textFill>
                  <w14:solidFill>
                    <w14:srgbClr w14:val="000000">
                      <w14:alpha w14:val="100000"/>
                    </w14:srgbClr>
                  </w14:solidFill>
                </w14:textFill>
              </w:rPr>
              <w:t>|||</w:t>
            </w:r>
            <w:r w:rsidR="0036355B" w:rsidRPr="004671F3">
              <w:rPr>
                <w:bCs w:val="0"/>
                <w:color w:val="000000"/>
                <w:spacing w:val="3"/>
                <w:shd w:val="solid" w:color="000000" w:fill="000000"/>
                <w:fitText w:val="320" w:id="-1032111360"/>
                <w:lang w:val="en-US"/>
                <w14:textFill>
                  <w14:solidFill>
                    <w14:srgbClr w14:val="000000">
                      <w14:alpha w14:val="100000"/>
                    </w14:srgbClr>
                  </w14:solidFill>
                </w14:textFill>
              </w:rPr>
              <w:t>|</w:t>
            </w:r>
            <w:r w:rsidR="002520A0">
              <w:rPr>
                <w:bCs w:val="0"/>
                <w:vertAlign w:val="superscript"/>
                <w:lang w:val="en-US"/>
              </w:rPr>
              <w:t>a</w:t>
            </w:r>
          </w:p>
          <w:p w14:paraId="742C427F" w14:textId="6069EB6A" w:rsidR="009F447E" w:rsidRPr="002520A0" w:rsidRDefault="009F447E" w:rsidP="003F1735">
            <w:pPr>
              <w:pStyle w:val="COMTabletext"/>
              <w:jc w:val="center"/>
              <w:rPr>
                <w:bCs w:val="0"/>
                <w:vertAlign w:val="superscript"/>
                <w:lang w:val="en-US"/>
              </w:rPr>
            </w:pPr>
            <w:r>
              <w:rPr>
                <w:bCs w:val="0"/>
                <w:lang w:val="en-US"/>
              </w:rPr>
              <w:t>Statin: $</w:t>
            </w:r>
            <w:r w:rsidRPr="009F447E">
              <w:rPr>
                <w:bCs w:val="0"/>
                <w:lang w:val="en-US"/>
              </w:rPr>
              <w:t>184.45</w:t>
            </w:r>
            <w:r w:rsidR="002520A0">
              <w:rPr>
                <w:bCs w:val="0"/>
                <w:vertAlign w:val="superscript"/>
                <w:lang w:val="en-US"/>
              </w:rPr>
              <w:t>b</w:t>
            </w:r>
          </w:p>
        </w:tc>
        <w:tc>
          <w:tcPr>
            <w:tcW w:w="1379" w:type="pct"/>
            <w:shd w:val="clear" w:color="auto" w:fill="auto"/>
            <w:vAlign w:val="center"/>
          </w:tcPr>
          <w:p w14:paraId="60FFFD2B" w14:textId="4FD1DF3D" w:rsidR="0035129B" w:rsidRPr="009F4086" w:rsidRDefault="00B96D5D" w:rsidP="003F1735">
            <w:pPr>
              <w:pStyle w:val="COMTabletext"/>
              <w:jc w:val="center"/>
              <w:rPr>
                <w:bCs w:val="0"/>
                <w:vertAlign w:val="superscript"/>
                <w:lang w:val="en-US"/>
              </w:rPr>
            </w:pPr>
            <w:r w:rsidRPr="00B96D5D">
              <w:rPr>
                <w:bCs w:val="0"/>
                <w:lang w:val="en-US"/>
              </w:rPr>
              <w:t>Icosap</w:t>
            </w:r>
            <w:r>
              <w:rPr>
                <w:bCs w:val="0"/>
                <w:lang w:val="en-US"/>
              </w:rPr>
              <w:t xml:space="preserve">ent ethyl: </w:t>
            </w:r>
            <w:r w:rsidR="004671F3">
              <w:rPr>
                <w:bCs w:val="0"/>
                <w:lang w:val="en-US"/>
              </w:rPr>
              <w:t>$</w:t>
            </w:r>
            <w:r w:rsidR="0036355B" w:rsidRPr="004671F3">
              <w:rPr>
                <w:bCs w:val="0"/>
                <w:color w:val="000000"/>
                <w:spacing w:val="63"/>
                <w:shd w:val="solid" w:color="000000" w:fill="000000"/>
                <w:fitText w:val="360" w:id="-1032111357"/>
                <w:lang w:val="en-US"/>
                <w14:textFill>
                  <w14:solidFill>
                    <w14:srgbClr w14:val="000000">
                      <w14:alpha w14:val="100000"/>
                    </w14:srgbClr>
                  </w14:solidFill>
                </w14:textFill>
              </w:rPr>
              <w:t>|||</w:t>
            </w:r>
            <w:r w:rsidR="0036355B" w:rsidRPr="004671F3">
              <w:rPr>
                <w:bCs w:val="0"/>
                <w:color w:val="000000"/>
                <w:spacing w:val="1"/>
                <w:shd w:val="solid" w:color="000000" w:fill="000000"/>
                <w:fitText w:val="360" w:id="-1032111357"/>
                <w:lang w:val="en-US"/>
                <w14:textFill>
                  <w14:solidFill>
                    <w14:srgbClr w14:val="000000">
                      <w14:alpha w14:val="100000"/>
                    </w14:srgbClr>
                  </w14:solidFill>
                </w14:textFill>
              </w:rPr>
              <w:t>|</w:t>
            </w:r>
            <w:r w:rsidR="009F4086">
              <w:rPr>
                <w:bCs w:val="0"/>
                <w:vertAlign w:val="superscript"/>
                <w:lang w:val="en-US"/>
              </w:rPr>
              <w:t>c</w:t>
            </w:r>
          </w:p>
        </w:tc>
      </w:tr>
      <w:tr w:rsidR="00B96D5D" w:rsidRPr="00E2771E" w14:paraId="412A1509" w14:textId="77777777" w:rsidTr="005F2BA2">
        <w:trPr>
          <w:cantSplit/>
          <w:jc w:val="center"/>
        </w:trPr>
        <w:tc>
          <w:tcPr>
            <w:tcW w:w="862" w:type="pct"/>
            <w:shd w:val="clear" w:color="auto" w:fill="auto"/>
            <w:vAlign w:val="center"/>
          </w:tcPr>
          <w:p w14:paraId="3984D378" w14:textId="37B3AC41" w:rsidR="00B96D5D" w:rsidRPr="00E2771E" w:rsidRDefault="00B96D5D" w:rsidP="003F1735">
            <w:pPr>
              <w:pStyle w:val="COMTabletext"/>
              <w:rPr>
                <w:lang w:val="en-US"/>
              </w:rPr>
            </w:pPr>
            <w:r>
              <w:rPr>
                <w:lang w:val="en-US"/>
              </w:rPr>
              <w:t>Persistence</w:t>
            </w:r>
          </w:p>
        </w:tc>
        <w:tc>
          <w:tcPr>
            <w:tcW w:w="1379" w:type="pct"/>
            <w:shd w:val="clear" w:color="auto" w:fill="auto"/>
            <w:vAlign w:val="center"/>
          </w:tcPr>
          <w:p w14:paraId="56C735B2" w14:textId="23977E7D" w:rsidR="00B96D5D" w:rsidRDefault="00B96D5D" w:rsidP="003F1735">
            <w:pPr>
              <w:pStyle w:val="COMTabletext"/>
              <w:jc w:val="center"/>
              <w:rPr>
                <w:bCs w:val="0"/>
                <w:lang w:val="en-US"/>
              </w:rPr>
            </w:pPr>
            <w:r>
              <w:rPr>
                <w:bCs w:val="0"/>
                <w:lang w:val="en-US"/>
              </w:rPr>
              <w:t xml:space="preserve">Icosapent ethyl: </w:t>
            </w:r>
            <w:r w:rsidR="0050371B">
              <w:rPr>
                <w:bCs w:val="0"/>
                <w:lang w:val="en-US"/>
              </w:rPr>
              <w:t>M</w:t>
            </w:r>
            <w:r>
              <w:rPr>
                <w:bCs w:val="0"/>
                <w:lang w:val="en-US"/>
              </w:rPr>
              <w:t>ean treatment duration 3.71 years</w:t>
            </w:r>
          </w:p>
          <w:p w14:paraId="37B17517" w14:textId="4BB707C6" w:rsidR="00B96D5D" w:rsidRPr="0061230E" w:rsidRDefault="00B96D5D" w:rsidP="003F1735">
            <w:pPr>
              <w:pStyle w:val="COMTabletext"/>
              <w:jc w:val="center"/>
              <w:rPr>
                <w:bCs w:val="0"/>
                <w:lang w:val="en-US"/>
              </w:rPr>
            </w:pPr>
            <w:r>
              <w:rPr>
                <w:bCs w:val="0"/>
                <w:lang w:val="en-US"/>
              </w:rPr>
              <w:t>Statin: Not reported</w:t>
            </w:r>
          </w:p>
        </w:tc>
        <w:tc>
          <w:tcPr>
            <w:tcW w:w="690" w:type="pct"/>
            <w:shd w:val="clear" w:color="auto" w:fill="auto"/>
          </w:tcPr>
          <w:p w14:paraId="1BF28BEB" w14:textId="352A6293" w:rsidR="00B96D5D" w:rsidRDefault="00B96D5D" w:rsidP="003F1735">
            <w:pPr>
              <w:pStyle w:val="COMTabletext"/>
              <w:jc w:val="center"/>
              <w:rPr>
                <w:bCs w:val="0"/>
                <w:lang w:val="en-US"/>
              </w:rPr>
            </w:pPr>
            <w:r>
              <w:rPr>
                <w:bCs w:val="0"/>
                <w:lang w:val="en-US"/>
              </w:rPr>
              <w:t>Icosapent ethyl:</w:t>
            </w:r>
          </w:p>
          <w:p w14:paraId="76997442" w14:textId="6934878A" w:rsidR="00B96D5D" w:rsidRPr="00196FA4" w:rsidRDefault="00B96D5D" w:rsidP="003F1735">
            <w:pPr>
              <w:pStyle w:val="COMTabletext"/>
              <w:jc w:val="center"/>
              <w:rPr>
                <w:bCs w:val="0"/>
                <w:vertAlign w:val="superscript"/>
                <w:lang w:val="en-US"/>
              </w:rPr>
            </w:pPr>
            <w:r>
              <w:rPr>
                <w:bCs w:val="0"/>
                <w:lang w:val="en-US"/>
              </w:rPr>
              <w:t>Year 1: 93%</w:t>
            </w:r>
            <w:r w:rsidR="009F4086">
              <w:rPr>
                <w:bCs w:val="0"/>
                <w:vertAlign w:val="superscript"/>
                <w:lang w:val="en-US"/>
              </w:rPr>
              <w:t>d</w:t>
            </w:r>
          </w:p>
          <w:p w14:paraId="23CADF25" w14:textId="0CF3F961" w:rsidR="00B96D5D" w:rsidRPr="00196FA4" w:rsidRDefault="00B96D5D" w:rsidP="003F1735">
            <w:pPr>
              <w:pStyle w:val="COMTabletext"/>
              <w:jc w:val="center"/>
              <w:rPr>
                <w:bCs w:val="0"/>
                <w:vertAlign w:val="superscript"/>
                <w:lang w:val="en-US"/>
              </w:rPr>
            </w:pPr>
            <w:r>
              <w:rPr>
                <w:bCs w:val="0"/>
                <w:lang w:val="en-US"/>
              </w:rPr>
              <w:t>Year 2: 85%</w:t>
            </w:r>
            <w:r w:rsidR="009F4086">
              <w:rPr>
                <w:bCs w:val="0"/>
                <w:vertAlign w:val="superscript"/>
                <w:lang w:val="en-US"/>
              </w:rPr>
              <w:t>d</w:t>
            </w:r>
          </w:p>
          <w:p w14:paraId="714D2B80" w14:textId="12B70FDE" w:rsidR="00B96D5D" w:rsidRDefault="00B96D5D" w:rsidP="003F1735">
            <w:pPr>
              <w:pStyle w:val="COMTabletext"/>
              <w:jc w:val="center"/>
              <w:rPr>
                <w:bCs w:val="0"/>
                <w:vertAlign w:val="superscript"/>
                <w:lang w:val="en-US"/>
              </w:rPr>
            </w:pPr>
            <w:r>
              <w:rPr>
                <w:bCs w:val="0"/>
                <w:lang w:val="en-US"/>
              </w:rPr>
              <w:t>Year 3: 73%</w:t>
            </w:r>
            <w:r w:rsidR="009F4086">
              <w:rPr>
                <w:bCs w:val="0"/>
                <w:vertAlign w:val="superscript"/>
                <w:lang w:val="en-US"/>
              </w:rPr>
              <w:t>d</w:t>
            </w:r>
          </w:p>
          <w:p w14:paraId="388ABCC5" w14:textId="583CC6F5" w:rsidR="00B96D5D" w:rsidRPr="00196FA4" w:rsidRDefault="00B96D5D" w:rsidP="003F1735">
            <w:pPr>
              <w:pStyle w:val="COMTabletext"/>
              <w:jc w:val="center"/>
              <w:rPr>
                <w:bCs w:val="0"/>
                <w:vertAlign w:val="superscript"/>
                <w:lang w:val="en-US"/>
              </w:rPr>
            </w:pPr>
            <w:r>
              <w:rPr>
                <w:bCs w:val="0"/>
                <w:lang w:val="en-US"/>
              </w:rPr>
              <w:t>Year 4: 59%</w:t>
            </w:r>
            <w:r w:rsidR="009F4086">
              <w:rPr>
                <w:bCs w:val="0"/>
                <w:vertAlign w:val="superscript"/>
                <w:lang w:val="en-US"/>
              </w:rPr>
              <w:t>d</w:t>
            </w:r>
          </w:p>
          <w:p w14:paraId="3D78A15E" w14:textId="38F804AF" w:rsidR="00B96D5D" w:rsidRPr="00196FA4" w:rsidRDefault="00B96D5D" w:rsidP="003F1735">
            <w:pPr>
              <w:pStyle w:val="COMTabletext"/>
              <w:jc w:val="center"/>
              <w:rPr>
                <w:bCs w:val="0"/>
                <w:vertAlign w:val="superscript"/>
                <w:lang w:val="en-US"/>
              </w:rPr>
            </w:pPr>
            <w:r>
              <w:rPr>
                <w:bCs w:val="0"/>
                <w:lang w:val="en-US"/>
              </w:rPr>
              <w:t>Year 5: 46%</w:t>
            </w:r>
            <w:r w:rsidR="009F4086">
              <w:rPr>
                <w:bCs w:val="0"/>
                <w:vertAlign w:val="superscript"/>
                <w:lang w:val="en-US"/>
              </w:rPr>
              <w:t>d</w:t>
            </w:r>
          </w:p>
          <w:p w14:paraId="7D84ED83" w14:textId="13DBC132" w:rsidR="00B96D5D" w:rsidRPr="00196FA4" w:rsidRDefault="00B96D5D" w:rsidP="003F1735">
            <w:pPr>
              <w:pStyle w:val="COMTabletext"/>
              <w:jc w:val="center"/>
              <w:rPr>
                <w:bCs w:val="0"/>
                <w:vertAlign w:val="superscript"/>
                <w:lang w:val="en-US"/>
              </w:rPr>
            </w:pPr>
            <w:r>
              <w:rPr>
                <w:bCs w:val="0"/>
                <w:lang w:val="en-US"/>
              </w:rPr>
              <w:t>Year 6: 33%</w:t>
            </w:r>
            <w:r w:rsidR="009F4086">
              <w:rPr>
                <w:bCs w:val="0"/>
                <w:vertAlign w:val="superscript"/>
                <w:lang w:val="en-US"/>
              </w:rPr>
              <w:t>d</w:t>
            </w:r>
          </w:p>
        </w:tc>
        <w:tc>
          <w:tcPr>
            <w:tcW w:w="690" w:type="pct"/>
            <w:shd w:val="clear" w:color="auto" w:fill="auto"/>
          </w:tcPr>
          <w:p w14:paraId="36B4B9AC" w14:textId="77777777" w:rsidR="00B96D5D" w:rsidRDefault="00B96D5D" w:rsidP="003F1735">
            <w:pPr>
              <w:pStyle w:val="COMTabletext"/>
              <w:jc w:val="center"/>
              <w:rPr>
                <w:bCs w:val="0"/>
                <w:lang w:val="en-US"/>
              </w:rPr>
            </w:pPr>
            <w:r w:rsidRPr="00CA0B4C">
              <w:rPr>
                <w:bCs w:val="0"/>
                <w:lang w:val="en-US"/>
              </w:rPr>
              <w:t>Statin:</w:t>
            </w:r>
          </w:p>
          <w:p w14:paraId="4E43C0DE" w14:textId="15434D9E" w:rsidR="00B96D5D" w:rsidRPr="002520A0" w:rsidRDefault="00B96D5D" w:rsidP="003F1735">
            <w:pPr>
              <w:pStyle w:val="COMTabletext"/>
              <w:jc w:val="center"/>
              <w:rPr>
                <w:bCs w:val="0"/>
                <w:vertAlign w:val="superscript"/>
                <w:lang w:val="en-US"/>
              </w:rPr>
            </w:pPr>
            <w:r>
              <w:rPr>
                <w:bCs w:val="0"/>
                <w:lang w:val="en-US"/>
              </w:rPr>
              <w:t>Year 1: 100%</w:t>
            </w:r>
            <w:r w:rsidR="009F4086">
              <w:rPr>
                <w:bCs w:val="0"/>
                <w:vertAlign w:val="superscript"/>
                <w:lang w:val="en-US"/>
              </w:rPr>
              <w:t>d</w:t>
            </w:r>
          </w:p>
          <w:p w14:paraId="184AE622" w14:textId="33AEA887" w:rsidR="00B96D5D" w:rsidRPr="00196FA4" w:rsidRDefault="00B96D5D" w:rsidP="003F1735">
            <w:pPr>
              <w:pStyle w:val="COMTabletext"/>
              <w:jc w:val="center"/>
              <w:rPr>
                <w:bCs w:val="0"/>
                <w:vertAlign w:val="superscript"/>
                <w:lang w:val="en-US"/>
              </w:rPr>
            </w:pPr>
            <w:r>
              <w:rPr>
                <w:bCs w:val="0"/>
                <w:lang w:val="en-US"/>
              </w:rPr>
              <w:t>Year 2: 99%</w:t>
            </w:r>
            <w:r w:rsidR="009F4086">
              <w:rPr>
                <w:bCs w:val="0"/>
                <w:vertAlign w:val="superscript"/>
                <w:lang w:val="en-US"/>
              </w:rPr>
              <w:t>d</w:t>
            </w:r>
          </w:p>
          <w:p w14:paraId="0C6B65E5" w14:textId="20800628" w:rsidR="00B96D5D" w:rsidRDefault="00B96D5D" w:rsidP="003F1735">
            <w:pPr>
              <w:pStyle w:val="COMTabletext"/>
              <w:jc w:val="center"/>
              <w:rPr>
                <w:bCs w:val="0"/>
                <w:vertAlign w:val="superscript"/>
                <w:lang w:val="en-US"/>
              </w:rPr>
            </w:pPr>
            <w:r>
              <w:rPr>
                <w:bCs w:val="0"/>
                <w:lang w:val="en-US"/>
              </w:rPr>
              <w:t>Year 3: 97%</w:t>
            </w:r>
            <w:r w:rsidR="009F4086">
              <w:rPr>
                <w:bCs w:val="0"/>
                <w:vertAlign w:val="superscript"/>
                <w:lang w:val="en-US"/>
              </w:rPr>
              <w:t>d</w:t>
            </w:r>
          </w:p>
          <w:p w14:paraId="0F30B6DF" w14:textId="3A75BB8E" w:rsidR="00B96D5D" w:rsidRPr="00196FA4" w:rsidRDefault="00B96D5D" w:rsidP="003F1735">
            <w:pPr>
              <w:pStyle w:val="COMTabletext"/>
              <w:jc w:val="center"/>
              <w:rPr>
                <w:bCs w:val="0"/>
                <w:vertAlign w:val="superscript"/>
                <w:lang w:val="en-US"/>
              </w:rPr>
            </w:pPr>
            <w:r>
              <w:rPr>
                <w:bCs w:val="0"/>
                <w:lang w:val="en-US"/>
              </w:rPr>
              <w:t>Year 4: 96%</w:t>
            </w:r>
            <w:r w:rsidR="009F4086">
              <w:rPr>
                <w:bCs w:val="0"/>
                <w:vertAlign w:val="superscript"/>
                <w:lang w:val="en-US"/>
              </w:rPr>
              <w:t>d</w:t>
            </w:r>
          </w:p>
          <w:p w14:paraId="5AE430B9" w14:textId="5BC01019" w:rsidR="00B96D5D" w:rsidRPr="00196FA4" w:rsidRDefault="00B96D5D" w:rsidP="003F1735">
            <w:pPr>
              <w:pStyle w:val="COMTabletext"/>
              <w:jc w:val="center"/>
              <w:rPr>
                <w:bCs w:val="0"/>
                <w:vertAlign w:val="superscript"/>
                <w:lang w:val="en-US"/>
              </w:rPr>
            </w:pPr>
            <w:r>
              <w:rPr>
                <w:bCs w:val="0"/>
                <w:lang w:val="en-US"/>
              </w:rPr>
              <w:t>Year 5: 95%</w:t>
            </w:r>
            <w:r w:rsidR="009F4086">
              <w:rPr>
                <w:bCs w:val="0"/>
                <w:vertAlign w:val="superscript"/>
                <w:lang w:val="en-US"/>
              </w:rPr>
              <w:t>d</w:t>
            </w:r>
          </w:p>
          <w:p w14:paraId="4CFBCFF3" w14:textId="2FEA8ECD" w:rsidR="00B96D5D" w:rsidRPr="00CA0B4C" w:rsidRDefault="00B96D5D" w:rsidP="003F1735">
            <w:pPr>
              <w:pStyle w:val="COMTabletext"/>
              <w:jc w:val="center"/>
              <w:rPr>
                <w:bCs w:val="0"/>
                <w:lang w:val="en-US"/>
              </w:rPr>
            </w:pPr>
            <w:r>
              <w:rPr>
                <w:bCs w:val="0"/>
                <w:lang w:val="en-US"/>
              </w:rPr>
              <w:t>Year 6: 93%</w:t>
            </w:r>
            <w:r w:rsidR="009F4086">
              <w:rPr>
                <w:bCs w:val="0"/>
                <w:vertAlign w:val="superscript"/>
                <w:lang w:val="en-US"/>
              </w:rPr>
              <w:t>d</w:t>
            </w:r>
          </w:p>
        </w:tc>
        <w:tc>
          <w:tcPr>
            <w:tcW w:w="1379" w:type="pct"/>
            <w:shd w:val="clear" w:color="auto" w:fill="auto"/>
            <w:vAlign w:val="center"/>
          </w:tcPr>
          <w:p w14:paraId="651A688F" w14:textId="78B41E5E" w:rsidR="00B96D5D" w:rsidRPr="005F2BA2" w:rsidRDefault="00B96D5D" w:rsidP="003F1735">
            <w:pPr>
              <w:pStyle w:val="COMTabletext"/>
              <w:jc w:val="center"/>
              <w:rPr>
                <w:bCs w:val="0"/>
                <w:vertAlign w:val="superscript"/>
                <w:lang w:val="en-US"/>
              </w:rPr>
            </w:pPr>
            <w:r>
              <w:rPr>
                <w:bCs w:val="0"/>
                <w:lang w:val="en-US"/>
              </w:rPr>
              <w:t>Icosapent ethyl:</w:t>
            </w:r>
            <w:r w:rsidR="00793915">
              <w:rPr>
                <w:bCs w:val="0"/>
                <w:lang w:val="en-US"/>
              </w:rPr>
              <w:t xml:space="preserve"> Not estimable</w:t>
            </w:r>
            <w:r w:rsidR="002E42ED">
              <w:rPr>
                <w:bCs w:val="0"/>
                <w:lang w:val="en-US"/>
              </w:rPr>
              <w:t xml:space="preserve"> </w:t>
            </w:r>
            <w:r w:rsidR="00793915">
              <w:rPr>
                <w:bCs w:val="0"/>
                <w:vertAlign w:val="superscript"/>
                <w:lang w:val="en-US"/>
              </w:rPr>
              <w:t>e</w:t>
            </w:r>
          </w:p>
        </w:tc>
      </w:tr>
      <w:tr w:rsidR="00E91F33" w:rsidRPr="00E2771E" w14:paraId="1832C650" w14:textId="77777777" w:rsidTr="00E91F33">
        <w:trPr>
          <w:cantSplit/>
          <w:jc w:val="center"/>
        </w:trPr>
        <w:tc>
          <w:tcPr>
            <w:tcW w:w="5000" w:type="pct"/>
            <w:gridSpan w:val="5"/>
            <w:shd w:val="clear" w:color="auto" w:fill="auto"/>
            <w:vAlign w:val="center"/>
          </w:tcPr>
          <w:p w14:paraId="6FB89B82" w14:textId="74E268B0" w:rsidR="00E91F33" w:rsidRPr="00E91F33" w:rsidRDefault="00E91F33" w:rsidP="003F1735">
            <w:pPr>
              <w:pStyle w:val="COMTabletext"/>
              <w:rPr>
                <w:b/>
                <w:lang w:val="en-US"/>
              </w:rPr>
            </w:pPr>
            <w:r>
              <w:rPr>
                <w:b/>
                <w:lang w:val="en-US"/>
              </w:rPr>
              <w:t>Placebo</w:t>
            </w:r>
            <w:r w:rsidR="000E63B0">
              <w:rPr>
                <w:b/>
                <w:lang w:val="en-US"/>
              </w:rPr>
              <w:t xml:space="preserve"> (plus</w:t>
            </w:r>
            <w:r>
              <w:rPr>
                <w:b/>
                <w:lang w:val="en-US"/>
              </w:rPr>
              <w:t xml:space="preserve"> standard of care</w:t>
            </w:r>
            <w:r w:rsidR="000E63B0">
              <w:rPr>
                <w:b/>
                <w:lang w:val="en-US"/>
              </w:rPr>
              <w:t>)</w:t>
            </w:r>
          </w:p>
        </w:tc>
      </w:tr>
      <w:tr w:rsidR="00E91F33" w:rsidRPr="00E2771E" w14:paraId="3215ADA5" w14:textId="77777777" w:rsidTr="00196FA4">
        <w:trPr>
          <w:cantSplit/>
          <w:jc w:val="center"/>
        </w:trPr>
        <w:tc>
          <w:tcPr>
            <w:tcW w:w="862" w:type="pct"/>
            <w:shd w:val="clear" w:color="auto" w:fill="auto"/>
            <w:vAlign w:val="center"/>
          </w:tcPr>
          <w:p w14:paraId="1A4B10AC" w14:textId="7297A3DE" w:rsidR="00E91F33" w:rsidRDefault="00E91F33" w:rsidP="003F1735">
            <w:pPr>
              <w:pStyle w:val="COMTabletext"/>
              <w:rPr>
                <w:lang w:val="en-US"/>
              </w:rPr>
            </w:pPr>
            <w:r>
              <w:rPr>
                <w:lang w:val="en-US"/>
              </w:rPr>
              <w:t>Treatment regimen</w:t>
            </w:r>
          </w:p>
        </w:tc>
        <w:tc>
          <w:tcPr>
            <w:tcW w:w="1379" w:type="pct"/>
            <w:shd w:val="clear" w:color="auto" w:fill="auto"/>
            <w:vAlign w:val="center"/>
          </w:tcPr>
          <w:p w14:paraId="74CF9C21" w14:textId="33F2509C" w:rsidR="00E91F33" w:rsidRDefault="004252CD" w:rsidP="003F1735">
            <w:pPr>
              <w:pStyle w:val="COMTabletext"/>
              <w:jc w:val="center"/>
              <w:rPr>
                <w:bCs w:val="0"/>
                <w:lang w:val="en-US"/>
              </w:rPr>
            </w:pPr>
            <w:r>
              <w:rPr>
                <w:bCs w:val="0"/>
                <w:lang w:val="en-US"/>
              </w:rPr>
              <w:t>Placebo</w:t>
            </w:r>
            <w:r w:rsidR="00E91F33">
              <w:rPr>
                <w:bCs w:val="0"/>
                <w:lang w:val="en-US"/>
              </w:rPr>
              <w:t>:</w:t>
            </w:r>
            <w:r>
              <w:rPr>
                <w:bCs w:val="0"/>
                <w:lang w:val="en-US"/>
              </w:rPr>
              <w:t xml:space="preserve"> 2 capsules</w:t>
            </w:r>
          </w:p>
          <w:p w14:paraId="4CCB55E0" w14:textId="70ED48C8" w:rsidR="00D13A3B" w:rsidRDefault="00E91F33" w:rsidP="003F1735">
            <w:pPr>
              <w:pStyle w:val="COMTabletext"/>
              <w:jc w:val="center"/>
              <w:rPr>
                <w:bCs w:val="0"/>
                <w:lang w:val="en-US"/>
              </w:rPr>
            </w:pPr>
            <w:r>
              <w:rPr>
                <w:bCs w:val="0"/>
                <w:lang w:val="en-US"/>
              </w:rPr>
              <w:t>Statin:</w:t>
            </w:r>
            <w:r w:rsidR="004252CD">
              <w:rPr>
                <w:bCs w:val="0"/>
                <w:lang w:val="en-US"/>
              </w:rPr>
              <w:t xml:space="preserve"> NR</w:t>
            </w:r>
          </w:p>
        </w:tc>
        <w:tc>
          <w:tcPr>
            <w:tcW w:w="1380" w:type="pct"/>
            <w:gridSpan w:val="2"/>
            <w:shd w:val="clear" w:color="auto" w:fill="auto"/>
            <w:vAlign w:val="center"/>
          </w:tcPr>
          <w:p w14:paraId="7D0E5FD2" w14:textId="77FEA62D" w:rsidR="00E91F33" w:rsidRDefault="001431D8" w:rsidP="003F1735">
            <w:pPr>
              <w:pStyle w:val="COMTabletext"/>
              <w:jc w:val="center"/>
              <w:rPr>
                <w:bCs w:val="0"/>
                <w:lang w:val="en-US"/>
              </w:rPr>
            </w:pPr>
            <w:r>
              <w:rPr>
                <w:bCs w:val="0"/>
                <w:lang w:val="en-US"/>
              </w:rPr>
              <w:t>Placebo</w:t>
            </w:r>
            <w:r w:rsidR="00E91F33">
              <w:rPr>
                <w:bCs w:val="0"/>
                <w:lang w:val="en-US"/>
              </w:rPr>
              <w:t>:</w:t>
            </w:r>
            <w:r>
              <w:rPr>
                <w:bCs w:val="0"/>
                <w:lang w:val="en-US"/>
              </w:rPr>
              <w:t xml:space="preserve"> Not modelled</w:t>
            </w:r>
          </w:p>
          <w:p w14:paraId="2FAA3F7A" w14:textId="7FA611B0" w:rsidR="00E91F33" w:rsidRDefault="00E91F33" w:rsidP="003F1735">
            <w:pPr>
              <w:pStyle w:val="COMTabletext"/>
              <w:jc w:val="center"/>
              <w:rPr>
                <w:bCs w:val="0"/>
                <w:lang w:val="en-US"/>
              </w:rPr>
            </w:pPr>
            <w:r>
              <w:rPr>
                <w:bCs w:val="0"/>
                <w:lang w:val="en-US"/>
              </w:rPr>
              <w:t>Statin:</w:t>
            </w:r>
            <w:r w:rsidR="001431D8">
              <w:rPr>
                <w:bCs w:val="0"/>
                <w:lang w:val="en-US"/>
              </w:rPr>
              <w:t xml:space="preserve"> </w:t>
            </w:r>
            <w:r w:rsidR="00196FA4">
              <w:rPr>
                <w:bCs w:val="0"/>
                <w:lang w:val="en-US"/>
              </w:rPr>
              <w:t>A</w:t>
            </w:r>
            <w:r w:rsidR="0019058F">
              <w:rPr>
                <w:bCs w:val="0"/>
                <w:lang w:val="en-US"/>
              </w:rPr>
              <w:t xml:space="preserve">torvastatin </w:t>
            </w:r>
            <w:r w:rsidR="001431D8">
              <w:rPr>
                <w:bCs w:val="0"/>
                <w:lang w:val="en-US"/>
              </w:rPr>
              <w:t>20 mg daily</w:t>
            </w:r>
          </w:p>
        </w:tc>
        <w:tc>
          <w:tcPr>
            <w:tcW w:w="1379" w:type="pct"/>
            <w:shd w:val="clear" w:color="auto" w:fill="auto"/>
            <w:vAlign w:val="center"/>
          </w:tcPr>
          <w:p w14:paraId="09B83660" w14:textId="0EE17C98" w:rsidR="00E91F33" w:rsidRDefault="001431D8" w:rsidP="003F1735">
            <w:pPr>
              <w:pStyle w:val="COMTabletext"/>
              <w:jc w:val="center"/>
              <w:rPr>
                <w:bCs w:val="0"/>
                <w:lang w:val="en-US"/>
              </w:rPr>
            </w:pPr>
            <w:r>
              <w:rPr>
                <w:bCs w:val="0"/>
                <w:lang w:val="en-US"/>
              </w:rPr>
              <w:t>Placebo</w:t>
            </w:r>
            <w:r w:rsidR="00E91F33">
              <w:rPr>
                <w:bCs w:val="0"/>
                <w:lang w:val="en-US"/>
              </w:rPr>
              <w:t>:</w:t>
            </w:r>
            <w:r>
              <w:rPr>
                <w:bCs w:val="0"/>
                <w:lang w:val="en-US"/>
              </w:rPr>
              <w:t xml:space="preserve"> </w:t>
            </w:r>
            <w:r w:rsidR="00196FA4">
              <w:rPr>
                <w:bCs w:val="0"/>
                <w:lang w:val="en-US"/>
              </w:rPr>
              <w:t>N</w:t>
            </w:r>
            <w:r w:rsidR="0019058F">
              <w:rPr>
                <w:bCs w:val="0"/>
                <w:lang w:val="en-US"/>
              </w:rPr>
              <w:t>ot included</w:t>
            </w:r>
          </w:p>
          <w:p w14:paraId="315201A4" w14:textId="69B12A52" w:rsidR="0019058F" w:rsidRDefault="0019058F" w:rsidP="003F1735">
            <w:pPr>
              <w:pStyle w:val="COMTabletext"/>
              <w:jc w:val="center"/>
              <w:rPr>
                <w:bCs w:val="0"/>
                <w:lang w:val="en-US"/>
              </w:rPr>
            </w:pPr>
            <w:r>
              <w:rPr>
                <w:bCs w:val="0"/>
                <w:lang w:val="en-US"/>
              </w:rPr>
              <w:t xml:space="preserve">Statin: </w:t>
            </w:r>
            <w:r w:rsidR="00196FA4">
              <w:rPr>
                <w:bCs w:val="0"/>
                <w:lang w:val="en-US"/>
              </w:rPr>
              <w:t>N</w:t>
            </w:r>
            <w:r>
              <w:rPr>
                <w:bCs w:val="0"/>
                <w:lang w:val="en-US"/>
              </w:rPr>
              <w:t>ot included</w:t>
            </w:r>
          </w:p>
        </w:tc>
      </w:tr>
      <w:tr w:rsidR="0019058F" w:rsidRPr="00E2771E" w14:paraId="3E13156A" w14:textId="77777777" w:rsidTr="00196FA4">
        <w:trPr>
          <w:cantSplit/>
          <w:jc w:val="center"/>
        </w:trPr>
        <w:tc>
          <w:tcPr>
            <w:tcW w:w="862" w:type="pct"/>
            <w:shd w:val="clear" w:color="auto" w:fill="auto"/>
            <w:vAlign w:val="center"/>
          </w:tcPr>
          <w:p w14:paraId="0A616EA9" w14:textId="3BFD3D2A" w:rsidR="0019058F" w:rsidRDefault="0019058F" w:rsidP="003F1735">
            <w:pPr>
              <w:pStyle w:val="COMTabletext"/>
              <w:rPr>
                <w:lang w:val="en-US"/>
              </w:rPr>
            </w:pPr>
            <w:r w:rsidRPr="000529E0">
              <w:t>Adherence</w:t>
            </w:r>
          </w:p>
        </w:tc>
        <w:tc>
          <w:tcPr>
            <w:tcW w:w="1379" w:type="pct"/>
            <w:shd w:val="clear" w:color="auto" w:fill="auto"/>
            <w:vAlign w:val="center"/>
          </w:tcPr>
          <w:p w14:paraId="423B157A" w14:textId="3C536E8C" w:rsidR="0019058F" w:rsidRDefault="0019058F" w:rsidP="003F1735">
            <w:pPr>
              <w:pStyle w:val="COMTabletext"/>
              <w:jc w:val="center"/>
              <w:rPr>
                <w:bCs w:val="0"/>
                <w:lang w:val="en-US"/>
              </w:rPr>
            </w:pPr>
            <w:r>
              <w:rPr>
                <w:bCs w:val="0"/>
                <w:lang w:val="en-US"/>
              </w:rPr>
              <w:t>Placebo: 100%</w:t>
            </w:r>
          </w:p>
          <w:p w14:paraId="56DF093B" w14:textId="72FC63D3" w:rsidR="0019058F" w:rsidRDefault="0019058F" w:rsidP="003F1735">
            <w:pPr>
              <w:pStyle w:val="COMTabletext"/>
              <w:jc w:val="center"/>
              <w:rPr>
                <w:bCs w:val="0"/>
                <w:lang w:val="en-US"/>
              </w:rPr>
            </w:pPr>
            <w:r>
              <w:rPr>
                <w:bCs w:val="0"/>
                <w:lang w:val="en-US"/>
              </w:rPr>
              <w:t>Statin: NR</w:t>
            </w:r>
          </w:p>
        </w:tc>
        <w:tc>
          <w:tcPr>
            <w:tcW w:w="1380" w:type="pct"/>
            <w:gridSpan w:val="2"/>
            <w:shd w:val="clear" w:color="auto" w:fill="auto"/>
            <w:vAlign w:val="center"/>
          </w:tcPr>
          <w:p w14:paraId="5AD1D6A8" w14:textId="72DF3DA1" w:rsidR="0019058F" w:rsidRDefault="0019058F" w:rsidP="003F1735">
            <w:pPr>
              <w:pStyle w:val="COMTabletext"/>
              <w:jc w:val="center"/>
              <w:rPr>
                <w:bCs w:val="0"/>
                <w:lang w:val="en-US"/>
              </w:rPr>
            </w:pPr>
            <w:r>
              <w:rPr>
                <w:bCs w:val="0"/>
                <w:lang w:val="en-US"/>
              </w:rPr>
              <w:t xml:space="preserve">Placebo: </w:t>
            </w:r>
            <w:r w:rsidR="006C08A5">
              <w:rPr>
                <w:bCs w:val="0"/>
                <w:lang w:val="en-US"/>
              </w:rPr>
              <w:t>N</w:t>
            </w:r>
            <w:r>
              <w:rPr>
                <w:bCs w:val="0"/>
                <w:lang w:val="en-US"/>
              </w:rPr>
              <w:t>ot included</w:t>
            </w:r>
          </w:p>
          <w:p w14:paraId="45721358" w14:textId="2E2F18B7" w:rsidR="0019058F" w:rsidRDefault="0019058F" w:rsidP="003F1735">
            <w:pPr>
              <w:pStyle w:val="COMTabletext"/>
              <w:jc w:val="center"/>
              <w:rPr>
                <w:bCs w:val="0"/>
                <w:lang w:val="en-US"/>
              </w:rPr>
            </w:pPr>
            <w:r>
              <w:rPr>
                <w:bCs w:val="0"/>
                <w:lang w:val="en-US"/>
              </w:rPr>
              <w:t>Statin: 100%</w:t>
            </w:r>
          </w:p>
        </w:tc>
        <w:tc>
          <w:tcPr>
            <w:tcW w:w="1379" w:type="pct"/>
            <w:shd w:val="clear" w:color="auto" w:fill="auto"/>
            <w:vAlign w:val="center"/>
          </w:tcPr>
          <w:p w14:paraId="445CFAEC" w14:textId="4EC939BA" w:rsidR="0019058F" w:rsidRDefault="00B96D5D" w:rsidP="003F1735">
            <w:pPr>
              <w:pStyle w:val="COMTabletext"/>
              <w:jc w:val="center"/>
              <w:rPr>
                <w:bCs w:val="0"/>
                <w:lang w:val="en-US"/>
              </w:rPr>
            </w:pPr>
            <w:r>
              <w:rPr>
                <w:bCs w:val="0"/>
                <w:lang w:val="en-US"/>
              </w:rPr>
              <w:t>-</w:t>
            </w:r>
          </w:p>
        </w:tc>
      </w:tr>
      <w:tr w:rsidR="0019058F" w:rsidRPr="00E2771E" w14:paraId="3A673CB9" w14:textId="77777777" w:rsidTr="00196FA4">
        <w:trPr>
          <w:cantSplit/>
          <w:jc w:val="center"/>
        </w:trPr>
        <w:tc>
          <w:tcPr>
            <w:tcW w:w="862" w:type="pct"/>
            <w:shd w:val="clear" w:color="auto" w:fill="auto"/>
            <w:vAlign w:val="center"/>
          </w:tcPr>
          <w:p w14:paraId="42517B34" w14:textId="7D204E51" w:rsidR="0019058F" w:rsidRDefault="0019058F" w:rsidP="003F1735">
            <w:pPr>
              <w:pStyle w:val="COMTabletext"/>
              <w:rPr>
                <w:lang w:val="en-US"/>
              </w:rPr>
            </w:pPr>
            <w:r w:rsidRPr="000529E0">
              <w:t>Cost per year</w:t>
            </w:r>
          </w:p>
        </w:tc>
        <w:tc>
          <w:tcPr>
            <w:tcW w:w="1379" w:type="pct"/>
            <w:shd w:val="clear" w:color="auto" w:fill="auto"/>
            <w:vAlign w:val="center"/>
          </w:tcPr>
          <w:p w14:paraId="4AF05035" w14:textId="40CAD377" w:rsidR="0019058F" w:rsidRDefault="0019058F" w:rsidP="003F1735">
            <w:pPr>
              <w:pStyle w:val="COMTabletext"/>
              <w:jc w:val="center"/>
              <w:rPr>
                <w:bCs w:val="0"/>
                <w:lang w:val="en-US"/>
              </w:rPr>
            </w:pPr>
            <w:r>
              <w:rPr>
                <w:bCs w:val="0"/>
                <w:lang w:val="en-US"/>
              </w:rPr>
              <w:t>-</w:t>
            </w:r>
          </w:p>
        </w:tc>
        <w:tc>
          <w:tcPr>
            <w:tcW w:w="1380" w:type="pct"/>
            <w:gridSpan w:val="2"/>
            <w:shd w:val="clear" w:color="auto" w:fill="auto"/>
            <w:vAlign w:val="center"/>
          </w:tcPr>
          <w:p w14:paraId="1ACFE85C" w14:textId="77777777" w:rsidR="0019058F" w:rsidRDefault="006C08A5" w:rsidP="003F1735">
            <w:pPr>
              <w:pStyle w:val="COMTabletext"/>
              <w:jc w:val="center"/>
              <w:rPr>
                <w:bCs w:val="0"/>
                <w:lang w:val="en-US"/>
              </w:rPr>
            </w:pPr>
            <w:r>
              <w:rPr>
                <w:bCs w:val="0"/>
                <w:lang w:val="en-US"/>
              </w:rPr>
              <w:t>Placebo: Nil</w:t>
            </w:r>
          </w:p>
          <w:p w14:paraId="0041E4B0" w14:textId="07AE14A8" w:rsidR="006C08A5" w:rsidRDefault="006C08A5" w:rsidP="003F1735">
            <w:pPr>
              <w:pStyle w:val="COMTabletext"/>
              <w:jc w:val="center"/>
              <w:rPr>
                <w:bCs w:val="0"/>
                <w:lang w:val="en-US"/>
              </w:rPr>
            </w:pPr>
            <w:r>
              <w:rPr>
                <w:bCs w:val="0"/>
                <w:lang w:val="en-US"/>
              </w:rPr>
              <w:t>Statin: $</w:t>
            </w:r>
            <w:r w:rsidRPr="009F447E">
              <w:rPr>
                <w:bCs w:val="0"/>
                <w:lang w:val="en-US"/>
              </w:rPr>
              <w:t>184.45</w:t>
            </w:r>
            <w:r w:rsidR="002520A0">
              <w:rPr>
                <w:bCs w:val="0"/>
                <w:vertAlign w:val="superscript"/>
                <w:lang w:val="en-US"/>
              </w:rPr>
              <w:t>b</w:t>
            </w:r>
            <w:r>
              <w:rPr>
                <w:bCs w:val="0"/>
                <w:lang w:val="en-US"/>
              </w:rPr>
              <w:t xml:space="preserve"> </w:t>
            </w:r>
          </w:p>
        </w:tc>
        <w:tc>
          <w:tcPr>
            <w:tcW w:w="1379" w:type="pct"/>
            <w:shd w:val="clear" w:color="auto" w:fill="auto"/>
            <w:vAlign w:val="center"/>
          </w:tcPr>
          <w:p w14:paraId="7AEEE8D5" w14:textId="75AA3B20" w:rsidR="0019058F" w:rsidRDefault="00B96D5D" w:rsidP="003F1735">
            <w:pPr>
              <w:pStyle w:val="COMTabletext"/>
              <w:jc w:val="center"/>
              <w:rPr>
                <w:bCs w:val="0"/>
                <w:lang w:val="en-US"/>
              </w:rPr>
            </w:pPr>
            <w:r>
              <w:rPr>
                <w:bCs w:val="0"/>
                <w:lang w:val="en-US"/>
              </w:rPr>
              <w:t>-</w:t>
            </w:r>
          </w:p>
        </w:tc>
      </w:tr>
      <w:tr w:rsidR="0019058F" w:rsidRPr="00E2771E" w14:paraId="61C4B313" w14:textId="77777777" w:rsidTr="00196FA4">
        <w:trPr>
          <w:cantSplit/>
          <w:jc w:val="center"/>
        </w:trPr>
        <w:tc>
          <w:tcPr>
            <w:tcW w:w="862" w:type="pct"/>
            <w:shd w:val="clear" w:color="auto" w:fill="auto"/>
            <w:vAlign w:val="center"/>
          </w:tcPr>
          <w:p w14:paraId="771B7F75" w14:textId="22E64D61" w:rsidR="0019058F" w:rsidRDefault="0019058F" w:rsidP="003F1735">
            <w:pPr>
              <w:pStyle w:val="COMTabletext"/>
              <w:rPr>
                <w:lang w:val="en-US"/>
              </w:rPr>
            </w:pPr>
            <w:r>
              <w:rPr>
                <w:lang w:val="en-US"/>
              </w:rPr>
              <w:t>Persistence</w:t>
            </w:r>
          </w:p>
        </w:tc>
        <w:tc>
          <w:tcPr>
            <w:tcW w:w="1379" w:type="pct"/>
            <w:shd w:val="clear" w:color="auto" w:fill="auto"/>
            <w:vAlign w:val="center"/>
          </w:tcPr>
          <w:p w14:paraId="1FF16EE0" w14:textId="76696B03" w:rsidR="0019058F" w:rsidRDefault="0019058F" w:rsidP="003F1735">
            <w:pPr>
              <w:pStyle w:val="COMTabletext"/>
              <w:jc w:val="center"/>
              <w:rPr>
                <w:bCs w:val="0"/>
                <w:lang w:val="en-US"/>
              </w:rPr>
            </w:pPr>
            <w:r>
              <w:rPr>
                <w:bCs w:val="0"/>
                <w:lang w:val="en-US"/>
              </w:rPr>
              <w:t xml:space="preserve">Placebo: </w:t>
            </w:r>
            <w:r w:rsidR="00857FB2">
              <w:rPr>
                <w:bCs w:val="0"/>
                <w:lang w:val="en-US"/>
              </w:rPr>
              <w:t>M</w:t>
            </w:r>
            <w:r>
              <w:rPr>
                <w:bCs w:val="0"/>
                <w:lang w:val="en-US"/>
              </w:rPr>
              <w:t>ean treatment duration: 3.56 years</w:t>
            </w:r>
          </w:p>
          <w:p w14:paraId="74F5AD94" w14:textId="6CBC5823" w:rsidR="0019058F" w:rsidRDefault="0019058F" w:rsidP="003F1735">
            <w:pPr>
              <w:pStyle w:val="COMTabletext"/>
              <w:jc w:val="center"/>
              <w:rPr>
                <w:bCs w:val="0"/>
                <w:lang w:val="en-US"/>
              </w:rPr>
            </w:pPr>
            <w:r>
              <w:rPr>
                <w:bCs w:val="0"/>
                <w:lang w:val="en-US"/>
              </w:rPr>
              <w:t>Statin: NR</w:t>
            </w:r>
          </w:p>
        </w:tc>
        <w:tc>
          <w:tcPr>
            <w:tcW w:w="1380" w:type="pct"/>
            <w:gridSpan w:val="2"/>
            <w:shd w:val="clear" w:color="auto" w:fill="auto"/>
            <w:vAlign w:val="center"/>
          </w:tcPr>
          <w:p w14:paraId="1010ED32" w14:textId="17A36A7A" w:rsidR="0019058F" w:rsidRDefault="006C08A5" w:rsidP="003F1735">
            <w:pPr>
              <w:pStyle w:val="COMTabletext"/>
              <w:jc w:val="center"/>
              <w:rPr>
                <w:bCs w:val="0"/>
                <w:lang w:val="en-US"/>
              </w:rPr>
            </w:pPr>
            <w:r>
              <w:rPr>
                <w:bCs w:val="0"/>
                <w:lang w:val="en-US"/>
              </w:rPr>
              <w:t>Not modelled</w:t>
            </w:r>
          </w:p>
        </w:tc>
        <w:tc>
          <w:tcPr>
            <w:tcW w:w="1379" w:type="pct"/>
            <w:shd w:val="clear" w:color="auto" w:fill="auto"/>
            <w:vAlign w:val="center"/>
          </w:tcPr>
          <w:p w14:paraId="74685653" w14:textId="25D238AB" w:rsidR="0019058F" w:rsidRDefault="00B96D5D" w:rsidP="003F1735">
            <w:pPr>
              <w:pStyle w:val="COMTabletext"/>
              <w:jc w:val="center"/>
              <w:rPr>
                <w:bCs w:val="0"/>
                <w:lang w:val="en-US"/>
              </w:rPr>
            </w:pPr>
            <w:r>
              <w:rPr>
                <w:bCs w:val="0"/>
                <w:lang w:val="en-US"/>
              </w:rPr>
              <w:t>-</w:t>
            </w:r>
          </w:p>
        </w:tc>
      </w:tr>
    </w:tbl>
    <w:p w14:paraId="63FFDA35" w14:textId="2A8C3D18" w:rsidR="00FE35A2" w:rsidRDefault="0035129B" w:rsidP="003F1735">
      <w:pPr>
        <w:pStyle w:val="COMTablefooter"/>
        <w:keepNext/>
      </w:pPr>
      <w:r w:rsidRPr="007F1017">
        <w:t xml:space="preserve">Source: </w:t>
      </w:r>
      <w:r w:rsidR="0050371B">
        <w:t>Table 12-1, p213 of the REDUCE-IT trial clinical study report</w:t>
      </w:r>
      <w:r w:rsidR="00857FB2">
        <w:t>; Section 3 economic model Excel workbook; Section 4 financial impacts Excel workbook.</w:t>
      </w:r>
    </w:p>
    <w:p w14:paraId="241E8AF4" w14:textId="1968CEBE" w:rsidR="00F25395" w:rsidRDefault="00F25395" w:rsidP="003F1735">
      <w:pPr>
        <w:pStyle w:val="COMTablefooter"/>
        <w:keepNext/>
      </w:pPr>
      <w:r>
        <w:rPr>
          <w:vertAlign w:val="superscript"/>
        </w:rPr>
        <w:t>a</w:t>
      </w:r>
      <w:r>
        <w:t xml:space="preserve"> Based on the proposed </w:t>
      </w:r>
      <w:r w:rsidRPr="00F25395">
        <w:t xml:space="preserve">DPMQ of </w:t>
      </w:r>
      <w:r w:rsidR="004671F3">
        <w:t>$</w:t>
      </w:r>
      <w:r w:rsidR="0036355B" w:rsidRPr="004671F3">
        <w:rPr>
          <w:color w:val="000000"/>
          <w:spacing w:val="21"/>
          <w:shd w:val="solid" w:color="000000" w:fill="000000"/>
          <w:fitText w:val="880" w:id="-1032111354"/>
          <w14:textFill>
            <w14:solidFill>
              <w14:srgbClr w14:val="000000">
                <w14:alpha w14:val="100000"/>
              </w14:srgbClr>
            </w14:solidFill>
          </w14:textFill>
        </w:rPr>
        <w:t>|||||||</w:t>
      </w:r>
      <w:r w:rsidR="004671F3" w:rsidRPr="004671F3">
        <w:rPr>
          <w:color w:val="000000"/>
          <w:spacing w:val="21"/>
          <w:shd w:val="solid" w:color="000000" w:fill="000000"/>
          <w:fitText w:val="880" w:id="-1032111354"/>
          <w14:textFill>
            <w14:solidFill>
              <w14:srgbClr w14:val="000000">
                <w14:alpha w14:val="100000"/>
              </w14:srgbClr>
            </w14:solidFill>
          </w14:textFill>
        </w:rPr>
        <w:t xml:space="preserve"> </w:t>
      </w:r>
      <w:r w:rsidR="0036355B" w:rsidRPr="004671F3">
        <w:rPr>
          <w:color w:val="000000"/>
          <w:spacing w:val="21"/>
          <w:shd w:val="solid" w:color="000000" w:fill="000000"/>
          <w:fitText w:val="880" w:id="-1032111354"/>
          <w14:textFill>
            <w14:solidFill>
              <w14:srgbClr w14:val="000000">
                <w14:alpha w14:val="100000"/>
              </w14:srgbClr>
            </w14:solidFill>
          </w14:textFill>
        </w:rPr>
        <w:t>||||||</w:t>
      </w:r>
      <w:r w:rsidR="0036355B" w:rsidRPr="004671F3">
        <w:rPr>
          <w:color w:val="000000"/>
          <w:spacing w:val="9"/>
          <w:shd w:val="solid" w:color="000000" w:fill="000000"/>
          <w:fitText w:val="880" w:id="-1032111354"/>
          <w14:textFill>
            <w14:solidFill>
              <w14:srgbClr w14:val="000000">
                <w14:alpha w14:val="100000"/>
              </w14:srgbClr>
            </w14:solidFill>
          </w14:textFill>
        </w:rPr>
        <w:t>|</w:t>
      </w:r>
      <w:r w:rsidRPr="00F25395">
        <w:t xml:space="preserve"> per pack of 120 capsules</w:t>
      </w:r>
      <w:r w:rsidR="002520A0">
        <w:t>, assuming 12.18 packs per year multiplied by treatment adherence of 97.5%.</w:t>
      </w:r>
    </w:p>
    <w:p w14:paraId="2A90EB4F" w14:textId="5A8050F1" w:rsidR="002520A0" w:rsidRPr="002520A0" w:rsidRDefault="002520A0" w:rsidP="003F1735">
      <w:pPr>
        <w:pStyle w:val="COMTablefooter"/>
        <w:keepNext/>
      </w:pPr>
      <w:r>
        <w:rPr>
          <w:vertAlign w:val="superscript"/>
        </w:rPr>
        <w:t>b</w:t>
      </w:r>
      <w:r>
        <w:t xml:space="preserve"> Based on </w:t>
      </w:r>
      <w:r w:rsidRPr="002520A0">
        <w:t>the DPMQ of $15.15 per pack of 30 atorvastatin 20 mg tablets</w:t>
      </w:r>
      <w:r>
        <w:t xml:space="preserve">, </w:t>
      </w:r>
      <w:r w:rsidRPr="002520A0">
        <w:t>assuming 12.18 packs per year</w:t>
      </w:r>
      <w:r>
        <w:t xml:space="preserve"> multiplied by treatment adherence of 100%</w:t>
      </w:r>
      <w:r w:rsidRPr="002520A0">
        <w:t>.</w:t>
      </w:r>
    </w:p>
    <w:p w14:paraId="4CC4A006" w14:textId="32388AB8" w:rsidR="009F4086" w:rsidRPr="009F4086" w:rsidRDefault="009F4086" w:rsidP="003F1735">
      <w:pPr>
        <w:pStyle w:val="COMTablefooter"/>
        <w:keepNext/>
      </w:pPr>
      <w:r>
        <w:rPr>
          <w:vertAlign w:val="superscript"/>
        </w:rPr>
        <w:t>c</w:t>
      </w:r>
      <w:r>
        <w:t xml:space="preserve"> </w:t>
      </w:r>
      <w:r w:rsidR="00942A2E">
        <w:t>There was a s</w:t>
      </w:r>
      <w:r>
        <w:t xml:space="preserve">mall difference in </w:t>
      </w:r>
      <w:r w:rsidR="00942A2E">
        <w:t xml:space="preserve">the </w:t>
      </w:r>
      <w:r>
        <w:t xml:space="preserve">annual cost of icosapent ethyl between the economic model and the financial estimates due to </w:t>
      </w:r>
      <w:r w:rsidR="00EB0320">
        <w:t xml:space="preserve">the </w:t>
      </w:r>
      <w:r>
        <w:t>assumption of 365 versus 365.25 days per year.</w:t>
      </w:r>
    </w:p>
    <w:p w14:paraId="4DB06E36" w14:textId="77777777" w:rsidR="002E42ED" w:rsidRDefault="009F4086" w:rsidP="003F1735">
      <w:pPr>
        <w:pStyle w:val="COMTablefooter"/>
        <w:keepNext/>
      </w:pPr>
      <w:r>
        <w:rPr>
          <w:vertAlign w:val="superscript"/>
        </w:rPr>
        <w:t>d</w:t>
      </w:r>
      <w:r w:rsidR="00FE35A2">
        <w:t xml:space="preserve"> Proportion of patients on treatment at </w:t>
      </w:r>
      <w:r w:rsidR="00196FA4">
        <w:t>the midpoint o</w:t>
      </w:r>
      <w:r w:rsidR="00894849">
        <w:t>f each year</w:t>
      </w:r>
      <w:r w:rsidR="00C81799">
        <w:t>; inclusive of mortality in the model.</w:t>
      </w:r>
    </w:p>
    <w:p w14:paraId="26BF0891" w14:textId="38C98DA6" w:rsidR="0035129B" w:rsidRDefault="002E42ED" w:rsidP="008A76A6">
      <w:pPr>
        <w:pStyle w:val="COMTablefooter"/>
        <w:keepNext/>
      </w:pPr>
      <w:r w:rsidRPr="00835F52">
        <w:rPr>
          <w:vertAlign w:val="superscript"/>
        </w:rPr>
        <w:t>e</w:t>
      </w:r>
      <w:r w:rsidRPr="00835F52">
        <w:t xml:space="preserve"> The submission used a prevalence-based approach to derive the financial estimates and it was not possible to determine the proportion of patients discontinuing treatment each year.</w:t>
      </w:r>
    </w:p>
    <w:p w14:paraId="268768EF" w14:textId="3626F292" w:rsidR="00B60939" w:rsidRPr="00C9624D" w:rsidRDefault="00B60939" w:rsidP="002B05A1">
      <w:pPr>
        <w:pStyle w:val="COMH2-non-numbered"/>
      </w:pPr>
      <w:bookmarkStart w:id="65" w:name="_Toc22897647"/>
      <w:bookmarkStart w:id="66" w:name="_Toc144685993"/>
      <w:bookmarkStart w:id="67" w:name="_Toc145499033"/>
      <w:bookmarkEnd w:id="63"/>
      <w:r w:rsidRPr="00C9624D">
        <w:t>Estimated PBS usage &amp; financial implications</w:t>
      </w:r>
      <w:bookmarkEnd w:id="65"/>
      <w:bookmarkEnd w:id="66"/>
      <w:bookmarkEnd w:id="67"/>
    </w:p>
    <w:p w14:paraId="2AD9734B" w14:textId="641EEC47" w:rsidR="00E211D2" w:rsidRPr="0091664F" w:rsidRDefault="00E211D2" w:rsidP="0091664F">
      <w:pPr>
        <w:widowControl w:val="0"/>
        <w:numPr>
          <w:ilvl w:val="1"/>
          <w:numId w:val="1"/>
        </w:numPr>
        <w:spacing w:after="120"/>
        <w:ind w:left="720" w:hanging="720"/>
      </w:pPr>
      <w:bookmarkStart w:id="68" w:name="_Toc22897648"/>
      <w:bookmarkStart w:id="69" w:name="_Toc144685994"/>
      <w:bookmarkStart w:id="70" w:name="_Toc145499034"/>
      <w:r>
        <w:t>This submission was considered by DUSC</w:t>
      </w:r>
      <w:r w:rsidRPr="0091664F">
        <w:t>.</w:t>
      </w:r>
    </w:p>
    <w:p w14:paraId="7328D65D" w14:textId="1493804A" w:rsidR="00E211D2" w:rsidRPr="00C802B9" w:rsidRDefault="00E211D2" w:rsidP="0091664F">
      <w:pPr>
        <w:widowControl w:val="0"/>
        <w:numPr>
          <w:ilvl w:val="1"/>
          <w:numId w:val="1"/>
        </w:numPr>
        <w:spacing w:after="120"/>
        <w:ind w:left="720" w:hanging="720"/>
      </w:pPr>
      <w:r w:rsidRPr="00C802B9">
        <w:t xml:space="preserve">Key sources of data used to derive the financial estimates are presented in </w:t>
      </w:r>
      <w:r w:rsidRPr="00C802B9">
        <w:fldChar w:fldCharType="begin" w:fldLock="1"/>
      </w:r>
      <w:r w:rsidRPr="00C802B9">
        <w:instrText xml:space="preserve"> REF _Ref104805262 \h </w:instrText>
      </w:r>
      <w:r w:rsidR="00C802B9">
        <w:instrText xml:space="preserve"> \* MERGEFORMAT </w:instrText>
      </w:r>
      <w:r w:rsidRPr="00C802B9">
        <w:fldChar w:fldCharType="separate"/>
      </w:r>
      <w:r w:rsidR="003F1735" w:rsidRPr="00C802B9">
        <w:t xml:space="preserve">Table </w:t>
      </w:r>
      <w:r w:rsidR="003F1735">
        <w:rPr>
          <w:noProof/>
        </w:rPr>
        <w:t>15</w:t>
      </w:r>
      <w:r w:rsidRPr="00C802B9">
        <w:fldChar w:fldCharType="end"/>
      </w:r>
      <w:r w:rsidRPr="00C802B9">
        <w:t>.</w:t>
      </w:r>
    </w:p>
    <w:p w14:paraId="00B4B0FD" w14:textId="1D47A439" w:rsidR="00E211D2" w:rsidRPr="00C802B9" w:rsidRDefault="00E211D2" w:rsidP="008A76A6">
      <w:pPr>
        <w:pStyle w:val="COMtablefigcaption"/>
        <w:keepLines/>
      </w:pPr>
      <w:bookmarkStart w:id="71" w:name="_Ref104805262"/>
      <w:r w:rsidRPr="00C802B9">
        <w:t xml:space="preserve">Table </w:t>
      </w:r>
      <w:fldSimple w:instr=" SEQ Table \* ARABIC " w:fldLock="1">
        <w:r w:rsidR="003F1735">
          <w:rPr>
            <w:noProof/>
          </w:rPr>
          <w:t>15</w:t>
        </w:r>
      </w:fldSimple>
      <w:bookmarkEnd w:id="71"/>
      <w:r w:rsidRPr="00C802B9">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5: Key inputs for financial estimates"/>
        <w:tblDescription w:val="Table 15: Key inputs for financial estimates"/>
      </w:tblPr>
      <w:tblGrid>
        <w:gridCol w:w="1060"/>
        <w:gridCol w:w="1344"/>
        <w:gridCol w:w="2554"/>
        <w:gridCol w:w="4059"/>
      </w:tblGrid>
      <w:tr w:rsidR="009034EA" w:rsidRPr="00C802B9" w14:paraId="0CFC7739" w14:textId="77777777" w:rsidTr="008A76A6">
        <w:trPr>
          <w:cantSplit/>
          <w:tblHeader/>
        </w:trPr>
        <w:tc>
          <w:tcPr>
            <w:tcW w:w="588" w:type="pct"/>
            <w:vAlign w:val="center"/>
          </w:tcPr>
          <w:p w14:paraId="57E7790B" w14:textId="77777777" w:rsidR="009034EA" w:rsidRPr="00C802B9" w:rsidRDefault="009034EA" w:rsidP="008A76A6">
            <w:pPr>
              <w:pStyle w:val="COMTableheadingrow"/>
              <w:keepLines/>
            </w:pPr>
            <w:r w:rsidRPr="00C802B9">
              <w:t>Data</w:t>
            </w:r>
          </w:p>
        </w:tc>
        <w:tc>
          <w:tcPr>
            <w:tcW w:w="745" w:type="pct"/>
            <w:vAlign w:val="center"/>
          </w:tcPr>
          <w:p w14:paraId="661B7949" w14:textId="77777777" w:rsidR="009034EA" w:rsidRPr="00C802B9" w:rsidRDefault="009034EA" w:rsidP="008A76A6">
            <w:pPr>
              <w:pStyle w:val="COMTableheadingrow"/>
              <w:keepLines/>
              <w:jc w:val="center"/>
            </w:pPr>
            <w:r w:rsidRPr="00C802B9">
              <w:t>Value</w:t>
            </w:r>
          </w:p>
        </w:tc>
        <w:tc>
          <w:tcPr>
            <w:tcW w:w="1416" w:type="pct"/>
            <w:vAlign w:val="center"/>
          </w:tcPr>
          <w:p w14:paraId="4708CABF" w14:textId="77777777" w:rsidR="009034EA" w:rsidRPr="00C802B9" w:rsidRDefault="009034EA" w:rsidP="008A76A6">
            <w:pPr>
              <w:pStyle w:val="COMTableheadingrow"/>
              <w:keepLines/>
              <w:jc w:val="center"/>
            </w:pPr>
            <w:r w:rsidRPr="00C802B9">
              <w:t>Source</w:t>
            </w:r>
          </w:p>
        </w:tc>
        <w:tc>
          <w:tcPr>
            <w:tcW w:w="2251" w:type="pct"/>
            <w:vAlign w:val="center"/>
          </w:tcPr>
          <w:p w14:paraId="3756EA70" w14:textId="1312CA34" w:rsidR="009034EA" w:rsidRPr="00C802B9" w:rsidRDefault="009034EA" w:rsidP="008A76A6">
            <w:pPr>
              <w:pStyle w:val="COMTableheadingrow"/>
              <w:keepLines/>
              <w:jc w:val="center"/>
            </w:pPr>
            <w:r w:rsidRPr="00C802B9">
              <w:t>Evaluator and DUSC comments</w:t>
            </w:r>
          </w:p>
        </w:tc>
      </w:tr>
      <w:tr w:rsidR="009034EA" w:rsidRPr="00C802B9" w14:paraId="06468FB6" w14:textId="77777777" w:rsidTr="007C14AB">
        <w:trPr>
          <w:cantSplit/>
        </w:trPr>
        <w:tc>
          <w:tcPr>
            <w:tcW w:w="5000" w:type="pct"/>
            <w:gridSpan w:val="4"/>
            <w:vAlign w:val="center"/>
          </w:tcPr>
          <w:p w14:paraId="6A282169" w14:textId="77777777" w:rsidR="009034EA" w:rsidRPr="00C802B9" w:rsidRDefault="009034EA" w:rsidP="008A76A6">
            <w:pPr>
              <w:pStyle w:val="COMTableheadingrow"/>
              <w:keepLines/>
            </w:pPr>
            <w:r w:rsidRPr="00C802B9">
              <w:t>Eligible population</w:t>
            </w:r>
          </w:p>
        </w:tc>
      </w:tr>
      <w:tr w:rsidR="009034EA" w:rsidRPr="00C802B9" w14:paraId="356B049A" w14:textId="77777777" w:rsidTr="008A76A6">
        <w:trPr>
          <w:cantSplit/>
          <w:trHeight w:val="1514"/>
        </w:trPr>
        <w:tc>
          <w:tcPr>
            <w:tcW w:w="588" w:type="pct"/>
          </w:tcPr>
          <w:p w14:paraId="5C03F057" w14:textId="77777777" w:rsidR="009034EA" w:rsidRPr="00C802B9" w:rsidRDefault="009034EA" w:rsidP="008A76A6">
            <w:pPr>
              <w:pStyle w:val="COMTabletext"/>
              <w:keepLines/>
            </w:pPr>
            <w:r w:rsidRPr="00C802B9">
              <w:t>ASCVD prevalence by age group (males)</w:t>
            </w:r>
          </w:p>
        </w:tc>
        <w:tc>
          <w:tcPr>
            <w:tcW w:w="745" w:type="pct"/>
          </w:tcPr>
          <w:p w14:paraId="1E280E6D" w14:textId="77777777" w:rsidR="009034EA" w:rsidRPr="00C802B9" w:rsidRDefault="009034EA" w:rsidP="008A76A6">
            <w:pPr>
              <w:pStyle w:val="COMTabletext"/>
              <w:keepLines/>
            </w:pPr>
            <w:r w:rsidRPr="00C802B9">
              <w:t>18-44: 0.7%</w:t>
            </w:r>
          </w:p>
          <w:p w14:paraId="01BE36C1" w14:textId="77777777" w:rsidR="009034EA" w:rsidRPr="00C802B9" w:rsidRDefault="009034EA" w:rsidP="008A76A6">
            <w:pPr>
              <w:pStyle w:val="COMTabletext"/>
              <w:keepLines/>
            </w:pPr>
            <w:r w:rsidRPr="00C802B9">
              <w:t>45-54: 3.3%</w:t>
            </w:r>
          </w:p>
          <w:p w14:paraId="794744B4" w14:textId="77777777" w:rsidR="009034EA" w:rsidRPr="00C802B9" w:rsidRDefault="009034EA" w:rsidP="008A76A6">
            <w:pPr>
              <w:pStyle w:val="COMTabletext"/>
              <w:keepLines/>
            </w:pPr>
            <w:r w:rsidRPr="00C802B9">
              <w:t>55-64: 10.0%</w:t>
            </w:r>
          </w:p>
          <w:p w14:paraId="3E23AF3E" w14:textId="77777777" w:rsidR="009034EA" w:rsidRPr="00C802B9" w:rsidRDefault="009034EA" w:rsidP="008A76A6">
            <w:pPr>
              <w:pStyle w:val="COMTabletext"/>
              <w:keepLines/>
            </w:pPr>
            <w:r w:rsidRPr="00C802B9">
              <w:t>65-74: 19.8%</w:t>
            </w:r>
          </w:p>
          <w:p w14:paraId="7A06C60C" w14:textId="77777777" w:rsidR="009034EA" w:rsidRPr="00C802B9" w:rsidRDefault="009034EA" w:rsidP="008A76A6">
            <w:pPr>
              <w:pStyle w:val="COMTabletext"/>
              <w:keepLines/>
            </w:pPr>
            <w:r w:rsidRPr="00C802B9">
              <w:t>≥75: 32.1%</w:t>
            </w:r>
          </w:p>
        </w:tc>
        <w:tc>
          <w:tcPr>
            <w:tcW w:w="1416" w:type="pct"/>
          </w:tcPr>
          <w:p w14:paraId="70E8A31B" w14:textId="77777777" w:rsidR="009034EA" w:rsidRPr="00C802B9" w:rsidRDefault="009034EA" w:rsidP="008A76A6">
            <w:pPr>
              <w:pStyle w:val="COMTabletext"/>
              <w:keepLines/>
            </w:pPr>
            <w:r w:rsidRPr="00C802B9">
              <w:t>Prevalence of self-reported heart, stroke and vascular disease among males in 2017-2018 (AIHW; 2023).</w:t>
            </w:r>
          </w:p>
        </w:tc>
        <w:tc>
          <w:tcPr>
            <w:tcW w:w="2251" w:type="pct"/>
            <w:vMerge w:val="restart"/>
            <w:vAlign w:val="center"/>
          </w:tcPr>
          <w:p w14:paraId="27C6409D" w14:textId="29978726" w:rsidR="009034EA" w:rsidRPr="00C802B9" w:rsidRDefault="009034EA" w:rsidP="008A76A6">
            <w:pPr>
              <w:pStyle w:val="COMTabletext"/>
              <w:keepLines/>
            </w:pPr>
            <w:r w:rsidRPr="00C802B9">
              <w:t>The AIHW dataset includes a broader range of cardiovascular conditions than the proposed population, which is limited to patients with atherosclerotic coronary artery disease, cerebrovascular disease and peripheral vascular disease, and therefore the assumed prevalence rates are likely to be overestimated. It is unclear whether the self-reported prevalence rates of cardiovascular disease accurately reflect the underlying prevalence of clinician-diagnosed cardiovascular disease. DUSC agreed with the commentary that this is likely an overestimate based on the inclusion of a broader range of conditions than the restriction and self-reporting likely overestimates clinician diagnosis of disease.</w:t>
            </w:r>
          </w:p>
        </w:tc>
      </w:tr>
      <w:tr w:rsidR="009034EA" w:rsidRPr="00C802B9" w14:paraId="6B8F1D46" w14:textId="77777777" w:rsidTr="008A76A6">
        <w:trPr>
          <w:cantSplit/>
        </w:trPr>
        <w:tc>
          <w:tcPr>
            <w:tcW w:w="588" w:type="pct"/>
          </w:tcPr>
          <w:p w14:paraId="659C4635" w14:textId="77777777" w:rsidR="009034EA" w:rsidRPr="00C802B9" w:rsidRDefault="009034EA" w:rsidP="004671F3">
            <w:pPr>
              <w:pStyle w:val="COMTabletext"/>
              <w:keepNext w:val="0"/>
            </w:pPr>
            <w:r w:rsidRPr="00C802B9">
              <w:t>ASCVD prevalence by age group (females)</w:t>
            </w:r>
          </w:p>
        </w:tc>
        <w:tc>
          <w:tcPr>
            <w:tcW w:w="745" w:type="pct"/>
          </w:tcPr>
          <w:p w14:paraId="373E5D49" w14:textId="77777777" w:rsidR="009034EA" w:rsidRPr="00C802B9" w:rsidRDefault="009034EA" w:rsidP="004671F3">
            <w:pPr>
              <w:pStyle w:val="COMTabletext"/>
              <w:keepNext w:val="0"/>
            </w:pPr>
            <w:r w:rsidRPr="00C802B9">
              <w:t>18-44: 1.2%</w:t>
            </w:r>
          </w:p>
          <w:p w14:paraId="6E8D80EC" w14:textId="77777777" w:rsidR="009034EA" w:rsidRPr="00C802B9" w:rsidRDefault="009034EA" w:rsidP="004671F3">
            <w:pPr>
              <w:pStyle w:val="COMTabletext"/>
              <w:keepNext w:val="0"/>
            </w:pPr>
            <w:r w:rsidRPr="00C802B9">
              <w:t>45-54: 2.6%</w:t>
            </w:r>
          </w:p>
          <w:p w14:paraId="4597E1E8" w14:textId="77777777" w:rsidR="009034EA" w:rsidRPr="00C802B9" w:rsidRDefault="009034EA" w:rsidP="004671F3">
            <w:pPr>
              <w:pStyle w:val="COMTabletext"/>
              <w:keepNext w:val="0"/>
            </w:pPr>
            <w:r w:rsidRPr="00C802B9">
              <w:t>55-64: 7.9%</w:t>
            </w:r>
          </w:p>
          <w:p w14:paraId="6EC26B01" w14:textId="77777777" w:rsidR="009034EA" w:rsidRPr="00C802B9" w:rsidRDefault="009034EA" w:rsidP="004671F3">
            <w:pPr>
              <w:pStyle w:val="COMTabletext"/>
              <w:keepNext w:val="0"/>
            </w:pPr>
            <w:r w:rsidRPr="00C802B9">
              <w:t>65-74: 12.2%</w:t>
            </w:r>
          </w:p>
          <w:p w14:paraId="338FEA84" w14:textId="77777777" w:rsidR="009034EA" w:rsidRPr="00C802B9" w:rsidRDefault="009034EA" w:rsidP="004671F3">
            <w:pPr>
              <w:pStyle w:val="COMTabletext"/>
              <w:keepNext w:val="0"/>
            </w:pPr>
            <w:r w:rsidRPr="00C802B9">
              <w:t>≥75: 20.3%</w:t>
            </w:r>
          </w:p>
        </w:tc>
        <w:tc>
          <w:tcPr>
            <w:tcW w:w="1416" w:type="pct"/>
          </w:tcPr>
          <w:p w14:paraId="3324AC2F" w14:textId="77777777" w:rsidR="009034EA" w:rsidRPr="00C802B9" w:rsidRDefault="009034EA" w:rsidP="004671F3">
            <w:pPr>
              <w:pStyle w:val="COMTabletext"/>
              <w:keepNext w:val="0"/>
            </w:pPr>
            <w:r w:rsidRPr="00C802B9">
              <w:t>Prevalence of self-reported heart, stroke and vascular disease among females in 2017-2018 (AIHW; 2023).</w:t>
            </w:r>
          </w:p>
        </w:tc>
        <w:tc>
          <w:tcPr>
            <w:tcW w:w="2251" w:type="pct"/>
            <w:vMerge/>
            <w:vAlign w:val="center"/>
          </w:tcPr>
          <w:p w14:paraId="20EE65F0" w14:textId="77777777" w:rsidR="009034EA" w:rsidRPr="00C802B9" w:rsidRDefault="009034EA" w:rsidP="004671F3">
            <w:pPr>
              <w:pStyle w:val="COMTabletext"/>
              <w:keepNext w:val="0"/>
            </w:pPr>
          </w:p>
        </w:tc>
      </w:tr>
      <w:tr w:rsidR="009034EA" w:rsidRPr="00C802B9" w14:paraId="3752739E" w14:textId="77777777" w:rsidTr="008A76A6">
        <w:trPr>
          <w:cantSplit/>
        </w:trPr>
        <w:tc>
          <w:tcPr>
            <w:tcW w:w="588" w:type="pct"/>
          </w:tcPr>
          <w:p w14:paraId="6C62EDC1" w14:textId="77777777" w:rsidR="009034EA" w:rsidRPr="00C802B9" w:rsidRDefault="009034EA" w:rsidP="004671F3">
            <w:pPr>
              <w:pStyle w:val="COMTabletext"/>
              <w:keepNext w:val="0"/>
            </w:pPr>
            <w:r w:rsidRPr="00C802B9">
              <w:t>Australian male and female population by age cohort</w:t>
            </w:r>
          </w:p>
        </w:tc>
        <w:tc>
          <w:tcPr>
            <w:tcW w:w="745" w:type="pct"/>
          </w:tcPr>
          <w:p w14:paraId="2A47F189" w14:textId="77777777" w:rsidR="009034EA" w:rsidRPr="00C802B9" w:rsidRDefault="009034EA" w:rsidP="004671F3">
            <w:pPr>
              <w:pStyle w:val="COMTabletext"/>
              <w:keepNext w:val="0"/>
            </w:pPr>
            <w:r w:rsidRPr="00C802B9">
              <w:t>-</w:t>
            </w:r>
          </w:p>
        </w:tc>
        <w:tc>
          <w:tcPr>
            <w:tcW w:w="1416" w:type="pct"/>
          </w:tcPr>
          <w:p w14:paraId="2509E851" w14:textId="77777777" w:rsidR="009034EA" w:rsidRPr="00C802B9" w:rsidRDefault="009034EA" w:rsidP="004671F3">
            <w:pPr>
              <w:pStyle w:val="COMTabletext"/>
              <w:keepNext w:val="0"/>
            </w:pPr>
            <w:r w:rsidRPr="00C802B9">
              <w:t>ABS 3222.0 Series B.</w:t>
            </w:r>
          </w:p>
        </w:tc>
        <w:tc>
          <w:tcPr>
            <w:tcW w:w="2251" w:type="pct"/>
          </w:tcPr>
          <w:p w14:paraId="08223336" w14:textId="770F1802" w:rsidR="009034EA" w:rsidRPr="00C802B9" w:rsidRDefault="00914F29" w:rsidP="004671F3">
            <w:pPr>
              <w:pStyle w:val="COMTabletext"/>
              <w:keepNext w:val="0"/>
            </w:pPr>
            <w:r>
              <w:t>-</w:t>
            </w:r>
          </w:p>
        </w:tc>
      </w:tr>
      <w:tr w:rsidR="009034EA" w:rsidRPr="00C802B9" w14:paraId="06DDEF51" w14:textId="77777777" w:rsidTr="008A76A6">
        <w:trPr>
          <w:cantSplit/>
        </w:trPr>
        <w:tc>
          <w:tcPr>
            <w:tcW w:w="588" w:type="pct"/>
          </w:tcPr>
          <w:p w14:paraId="712A350F" w14:textId="77777777" w:rsidR="009034EA" w:rsidRPr="00C802B9" w:rsidRDefault="009034EA" w:rsidP="004671F3">
            <w:pPr>
              <w:pStyle w:val="COMTabletext"/>
              <w:keepNext w:val="0"/>
            </w:pPr>
            <w:r w:rsidRPr="00C802B9">
              <w:t>Proportion of adults with ASCVD</w:t>
            </w:r>
          </w:p>
        </w:tc>
        <w:tc>
          <w:tcPr>
            <w:tcW w:w="745" w:type="pct"/>
          </w:tcPr>
          <w:p w14:paraId="7B427748" w14:textId="408CA1CB" w:rsidR="009034EA" w:rsidRPr="00C802B9" w:rsidRDefault="009034EA" w:rsidP="004671F3">
            <w:pPr>
              <w:pStyle w:val="COMTabletext"/>
              <w:keepNext w:val="0"/>
            </w:pPr>
            <w:r w:rsidRPr="00C802B9">
              <w:t>2024:</w:t>
            </w:r>
            <w:r w:rsidR="008A76A6">
              <w:t xml:space="preserve"> </w:t>
            </w:r>
            <w:r w:rsidR="0036355B" w:rsidRPr="008A76A6">
              <w:rPr>
                <w:color w:val="000000"/>
                <w:spacing w:val="53"/>
                <w:shd w:val="solid" w:color="000000" w:fill="000000"/>
                <w:fitText w:val="330" w:id="-1032111350"/>
                <w14:textFill>
                  <w14:solidFill>
                    <w14:srgbClr w14:val="000000">
                      <w14:alpha w14:val="100000"/>
                    </w14:srgbClr>
                  </w14:solidFill>
                </w14:textFill>
              </w:rPr>
              <w:t>|||</w:t>
            </w:r>
            <w:r w:rsidR="0036355B" w:rsidRPr="008A76A6">
              <w:rPr>
                <w:color w:val="000000"/>
                <w:spacing w:val="1"/>
                <w:shd w:val="solid" w:color="000000" w:fill="000000"/>
                <w:fitText w:val="330" w:id="-1032111350"/>
                <w14:textFill>
                  <w14:solidFill>
                    <w14:srgbClr w14:val="000000">
                      <w14:alpha w14:val="100000"/>
                    </w14:srgbClr>
                  </w14:solidFill>
                </w14:textFill>
              </w:rPr>
              <w:t>|</w:t>
            </w:r>
            <w:r w:rsidR="007B6FB5" w:rsidRPr="005441F2">
              <w:rPr>
                <w:vertAlign w:val="superscript"/>
              </w:rPr>
              <w:t>1</w:t>
            </w:r>
          </w:p>
          <w:p w14:paraId="3FE708A8" w14:textId="1223B83A" w:rsidR="009034EA" w:rsidRPr="00C802B9" w:rsidRDefault="009034EA" w:rsidP="004671F3">
            <w:pPr>
              <w:pStyle w:val="COMTabletext"/>
              <w:keepNext w:val="0"/>
            </w:pPr>
            <w:r w:rsidRPr="00C802B9">
              <w:t>2025:</w:t>
            </w:r>
            <w:r w:rsidR="008A76A6">
              <w:t xml:space="preserve"> </w:t>
            </w:r>
            <w:r w:rsidR="0036355B" w:rsidRPr="008A76A6">
              <w:rPr>
                <w:color w:val="000000"/>
                <w:spacing w:val="53"/>
                <w:shd w:val="solid" w:color="000000" w:fill="000000"/>
                <w:fitText w:val="330" w:id="-1032111346"/>
                <w14:textFill>
                  <w14:solidFill>
                    <w14:srgbClr w14:val="000000">
                      <w14:alpha w14:val="100000"/>
                    </w14:srgbClr>
                  </w14:solidFill>
                </w14:textFill>
              </w:rPr>
              <w:t>|||</w:t>
            </w:r>
            <w:r w:rsidR="0036355B" w:rsidRPr="008A76A6">
              <w:rPr>
                <w:color w:val="000000"/>
                <w:spacing w:val="1"/>
                <w:shd w:val="solid" w:color="000000" w:fill="000000"/>
                <w:fitText w:val="330" w:id="-1032111346"/>
                <w14:textFill>
                  <w14:solidFill>
                    <w14:srgbClr w14:val="000000">
                      <w14:alpha w14:val="100000"/>
                    </w14:srgbClr>
                  </w14:solidFill>
                </w14:textFill>
              </w:rPr>
              <w:t>|</w:t>
            </w:r>
            <w:r w:rsidR="00B248C7" w:rsidRPr="00494E2A">
              <w:rPr>
                <w:vertAlign w:val="superscript"/>
              </w:rPr>
              <w:t>1</w:t>
            </w:r>
          </w:p>
          <w:p w14:paraId="1D43E67B" w14:textId="53514140" w:rsidR="009034EA" w:rsidRPr="00C802B9" w:rsidRDefault="009034EA" w:rsidP="004671F3">
            <w:pPr>
              <w:pStyle w:val="COMTabletext"/>
              <w:keepNext w:val="0"/>
            </w:pPr>
            <w:r w:rsidRPr="00C802B9">
              <w:t>2026:</w:t>
            </w:r>
            <w:r w:rsidR="008A76A6">
              <w:t xml:space="preserve"> </w:t>
            </w:r>
            <w:r w:rsidR="0036355B" w:rsidRPr="008A76A6">
              <w:rPr>
                <w:color w:val="000000"/>
                <w:spacing w:val="53"/>
                <w:shd w:val="solid" w:color="000000" w:fill="000000"/>
                <w:fitText w:val="330" w:id="-1032111359"/>
                <w14:textFill>
                  <w14:solidFill>
                    <w14:srgbClr w14:val="000000">
                      <w14:alpha w14:val="100000"/>
                    </w14:srgbClr>
                  </w14:solidFill>
                </w14:textFill>
              </w:rPr>
              <w:t>|||</w:t>
            </w:r>
            <w:r w:rsidR="0036355B" w:rsidRPr="008A76A6">
              <w:rPr>
                <w:color w:val="000000"/>
                <w:spacing w:val="1"/>
                <w:shd w:val="solid" w:color="000000" w:fill="000000"/>
                <w:fitText w:val="330" w:id="-1032111359"/>
                <w14:textFill>
                  <w14:solidFill>
                    <w14:srgbClr w14:val="000000">
                      <w14:alpha w14:val="100000"/>
                    </w14:srgbClr>
                  </w14:solidFill>
                </w14:textFill>
              </w:rPr>
              <w:t>|</w:t>
            </w:r>
            <w:r w:rsidR="00B248C7" w:rsidRPr="00494E2A">
              <w:rPr>
                <w:vertAlign w:val="superscript"/>
              </w:rPr>
              <w:t>1</w:t>
            </w:r>
          </w:p>
          <w:p w14:paraId="50EDC12B" w14:textId="4860B25A" w:rsidR="009034EA" w:rsidRPr="00C802B9" w:rsidRDefault="009034EA" w:rsidP="004671F3">
            <w:pPr>
              <w:pStyle w:val="COMTabletext"/>
              <w:keepNext w:val="0"/>
            </w:pPr>
            <w:r w:rsidRPr="00C802B9">
              <w:t>2027:</w:t>
            </w:r>
            <w:r w:rsidR="008A76A6">
              <w:t xml:space="preserve"> </w:t>
            </w:r>
            <w:r w:rsidR="0036355B" w:rsidRPr="008A76A6">
              <w:rPr>
                <w:color w:val="000000"/>
                <w:spacing w:val="53"/>
                <w:shd w:val="solid" w:color="000000" w:fill="000000"/>
                <w:fitText w:val="330" w:id="-1032111355"/>
                <w14:textFill>
                  <w14:solidFill>
                    <w14:srgbClr w14:val="000000">
                      <w14:alpha w14:val="100000"/>
                    </w14:srgbClr>
                  </w14:solidFill>
                </w14:textFill>
              </w:rPr>
              <w:t>|||</w:t>
            </w:r>
            <w:r w:rsidR="0036355B" w:rsidRPr="008A76A6">
              <w:rPr>
                <w:color w:val="000000"/>
                <w:spacing w:val="1"/>
                <w:shd w:val="solid" w:color="000000" w:fill="000000"/>
                <w:fitText w:val="330" w:id="-1032111355"/>
                <w14:textFill>
                  <w14:solidFill>
                    <w14:srgbClr w14:val="000000">
                      <w14:alpha w14:val="100000"/>
                    </w14:srgbClr>
                  </w14:solidFill>
                </w14:textFill>
              </w:rPr>
              <w:t>|</w:t>
            </w:r>
            <w:r w:rsidR="00B248C7" w:rsidRPr="00494E2A">
              <w:rPr>
                <w:vertAlign w:val="superscript"/>
              </w:rPr>
              <w:t>1</w:t>
            </w:r>
          </w:p>
          <w:p w14:paraId="4C186936" w14:textId="6BA5FADD" w:rsidR="009034EA" w:rsidRPr="00C802B9" w:rsidRDefault="009034EA" w:rsidP="004671F3">
            <w:pPr>
              <w:pStyle w:val="COMTabletext"/>
              <w:keepNext w:val="0"/>
            </w:pPr>
            <w:r w:rsidRPr="00C802B9">
              <w:t>2028:</w:t>
            </w:r>
            <w:r w:rsidR="008A76A6">
              <w:t xml:space="preserve"> </w:t>
            </w:r>
            <w:r w:rsidR="0036355B" w:rsidRPr="008A76A6">
              <w:rPr>
                <w:color w:val="000000"/>
                <w:spacing w:val="53"/>
                <w:shd w:val="solid" w:color="000000" w:fill="000000"/>
                <w:fitText w:val="330" w:id="-1032111351"/>
                <w14:textFill>
                  <w14:solidFill>
                    <w14:srgbClr w14:val="000000">
                      <w14:alpha w14:val="100000"/>
                    </w14:srgbClr>
                  </w14:solidFill>
                </w14:textFill>
              </w:rPr>
              <w:t>|||</w:t>
            </w:r>
            <w:r w:rsidR="0036355B" w:rsidRPr="008A76A6">
              <w:rPr>
                <w:color w:val="000000"/>
                <w:spacing w:val="1"/>
                <w:shd w:val="solid" w:color="000000" w:fill="000000"/>
                <w:fitText w:val="330" w:id="-1032111351"/>
                <w14:textFill>
                  <w14:solidFill>
                    <w14:srgbClr w14:val="000000">
                      <w14:alpha w14:val="100000"/>
                    </w14:srgbClr>
                  </w14:solidFill>
                </w14:textFill>
              </w:rPr>
              <w:t>|</w:t>
            </w:r>
            <w:r w:rsidR="00B248C7" w:rsidRPr="00494E2A">
              <w:rPr>
                <w:vertAlign w:val="superscript"/>
              </w:rPr>
              <w:t>1</w:t>
            </w:r>
          </w:p>
          <w:p w14:paraId="5F89073F" w14:textId="560E5B36" w:rsidR="009034EA" w:rsidRPr="00C802B9" w:rsidRDefault="009034EA" w:rsidP="004671F3">
            <w:pPr>
              <w:pStyle w:val="COMTabletext"/>
              <w:keepNext w:val="0"/>
            </w:pPr>
            <w:r w:rsidRPr="00C802B9">
              <w:t>2029:</w:t>
            </w:r>
            <w:r w:rsidR="008A76A6">
              <w:t xml:space="preserve"> </w:t>
            </w:r>
            <w:r w:rsidR="0036355B" w:rsidRPr="008A76A6">
              <w:rPr>
                <w:color w:val="000000"/>
                <w:spacing w:val="53"/>
                <w:shd w:val="solid" w:color="000000" w:fill="000000"/>
                <w:fitText w:val="330" w:id="-1032111347"/>
                <w14:textFill>
                  <w14:solidFill>
                    <w14:srgbClr w14:val="000000">
                      <w14:alpha w14:val="100000"/>
                    </w14:srgbClr>
                  </w14:solidFill>
                </w14:textFill>
              </w:rPr>
              <w:t>|||</w:t>
            </w:r>
            <w:r w:rsidR="0036355B" w:rsidRPr="008A76A6">
              <w:rPr>
                <w:color w:val="000000"/>
                <w:spacing w:val="1"/>
                <w:shd w:val="solid" w:color="000000" w:fill="000000"/>
                <w:fitText w:val="330" w:id="-1032111347"/>
                <w14:textFill>
                  <w14:solidFill>
                    <w14:srgbClr w14:val="000000">
                      <w14:alpha w14:val="100000"/>
                    </w14:srgbClr>
                  </w14:solidFill>
                </w14:textFill>
              </w:rPr>
              <w:t>|</w:t>
            </w:r>
            <w:r w:rsidR="00B248C7" w:rsidRPr="00494E2A">
              <w:rPr>
                <w:vertAlign w:val="superscript"/>
              </w:rPr>
              <w:t>1</w:t>
            </w:r>
          </w:p>
        </w:tc>
        <w:tc>
          <w:tcPr>
            <w:tcW w:w="1416" w:type="pct"/>
          </w:tcPr>
          <w:p w14:paraId="26E7D26E" w14:textId="77777777" w:rsidR="009034EA" w:rsidRPr="00C802B9" w:rsidRDefault="009034EA" w:rsidP="004671F3">
            <w:pPr>
              <w:pStyle w:val="COMTabletext"/>
              <w:keepNext w:val="0"/>
            </w:pPr>
            <w:r w:rsidRPr="00C802B9">
              <w:t>Calculated. Prevalence of ASCVD by sex and age cohort multiplied by the corresponding ABS population according to sex and age cohort.</w:t>
            </w:r>
          </w:p>
        </w:tc>
        <w:tc>
          <w:tcPr>
            <w:tcW w:w="2251" w:type="pct"/>
          </w:tcPr>
          <w:p w14:paraId="268097EF" w14:textId="159DDD45" w:rsidR="009034EA" w:rsidRPr="00C802B9" w:rsidRDefault="00914F29" w:rsidP="004671F3">
            <w:pPr>
              <w:pStyle w:val="COMTabletext"/>
              <w:keepNext w:val="0"/>
            </w:pPr>
            <w:r>
              <w:t>-</w:t>
            </w:r>
          </w:p>
        </w:tc>
      </w:tr>
      <w:tr w:rsidR="009034EA" w:rsidRPr="00C802B9" w14:paraId="55E012A9" w14:textId="77777777" w:rsidTr="008A76A6">
        <w:trPr>
          <w:cantSplit/>
        </w:trPr>
        <w:tc>
          <w:tcPr>
            <w:tcW w:w="588" w:type="pct"/>
          </w:tcPr>
          <w:p w14:paraId="0B329D51" w14:textId="77777777" w:rsidR="009034EA" w:rsidRPr="00C802B9" w:rsidRDefault="009034EA" w:rsidP="004671F3">
            <w:pPr>
              <w:pStyle w:val="COMTabletext"/>
              <w:keepNext w:val="0"/>
            </w:pPr>
            <w:r w:rsidRPr="00C802B9">
              <w:t>Australian population 18-100 years</w:t>
            </w:r>
          </w:p>
        </w:tc>
        <w:tc>
          <w:tcPr>
            <w:tcW w:w="745" w:type="pct"/>
          </w:tcPr>
          <w:p w14:paraId="2FC9EA51" w14:textId="12CCC736" w:rsidR="009034EA" w:rsidRPr="00C802B9" w:rsidRDefault="009034EA" w:rsidP="004671F3">
            <w:pPr>
              <w:pStyle w:val="COMTabletext"/>
              <w:keepNext w:val="0"/>
            </w:pPr>
            <w:r w:rsidRPr="00C802B9">
              <w:t>2024:</w:t>
            </w:r>
            <w:r w:rsidR="008A76A6">
              <w:t xml:space="preserve"> </w:t>
            </w:r>
            <w:r w:rsidR="0036355B" w:rsidRPr="008A76A6">
              <w:rPr>
                <w:color w:val="000000"/>
                <w:spacing w:val="53"/>
                <w:shd w:val="solid" w:color="000000" w:fill="000000"/>
                <w:fitText w:val="330" w:id="-1032111360"/>
                <w14:textFill>
                  <w14:solidFill>
                    <w14:srgbClr w14:val="000000">
                      <w14:alpha w14:val="100000"/>
                    </w14:srgbClr>
                  </w14:solidFill>
                </w14:textFill>
              </w:rPr>
              <w:t>|||</w:t>
            </w:r>
            <w:r w:rsidR="0036355B" w:rsidRPr="008A76A6">
              <w:rPr>
                <w:color w:val="000000"/>
                <w:spacing w:val="1"/>
                <w:shd w:val="solid" w:color="000000" w:fill="000000"/>
                <w:fitText w:val="330" w:id="-1032111360"/>
                <w14:textFill>
                  <w14:solidFill>
                    <w14:srgbClr w14:val="000000">
                      <w14:alpha w14:val="100000"/>
                    </w14:srgbClr>
                  </w14:solidFill>
                </w14:textFill>
              </w:rPr>
              <w:t>|</w:t>
            </w:r>
            <w:r w:rsidR="00B248C7">
              <w:rPr>
                <w:vertAlign w:val="superscript"/>
              </w:rPr>
              <w:t>2</w:t>
            </w:r>
          </w:p>
          <w:p w14:paraId="702F009C" w14:textId="63C59146" w:rsidR="009034EA" w:rsidRPr="00C802B9" w:rsidRDefault="009034EA" w:rsidP="004671F3">
            <w:pPr>
              <w:pStyle w:val="COMTabletext"/>
              <w:keepNext w:val="0"/>
            </w:pPr>
            <w:r w:rsidRPr="00C802B9">
              <w:t>2025:</w:t>
            </w:r>
            <w:r w:rsidR="004671F3">
              <w:t xml:space="preserve"> </w:t>
            </w:r>
            <w:r w:rsidR="0036355B" w:rsidRPr="008A76A6">
              <w:rPr>
                <w:color w:val="000000"/>
                <w:spacing w:val="53"/>
                <w:shd w:val="solid" w:color="000000" w:fill="000000"/>
                <w:fitText w:val="330" w:id="-1032111356"/>
                <w14:textFill>
                  <w14:solidFill>
                    <w14:srgbClr w14:val="000000">
                      <w14:alpha w14:val="100000"/>
                    </w14:srgbClr>
                  </w14:solidFill>
                </w14:textFill>
              </w:rPr>
              <w:t>|||</w:t>
            </w:r>
            <w:r w:rsidR="0036355B" w:rsidRPr="008A76A6">
              <w:rPr>
                <w:color w:val="000000"/>
                <w:spacing w:val="1"/>
                <w:shd w:val="solid" w:color="000000" w:fill="000000"/>
                <w:fitText w:val="330" w:id="-1032111356"/>
                <w14:textFill>
                  <w14:solidFill>
                    <w14:srgbClr w14:val="000000">
                      <w14:alpha w14:val="100000"/>
                    </w14:srgbClr>
                  </w14:solidFill>
                </w14:textFill>
              </w:rPr>
              <w:t>|</w:t>
            </w:r>
            <w:r w:rsidR="00B248C7">
              <w:rPr>
                <w:vertAlign w:val="superscript"/>
              </w:rPr>
              <w:t>2</w:t>
            </w:r>
          </w:p>
          <w:p w14:paraId="5637630C" w14:textId="618CA4D5" w:rsidR="009034EA" w:rsidRPr="00C802B9" w:rsidRDefault="009034EA" w:rsidP="004671F3">
            <w:pPr>
              <w:pStyle w:val="COMTabletext"/>
              <w:keepNext w:val="0"/>
            </w:pPr>
            <w:r w:rsidRPr="00C802B9">
              <w:t>2026:</w:t>
            </w:r>
            <w:r w:rsidR="0036355B">
              <w:t xml:space="preserve"> </w:t>
            </w:r>
            <w:r w:rsidR="0036355B" w:rsidRPr="008A76A6">
              <w:rPr>
                <w:color w:val="000000"/>
                <w:spacing w:val="53"/>
                <w:shd w:val="solid" w:color="000000" w:fill="000000"/>
                <w:fitText w:val="330" w:id="-1032111352"/>
                <w14:textFill>
                  <w14:solidFill>
                    <w14:srgbClr w14:val="000000">
                      <w14:alpha w14:val="100000"/>
                    </w14:srgbClr>
                  </w14:solidFill>
                </w14:textFill>
              </w:rPr>
              <w:t>|||</w:t>
            </w:r>
            <w:r w:rsidR="0036355B" w:rsidRPr="008A76A6">
              <w:rPr>
                <w:color w:val="000000"/>
                <w:spacing w:val="1"/>
                <w:shd w:val="solid" w:color="000000" w:fill="000000"/>
                <w:fitText w:val="330" w:id="-1032111352"/>
                <w14:textFill>
                  <w14:solidFill>
                    <w14:srgbClr w14:val="000000">
                      <w14:alpha w14:val="100000"/>
                    </w14:srgbClr>
                  </w14:solidFill>
                </w14:textFill>
              </w:rPr>
              <w:t>|</w:t>
            </w:r>
            <w:r w:rsidR="00B248C7">
              <w:rPr>
                <w:vertAlign w:val="superscript"/>
              </w:rPr>
              <w:t>2</w:t>
            </w:r>
          </w:p>
          <w:p w14:paraId="25DF9F4C" w14:textId="3E14C072" w:rsidR="009034EA" w:rsidRPr="00C802B9" w:rsidRDefault="009034EA" w:rsidP="004671F3">
            <w:pPr>
              <w:pStyle w:val="COMTabletext"/>
              <w:keepNext w:val="0"/>
            </w:pPr>
            <w:r w:rsidRPr="00C802B9">
              <w:t>2027:</w:t>
            </w:r>
            <w:r w:rsidR="0036355B">
              <w:t xml:space="preserve"> </w:t>
            </w:r>
            <w:r w:rsidR="0036355B" w:rsidRPr="008A76A6">
              <w:rPr>
                <w:color w:val="000000"/>
                <w:spacing w:val="53"/>
                <w:shd w:val="solid" w:color="000000" w:fill="000000"/>
                <w:fitText w:val="330" w:id="-1032111348"/>
                <w14:textFill>
                  <w14:solidFill>
                    <w14:srgbClr w14:val="000000">
                      <w14:alpha w14:val="100000"/>
                    </w14:srgbClr>
                  </w14:solidFill>
                </w14:textFill>
              </w:rPr>
              <w:t>|||</w:t>
            </w:r>
            <w:r w:rsidR="0036355B" w:rsidRPr="008A76A6">
              <w:rPr>
                <w:color w:val="000000"/>
                <w:spacing w:val="1"/>
                <w:shd w:val="solid" w:color="000000" w:fill="000000"/>
                <w:fitText w:val="330" w:id="-1032111348"/>
                <w14:textFill>
                  <w14:solidFill>
                    <w14:srgbClr w14:val="000000">
                      <w14:alpha w14:val="100000"/>
                    </w14:srgbClr>
                  </w14:solidFill>
                </w14:textFill>
              </w:rPr>
              <w:t>|</w:t>
            </w:r>
            <w:r w:rsidR="00B248C7">
              <w:rPr>
                <w:vertAlign w:val="superscript"/>
              </w:rPr>
              <w:t>2</w:t>
            </w:r>
          </w:p>
          <w:p w14:paraId="0EEEFB95" w14:textId="5AF96090" w:rsidR="009034EA" w:rsidRPr="00C802B9" w:rsidRDefault="009034EA" w:rsidP="004671F3">
            <w:pPr>
              <w:pStyle w:val="COMTabletext"/>
              <w:keepNext w:val="0"/>
            </w:pPr>
            <w:r w:rsidRPr="00C802B9">
              <w:t>2028:</w:t>
            </w:r>
            <w:r w:rsidR="0036355B">
              <w:t xml:space="preserve"> </w:t>
            </w:r>
            <w:r w:rsidR="0036355B" w:rsidRPr="008A76A6">
              <w:rPr>
                <w:color w:val="000000"/>
                <w:spacing w:val="53"/>
                <w:shd w:val="solid" w:color="000000" w:fill="000000"/>
                <w:fitText w:val="330" w:id="-1032111344"/>
                <w14:textFill>
                  <w14:solidFill>
                    <w14:srgbClr w14:val="000000">
                      <w14:alpha w14:val="100000"/>
                    </w14:srgbClr>
                  </w14:solidFill>
                </w14:textFill>
              </w:rPr>
              <w:t>|||</w:t>
            </w:r>
            <w:r w:rsidR="0036355B" w:rsidRPr="008A76A6">
              <w:rPr>
                <w:color w:val="000000"/>
                <w:spacing w:val="1"/>
                <w:shd w:val="solid" w:color="000000" w:fill="000000"/>
                <w:fitText w:val="330" w:id="-1032111344"/>
                <w14:textFill>
                  <w14:solidFill>
                    <w14:srgbClr w14:val="000000">
                      <w14:alpha w14:val="100000"/>
                    </w14:srgbClr>
                  </w14:solidFill>
                </w14:textFill>
              </w:rPr>
              <w:t>|</w:t>
            </w:r>
            <w:r w:rsidR="00B248C7">
              <w:rPr>
                <w:vertAlign w:val="superscript"/>
              </w:rPr>
              <w:t>2</w:t>
            </w:r>
          </w:p>
          <w:p w14:paraId="013635DC" w14:textId="5BDBC216" w:rsidR="009034EA" w:rsidRPr="00C802B9" w:rsidRDefault="009034EA" w:rsidP="004671F3">
            <w:pPr>
              <w:pStyle w:val="COMTabletext"/>
              <w:keepNext w:val="0"/>
            </w:pPr>
            <w:r w:rsidRPr="00C802B9">
              <w:t>2029:</w:t>
            </w:r>
            <w:r w:rsidR="0036355B">
              <w:t xml:space="preserve"> </w:t>
            </w:r>
            <w:r w:rsidR="0036355B" w:rsidRPr="008A76A6">
              <w:rPr>
                <w:color w:val="000000"/>
                <w:spacing w:val="53"/>
                <w:shd w:val="solid" w:color="000000" w:fill="000000"/>
                <w:fitText w:val="330" w:id="-1032111357"/>
                <w14:textFill>
                  <w14:solidFill>
                    <w14:srgbClr w14:val="000000">
                      <w14:alpha w14:val="100000"/>
                    </w14:srgbClr>
                  </w14:solidFill>
                </w14:textFill>
              </w:rPr>
              <w:t>|||</w:t>
            </w:r>
            <w:r w:rsidR="0036355B" w:rsidRPr="008A76A6">
              <w:rPr>
                <w:color w:val="000000"/>
                <w:spacing w:val="1"/>
                <w:shd w:val="solid" w:color="000000" w:fill="000000"/>
                <w:fitText w:val="330" w:id="-1032111357"/>
                <w14:textFill>
                  <w14:solidFill>
                    <w14:srgbClr w14:val="000000">
                      <w14:alpha w14:val="100000"/>
                    </w14:srgbClr>
                  </w14:solidFill>
                </w14:textFill>
              </w:rPr>
              <w:t>|</w:t>
            </w:r>
            <w:r w:rsidR="00B248C7">
              <w:rPr>
                <w:vertAlign w:val="superscript"/>
              </w:rPr>
              <w:t>2</w:t>
            </w:r>
          </w:p>
        </w:tc>
        <w:tc>
          <w:tcPr>
            <w:tcW w:w="1416" w:type="pct"/>
          </w:tcPr>
          <w:p w14:paraId="17BCEB47" w14:textId="77777777" w:rsidR="009034EA" w:rsidRPr="00C802B9" w:rsidRDefault="009034EA" w:rsidP="004671F3">
            <w:pPr>
              <w:pStyle w:val="COMTabletext"/>
              <w:keepNext w:val="0"/>
            </w:pPr>
            <w:r w:rsidRPr="00C802B9">
              <w:t>ABS 3222.0 Series B. Forecast Australian population aged 18-100 years.</w:t>
            </w:r>
          </w:p>
        </w:tc>
        <w:tc>
          <w:tcPr>
            <w:tcW w:w="2251" w:type="pct"/>
          </w:tcPr>
          <w:p w14:paraId="459AB8AB" w14:textId="27B931F1" w:rsidR="009034EA" w:rsidRPr="00C802B9" w:rsidRDefault="00914F29" w:rsidP="004671F3">
            <w:pPr>
              <w:pStyle w:val="COMTabletext"/>
              <w:keepNext w:val="0"/>
            </w:pPr>
            <w:r>
              <w:t>-</w:t>
            </w:r>
          </w:p>
        </w:tc>
      </w:tr>
      <w:tr w:rsidR="009034EA" w:rsidRPr="00C802B9" w14:paraId="0B42F0DF" w14:textId="77777777" w:rsidTr="008A76A6">
        <w:trPr>
          <w:cantSplit/>
        </w:trPr>
        <w:tc>
          <w:tcPr>
            <w:tcW w:w="588" w:type="pct"/>
          </w:tcPr>
          <w:p w14:paraId="1038C7B9" w14:textId="77777777" w:rsidR="009034EA" w:rsidRPr="00C802B9" w:rsidRDefault="009034EA" w:rsidP="004671F3">
            <w:pPr>
              <w:pStyle w:val="COMTabletext"/>
              <w:keepNext w:val="0"/>
            </w:pPr>
            <w:r w:rsidRPr="00C802B9">
              <w:t xml:space="preserve">Age/sex standardised ASCVD prevalence </w:t>
            </w:r>
          </w:p>
        </w:tc>
        <w:tc>
          <w:tcPr>
            <w:tcW w:w="745" w:type="pct"/>
          </w:tcPr>
          <w:p w14:paraId="6D52AE04" w14:textId="77777777" w:rsidR="009034EA" w:rsidRPr="00C802B9" w:rsidRDefault="009034EA" w:rsidP="004671F3">
            <w:pPr>
              <w:pStyle w:val="COMTabletext"/>
              <w:keepNext w:val="0"/>
            </w:pPr>
            <w:r w:rsidRPr="00C802B9">
              <w:t>2024: 6.61%</w:t>
            </w:r>
          </w:p>
          <w:p w14:paraId="17EAB6EF" w14:textId="77777777" w:rsidR="009034EA" w:rsidRPr="00C802B9" w:rsidRDefault="009034EA" w:rsidP="004671F3">
            <w:pPr>
              <w:pStyle w:val="COMTabletext"/>
              <w:keepNext w:val="0"/>
            </w:pPr>
            <w:r w:rsidRPr="00C802B9">
              <w:t>2025: 6.66%</w:t>
            </w:r>
          </w:p>
          <w:p w14:paraId="22789C75" w14:textId="77777777" w:rsidR="009034EA" w:rsidRPr="00C802B9" w:rsidRDefault="009034EA" w:rsidP="004671F3">
            <w:pPr>
              <w:pStyle w:val="COMTabletext"/>
              <w:keepNext w:val="0"/>
            </w:pPr>
            <w:r w:rsidRPr="00C802B9">
              <w:t>2026: 6.72%</w:t>
            </w:r>
          </w:p>
          <w:p w14:paraId="0816FFBC" w14:textId="77777777" w:rsidR="009034EA" w:rsidRPr="00C802B9" w:rsidRDefault="009034EA" w:rsidP="004671F3">
            <w:pPr>
              <w:pStyle w:val="COMTabletext"/>
              <w:keepNext w:val="0"/>
            </w:pPr>
            <w:r w:rsidRPr="00C802B9">
              <w:t>2027: 6.77%</w:t>
            </w:r>
          </w:p>
          <w:p w14:paraId="755D90DB" w14:textId="77777777" w:rsidR="009034EA" w:rsidRPr="00C802B9" w:rsidRDefault="009034EA" w:rsidP="004671F3">
            <w:pPr>
              <w:pStyle w:val="COMTabletext"/>
              <w:keepNext w:val="0"/>
            </w:pPr>
            <w:r w:rsidRPr="00C802B9">
              <w:t>2028: 6.82%</w:t>
            </w:r>
          </w:p>
          <w:p w14:paraId="218B1F4A" w14:textId="77777777" w:rsidR="009034EA" w:rsidRPr="00C802B9" w:rsidRDefault="009034EA" w:rsidP="004671F3">
            <w:pPr>
              <w:pStyle w:val="COMTabletext"/>
              <w:keepNext w:val="0"/>
            </w:pPr>
            <w:r w:rsidRPr="00C802B9">
              <w:t>2029: 6.86%</w:t>
            </w:r>
          </w:p>
        </w:tc>
        <w:tc>
          <w:tcPr>
            <w:tcW w:w="1416" w:type="pct"/>
          </w:tcPr>
          <w:p w14:paraId="713C2BED" w14:textId="77777777" w:rsidR="009034EA" w:rsidRPr="00C802B9" w:rsidRDefault="009034EA" w:rsidP="004671F3">
            <w:pPr>
              <w:pStyle w:val="COMTabletext"/>
              <w:keepNext w:val="0"/>
            </w:pPr>
            <w:r w:rsidRPr="00C802B9">
              <w:t>Calculated. The estimated number of patients with ASCVD was divided by the forecast Australian population aged 18-100 years.</w:t>
            </w:r>
          </w:p>
        </w:tc>
        <w:tc>
          <w:tcPr>
            <w:tcW w:w="2251" w:type="pct"/>
          </w:tcPr>
          <w:p w14:paraId="2C6E1F55" w14:textId="15CCFF2D" w:rsidR="009034EA" w:rsidRPr="00C802B9" w:rsidRDefault="00914F29" w:rsidP="004671F3">
            <w:pPr>
              <w:pStyle w:val="COMTabletext"/>
              <w:keepNext w:val="0"/>
            </w:pPr>
            <w:r>
              <w:t>-</w:t>
            </w:r>
          </w:p>
        </w:tc>
      </w:tr>
      <w:tr w:rsidR="009034EA" w:rsidRPr="00C802B9" w14:paraId="52B8A886" w14:textId="77777777" w:rsidTr="008A76A6">
        <w:tc>
          <w:tcPr>
            <w:tcW w:w="588" w:type="pct"/>
          </w:tcPr>
          <w:p w14:paraId="221F4D24" w14:textId="77777777" w:rsidR="009034EA" w:rsidRPr="00C802B9" w:rsidRDefault="009034EA" w:rsidP="004671F3">
            <w:pPr>
              <w:pStyle w:val="COMTabletext"/>
              <w:keepNext w:val="0"/>
            </w:pPr>
            <w:r w:rsidRPr="00C802B9">
              <w:t>Proportion on statin-based lipid lowering therapy</w:t>
            </w:r>
          </w:p>
        </w:tc>
        <w:tc>
          <w:tcPr>
            <w:tcW w:w="745" w:type="pct"/>
          </w:tcPr>
          <w:p w14:paraId="25DF2569" w14:textId="77777777" w:rsidR="009034EA" w:rsidRPr="00C802B9" w:rsidRDefault="009034EA" w:rsidP="004671F3">
            <w:pPr>
              <w:pStyle w:val="COMTabletext"/>
              <w:keepNext w:val="0"/>
            </w:pPr>
            <w:r w:rsidRPr="00C802B9">
              <w:t>75.9%</w:t>
            </w:r>
          </w:p>
        </w:tc>
        <w:tc>
          <w:tcPr>
            <w:tcW w:w="1416" w:type="pct"/>
          </w:tcPr>
          <w:p w14:paraId="7CAB03FC" w14:textId="77777777" w:rsidR="009034EA" w:rsidRPr="00C802B9" w:rsidRDefault="009034EA" w:rsidP="004671F3">
            <w:pPr>
              <w:pStyle w:val="COMTabletext"/>
              <w:keepNext w:val="0"/>
            </w:pPr>
            <w:r w:rsidRPr="00C802B9">
              <w:t>Based on the proportion of patients receiving treatment with statin monotherapy or a statin in combination with ezetimibe in the ‘CODE RED: Overturning Australia’s cholesterol complacency’ report (Baker Heart and Diabetes Institute; 2020). The sample was based on 107,664 individuals with a diagnosis of ASCVD, a subsequent lipid level, and a prescription for lipid-lowering therapy in the 12 months prior to the lipid level. If there were multiple eligible LDL measurements during the follow-up period, the minimum LDL cholesterol result a patient achieved during their follow-up period was chosen as the representative LDL cholesterol measurement.</w:t>
            </w:r>
          </w:p>
        </w:tc>
        <w:tc>
          <w:tcPr>
            <w:tcW w:w="2251" w:type="pct"/>
          </w:tcPr>
          <w:p w14:paraId="47C4C864" w14:textId="77777777" w:rsidR="009034EA" w:rsidRPr="00C802B9" w:rsidRDefault="009034EA" w:rsidP="004671F3">
            <w:pPr>
              <w:pStyle w:val="COMTabletext"/>
              <w:keepNext w:val="0"/>
            </w:pPr>
            <w:r w:rsidRPr="00C802B9">
              <w:t>The submission’s estimate was not adequately justified, given that the proposed PBS restriction requires patients to be on a maximum dose of statin. Among patients treated with a statin in the CODE RED report, 40,198 patients were on high intensity statin, 32,977 were on a moderate intensity statin and 1,530 were on low intensity statins.</w:t>
            </w:r>
          </w:p>
          <w:p w14:paraId="63488941" w14:textId="77777777" w:rsidR="009034EA" w:rsidRPr="00C802B9" w:rsidRDefault="009034EA" w:rsidP="004671F3">
            <w:pPr>
              <w:pStyle w:val="COMTabletext"/>
              <w:keepNext w:val="0"/>
            </w:pPr>
          </w:p>
          <w:p w14:paraId="08316C75" w14:textId="7E775C09" w:rsidR="009034EA" w:rsidRPr="00C802B9" w:rsidRDefault="009034EA" w:rsidP="004671F3">
            <w:pPr>
              <w:pStyle w:val="COMTabletext"/>
              <w:keepNext w:val="0"/>
            </w:pPr>
            <w:r w:rsidRPr="00C802B9">
              <w:t xml:space="preserve">Potential limitations associated with the MedicineInsight dataset include the dependence on the accuracy and completeness of data recorded in the general practice clinical systems, incomplete or missing information if care of patients is provided outside of a participating MedicineInsight practice or in another health care setting (e.g., specialist or hospital), and the potential for </w:t>
            </w:r>
            <w:r w:rsidR="00914F29" w:rsidRPr="00C802B9">
              <w:t>double counting</w:t>
            </w:r>
            <w:r w:rsidRPr="00C802B9">
              <w:t xml:space="preserve"> of patients if multiple participating general practitioners are consulted.</w:t>
            </w:r>
          </w:p>
          <w:p w14:paraId="4FB58B2D" w14:textId="77777777" w:rsidR="009034EA" w:rsidRPr="00C802B9" w:rsidRDefault="009034EA" w:rsidP="004671F3">
            <w:pPr>
              <w:pStyle w:val="COMTabletext"/>
              <w:keepNext w:val="0"/>
            </w:pPr>
          </w:p>
          <w:p w14:paraId="70C67626" w14:textId="72F580B0" w:rsidR="009034EA" w:rsidRPr="00C802B9" w:rsidRDefault="009034EA" w:rsidP="004671F3">
            <w:pPr>
              <w:pStyle w:val="COMTabletext"/>
              <w:keepNext w:val="0"/>
            </w:pPr>
            <w:r w:rsidRPr="00C802B9">
              <w:t>DUSC considered this to be uncertain and likely overestimated as it is unclear how many of the patients in the CODE RED report were at their maximum tolerated statin dose. The Pre-Sub-Committee Response (PSCR) states that it is likely patients receiving statins for secondary prevention would be on the maximum tolerated dose due to these patients be considered high risk. However</w:t>
            </w:r>
            <w:r w:rsidR="00914F29">
              <w:t>,</w:t>
            </w:r>
            <w:r w:rsidRPr="00C802B9">
              <w:t xml:space="preserve"> DUSC noted that this could not be justified with the available data considering the uncertain overlap between statin ‘intensity’ as reported in the CODE RED report and ‘max tolerated dose’.</w:t>
            </w:r>
          </w:p>
        </w:tc>
      </w:tr>
      <w:tr w:rsidR="009034EA" w:rsidRPr="00C802B9" w14:paraId="653A41F7" w14:textId="77777777" w:rsidTr="008A76A6">
        <w:trPr>
          <w:cantSplit/>
        </w:trPr>
        <w:tc>
          <w:tcPr>
            <w:tcW w:w="588" w:type="pct"/>
          </w:tcPr>
          <w:p w14:paraId="1125FF4A" w14:textId="77777777" w:rsidR="009034EA" w:rsidRPr="00C802B9" w:rsidRDefault="009034EA" w:rsidP="004671F3">
            <w:pPr>
              <w:pStyle w:val="COMTabletext"/>
              <w:keepNext w:val="0"/>
            </w:pPr>
            <w:r w:rsidRPr="00C802B9">
              <w:t>Proportion achieving LDL cholesterol levels of 1.04-2.6 mmol/L</w:t>
            </w:r>
          </w:p>
        </w:tc>
        <w:tc>
          <w:tcPr>
            <w:tcW w:w="745" w:type="pct"/>
          </w:tcPr>
          <w:p w14:paraId="79BF6EDB" w14:textId="77777777" w:rsidR="009034EA" w:rsidRPr="00C802B9" w:rsidRDefault="009034EA" w:rsidP="004671F3">
            <w:pPr>
              <w:pStyle w:val="COMTabletext"/>
              <w:keepNext w:val="0"/>
            </w:pPr>
            <w:r w:rsidRPr="00C802B9">
              <w:t>75.2%</w:t>
            </w:r>
          </w:p>
        </w:tc>
        <w:tc>
          <w:tcPr>
            <w:tcW w:w="1416" w:type="pct"/>
          </w:tcPr>
          <w:p w14:paraId="400CB182" w14:textId="77777777" w:rsidR="009034EA" w:rsidRPr="00C802B9" w:rsidRDefault="009034EA" w:rsidP="004671F3">
            <w:pPr>
              <w:pStyle w:val="COMTabletext"/>
              <w:keepNext w:val="0"/>
            </w:pPr>
            <w:r w:rsidRPr="00C802B9">
              <w:t>CODE RED: Overturning Australia’s cholesterol complacency. May 2020, Baker Heart and Diabetes Institute, Melbourne, Australia. (Carrington 2020). Calculated from Table 11 and Figure 8B.</w:t>
            </w:r>
          </w:p>
        </w:tc>
        <w:tc>
          <w:tcPr>
            <w:tcW w:w="2251" w:type="pct"/>
          </w:tcPr>
          <w:p w14:paraId="42029C12" w14:textId="7C6DF952" w:rsidR="009034EA" w:rsidRPr="00C802B9" w:rsidRDefault="009034EA" w:rsidP="004671F3">
            <w:pPr>
              <w:pStyle w:val="COMTabletext"/>
              <w:keepNext w:val="0"/>
            </w:pPr>
            <w:r w:rsidRPr="00C802B9">
              <w:t>The estimates related to the entire study cohort, which included patients who were not receiving statin treatment. The submission claimed that the results would be equally applicable to the statin-treated subpopulation. However, this claim may not be reasonable. As the results could have been from any time during the analysis period (i.e., 2010 to 2019), the lipid levels may not reflect the lipid levels in current clinical practice. Additionally, the study was largely undertaken prior to the availability of PCSK9 inhibitors. The availability of PCSK9 inhibitors may lead to higher numbers of patients with adequate LDL control. DUSC agreed with the commentary that this input is likely overestimated.</w:t>
            </w:r>
          </w:p>
        </w:tc>
      </w:tr>
      <w:tr w:rsidR="009034EA" w:rsidRPr="00C802B9" w14:paraId="3CB87C32" w14:textId="77777777" w:rsidTr="008A76A6">
        <w:trPr>
          <w:cantSplit/>
        </w:trPr>
        <w:tc>
          <w:tcPr>
            <w:tcW w:w="588" w:type="pct"/>
          </w:tcPr>
          <w:p w14:paraId="07019DCA" w14:textId="77777777" w:rsidR="009034EA" w:rsidRPr="00C802B9" w:rsidRDefault="009034EA" w:rsidP="004671F3">
            <w:pPr>
              <w:pStyle w:val="COMTabletext"/>
              <w:keepNext w:val="0"/>
            </w:pPr>
            <w:r w:rsidRPr="00C802B9">
              <w:t>Proportion with triglyceride levels of 1.7-5.6 mmol/L</w:t>
            </w:r>
          </w:p>
        </w:tc>
        <w:tc>
          <w:tcPr>
            <w:tcW w:w="745" w:type="pct"/>
          </w:tcPr>
          <w:p w14:paraId="640F07ED" w14:textId="77777777" w:rsidR="009034EA" w:rsidRPr="00C802B9" w:rsidRDefault="009034EA" w:rsidP="004671F3">
            <w:pPr>
              <w:pStyle w:val="COMTabletext"/>
              <w:keepNext w:val="0"/>
            </w:pPr>
            <w:r w:rsidRPr="00C802B9">
              <w:t>27.6%</w:t>
            </w:r>
          </w:p>
        </w:tc>
        <w:tc>
          <w:tcPr>
            <w:tcW w:w="1416" w:type="pct"/>
          </w:tcPr>
          <w:p w14:paraId="2FAFFC1F" w14:textId="77777777" w:rsidR="009034EA" w:rsidRPr="00C802B9" w:rsidRDefault="009034EA" w:rsidP="004671F3">
            <w:pPr>
              <w:pStyle w:val="COMTabletext"/>
              <w:keepNext w:val="0"/>
            </w:pPr>
            <w:r w:rsidRPr="00C802B9">
              <w:t>Based on an analysis of data from the US National Health and Nutrition Examination Survey (NHANES). A total of 2,523 patients had qualifying triglyceride levels (≥150 mg/dL). The estimate was based on the proportion of patients who had a triglyceride level ≥150 mg/dL, were receiving statin therapy, and who had an LDL cholesterol level &lt;100 mg/dL.</w:t>
            </w:r>
          </w:p>
        </w:tc>
        <w:tc>
          <w:tcPr>
            <w:tcW w:w="2251" w:type="pct"/>
          </w:tcPr>
          <w:p w14:paraId="0D67EFC1" w14:textId="2FDF35E5" w:rsidR="009034EA" w:rsidRPr="00C802B9" w:rsidRDefault="009034EA" w:rsidP="004671F3">
            <w:pPr>
              <w:pStyle w:val="COMTabletext"/>
              <w:keepNext w:val="0"/>
            </w:pPr>
            <w:r w:rsidRPr="00C802B9">
              <w:t>The applicability of the study result was unclear, as the study was based on a US population, had a relatively small sample size, was based on older survey data (2007-2014), and included patients with and without a diagnosis of ASCVD. Additionally, patients were not required to be receiving the maximum tolerated dose of a statin (which would provide additional triglyceride lowering effects). DUSC agreed with the commentary that this input is likely overestimated.</w:t>
            </w:r>
          </w:p>
        </w:tc>
      </w:tr>
      <w:tr w:rsidR="009034EA" w:rsidRPr="00C802B9" w14:paraId="1AB3EF3A" w14:textId="77777777" w:rsidTr="007C14AB">
        <w:trPr>
          <w:cantSplit/>
        </w:trPr>
        <w:tc>
          <w:tcPr>
            <w:tcW w:w="5000" w:type="pct"/>
            <w:gridSpan w:val="4"/>
            <w:vAlign w:val="center"/>
          </w:tcPr>
          <w:p w14:paraId="6CE0E683" w14:textId="77777777" w:rsidR="009034EA" w:rsidRPr="00C802B9" w:rsidRDefault="009034EA" w:rsidP="004671F3">
            <w:pPr>
              <w:pStyle w:val="COMTabletext"/>
              <w:keepNext w:val="0"/>
              <w:rPr>
                <w:b/>
              </w:rPr>
            </w:pPr>
            <w:r w:rsidRPr="00C802B9">
              <w:rPr>
                <w:b/>
              </w:rPr>
              <w:t>Treatment utilisation</w:t>
            </w:r>
          </w:p>
        </w:tc>
      </w:tr>
      <w:tr w:rsidR="009034EA" w:rsidRPr="00C802B9" w14:paraId="4B5F4C88" w14:textId="77777777" w:rsidTr="008A76A6">
        <w:trPr>
          <w:cantSplit/>
          <w:trHeight w:val="863"/>
        </w:trPr>
        <w:tc>
          <w:tcPr>
            <w:tcW w:w="588" w:type="pct"/>
          </w:tcPr>
          <w:p w14:paraId="03ED4569" w14:textId="77777777" w:rsidR="009034EA" w:rsidRPr="00C802B9" w:rsidRDefault="009034EA" w:rsidP="004671F3">
            <w:pPr>
              <w:pStyle w:val="COMTabletext"/>
              <w:keepNext w:val="0"/>
            </w:pPr>
            <w:r w:rsidRPr="00C802B9">
              <w:t>Uptake rate (prevalent patients)</w:t>
            </w:r>
          </w:p>
        </w:tc>
        <w:tc>
          <w:tcPr>
            <w:tcW w:w="745" w:type="pct"/>
          </w:tcPr>
          <w:p w14:paraId="408C8F9B" w14:textId="65B2BA98" w:rsidR="009034EA" w:rsidRPr="00C240E3" w:rsidRDefault="009034EA" w:rsidP="004671F3">
            <w:pPr>
              <w:pStyle w:val="COMTabletext"/>
              <w:keepNext w:val="0"/>
            </w:pPr>
            <w:r w:rsidRPr="00C240E3">
              <w:t>Y1:</w:t>
            </w:r>
            <w:r w:rsidR="0036355B">
              <w:t xml:space="preserve"> </w:t>
            </w:r>
            <w:r w:rsidR="0036355B" w:rsidRPr="008A76A6">
              <w:rPr>
                <w:color w:val="000000"/>
                <w:spacing w:val="53"/>
                <w:shd w:val="solid" w:color="000000" w:fill="000000"/>
                <w:fitText w:val="330" w:id="-1032111353"/>
                <w14:textFill>
                  <w14:solidFill>
                    <w14:srgbClr w14:val="000000">
                      <w14:alpha w14:val="100000"/>
                    </w14:srgbClr>
                  </w14:solidFill>
                </w14:textFill>
              </w:rPr>
              <w:t>|||</w:t>
            </w:r>
            <w:r w:rsidR="0036355B" w:rsidRPr="008A76A6">
              <w:rPr>
                <w:color w:val="000000"/>
                <w:spacing w:val="1"/>
                <w:shd w:val="solid" w:color="000000" w:fill="000000"/>
                <w:fitText w:val="330" w:id="-1032111353"/>
                <w14:textFill>
                  <w14:solidFill>
                    <w14:srgbClr w14:val="000000">
                      <w14:alpha w14:val="100000"/>
                    </w14:srgbClr>
                  </w14:solidFill>
                </w14:textFill>
              </w:rPr>
              <w:t>|</w:t>
            </w:r>
            <w:r w:rsidRPr="00C240E3">
              <w:t>%</w:t>
            </w:r>
          </w:p>
          <w:p w14:paraId="6B6E0B91" w14:textId="0BCBA398" w:rsidR="009034EA" w:rsidRPr="00C240E3" w:rsidRDefault="009034EA" w:rsidP="004671F3">
            <w:pPr>
              <w:pStyle w:val="COMTabletext"/>
              <w:keepNext w:val="0"/>
            </w:pPr>
            <w:r w:rsidRPr="00C240E3">
              <w:t>Y2:</w:t>
            </w:r>
            <w:r w:rsidR="0036355B">
              <w:t xml:space="preserve"> </w:t>
            </w:r>
            <w:r w:rsidR="0036355B" w:rsidRPr="008A76A6">
              <w:rPr>
                <w:color w:val="000000"/>
                <w:spacing w:val="53"/>
                <w:shd w:val="solid" w:color="000000" w:fill="000000"/>
                <w:fitText w:val="330" w:id="-1032111349"/>
                <w14:textFill>
                  <w14:solidFill>
                    <w14:srgbClr w14:val="000000">
                      <w14:alpha w14:val="100000"/>
                    </w14:srgbClr>
                  </w14:solidFill>
                </w14:textFill>
              </w:rPr>
              <w:t>|||</w:t>
            </w:r>
            <w:r w:rsidR="0036355B" w:rsidRPr="008A76A6">
              <w:rPr>
                <w:color w:val="000000"/>
                <w:spacing w:val="1"/>
                <w:shd w:val="solid" w:color="000000" w:fill="000000"/>
                <w:fitText w:val="330" w:id="-1032111349"/>
                <w14:textFill>
                  <w14:solidFill>
                    <w14:srgbClr w14:val="000000">
                      <w14:alpha w14:val="100000"/>
                    </w14:srgbClr>
                  </w14:solidFill>
                </w14:textFill>
              </w:rPr>
              <w:t>|</w:t>
            </w:r>
            <w:r w:rsidRPr="00C240E3">
              <w:t>%</w:t>
            </w:r>
          </w:p>
          <w:p w14:paraId="77BEA6D8" w14:textId="2EC9D38F" w:rsidR="009034EA" w:rsidRPr="00C240E3" w:rsidRDefault="009034EA" w:rsidP="004671F3">
            <w:pPr>
              <w:pStyle w:val="COMTabletext"/>
              <w:keepNext w:val="0"/>
            </w:pPr>
            <w:r w:rsidRPr="00C240E3">
              <w:t>Y3:</w:t>
            </w:r>
            <w:r w:rsidR="004671F3">
              <w:t xml:space="preserve"> </w:t>
            </w:r>
            <w:r w:rsidR="0036355B" w:rsidRPr="008A76A6">
              <w:rPr>
                <w:color w:val="000000"/>
                <w:spacing w:val="53"/>
                <w:shd w:val="solid" w:color="000000" w:fill="000000"/>
                <w:fitText w:val="330" w:id="-1032111345"/>
                <w14:textFill>
                  <w14:solidFill>
                    <w14:srgbClr w14:val="000000">
                      <w14:alpha w14:val="100000"/>
                    </w14:srgbClr>
                  </w14:solidFill>
                </w14:textFill>
              </w:rPr>
              <w:t>|||</w:t>
            </w:r>
            <w:r w:rsidR="0036355B" w:rsidRPr="008A76A6">
              <w:rPr>
                <w:color w:val="000000"/>
                <w:spacing w:val="1"/>
                <w:shd w:val="solid" w:color="000000" w:fill="000000"/>
                <w:fitText w:val="330" w:id="-1032111345"/>
                <w14:textFill>
                  <w14:solidFill>
                    <w14:srgbClr w14:val="000000">
                      <w14:alpha w14:val="100000"/>
                    </w14:srgbClr>
                  </w14:solidFill>
                </w14:textFill>
              </w:rPr>
              <w:t>|</w:t>
            </w:r>
            <w:r w:rsidRPr="00C240E3">
              <w:t>%:</w:t>
            </w:r>
          </w:p>
          <w:p w14:paraId="68139F55" w14:textId="5A5BF0A4" w:rsidR="009034EA" w:rsidRPr="00C240E3" w:rsidRDefault="009034EA" w:rsidP="004671F3">
            <w:pPr>
              <w:pStyle w:val="COMTabletext"/>
              <w:keepNext w:val="0"/>
            </w:pPr>
            <w:r w:rsidRPr="00C240E3">
              <w:t>Y4:</w:t>
            </w:r>
            <w:r w:rsidR="004671F3">
              <w:t xml:space="preserve"> </w:t>
            </w:r>
            <w:r w:rsidR="0036355B" w:rsidRPr="008A76A6">
              <w:rPr>
                <w:color w:val="000000"/>
                <w:spacing w:val="53"/>
                <w:shd w:val="solid" w:color="000000" w:fill="000000"/>
                <w:fitText w:val="330" w:id="-1032111358"/>
                <w14:textFill>
                  <w14:solidFill>
                    <w14:srgbClr w14:val="000000">
                      <w14:alpha w14:val="100000"/>
                    </w14:srgbClr>
                  </w14:solidFill>
                </w14:textFill>
              </w:rPr>
              <w:t>|||</w:t>
            </w:r>
            <w:r w:rsidR="0036355B" w:rsidRPr="008A76A6">
              <w:rPr>
                <w:color w:val="000000"/>
                <w:spacing w:val="1"/>
                <w:shd w:val="solid" w:color="000000" w:fill="000000"/>
                <w:fitText w:val="330" w:id="-1032111358"/>
                <w14:textFill>
                  <w14:solidFill>
                    <w14:srgbClr w14:val="000000">
                      <w14:alpha w14:val="100000"/>
                    </w14:srgbClr>
                  </w14:solidFill>
                </w14:textFill>
              </w:rPr>
              <w:t>|</w:t>
            </w:r>
            <w:r w:rsidRPr="00C240E3">
              <w:t>%</w:t>
            </w:r>
          </w:p>
          <w:p w14:paraId="53D46B40" w14:textId="5CF320A1" w:rsidR="009034EA" w:rsidRPr="00C240E3" w:rsidRDefault="009034EA" w:rsidP="004671F3">
            <w:pPr>
              <w:pStyle w:val="COMTabletext"/>
              <w:keepNext w:val="0"/>
            </w:pPr>
            <w:r w:rsidRPr="00C240E3">
              <w:t>Y5:</w:t>
            </w:r>
            <w:r w:rsidR="004671F3">
              <w:t xml:space="preserve"> </w:t>
            </w:r>
            <w:r w:rsidR="0036355B" w:rsidRPr="008A76A6">
              <w:rPr>
                <w:color w:val="000000"/>
                <w:spacing w:val="53"/>
                <w:shd w:val="solid" w:color="000000" w:fill="000000"/>
                <w:fitText w:val="330" w:id="-1032111354"/>
                <w14:textFill>
                  <w14:solidFill>
                    <w14:srgbClr w14:val="000000">
                      <w14:alpha w14:val="100000"/>
                    </w14:srgbClr>
                  </w14:solidFill>
                </w14:textFill>
              </w:rPr>
              <w:t>|||</w:t>
            </w:r>
            <w:r w:rsidR="0036355B" w:rsidRPr="008A76A6">
              <w:rPr>
                <w:color w:val="000000"/>
                <w:spacing w:val="1"/>
                <w:shd w:val="solid" w:color="000000" w:fill="000000"/>
                <w:fitText w:val="330" w:id="-1032111354"/>
                <w14:textFill>
                  <w14:solidFill>
                    <w14:srgbClr w14:val="000000">
                      <w14:alpha w14:val="100000"/>
                    </w14:srgbClr>
                  </w14:solidFill>
                </w14:textFill>
              </w:rPr>
              <w:t>|</w:t>
            </w:r>
            <w:r w:rsidRPr="00C240E3">
              <w:t>%</w:t>
            </w:r>
          </w:p>
          <w:p w14:paraId="17235B42" w14:textId="414F1CFD" w:rsidR="009034EA" w:rsidRPr="00C802B9" w:rsidRDefault="009034EA" w:rsidP="004671F3">
            <w:pPr>
              <w:pStyle w:val="COMTabletext"/>
              <w:keepNext w:val="0"/>
            </w:pPr>
            <w:r w:rsidRPr="00C240E3">
              <w:t>Y6:</w:t>
            </w:r>
            <w:r w:rsidR="0036355B">
              <w:t xml:space="preserve"> </w:t>
            </w:r>
            <w:r w:rsidR="0036355B" w:rsidRPr="008A76A6">
              <w:rPr>
                <w:color w:val="000000"/>
                <w:spacing w:val="53"/>
                <w:shd w:val="solid" w:color="000000" w:fill="000000"/>
                <w:fitText w:val="330" w:id="-1032111350"/>
                <w14:textFill>
                  <w14:solidFill>
                    <w14:srgbClr w14:val="000000">
                      <w14:alpha w14:val="100000"/>
                    </w14:srgbClr>
                  </w14:solidFill>
                </w14:textFill>
              </w:rPr>
              <w:t>|||</w:t>
            </w:r>
            <w:r w:rsidR="0036355B" w:rsidRPr="008A76A6">
              <w:rPr>
                <w:color w:val="000000"/>
                <w:spacing w:val="1"/>
                <w:shd w:val="solid" w:color="000000" w:fill="000000"/>
                <w:fitText w:val="330" w:id="-1032111350"/>
                <w14:textFill>
                  <w14:solidFill>
                    <w14:srgbClr w14:val="000000">
                      <w14:alpha w14:val="100000"/>
                    </w14:srgbClr>
                  </w14:solidFill>
                </w14:textFill>
              </w:rPr>
              <w:t>|</w:t>
            </w:r>
            <w:r w:rsidRPr="00C240E3">
              <w:t>%</w:t>
            </w:r>
          </w:p>
        </w:tc>
        <w:tc>
          <w:tcPr>
            <w:tcW w:w="1416" w:type="pct"/>
          </w:tcPr>
          <w:p w14:paraId="4270A0C2" w14:textId="77777777" w:rsidR="009034EA" w:rsidRPr="00C802B9" w:rsidRDefault="009034EA" w:rsidP="004671F3">
            <w:pPr>
              <w:pStyle w:val="COMTabletext"/>
              <w:keepNext w:val="0"/>
            </w:pPr>
            <w:r w:rsidRPr="00C802B9">
              <w:t xml:space="preserve">Based on sponsor assumption. </w:t>
            </w:r>
          </w:p>
        </w:tc>
        <w:tc>
          <w:tcPr>
            <w:tcW w:w="2251" w:type="pct"/>
          </w:tcPr>
          <w:p w14:paraId="75D40BA3" w14:textId="493F8AFD" w:rsidR="009034EA" w:rsidRPr="00C802B9" w:rsidRDefault="009034EA" w:rsidP="004671F3">
            <w:pPr>
              <w:pStyle w:val="COMTabletext"/>
              <w:keepNext w:val="0"/>
            </w:pPr>
            <w:r w:rsidRPr="00C802B9">
              <w:t>The submission acknowledged the uncertainty associated with the uptake assumptions, and that the proposed uptake rates were possibly conservative, but argued that the proposed risk sharing arrangement would mitigate the financial risk to Government. DUSC considered that the uptake rates were likely underestimated given the claim of improved survival and a target population that is likely very familiar with over-the-counter fish oil products and would be inclined to switch.</w:t>
            </w:r>
          </w:p>
        </w:tc>
      </w:tr>
      <w:tr w:rsidR="009034EA" w:rsidRPr="00C802B9" w14:paraId="29C48757" w14:textId="77777777" w:rsidTr="008A76A6">
        <w:trPr>
          <w:cantSplit/>
        </w:trPr>
        <w:tc>
          <w:tcPr>
            <w:tcW w:w="588" w:type="pct"/>
          </w:tcPr>
          <w:p w14:paraId="2207CF3B" w14:textId="77777777" w:rsidR="009034EA" w:rsidRPr="00C802B9" w:rsidRDefault="009034EA" w:rsidP="004671F3">
            <w:pPr>
              <w:pStyle w:val="COMTabletext"/>
              <w:keepNext w:val="0"/>
            </w:pPr>
            <w:r w:rsidRPr="00C802B9">
              <w:t>Treatment persistence</w:t>
            </w:r>
          </w:p>
        </w:tc>
        <w:tc>
          <w:tcPr>
            <w:tcW w:w="745" w:type="pct"/>
          </w:tcPr>
          <w:p w14:paraId="20A5CB66" w14:textId="77777777" w:rsidR="009034EA" w:rsidRPr="00C802B9" w:rsidRDefault="009034EA" w:rsidP="004671F3">
            <w:pPr>
              <w:pStyle w:val="COMTabletext"/>
              <w:keepNext w:val="0"/>
            </w:pPr>
            <w:r w:rsidRPr="00C802B9">
              <w:t>Not estimable</w:t>
            </w:r>
          </w:p>
        </w:tc>
        <w:tc>
          <w:tcPr>
            <w:tcW w:w="1416" w:type="pct"/>
          </w:tcPr>
          <w:p w14:paraId="1378CE0A" w14:textId="77777777" w:rsidR="009034EA" w:rsidRPr="00C802B9" w:rsidRDefault="009034EA" w:rsidP="004671F3">
            <w:pPr>
              <w:pStyle w:val="COMTabletext"/>
              <w:keepNext w:val="0"/>
            </w:pPr>
            <w:r w:rsidRPr="00C802B9">
              <w:t>The submission used a prevalence-based approach to derive the financial estimates.</w:t>
            </w:r>
          </w:p>
        </w:tc>
        <w:tc>
          <w:tcPr>
            <w:tcW w:w="2251" w:type="pct"/>
          </w:tcPr>
          <w:p w14:paraId="1C852223" w14:textId="7B00F021" w:rsidR="009034EA" w:rsidRPr="00C802B9" w:rsidRDefault="009034EA" w:rsidP="004671F3">
            <w:pPr>
              <w:pStyle w:val="COMTabletext"/>
              <w:keepNext w:val="0"/>
            </w:pPr>
            <w:r w:rsidRPr="00C802B9">
              <w:t>Due to the prevalence-based approach, it was not possible to determine the proportion of patients discontinuing treatment each year. DUSC considered this not necessary in a prevalent approach.</w:t>
            </w:r>
          </w:p>
        </w:tc>
      </w:tr>
      <w:tr w:rsidR="009034EA" w:rsidRPr="00C802B9" w14:paraId="78A13FB5" w14:textId="77777777" w:rsidTr="008A76A6">
        <w:trPr>
          <w:cantSplit/>
        </w:trPr>
        <w:tc>
          <w:tcPr>
            <w:tcW w:w="588" w:type="pct"/>
          </w:tcPr>
          <w:p w14:paraId="7388ECDE" w14:textId="77777777" w:rsidR="009034EA" w:rsidRPr="00C802B9" w:rsidRDefault="009034EA" w:rsidP="004671F3">
            <w:pPr>
              <w:pStyle w:val="COMTabletext"/>
              <w:keepNext w:val="0"/>
            </w:pPr>
            <w:r w:rsidRPr="00C802B9">
              <w:t>Treatment adherence</w:t>
            </w:r>
          </w:p>
        </w:tc>
        <w:tc>
          <w:tcPr>
            <w:tcW w:w="745" w:type="pct"/>
          </w:tcPr>
          <w:p w14:paraId="66F3FFCD" w14:textId="77777777" w:rsidR="009034EA" w:rsidRPr="00C802B9" w:rsidRDefault="009034EA" w:rsidP="004671F3">
            <w:pPr>
              <w:pStyle w:val="COMTabletext"/>
              <w:keepNext w:val="0"/>
            </w:pPr>
            <w:r w:rsidRPr="00C802B9">
              <w:t>97.5%</w:t>
            </w:r>
          </w:p>
        </w:tc>
        <w:tc>
          <w:tcPr>
            <w:tcW w:w="1416" w:type="pct"/>
          </w:tcPr>
          <w:p w14:paraId="39A93EC1" w14:textId="77777777" w:rsidR="009034EA" w:rsidRPr="00C802B9" w:rsidRDefault="009034EA" w:rsidP="004671F3">
            <w:pPr>
              <w:pStyle w:val="COMTabletext"/>
              <w:keepNext w:val="0"/>
            </w:pPr>
            <w:r w:rsidRPr="00C802B9">
              <w:t>Based on the treatment adherence in the REDUCE-IT trial. Based on a mean number of capsules per patient per day of 3.9 (calculated as 3.9/4.0 = 0.975).</w:t>
            </w:r>
          </w:p>
        </w:tc>
        <w:tc>
          <w:tcPr>
            <w:tcW w:w="2251" w:type="pct"/>
          </w:tcPr>
          <w:p w14:paraId="2CD93F71" w14:textId="21973643" w:rsidR="009034EA" w:rsidRPr="00C802B9" w:rsidRDefault="009034EA" w:rsidP="004671F3">
            <w:pPr>
              <w:pStyle w:val="COMTabletext"/>
              <w:keepNext w:val="0"/>
            </w:pPr>
            <w:r w:rsidRPr="00C802B9">
              <w:t>This is unlikely to be realised in practice given the high pill burden (4 x capsules per day) and known poor compliance with cholesterol treatments. DUSC agreed with the commentary that this input is likely overestimated however DUSC considered a treatment adherence rate similar to statins in the prevalent population would be appropriate (i.e. average prescriptions per person in a calendar year for statins) DUSC considered that reducing adherence to 80-85% would mean that the total number of scripts per year of icosapent ethyl would more closely resemble the total number of scripts per year of statin therapy for most people.</w:t>
            </w:r>
          </w:p>
        </w:tc>
      </w:tr>
      <w:tr w:rsidR="009034EA" w:rsidRPr="00C802B9" w14:paraId="4F73B064" w14:textId="77777777" w:rsidTr="007C14AB">
        <w:trPr>
          <w:cantSplit/>
        </w:trPr>
        <w:tc>
          <w:tcPr>
            <w:tcW w:w="5000" w:type="pct"/>
            <w:gridSpan w:val="4"/>
            <w:vAlign w:val="center"/>
          </w:tcPr>
          <w:p w14:paraId="5D160581" w14:textId="77777777" w:rsidR="009034EA" w:rsidRPr="00C802B9" w:rsidRDefault="009034EA" w:rsidP="004671F3">
            <w:pPr>
              <w:pStyle w:val="COMTabletext"/>
              <w:keepNext w:val="0"/>
              <w:rPr>
                <w:b/>
              </w:rPr>
            </w:pPr>
            <w:r w:rsidRPr="00C802B9">
              <w:rPr>
                <w:b/>
              </w:rPr>
              <w:t>Costs</w:t>
            </w:r>
          </w:p>
        </w:tc>
      </w:tr>
      <w:tr w:rsidR="009034EA" w:rsidRPr="00C802B9" w14:paraId="44F48A8E" w14:textId="77777777" w:rsidTr="008A76A6">
        <w:trPr>
          <w:cantSplit/>
        </w:trPr>
        <w:tc>
          <w:tcPr>
            <w:tcW w:w="588" w:type="pct"/>
          </w:tcPr>
          <w:p w14:paraId="2442C32C" w14:textId="77777777" w:rsidR="009034EA" w:rsidRPr="00C802B9" w:rsidRDefault="009034EA" w:rsidP="004671F3">
            <w:pPr>
              <w:pStyle w:val="COMTabletext"/>
              <w:keepNext w:val="0"/>
            </w:pPr>
            <w:r w:rsidRPr="00C802B9">
              <w:t>Icosapent ethyl</w:t>
            </w:r>
          </w:p>
        </w:tc>
        <w:tc>
          <w:tcPr>
            <w:tcW w:w="745" w:type="pct"/>
          </w:tcPr>
          <w:p w14:paraId="30463678" w14:textId="3A108264" w:rsidR="009034EA" w:rsidRPr="00C802B9" w:rsidRDefault="004671F3" w:rsidP="004671F3">
            <w:pPr>
              <w:pStyle w:val="COMTabletext"/>
              <w:keepNext w:val="0"/>
            </w:pPr>
            <w:r>
              <w:t>$</w:t>
            </w:r>
            <w:r w:rsidR="0036355B" w:rsidRPr="004671F3">
              <w:rPr>
                <w:color w:val="000000"/>
                <w:spacing w:val="32"/>
                <w:shd w:val="solid" w:color="000000" w:fill="000000"/>
                <w:fitText w:val="870" w:id="-1032110078"/>
                <w14:textFill>
                  <w14:solidFill>
                    <w14:srgbClr w14:val="000000">
                      <w14:alpha w14:val="100000"/>
                    </w14:srgbClr>
                  </w14:solidFill>
                </w14:textFill>
              </w:rPr>
              <w:t>|||||||||||</w:t>
            </w:r>
            <w:r w:rsidR="0036355B" w:rsidRPr="004671F3">
              <w:rPr>
                <w:color w:val="000000"/>
                <w:spacing w:val="8"/>
                <w:shd w:val="solid" w:color="000000" w:fill="000000"/>
                <w:fitText w:val="870" w:id="-1032110078"/>
                <w14:textFill>
                  <w14:solidFill>
                    <w14:srgbClr w14:val="000000">
                      <w14:alpha w14:val="100000"/>
                    </w14:srgbClr>
                  </w14:solidFill>
                </w14:textFill>
              </w:rPr>
              <w:t>|</w:t>
            </w:r>
            <w:r w:rsidR="009034EA" w:rsidRPr="00C802B9">
              <w:t xml:space="preserve"> per pack</w:t>
            </w:r>
          </w:p>
        </w:tc>
        <w:tc>
          <w:tcPr>
            <w:tcW w:w="1416" w:type="pct"/>
          </w:tcPr>
          <w:p w14:paraId="10A45803" w14:textId="77777777" w:rsidR="009034EA" w:rsidRPr="00C802B9" w:rsidRDefault="009034EA" w:rsidP="004671F3">
            <w:pPr>
              <w:pStyle w:val="COMTabletext"/>
              <w:keepNext w:val="0"/>
            </w:pPr>
            <w:r w:rsidRPr="00C802B9">
              <w:t>Proposed DPMQ per pack of 120 icosapent ethyl 1 g capsules.</w:t>
            </w:r>
          </w:p>
        </w:tc>
        <w:tc>
          <w:tcPr>
            <w:tcW w:w="2251" w:type="pct"/>
          </w:tcPr>
          <w:p w14:paraId="0BD12A55" w14:textId="58B0ACA4" w:rsidR="009034EA" w:rsidRPr="00C802B9" w:rsidRDefault="009034EA" w:rsidP="004671F3">
            <w:pPr>
              <w:pStyle w:val="COMTabletext"/>
              <w:keepNext w:val="0"/>
            </w:pPr>
            <w:r w:rsidRPr="00C802B9">
              <w:t xml:space="preserve">Application of 2023 fees and mark-ups resulted in a DPMQ of </w:t>
            </w:r>
            <w:r w:rsidR="004671F3">
              <w:t>$</w:t>
            </w:r>
            <w:r w:rsidR="0036355B" w:rsidRPr="004671F3">
              <w:rPr>
                <w:color w:val="000000"/>
                <w:spacing w:val="32"/>
                <w:shd w:val="solid" w:color="000000" w:fill="000000"/>
                <w:fitText w:val="870" w:id="-1032110075"/>
                <w14:textFill>
                  <w14:solidFill>
                    <w14:srgbClr w14:val="000000">
                      <w14:alpha w14:val="100000"/>
                    </w14:srgbClr>
                  </w14:solidFill>
                </w14:textFill>
              </w:rPr>
              <w:t>|||||||||||</w:t>
            </w:r>
            <w:r w:rsidR="0036355B" w:rsidRPr="004671F3">
              <w:rPr>
                <w:color w:val="000000"/>
                <w:spacing w:val="8"/>
                <w:shd w:val="solid" w:color="000000" w:fill="000000"/>
                <w:fitText w:val="870" w:id="-1032110075"/>
                <w14:textFill>
                  <w14:solidFill>
                    <w14:srgbClr w14:val="000000">
                      <w14:alpha w14:val="100000"/>
                    </w14:srgbClr>
                  </w14:solidFill>
                </w14:textFill>
              </w:rPr>
              <w:t>|</w:t>
            </w:r>
            <w:r w:rsidRPr="00C802B9">
              <w:t>.</w:t>
            </w:r>
          </w:p>
        </w:tc>
      </w:tr>
      <w:tr w:rsidR="009034EA" w:rsidRPr="00C802B9" w14:paraId="2492EF2A" w14:textId="77777777" w:rsidTr="008A76A6">
        <w:trPr>
          <w:cantSplit/>
        </w:trPr>
        <w:tc>
          <w:tcPr>
            <w:tcW w:w="588" w:type="pct"/>
          </w:tcPr>
          <w:p w14:paraId="74744C6A" w14:textId="77777777" w:rsidR="009034EA" w:rsidRPr="00C802B9" w:rsidRDefault="009034EA" w:rsidP="004671F3">
            <w:pPr>
              <w:pStyle w:val="COMTabletext"/>
              <w:keepNext w:val="0"/>
            </w:pPr>
            <w:r w:rsidRPr="00C802B9">
              <w:t>Patient copayment</w:t>
            </w:r>
          </w:p>
        </w:tc>
        <w:tc>
          <w:tcPr>
            <w:tcW w:w="745" w:type="pct"/>
          </w:tcPr>
          <w:p w14:paraId="2CA46EC0" w14:textId="77777777" w:rsidR="009034EA" w:rsidRPr="00C802B9" w:rsidRDefault="009034EA" w:rsidP="004671F3">
            <w:pPr>
              <w:pStyle w:val="COMTabletext"/>
              <w:keepNext w:val="0"/>
            </w:pPr>
            <w:r w:rsidRPr="00C802B9">
              <w:t>PBS: $12.93</w:t>
            </w:r>
          </w:p>
          <w:p w14:paraId="3B39997C" w14:textId="77777777" w:rsidR="009034EA" w:rsidRPr="00C802B9" w:rsidRDefault="009034EA" w:rsidP="004671F3">
            <w:pPr>
              <w:pStyle w:val="COMTabletext"/>
              <w:keepNext w:val="0"/>
            </w:pPr>
            <w:r w:rsidRPr="00C802B9">
              <w:t>RPBS: $5.91</w:t>
            </w:r>
          </w:p>
        </w:tc>
        <w:tc>
          <w:tcPr>
            <w:tcW w:w="1416" w:type="pct"/>
          </w:tcPr>
          <w:p w14:paraId="2BC20CCE" w14:textId="77777777" w:rsidR="009034EA" w:rsidRPr="00C802B9" w:rsidRDefault="009034EA" w:rsidP="004671F3">
            <w:pPr>
              <w:pStyle w:val="COMTabletext"/>
              <w:keepNext w:val="0"/>
            </w:pPr>
            <w:r w:rsidRPr="00C802B9">
              <w:t xml:space="preserve">Based on copayment split for </w:t>
            </w:r>
            <w:proofErr w:type="spellStart"/>
            <w:r w:rsidRPr="00C802B9">
              <w:t>fluvastatin</w:t>
            </w:r>
            <w:proofErr w:type="spellEnd"/>
            <w:r w:rsidRPr="00C802B9">
              <w:t xml:space="preserve"> (PBS Item 2863Q). Fluvastatin was selected on the basis that it is the only statin currently priced above the general co-payment level.</w:t>
            </w:r>
          </w:p>
        </w:tc>
        <w:tc>
          <w:tcPr>
            <w:tcW w:w="2251" w:type="pct"/>
          </w:tcPr>
          <w:p w14:paraId="4E71FDBF" w14:textId="77777777" w:rsidR="009034EA" w:rsidRPr="00C802B9" w:rsidRDefault="009034EA" w:rsidP="004671F3">
            <w:pPr>
              <w:pStyle w:val="COMTabletext"/>
              <w:keepNext w:val="0"/>
            </w:pPr>
            <w:r w:rsidRPr="00C802B9">
              <w:t>Fluvastatin may not be a reasonable proxy given the limited overall use in relation to statins.</w:t>
            </w:r>
          </w:p>
        </w:tc>
      </w:tr>
    </w:tbl>
    <w:p w14:paraId="1EEA6E40" w14:textId="77777777" w:rsidR="00E211D2" w:rsidRPr="00C802B9" w:rsidRDefault="00E211D2" w:rsidP="004671F3">
      <w:pPr>
        <w:pStyle w:val="COMTablefooter"/>
      </w:pPr>
      <w:r w:rsidRPr="00C802B9">
        <w:t>Source: Section 4, pp150-162 of the submission; Section 4 financial implications Excel workbook.</w:t>
      </w:r>
    </w:p>
    <w:p w14:paraId="22945D20" w14:textId="6656D15A" w:rsidR="00E211D2" w:rsidRDefault="00E211D2" w:rsidP="004671F3">
      <w:pPr>
        <w:pStyle w:val="COMTablefooter"/>
      </w:pPr>
      <w:r w:rsidRPr="00C802B9">
        <w:t>Abbreviations: ABS, Australian Bureau of Statistics; AIHW, Australian Institute of Health and Welfare; ASCVD, atherosclerotic cardiovascular disease; DPMQ, dispensed price for maximum quantity; LDL, low-density lipoprotein.</w:t>
      </w:r>
    </w:p>
    <w:p w14:paraId="257206E4" w14:textId="77777777" w:rsidR="00BE1ACF" w:rsidRPr="006B070E" w:rsidRDefault="00BE1ACF" w:rsidP="004671F3">
      <w:pPr>
        <w:pStyle w:val="COMTablefooter"/>
        <w:rPr>
          <w:i/>
          <w:iCs/>
        </w:rPr>
      </w:pPr>
      <w:r>
        <w:rPr>
          <w:i/>
          <w:iCs/>
        </w:rPr>
        <w:t>R</w:t>
      </w:r>
      <w:r w:rsidRPr="006B070E">
        <w:rPr>
          <w:i/>
          <w:iCs/>
        </w:rPr>
        <w:t>edacted values correspond to the following ranges:</w:t>
      </w:r>
    </w:p>
    <w:p w14:paraId="227F2568" w14:textId="77777777" w:rsidR="00BE1ACF" w:rsidRDefault="00BE1ACF" w:rsidP="004671F3">
      <w:pPr>
        <w:pStyle w:val="COMTablefooter"/>
        <w:rPr>
          <w:i/>
          <w:iCs/>
        </w:rPr>
      </w:pPr>
      <w:r>
        <w:rPr>
          <w:i/>
          <w:iCs/>
          <w:vertAlign w:val="superscript"/>
        </w:rPr>
        <w:t>1</w:t>
      </w:r>
      <w:r w:rsidRPr="006B070E">
        <w:rPr>
          <w:i/>
          <w:iCs/>
        </w:rPr>
        <w:t xml:space="preserve"> 1,000,000 to &lt; 2,000,000</w:t>
      </w:r>
    </w:p>
    <w:p w14:paraId="4049BB3D" w14:textId="68FA69E7" w:rsidR="006B070E" w:rsidRPr="004671F3" w:rsidRDefault="00BE1ACF" w:rsidP="004671F3">
      <w:pPr>
        <w:pStyle w:val="COMTablefooter"/>
        <w:rPr>
          <w:i/>
          <w:iCs/>
        </w:rPr>
      </w:pPr>
      <w:r>
        <w:rPr>
          <w:i/>
          <w:iCs/>
          <w:vertAlign w:val="superscript"/>
        </w:rPr>
        <w:t>2</w:t>
      </w:r>
      <w:r w:rsidRPr="006B070E">
        <w:rPr>
          <w:i/>
          <w:iCs/>
        </w:rPr>
        <w:t xml:space="preserve"> &gt; 10,000,000</w:t>
      </w:r>
    </w:p>
    <w:p w14:paraId="30C5603B" w14:textId="2D490127" w:rsidR="00E211D2" w:rsidRPr="00C802B9" w:rsidRDefault="00E211D2" w:rsidP="004671F3">
      <w:pPr>
        <w:widowControl w:val="0"/>
        <w:numPr>
          <w:ilvl w:val="1"/>
          <w:numId w:val="1"/>
        </w:numPr>
        <w:spacing w:after="120"/>
        <w:ind w:left="720" w:hanging="720"/>
      </w:pPr>
      <w:r w:rsidRPr="00C802B9">
        <w:t xml:space="preserve">The estimated net cost to the PBS/RPBS of listing icosapent ethyl is presented in </w:t>
      </w:r>
      <w:r w:rsidRPr="00C802B9">
        <w:fldChar w:fldCharType="begin" w:fldLock="1"/>
      </w:r>
      <w:r w:rsidRPr="00C802B9">
        <w:instrText xml:space="preserve"> REF _Ref104805295 \h </w:instrText>
      </w:r>
      <w:r w:rsidR="00C802B9">
        <w:instrText xml:space="preserve"> \* MERGEFORMAT </w:instrText>
      </w:r>
      <w:r w:rsidRPr="00C802B9">
        <w:fldChar w:fldCharType="separate"/>
      </w:r>
      <w:r w:rsidR="003F1735" w:rsidRPr="00C802B9">
        <w:t xml:space="preserve">Table </w:t>
      </w:r>
      <w:r w:rsidR="003F1735">
        <w:rPr>
          <w:noProof/>
        </w:rPr>
        <w:t>16</w:t>
      </w:r>
      <w:r w:rsidRPr="00C802B9">
        <w:fldChar w:fldCharType="end"/>
      </w:r>
      <w:r w:rsidRPr="00C802B9">
        <w:t>.</w:t>
      </w:r>
    </w:p>
    <w:p w14:paraId="1F09757A" w14:textId="3D789707" w:rsidR="00E211D2" w:rsidRPr="00C802B9" w:rsidRDefault="00E211D2" w:rsidP="00E211D2">
      <w:pPr>
        <w:pStyle w:val="COMtablefigcaption"/>
      </w:pPr>
      <w:bookmarkStart w:id="72" w:name="_Ref104805295"/>
      <w:r w:rsidRPr="00C802B9">
        <w:lastRenderedPageBreak/>
        <w:t xml:space="preserve">Table </w:t>
      </w:r>
      <w:fldSimple w:instr=" SEQ Table \* ARABIC " w:fldLock="1">
        <w:r w:rsidR="003F1735">
          <w:rPr>
            <w:noProof/>
          </w:rPr>
          <w:t>16</w:t>
        </w:r>
      </w:fldSimple>
      <w:bookmarkEnd w:id="72"/>
      <w:r w:rsidRPr="00C802B9">
        <w:t>: Estimated use and financial implications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6: Estimated use and financial implications"/>
        <w:tblDescription w:val="Table 16: Estimated use and financial implications"/>
      </w:tblPr>
      <w:tblGrid>
        <w:gridCol w:w="2580"/>
        <w:gridCol w:w="1081"/>
        <w:gridCol w:w="1081"/>
        <w:gridCol w:w="1081"/>
        <w:gridCol w:w="1081"/>
        <w:gridCol w:w="1081"/>
        <w:gridCol w:w="1082"/>
      </w:tblGrid>
      <w:tr w:rsidR="00EB54E6" w:rsidRPr="00C802B9" w14:paraId="4D7C1235" w14:textId="77777777" w:rsidTr="00B61BA5">
        <w:tc>
          <w:tcPr>
            <w:tcW w:w="9067" w:type="dxa"/>
            <w:gridSpan w:val="7"/>
            <w:shd w:val="clear" w:color="auto" w:fill="auto"/>
            <w:vAlign w:val="center"/>
          </w:tcPr>
          <w:p w14:paraId="6D14AEA0" w14:textId="77777777" w:rsidR="00EB54E6" w:rsidRPr="00C802B9" w:rsidRDefault="00EB54E6" w:rsidP="00B61BA5">
            <w:pPr>
              <w:keepNext/>
              <w:jc w:val="left"/>
              <w:rPr>
                <w:rFonts w:ascii="Arial Narrow" w:eastAsiaTheme="majorEastAsia" w:hAnsi="Arial Narrow" w:cstheme="majorBidi"/>
                <w:b/>
                <w:sz w:val="20"/>
              </w:rPr>
            </w:pPr>
            <w:r w:rsidRPr="00C802B9">
              <w:rPr>
                <w:rFonts w:ascii="Arial Narrow" w:eastAsiaTheme="majorEastAsia" w:hAnsi="Arial Narrow" w:cstheme="majorBidi"/>
                <w:b/>
                <w:sz w:val="20"/>
              </w:rPr>
              <w:t>Patients treated with icosapent ethyl</w:t>
            </w:r>
          </w:p>
        </w:tc>
      </w:tr>
      <w:tr w:rsidR="00EB54E6" w:rsidRPr="00C802B9" w14:paraId="744EDB72" w14:textId="77777777" w:rsidTr="00B61BA5">
        <w:tc>
          <w:tcPr>
            <w:tcW w:w="2580" w:type="dxa"/>
            <w:shd w:val="clear" w:color="auto" w:fill="auto"/>
            <w:vAlign w:val="center"/>
          </w:tcPr>
          <w:p w14:paraId="2BD34C41" w14:textId="77777777" w:rsidR="00EB54E6" w:rsidRPr="00C802B9" w:rsidRDefault="00EB54E6" w:rsidP="00B61BA5">
            <w:pPr>
              <w:keepNext/>
              <w:jc w:val="left"/>
              <w:rPr>
                <w:rFonts w:ascii="Arial Narrow" w:eastAsiaTheme="majorEastAsia" w:hAnsi="Arial Narrow" w:cstheme="majorBidi"/>
                <w:bCs/>
                <w:sz w:val="20"/>
              </w:rPr>
            </w:pPr>
            <w:r w:rsidRPr="00C802B9">
              <w:rPr>
                <w:rFonts w:ascii="Arial Narrow" w:eastAsiaTheme="majorEastAsia" w:hAnsi="Arial Narrow" w:cstheme="majorBidi"/>
                <w:bCs/>
                <w:sz w:val="20"/>
              </w:rPr>
              <w:t>Australian population 18 to 100 years</w:t>
            </w:r>
          </w:p>
        </w:tc>
        <w:tc>
          <w:tcPr>
            <w:tcW w:w="1081" w:type="dxa"/>
            <w:shd w:val="clear" w:color="auto" w:fill="auto"/>
            <w:vAlign w:val="center"/>
          </w:tcPr>
          <w:p w14:paraId="64211AA6" w14:textId="6BE8A6E3" w:rsidR="00EB54E6" w:rsidRPr="005441F2" w:rsidRDefault="0036355B" w:rsidP="00B61BA5">
            <w:pPr>
              <w:keepNext/>
              <w:jc w:val="center"/>
              <w:rPr>
                <w:rFonts w:ascii="Arial Narrow" w:eastAsiaTheme="majorEastAsia" w:hAnsi="Arial Narrow" w:cstheme="majorBidi"/>
                <w:bCs/>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56"/>
                <w:sz w:val="20"/>
                <w:shd w:val="solid" w:color="000000" w:fill="000000"/>
                <w:fitText w:val="540" w:id="-1032110072"/>
                <w14:textFill>
                  <w14:solidFill>
                    <w14:srgbClr w14:val="000000">
                      <w14:alpha w14:val="100000"/>
                    </w14:srgbClr>
                  </w14:solidFill>
                </w14:textFill>
              </w:rPr>
              <w:t>|||||</w:t>
            </w:r>
            <w:r w:rsidRPr="0036355B">
              <w:rPr>
                <w:rFonts w:ascii="Arial Narrow" w:eastAsiaTheme="majorEastAsia" w:hAnsi="Arial Narrow" w:cstheme="majorBidi"/>
                <w:bCs/>
                <w:color w:val="000000"/>
                <w:spacing w:val="5"/>
                <w:sz w:val="20"/>
                <w:shd w:val="solid" w:color="000000" w:fill="000000"/>
                <w:fitText w:val="540" w:id="-1032110072"/>
                <w14:textFill>
                  <w14:solidFill>
                    <w14:srgbClr w14:val="000000">
                      <w14:alpha w14:val="100000"/>
                    </w14:srgbClr>
                  </w14:solidFill>
                </w14:textFill>
              </w:rPr>
              <w:t>|</w:t>
            </w:r>
            <w:r w:rsidR="005936E3">
              <w:rPr>
                <w:rFonts w:ascii="Arial Narrow" w:hAnsi="Arial Narrow"/>
                <w:sz w:val="18"/>
                <w:szCs w:val="22"/>
                <w:vertAlign w:val="superscript"/>
              </w:rPr>
              <w:t>1</w:t>
            </w:r>
          </w:p>
        </w:tc>
        <w:tc>
          <w:tcPr>
            <w:tcW w:w="1081" w:type="dxa"/>
            <w:shd w:val="clear" w:color="auto" w:fill="auto"/>
            <w:vAlign w:val="center"/>
          </w:tcPr>
          <w:p w14:paraId="6508459E" w14:textId="736CA608" w:rsidR="00EB54E6" w:rsidRPr="005441F2" w:rsidRDefault="0036355B" w:rsidP="00B61BA5">
            <w:pPr>
              <w:keepNext/>
              <w:jc w:val="center"/>
              <w:rPr>
                <w:rFonts w:ascii="Arial Narrow" w:eastAsiaTheme="majorEastAsia" w:hAnsi="Arial Narrow"/>
                <w:bCs/>
                <w:color w:val="000000"/>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56"/>
                <w:sz w:val="20"/>
                <w:shd w:val="solid" w:color="000000" w:fill="000000"/>
                <w:fitText w:val="540" w:id="-1032110069"/>
                <w14:textFill>
                  <w14:solidFill>
                    <w14:srgbClr w14:val="000000">
                      <w14:alpha w14:val="100000"/>
                    </w14:srgbClr>
                  </w14:solidFill>
                </w14:textFill>
              </w:rPr>
              <w:t>|||||</w:t>
            </w:r>
            <w:r w:rsidRPr="0036355B">
              <w:rPr>
                <w:rFonts w:ascii="Arial Narrow" w:eastAsiaTheme="majorEastAsia" w:hAnsi="Arial Narrow" w:cstheme="majorBidi"/>
                <w:bCs/>
                <w:color w:val="000000"/>
                <w:spacing w:val="5"/>
                <w:sz w:val="20"/>
                <w:shd w:val="solid" w:color="000000" w:fill="000000"/>
                <w:fitText w:val="540" w:id="-1032110069"/>
                <w14:textFill>
                  <w14:solidFill>
                    <w14:srgbClr w14:val="000000">
                      <w14:alpha w14:val="100000"/>
                    </w14:srgbClr>
                  </w14:solidFill>
                </w14:textFill>
              </w:rPr>
              <w:t>|</w:t>
            </w:r>
            <w:r w:rsidR="005936E3">
              <w:rPr>
                <w:rFonts w:ascii="Arial Narrow" w:hAnsi="Arial Narrow"/>
                <w:sz w:val="18"/>
                <w:szCs w:val="22"/>
                <w:vertAlign w:val="superscript"/>
              </w:rPr>
              <w:t>1</w:t>
            </w:r>
          </w:p>
        </w:tc>
        <w:tc>
          <w:tcPr>
            <w:tcW w:w="1081" w:type="dxa"/>
            <w:shd w:val="clear" w:color="auto" w:fill="auto"/>
            <w:vAlign w:val="center"/>
          </w:tcPr>
          <w:p w14:paraId="0963AD25" w14:textId="0C106C5B" w:rsidR="00EB54E6" w:rsidRPr="005441F2" w:rsidRDefault="0036355B" w:rsidP="00B61BA5">
            <w:pPr>
              <w:keepNext/>
              <w:jc w:val="center"/>
              <w:rPr>
                <w:rFonts w:ascii="Arial Narrow" w:eastAsiaTheme="majorEastAsia" w:hAnsi="Arial Narrow"/>
                <w:bCs/>
                <w:color w:val="000000"/>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56"/>
                <w:sz w:val="20"/>
                <w:shd w:val="solid" w:color="000000" w:fill="000000"/>
                <w:fitText w:val="540" w:id="-1032110066"/>
                <w14:textFill>
                  <w14:solidFill>
                    <w14:srgbClr w14:val="000000">
                      <w14:alpha w14:val="100000"/>
                    </w14:srgbClr>
                  </w14:solidFill>
                </w14:textFill>
              </w:rPr>
              <w:t>|||||</w:t>
            </w:r>
            <w:r w:rsidRPr="0036355B">
              <w:rPr>
                <w:rFonts w:ascii="Arial Narrow" w:eastAsiaTheme="majorEastAsia" w:hAnsi="Arial Narrow" w:cstheme="majorBidi"/>
                <w:bCs/>
                <w:color w:val="000000"/>
                <w:spacing w:val="5"/>
                <w:sz w:val="20"/>
                <w:shd w:val="solid" w:color="000000" w:fill="000000"/>
                <w:fitText w:val="540" w:id="-1032110066"/>
                <w14:textFill>
                  <w14:solidFill>
                    <w14:srgbClr w14:val="000000">
                      <w14:alpha w14:val="100000"/>
                    </w14:srgbClr>
                  </w14:solidFill>
                </w14:textFill>
              </w:rPr>
              <w:t>|</w:t>
            </w:r>
            <w:r w:rsidR="005936E3">
              <w:rPr>
                <w:rFonts w:ascii="Arial Narrow" w:hAnsi="Arial Narrow"/>
                <w:sz w:val="18"/>
                <w:szCs w:val="22"/>
                <w:vertAlign w:val="superscript"/>
              </w:rPr>
              <w:t>1</w:t>
            </w:r>
          </w:p>
        </w:tc>
        <w:tc>
          <w:tcPr>
            <w:tcW w:w="1081" w:type="dxa"/>
            <w:shd w:val="clear" w:color="auto" w:fill="auto"/>
            <w:vAlign w:val="center"/>
          </w:tcPr>
          <w:p w14:paraId="4FF629C0" w14:textId="612C6763" w:rsidR="00EB54E6" w:rsidRPr="005441F2" w:rsidRDefault="0036355B" w:rsidP="00B61BA5">
            <w:pPr>
              <w:keepNext/>
              <w:jc w:val="center"/>
              <w:rPr>
                <w:rFonts w:ascii="Arial Narrow" w:eastAsiaTheme="majorEastAsia" w:hAnsi="Arial Narrow"/>
                <w:bCs/>
                <w:color w:val="000000"/>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56"/>
                <w:sz w:val="20"/>
                <w:shd w:val="solid" w:color="000000" w:fill="000000"/>
                <w:fitText w:val="540" w:id="-1032110080"/>
                <w14:textFill>
                  <w14:solidFill>
                    <w14:srgbClr w14:val="000000">
                      <w14:alpha w14:val="100000"/>
                    </w14:srgbClr>
                  </w14:solidFill>
                </w14:textFill>
              </w:rPr>
              <w:t>|||||</w:t>
            </w:r>
            <w:r w:rsidRPr="0036355B">
              <w:rPr>
                <w:rFonts w:ascii="Arial Narrow" w:eastAsiaTheme="majorEastAsia" w:hAnsi="Arial Narrow" w:cstheme="majorBidi"/>
                <w:bCs/>
                <w:color w:val="000000"/>
                <w:spacing w:val="5"/>
                <w:sz w:val="20"/>
                <w:shd w:val="solid" w:color="000000" w:fill="000000"/>
                <w:fitText w:val="540" w:id="-1032110080"/>
                <w14:textFill>
                  <w14:solidFill>
                    <w14:srgbClr w14:val="000000">
                      <w14:alpha w14:val="100000"/>
                    </w14:srgbClr>
                  </w14:solidFill>
                </w14:textFill>
              </w:rPr>
              <w:t>|</w:t>
            </w:r>
            <w:r w:rsidR="005936E3">
              <w:rPr>
                <w:rFonts w:ascii="Arial Narrow" w:hAnsi="Arial Narrow"/>
                <w:sz w:val="18"/>
                <w:szCs w:val="22"/>
                <w:vertAlign w:val="superscript"/>
              </w:rPr>
              <w:t>1</w:t>
            </w:r>
          </w:p>
        </w:tc>
        <w:tc>
          <w:tcPr>
            <w:tcW w:w="1081" w:type="dxa"/>
            <w:shd w:val="clear" w:color="auto" w:fill="auto"/>
            <w:vAlign w:val="center"/>
          </w:tcPr>
          <w:p w14:paraId="31AC8544" w14:textId="10E3EB2D" w:rsidR="00EB54E6" w:rsidRPr="005441F2" w:rsidRDefault="0036355B" w:rsidP="00B61BA5">
            <w:pPr>
              <w:keepNext/>
              <w:jc w:val="center"/>
              <w:rPr>
                <w:rFonts w:ascii="Arial Narrow" w:eastAsiaTheme="majorEastAsia" w:hAnsi="Arial Narrow"/>
                <w:bCs/>
                <w:color w:val="000000"/>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56"/>
                <w:sz w:val="20"/>
                <w:shd w:val="solid" w:color="000000" w:fill="000000"/>
                <w:fitText w:val="540" w:id="-1032110077"/>
                <w14:textFill>
                  <w14:solidFill>
                    <w14:srgbClr w14:val="000000">
                      <w14:alpha w14:val="100000"/>
                    </w14:srgbClr>
                  </w14:solidFill>
                </w14:textFill>
              </w:rPr>
              <w:t>|||||</w:t>
            </w:r>
            <w:r w:rsidRPr="0036355B">
              <w:rPr>
                <w:rFonts w:ascii="Arial Narrow" w:eastAsiaTheme="majorEastAsia" w:hAnsi="Arial Narrow" w:cstheme="majorBidi"/>
                <w:bCs/>
                <w:color w:val="000000"/>
                <w:spacing w:val="5"/>
                <w:sz w:val="20"/>
                <w:shd w:val="solid" w:color="000000" w:fill="000000"/>
                <w:fitText w:val="540" w:id="-1032110077"/>
                <w14:textFill>
                  <w14:solidFill>
                    <w14:srgbClr w14:val="000000">
                      <w14:alpha w14:val="100000"/>
                    </w14:srgbClr>
                  </w14:solidFill>
                </w14:textFill>
              </w:rPr>
              <w:t>|</w:t>
            </w:r>
            <w:r w:rsidR="005936E3">
              <w:rPr>
                <w:rFonts w:ascii="Arial Narrow" w:hAnsi="Arial Narrow"/>
                <w:sz w:val="18"/>
                <w:szCs w:val="22"/>
                <w:vertAlign w:val="superscript"/>
              </w:rPr>
              <w:t>1</w:t>
            </w:r>
          </w:p>
        </w:tc>
        <w:tc>
          <w:tcPr>
            <w:tcW w:w="1082" w:type="dxa"/>
            <w:shd w:val="clear" w:color="auto" w:fill="auto"/>
            <w:vAlign w:val="center"/>
          </w:tcPr>
          <w:p w14:paraId="4281455D" w14:textId="361D0486" w:rsidR="00EB54E6" w:rsidRPr="005441F2" w:rsidRDefault="0036355B" w:rsidP="00B61BA5">
            <w:pPr>
              <w:keepNext/>
              <w:jc w:val="center"/>
              <w:rPr>
                <w:rFonts w:ascii="Arial Narrow" w:eastAsiaTheme="majorEastAsia" w:hAnsi="Arial Narrow"/>
                <w:bCs/>
                <w:color w:val="000000"/>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56"/>
                <w:sz w:val="20"/>
                <w:shd w:val="solid" w:color="000000" w:fill="000000"/>
                <w:fitText w:val="540" w:id="-1032110074"/>
                <w14:textFill>
                  <w14:solidFill>
                    <w14:srgbClr w14:val="000000">
                      <w14:alpha w14:val="100000"/>
                    </w14:srgbClr>
                  </w14:solidFill>
                </w14:textFill>
              </w:rPr>
              <w:t>|||||</w:t>
            </w:r>
            <w:r w:rsidRPr="0036355B">
              <w:rPr>
                <w:rFonts w:ascii="Arial Narrow" w:eastAsiaTheme="majorEastAsia" w:hAnsi="Arial Narrow" w:cstheme="majorBidi"/>
                <w:bCs/>
                <w:color w:val="000000"/>
                <w:spacing w:val="5"/>
                <w:sz w:val="20"/>
                <w:shd w:val="solid" w:color="000000" w:fill="000000"/>
                <w:fitText w:val="540" w:id="-1032110074"/>
                <w14:textFill>
                  <w14:solidFill>
                    <w14:srgbClr w14:val="000000">
                      <w14:alpha w14:val="100000"/>
                    </w14:srgbClr>
                  </w14:solidFill>
                </w14:textFill>
              </w:rPr>
              <w:t>|</w:t>
            </w:r>
            <w:r w:rsidR="005936E3">
              <w:rPr>
                <w:rFonts w:ascii="Arial Narrow" w:hAnsi="Arial Narrow"/>
                <w:sz w:val="18"/>
                <w:szCs w:val="22"/>
                <w:vertAlign w:val="superscript"/>
              </w:rPr>
              <w:t>1</w:t>
            </w:r>
          </w:p>
        </w:tc>
      </w:tr>
      <w:tr w:rsidR="00EB54E6" w:rsidRPr="00C802B9" w14:paraId="04CBE2FC" w14:textId="77777777" w:rsidTr="00B61BA5">
        <w:tc>
          <w:tcPr>
            <w:tcW w:w="2580" w:type="dxa"/>
            <w:shd w:val="clear" w:color="auto" w:fill="auto"/>
            <w:vAlign w:val="center"/>
          </w:tcPr>
          <w:p w14:paraId="10459C61" w14:textId="77777777" w:rsidR="00EB54E6" w:rsidRPr="00C802B9" w:rsidRDefault="00EB54E6" w:rsidP="00B61BA5">
            <w:pPr>
              <w:keepNext/>
              <w:jc w:val="left"/>
              <w:rPr>
                <w:rFonts w:ascii="Arial Narrow" w:eastAsiaTheme="majorEastAsia" w:hAnsi="Arial Narrow" w:cstheme="majorBidi"/>
                <w:bCs/>
                <w:sz w:val="20"/>
              </w:rPr>
            </w:pPr>
            <w:r w:rsidRPr="00C802B9">
              <w:rPr>
                <w:rFonts w:ascii="Arial Narrow" w:eastAsiaTheme="majorEastAsia" w:hAnsi="Arial Narrow" w:cstheme="majorBidi"/>
                <w:bCs/>
                <w:sz w:val="20"/>
              </w:rPr>
              <w:t>Estimated ASCVD prevalence</w:t>
            </w:r>
          </w:p>
        </w:tc>
        <w:tc>
          <w:tcPr>
            <w:tcW w:w="1081" w:type="dxa"/>
            <w:shd w:val="clear" w:color="auto" w:fill="auto"/>
            <w:vAlign w:val="center"/>
          </w:tcPr>
          <w:p w14:paraId="598CE15F" w14:textId="77777777" w:rsidR="00EB54E6" w:rsidRPr="00C802B9" w:rsidRDefault="00EB54E6" w:rsidP="00B61BA5">
            <w:pPr>
              <w:keepNext/>
              <w:jc w:val="center"/>
              <w:rPr>
                <w:rFonts w:ascii="Arial Narrow" w:eastAsiaTheme="majorEastAsia" w:hAnsi="Arial Narrow"/>
                <w:bCs/>
                <w:color w:val="000000"/>
                <w:sz w:val="20"/>
              </w:rPr>
            </w:pPr>
            <w:r w:rsidRPr="00C802B9">
              <w:rPr>
                <w:rFonts w:ascii="Arial Narrow" w:eastAsiaTheme="majorEastAsia" w:hAnsi="Arial Narrow"/>
                <w:bCs/>
                <w:color w:val="000000"/>
                <w:sz w:val="20"/>
              </w:rPr>
              <w:t>6.61%</w:t>
            </w:r>
          </w:p>
        </w:tc>
        <w:tc>
          <w:tcPr>
            <w:tcW w:w="1081" w:type="dxa"/>
            <w:shd w:val="clear" w:color="auto" w:fill="auto"/>
            <w:vAlign w:val="center"/>
          </w:tcPr>
          <w:p w14:paraId="0CAED2D4" w14:textId="77777777" w:rsidR="00EB54E6" w:rsidRPr="00C802B9" w:rsidRDefault="00EB54E6" w:rsidP="00B61BA5">
            <w:pPr>
              <w:keepNext/>
              <w:jc w:val="center"/>
              <w:rPr>
                <w:rFonts w:ascii="Arial Narrow" w:eastAsiaTheme="majorEastAsia" w:hAnsi="Arial Narrow"/>
                <w:bCs/>
                <w:color w:val="000000"/>
                <w:sz w:val="20"/>
              </w:rPr>
            </w:pPr>
            <w:r w:rsidRPr="00C802B9">
              <w:rPr>
                <w:rFonts w:ascii="Arial Narrow" w:eastAsiaTheme="majorEastAsia" w:hAnsi="Arial Narrow"/>
                <w:bCs/>
                <w:color w:val="000000"/>
                <w:sz w:val="20"/>
              </w:rPr>
              <w:t>6.66%</w:t>
            </w:r>
          </w:p>
        </w:tc>
        <w:tc>
          <w:tcPr>
            <w:tcW w:w="1081" w:type="dxa"/>
            <w:shd w:val="clear" w:color="auto" w:fill="auto"/>
            <w:vAlign w:val="center"/>
          </w:tcPr>
          <w:p w14:paraId="29DAD646" w14:textId="77777777" w:rsidR="00EB54E6" w:rsidRPr="00C802B9" w:rsidRDefault="00EB54E6" w:rsidP="00B61BA5">
            <w:pPr>
              <w:keepNext/>
              <w:jc w:val="center"/>
              <w:rPr>
                <w:rFonts w:ascii="Arial Narrow" w:eastAsiaTheme="majorEastAsia" w:hAnsi="Arial Narrow"/>
                <w:bCs/>
                <w:color w:val="000000"/>
                <w:sz w:val="20"/>
              </w:rPr>
            </w:pPr>
            <w:r w:rsidRPr="00C802B9">
              <w:rPr>
                <w:rFonts w:ascii="Arial Narrow" w:eastAsiaTheme="majorEastAsia" w:hAnsi="Arial Narrow"/>
                <w:bCs/>
                <w:color w:val="000000"/>
                <w:sz w:val="20"/>
              </w:rPr>
              <w:t>6.72%</w:t>
            </w:r>
          </w:p>
        </w:tc>
        <w:tc>
          <w:tcPr>
            <w:tcW w:w="1081" w:type="dxa"/>
            <w:shd w:val="clear" w:color="auto" w:fill="auto"/>
            <w:vAlign w:val="center"/>
          </w:tcPr>
          <w:p w14:paraId="4B5B0B4E" w14:textId="77777777" w:rsidR="00EB54E6" w:rsidRPr="00C802B9" w:rsidRDefault="00EB54E6" w:rsidP="00B61BA5">
            <w:pPr>
              <w:keepNext/>
              <w:jc w:val="center"/>
              <w:rPr>
                <w:rFonts w:ascii="Arial Narrow" w:eastAsiaTheme="majorEastAsia" w:hAnsi="Arial Narrow"/>
                <w:bCs/>
                <w:color w:val="000000"/>
                <w:sz w:val="20"/>
              </w:rPr>
            </w:pPr>
            <w:r w:rsidRPr="00C802B9">
              <w:rPr>
                <w:rFonts w:ascii="Arial Narrow" w:eastAsiaTheme="majorEastAsia" w:hAnsi="Arial Narrow"/>
                <w:bCs/>
                <w:color w:val="000000"/>
                <w:sz w:val="20"/>
              </w:rPr>
              <w:t>6.77%</w:t>
            </w:r>
          </w:p>
        </w:tc>
        <w:tc>
          <w:tcPr>
            <w:tcW w:w="1081" w:type="dxa"/>
            <w:shd w:val="clear" w:color="auto" w:fill="auto"/>
            <w:vAlign w:val="center"/>
          </w:tcPr>
          <w:p w14:paraId="7ECD7AEF" w14:textId="77777777" w:rsidR="00EB54E6" w:rsidRPr="00C802B9" w:rsidRDefault="00EB54E6" w:rsidP="00B61BA5">
            <w:pPr>
              <w:keepNext/>
              <w:jc w:val="center"/>
              <w:rPr>
                <w:rFonts w:ascii="Arial Narrow" w:eastAsiaTheme="majorEastAsia" w:hAnsi="Arial Narrow"/>
                <w:bCs/>
                <w:color w:val="000000"/>
                <w:sz w:val="20"/>
              </w:rPr>
            </w:pPr>
            <w:r w:rsidRPr="00C802B9">
              <w:rPr>
                <w:rFonts w:ascii="Arial Narrow" w:eastAsiaTheme="majorEastAsia" w:hAnsi="Arial Narrow"/>
                <w:bCs/>
                <w:color w:val="000000"/>
                <w:sz w:val="20"/>
              </w:rPr>
              <w:t>6.82%</w:t>
            </w:r>
          </w:p>
        </w:tc>
        <w:tc>
          <w:tcPr>
            <w:tcW w:w="1082" w:type="dxa"/>
            <w:shd w:val="clear" w:color="auto" w:fill="auto"/>
            <w:vAlign w:val="center"/>
          </w:tcPr>
          <w:p w14:paraId="2BF22D98" w14:textId="77777777" w:rsidR="00EB54E6" w:rsidRPr="00C802B9" w:rsidRDefault="00EB54E6" w:rsidP="00B61BA5">
            <w:pPr>
              <w:keepNext/>
              <w:jc w:val="center"/>
              <w:rPr>
                <w:rFonts w:ascii="Arial Narrow" w:eastAsiaTheme="majorEastAsia" w:hAnsi="Arial Narrow"/>
                <w:bCs/>
                <w:sz w:val="20"/>
              </w:rPr>
            </w:pPr>
            <w:r w:rsidRPr="00C802B9">
              <w:rPr>
                <w:rFonts w:ascii="Arial Narrow" w:eastAsiaTheme="majorEastAsia" w:hAnsi="Arial Narrow"/>
                <w:bCs/>
                <w:color w:val="000000"/>
                <w:sz w:val="20"/>
              </w:rPr>
              <w:t>6.86%</w:t>
            </w:r>
          </w:p>
        </w:tc>
      </w:tr>
      <w:tr w:rsidR="00EB54E6" w:rsidRPr="00C802B9" w14:paraId="7DC23620" w14:textId="77777777" w:rsidTr="00B61BA5">
        <w:tc>
          <w:tcPr>
            <w:tcW w:w="2580" w:type="dxa"/>
            <w:shd w:val="clear" w:color="auto" w:fill="auto"/>
            <w:vAlign w:val="center"/>
          </w:tcPr>
          <w:p w14:paraId="1CCF8AF5" w14:textId="77777777" w:rsidR="00EB54E6" w:rsidRPr="00C802B9" w:rsidRDefault="00EB54E6" w:rsidP="00B61BA5">
            <w:pPr>
              <w:keepNext/>
              <w:jc w:val="left"/>
              <w:rPr>
                <w:rFonts w:ascii="Arial Narrow" w:eastAsiaTheme="majorEastAsia" w:hAnsi="Arial Narrow" w:cstheme="majorBidi"/>
                <w:bCs/>
                <w:sz w:val="20"/>
              </w:rPr>
            </w:pPr>
            <w:r w:rsidRPr="00C802B9">
              <w:rPr>
                <w:rFonts w:ascii="Arial Narrow" w:eastAsiaTheme="majorEastAsia" w:hAnsi="Arial Narrow" w:cstheme="majorBidi"/>
                <w:bCs/>
                <w:sz w:val="20"/>
              </w:rPr>
              <w:t>Australian patients with ASCVD</w:t>
            </w:r>
          </w:p>
        </w:tc>
        <w:tc>
          <w:tcPr>
            <w:tcW w:w="1081" w:type="dxa"/>
            <w:shd w:val="clear" w:color="auto" w:fill="auto"/>
            <w:vAlign w:val="center"/>
          </w:tcPr>
          <w:p w14:paraId="61128F53" w14:textId="1729FBAA" w:rsidR="00EB54E6" w:rsidRPr="005441F2" w:rsidRDefault="0036355B" w:rsidP="00B61BA5">
            <w:pPr>
              <w:keepNext/>
              <w:jc w:val="center"/>
              <w:rPr>
                <w:rFonts w:ascii="Arial Narrow" w:eastAsiaTheme="majorEastAsia" w:hAnsi="Arial Narrow"/>
                <w:bCs/>
                <w:sz w:val="20"/>
                <w:highlight w:val="darkGray"/>
              </w:rPr>
            </w:pPr>
            <w:r>
              <w:rPr>
                <w:rFonts w:ascii="Arial Narrow" w:eastAsiaTheme="majorEastAsia" w:hAnsi="Arial Narrow"/>
                <w:bCs/>
                <w:sz w:val="20"/>
              </w:rPr>
              <w:t xml:space="preserve"> </w:t>
            </w:r>
            <w:r w:rsidRPr="0036355B">
              <w:rPr>
                <w:rFonts w:ascii="Arial Narrow" w:eastAsiaTheme="majorEastAsia" w:hAnsi="Arial Narrow"/>
                <w:bCs/>
                <w:color w:val="000000"/>
                <w:spacing w:val="56"/>
                <w:sz w:val="20"/>
                <w:shd w:val="solid" w:color="000000" w:fill="000000"/>
                <w:fitText w:val="540" w:id="-1032110071"/>
                <w14:textFill>
                  <w14:solidFill>
                    <w14:srgbClr w14:val="000000">
                      <w14:alpha w14:val="100000"/>
                    </w14:srgbClr>
                  </w14:solidFill>
                </w14:textFill>
              </w:rPr>
              <w:t>|||||</w:t>
            </w:r>
            <w:r w:rsidRPr="0036355B">
              <w:rPr>
                <w:rFonts w:ascii="Arial Narrow" w:eastAsiaTheme="majorEastAsia" w:hAnsi="Arial Narrow"/>
                <w:bCs/>
                <w:color w:val="000000"/>
                <w:spacing w:val="5"/>
                <w:sz w:val="20"/>
                <w:shd w:val="solid" w:color="000000" w:fill="000000"/>
                <w:fitText w:val="540" w:id="-1032110071"/>
                <w14:textFill>
                  <w14:solidFill>
                    <w14:srgbClr w14:val="000000">
                      <w14:alpha w14:val="100000"/>
                    </w14:srgbClr>
                  </w14:solidFill>
                </w14:textFill>
              </w:rPr>
              <w:t>|</w:t>
            </w:r>
            <w:r w:rsidR="005936E3">
              <w:rPr>
                <w:rFonts w:ascii="Arial Narrow" w:hAnsi="Arial Narrow"/>
                <w:sz w:val="18"/>
                <w:szCs w:val="22"/>
                <w:vertAlign w:val="superscript"/>
              </w:rPr>
              <w:t>2</w:t>
            </w:r>
          </w:p>
        </w:tc>
        <w:tc>
          <w:tcPr>
            <w:tcW w:w="1081" w:type="dxa"/>
            <w:shd w:val="clear" w:color="auto" w:fill="auto"/>
            <w:vAlign w:val="center"/>
          </w:tcPr>
          <w:p w14:paraId="20115771" w14:textId="78F0FFA9" w:rsidR="00EB54E6" w:rsidRPr="005441F2" w:rsidRDefault="0036355B" w:rsidP="00B61BA5">
            <w:pPr>
              <w:keepNext/>
              <w:jc w:val="center"/>
              <w:rPr>
                <w:rFonts w:ascii="Arial Narrow" w:eastAsiaTheme="majorEastAsia" w:hAnsi="Arial Narrow"/>
                <w:bCs/>
                <w:sz w:val="20"/>
                <w:highlight w:val="darkGray"/>
              </w:rPr>
            </w:pPr>
            <w:r>
              <w:rPr>
                <w:rFonts w:ascii="Arial Narrow" w:eastAsiaTheme="majorEastAsia" w:hAnsi="Arial Narrow"/>
                <w:bCs/>
                <w:sz w:val="20"/>
              </w:rPr>
              <w:t xml:space="preserve"> </w:t>
            </w:r>
            <w:r w:rsidRPr="0036355B">
              <w:rPr>
                <w:rFonts w:ascii="Arial Narrow" w:eastAsiaTheme="majorEastAsia" w:hAnsi="Arial Narrow"/>
                <w:bCs/>
                <w:color w:val="000000"/>
                <w:spacing w:val="56"/>
                <w:sz w:val="20"/>
                <w:shd w:val="solid" w:color="000000" w:fill="000000"/>
                <w:fitText w:val="540" w:id="-1032110068"/>
                <w14:textFill>
                  <w14:solidFill>
                    <w14:srgbClr w14:val="000000">
                      <w14:alpha w14:val="100000"/>
                    </w14:srgbClr>
                  </w14:solidFill>
                </w14:textFill>
              </w:rPr>
              <w:t>|||||</w:t>
            </w:r>
            <w:r w:rsidRPr="0036355B">
              <w:rPr>
                <w:rFonts w:ascii="Arial Narrow" w:eastAsiaTheme="majorEastAsia" w:hAnsi="Arial Narrow"/>
                <w:bCs/>
                <w:color w:val="000000"/>
                <w:spacing w:val="5"/>
                <w:sz w:val="20"/>
                <w:shd w:val="solid" w:color="000000" w:fill="000000"/>
                <w:fitText w:val="540" w:id="-1032110068"/>
                <w14:textFill>
                  <w14:solidFill>
                    <w14:srgbClr w14:val="000000">
                      <w14:alpha w14:val="100000"/>
                    </w14:srgbClr>
                  </w14:solidFill>
                </w14:textFill>
              </w:rPr>
              <w:t>|</w:t>
            </w:r>
            <w:r w:rsidR="005936E3">
              <w:rPr>
                <w:rFonts w:ascii="Arial Narrow" w:hAnsi="Arial Narrow"/>
                <w:sz w:val="18"/>
                <w:szCs w:val="22"/>
                <w:vertAlign w:val="superscript"/>
              </w:rPr>
              <w:t>2</w:t>
            </w:r>
          </w:p>
        </w:tc>
        <w:tc>
          <w:tcPr>
            <w:tcW w:w="1081" w:type="dxa"/>
            <w:shd w:val="clear" w:color="auto" w:fill="auto"/>
            <w:vAlign w:val="center"/>
          </w:tcPr>
          <w:p w14:paraId="5454604B" w14:textId="14F0927C" w:rsidR="00EB54E6" w:rsidRPr="005441F2" w:rsidRDefault="0036355B" w:rsidP="00B61BA5">
            <w:pPr>
              <w:keepNext/>
              <w:jc w:val="center"/>
              <w:rPr>
                <w:rFonts w:ascii="Arial Narrow" w:eastAsiaTheme="majorEastAsia" w:hAnsi="Arial Narrow"/>
                <w:bCs/>
                <w:sz w:val="20"/>
                <w:highlight w:val="darkGray"/>
              </w:rPr>
            </w:pPr>
            <w:r>
              <w:rPr>
                <w:rFonts w:ascii="Arial Narrow" w:eastAsiaTheme="majorEastAsia" w:hAnsi="Arial Narrow"/>
                <w:bCs/>
                <w:sz w:val="20"/>
              </w:rPr>
              <w:t xml:space="preserve"> </w:t>
            </w:r>
            <w:r w:rsidRPr="0036355B">
              <w:rPr>
                <w:rFonts w:ascii="Arial Narrow" w:eastAsiaTheme="majorEastAsia" w:hAnsi="Arial Narrow"/>
                <w:bCs/>
                <w:color w:val="000000"/>
                <w:spacing w:val="56"/>
                <w:sz w:val="20"/>
                <w:shd w:val="solid" w:color="000000" w:fill="000000"/>
                <w:fitText w:val="540" w:id="-1032110065"/>
                <w14:textFill>
                  <w14:solidFill>
                    <w14:srgbClr w14:val="000000">
                      <w14:alpha w14:val="100000"/>
                    </w14:srgbClr>
                  </w14:solidFill>
                </w14:textFill>
              </w:rPr>
              <w:t>|||||</w:t>
            </w:r>
            <w:r w:rsidRPr="0036355B">
              <w:rPr>
                <w:rFonts w:ascii="Arial Narrow" w:eastAsiaTheme="majorEastAsia" w:hAnsi="Arial Narrow"/>
                <w:bCs/>
                <w:color w:val="000000"/>
                <w:spacing w:val="5"/>
                <w:sz w:val="20"/>
                <w:shd w:val="solid" w:color="000000" w:fill="000000"/>
                <w:fitText w:val="540" w:id="-1032110065"/>
                <w14:textFill>
                  <w14:solidFill>
                    <w14:srgbClr w14:val="000000">
                      <w14:alpha w14:val="100000"/>
                    </w14:srgbClr>
                  </w14:solidFill>
                </w14:textFill>
              </w:rPr>
              <w:t>|</w:t>
            </w:r>
            <w:r w:rsidR="005936E3">
              <w:rPr>
                <w:rFonts w:ascii="Arial Narrow" w:hAnsi="Arial Narrow"/>
                <w:sz w:val="18"/>
                <w:szCs w:val="22"/>
                <w:vertAlign w:val="superscript"/>
              </w:rPr>
              <w:t>2</w:t>
            </w:r>
          </w:p>
        </w:tc>
        <w:tc>
          <w:tcPr>
            <w:tcW w:w="1081" w:type="dxa"/>
            <w:shd w:val="clear" w:color="auto" w:fill="auto"/>
            <w:vAlign w:val="center"/>
          </w:tcPr>
          <w:p w14:paraId="43FEF9B5" w14:textId="3FB951A4" w:rsidR="00EB54E6" w:rsidRPr="005441F2" w:rsidRDefault="0036355B" w:rsidP="00B61BA5">
            <w:pPr>
              <w:keepNext/>
              <w:jc w:val="center"/>
              <w:rPr>
                <w:rFonts w:ascii="Arial Narrow" w:eastAsiaTheme="majorEastAsia" w:hAnsi="Arial Narrow"/>
                <w:bCs/>
                <w:sz w:val="20"/>
                <w:highlight w:val="darkGray"/>
              </w:rPr>
            </w:pPr>
            <w:r>
              <w:rPr>
                <w:rFonts w:ascii="Arial Narrow" w:eastAsiaTheme="majorEastAsia" w:hAnsi="Arial Narrow"/>
                <w:bCs/>
                <w:sz w:val="20"/>
              </w:rPr>
              <w:t xml:space="preserve"> </w:t>
            </w:r>
            <w:r w:rsidRPr="0036355B">
              <w:rPr>
                <w:rFonts w:ascii="Arial Narrow" w:eastAsiaTheme="majorEastAsia" w:hAnsi="Arial Narrow"/>
                <w:bCs/>
                <w:color w:val="000000"/>
                <w:spacing w:val="56"/>
                <w:sz w:val="20"/>
                <w:shd w:val="solid" w:color="000000" w:fill="000000"/>
                <w:fitText w:val="540" w:id="-1032110079"/>
                <w14:textFill>
                  <w14:solidFill>
                    <w14:srgbClr w14:val="000000">
                      <w14:alpha w14:val="100000"/>
                    </w14:srgbClr>
                  </w14:solidFill>
                </w14:textFill>
              </w:rPr>
              <w:t>|||||</w:t>
            </w:r>
            <w:r w:rsidRPr="0036355B">
              <w:rPr>
                <w:rFonts w:ascii="Arial Narrow" w:eastAsiaTheme="majorEastAsia" w:hAnsi="Arial Narrow"/>
                <w:bCs/>
                <w:color w:val="000000"/>
                <w:spacing w:val="5"/>
                <w:sz w:val="20"/>
                <w:shd w:val="solid" w:color="000000" w:fill="000000"/>
                <w:fitText w:val="540" w:id="-1032110079"/>
                <w14:textFill>
                  <w14:solidFill>
                    <w14:srgbClr w14:val="000000">
                      <w14:alpha w14:val="100000"/>
                    </w14:srgbClr>
                  </w14:solidFill>
                </w14:textFill>
              </w:rPr>
              <w:t>|</w:t>
            </w:r>
            <w:r w:rsidR="005936E3">
              <w:rPr>
                <w:rFonts w:ascii="Arial Narrow" w:hAnsi="Arial Narrow"/>
                <w:sz w:val="18"/>
                <w:szCs w:val="22"/>
                <w:vertAlign w:val="superscript"/>
              </w:rPr>
              <w:t>2</w:t>
            </w:r>
          </w:p>
        </w:tc>
        <w:tc>
          <w:tcPr>
            <w:tcW w:w="1081" w:type="dxa"/>
            <w:shd w:val="clear" w:color="auto" w:fill="auto"/>
            <w:vAlign w:val="center"/>
          </w:tcPr>
          <w:p w14:paraId="27BE7424" w14:textId="2F0D7C14" w:rsidR="00EB54E6" w:rsidRPr="005441F2" w:rsidRDefault="0036355B" w:rsidP="00B61BA5">
            <w:pPr>
              <w:keepNext/>
              <w:jc w:val="center"/>
              <w:rPr>
                <w:rFonts w:ascii="Arial Narrow" w:eastAsiaTheme="majorEastAsia" w:hAnsi="Arial Narrow"/>
                <w:bCs/>
                <w:sz w:val="20"/>
                <w:highlight w:val="darkGray"/>
              </w:rPr>
            </w:pPr>
            <w:r>
              <w:rPr>
                <w:rFonts w:ascii="Arial Narrow" w:eastAsiaTheme="majorEastAsia" w:hAnsi="Arial Narrow"/>
                <w:bCs/>
                <w:sz w:val="20"/>
              </w:rPr>
              <w:t xml:space="preserve"> </w:t>
            </w:r>
            <w:r w:rsidRPr="0036355B">
              <w:rPr>
                <w:rFonts w:ascii="Arial Narrow" w:eastAsiaTheme="majorEastAsia" w:hAnsi="Arial Narrow"/>
                <w:bCs/>
                <w:color w:val="000000"/>
                <w:spacing w:val="56"/>
                <w:sz w:val="20"/>
                <w:shd w:val="solid" w:color="000000" w:fill="000000"/>
                <w:fitText w:val="540" w:id="-1032110076"/>
                <w14:textFill>
                  <w14:solidFill>
                    <w14:srgbClr w14:val="000000">
                      <w14:alpha w14:val="100000"/>
                    </w14:srgbClr>
                  </w14:solidFill>
                </w14:textFill>
              </w:rPr>
              <w:t>|||||</w:t>
            </w:r>
            <w:r w:rsidRPr="0036355B">
              <w:rPr>
                <w:rFonts w:ascii="Arial Narrow" w:eastAsiaTheme="majorEastAsia" w:hAnsi="Arial Narrow"/>
                <w:bCs/>
                <w:color w:val="000000"/>
                <w:spacing w:val="5"/>
                <w:sz w:val="20"/>
                <w:shd w:val="solid" w:color="000000" w:fill="000000"/>
                <w:fitText w:val="540" w:id="-1032110076"/>
                <w14:textFill>
                  <w14:solidFill>
                    <w14:srgbClr w14:val="000000">
                      <w14:alpha w14:val="100000"/>
                    </w14:srgbClr>
                  </w14:solidFill>
                </w14:textFill>
              </w:rPr>
              <w:t>|</w:t>
            </w:r>
            <w:r w:rsidR="005936E3">
              <w:rPr>
                <w:rFonts w:ascii="Arial Narrow" w:hAnsi="Arial Narrow"/>
                <w:sz w:val="18"/>
                <w:szCs w:val="22"/>
                <w:vertAlign w:val="superscript"/>
              </w:rPr>
              <w:t>2</w:t>
            </w:r>
          </w:p>
        </w:tc>
        <w:tc>
          <w:tcPr>
            <w:tcW w:w="1082" w:type="dxa"/>
            <w:shd w:val="clear" w:color="auto" w:fill="auto"/>
            <w:vAlign w:val="center"/>
          </w:tcPr>
          <w:p w14:paraId="507A4552" w14:textId="27CDA712" w:rsidR="00EB54E6" w:rsidRPr="005441F2" w:rsidRDefault="0036355B" w:rsidP="00B61BA5">
            <w:pPr>
              <w:keepNext/>
              <w:jc w:val="center"/>
              <w:rPr>
                <w:rFonts w:ascii="Arial Narrow" w:eastAsiaTheme="majorEastAsia" w:hAnsi="Arial Narrow"/>
                <w:bCs/>
                <w:sz w:val="20"/>
                <w:highlight w:val="darkGray"/>
              </w:rPr>
            </w:pPr>
            <w:r>
              <w:rPr>
                <w:rFonts w:ascii="Arial Narrow" w:eastAsiaTheme="majorEastAsia" w:hAnsi="Arial Narrow"/>
                <w:bCs/>
                <w:sz w:val="20"/>
              </w:rPr>
              <w:t xml:space="preserve"> </w:t>
            </w:r>
            <w:r w:rsidRPr="0036355B">
              <w:rPr>
                <w:rFonts w:ascii="Arial Narrow" w:eastAsiaTheme="majorEastAsia" w:hAnsi="Arial Narrow"/>
                <w:bCs/>
                <w:color w:val="000000"/>
                <w:spacing w:val="56"/>
                <w:sz w:val="20"/>
                <w:shd w:val="solid" w:color="000000" w:fill="000000"/>
                <w:fitText w:val="540" w:id="-1032110073"/>
                <w14:textFill>
                  <w14:solidFill>
                    <w14:srgbClr w14:val="000000">
                      <w14:alpha w14:val="100000"/>
                    </w14:srgbClr>
                  </w14:solidFill>
                </w14:textFill>
              </w:rPr>
              <w:t>|||||</w:t>
            </w:r>
            <w:r w:rsidRPr="0036355B">
              <w:rPr>
                <w:rFonts w:ascii="Arial Narrow" w:eastAsiaTheme="majorEastAsia" w:hAnsi="Arial Narrow"/>
                <w:bCs/>
                <w:color w:val="000000"/>
                <w:spacing w:val="5"/>
                <w:sz w:val="20"/>
                <w:shd w:val="solid" w:color="000000" w:fill="000000"/>
                <w:fitText w:val="540" w:id="-1032110073"/>
                <w14:textFill>
                  <w14:solidFill>
                    <w14:srgbClr w14:val="000000">
                      <w14:alpha w14:val="100000"/>
                    </w14:srgbClr>
                  </w14:solidFill>
                </w14:textFill>
              </w:rPr>
              <w:t>|</w:t>
            </w:r>
            <w:r w:rsidR="005936E3">
              <w:rPr>
                <w:rFonts w:ascii="Arial Narrow" w:hAnsi="Arial Narrow"/>
                <w:sz w:val="18"/>
                <w:szCs w:val="22"/>
                <w:vertAlign w:val="superscript"/>
              </w:rPr>
              <w:t>2</w:t>
            </w:r>
          </w:p>
        </w:tc>
      </w:tr>
      <w:tr w:rsidR="00EB54E6" w:rsidRPr="00C802B9" w14:paraId="173BD8AF" w14:textId="77777777" w:rsidTr="00B61BA5">
        <w:tc>
          <w:tcPr>
            <w:tcW w:w="2580" w:type="dxa"/>
            <w:shd w:val="clear" w:color="auto" w:fill="auto"/>
            <w:vAlign w:val="center"/>
          </w:tcPr>
          <w:p w14:paraId="1EA35393" w14:textId="77777777" w:rsidR="00EB54E6" w:rsidRPr="00C802B9" w:rsidRDefault="00EB54E6" w:rsidP="00B61BA5">
            <w:pPr>
              <w:keepNext/>
              <w:jc w:val="left"/>
              <w:rPr>
                <w:rFonts w:ascii="Arial Narrow" w:eastAsiaTheme="majorEastAsia" w:hAnsi="Arial Narrow" w:cstheme="majorBidi"/>
                <w:bCs/>
                <w:sz w:val="20"/>
              </w:rPr>
            </w:pPr>
            <w:r w:rsidRPr="00C802B9">
              <w:rPr>
                <w:rFonts w:ascii="Arial Narrow" w:eastAsiaTheme="majorEastAsia" w:hAnsi="Arial Narrow" w:cstheme="majorBidi"/>
                <w:bCs/>
                <w:sz w:val="20"/>
              </w:rPr>
              <w:t>Proportion treated with maximum tolerated statin (75.9%)</w:t>
            </w:r>
          </w:p>
        </w:tc>
        <w:tc>
          <w:tcPr>
            <w:tcW w:w="1081" w:type="dxa"/>
            <w:shd w:val="clear" w:color="auto" w:fill="auto"/>
            <w:vAlign w:val="center"/>
          </w:tcPr>
          <w:p w14:paraId="7ACA023E" w14:textId="6B1C64B0" w:rsidR="00EB54E6" w:rsidRPr="005441F2" w:rsidRDefault="0036355B" w:rsidP="00B61BA5">
            <w:pPr>
              <w:keepNext/>
              <w:jc w:val="center"/>
              <w:rPr>
                <w:rFonts w:ascii="Arial Narrow" w:eastAsiaTheme="majorEastAsia" w:hAnsi="Arial Narrow"/>
                <w:bCs/>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56"/>
                <w:sz w:val="20"/>
                <w:shd w:val="solid" w:color="000000" w:fill="000000"/>
                <w:fitText w:val="540" w:id="-1032110070"/>
                <w14:textFill>
                  <w14:solidFill>
                    <w14:srgbClr w14:val="000000">
                      <w14:alpha w14:val="100000"/>
                    </w14:srgbClr>
                  </w14:solidFill>
                </w14:textFill>
              </w:rPr>
              <w:t>|||||</w:t>
            </w:r>
            <w:r w:rsidRPr="0036355B">
              <w:rPr>
                <w:rFonts w:ascii="Arial Narrow" w:eastAsiaTheme="majorEastAsia" w:hAnsi="Arial Narrow" w:cstheme="majorBidi"/>
                <w:bCs/>
                <w:color w:val="000000"/>
                <w:spacing w:val="5"/>
                <w:sz w:val="20"/>
                <w:shd w:val="solid" w:color="000000" w:fill="000000"/>
                <w:fitText w:val="540" w:id="-1032110070"/>
                <w14:textFill>
                  <w14:solidFill>
                    <w14:srgbClr w14:val="000000">
                      <w14:alpha w14:val="100000"/>
                    </w14:srgbClr>
                  </w14:solidFill>
                </w14:textFill>
              </w:rPr>
              <w:t>|</w:t>
            </w:r>
            <w:r w:rsidR="005936E3">
              <w:rPr>
                <w:rFonts w:ascii="Arial Narrow" w:hAnsi="Arial Narrow"/>
                <w:sz w:val="18"/>
                <w:szCs w:val="22"/>
                <w:vertAlign w:val="superscript"/>
              </w:rPr>
              <w:t>2</w:t>
            </w:r>
          </w:p>
        </w:tc>
        <w:tc>
          <w:tcPr>
            <w:tcW w:w="1081" w:type="dxa"/>
            <w:shd w:val="clear" w:color="auto" w:fill="auto"/>
            <w:vAlign w:val="center"/>
          </w:tcPr>
          <w:p w14:paraId="32C50E8B" w14:textId="48753198" w:rsidR="00EB54E6" w:rsidRPr="005441F2" w:rsidRDefault="0036355B" w:rsidP="00B61BA5">
            <w:pPr>
              <w:keepNext/>
              <w:jc w:val="center"/>
              <w:rPr>
                <w:rFonts w:ascii="Arial Narrow" w:eastAsiaTheme="majorEastAsia" w:hAnsi="Arial Narrow"/>
                <w:bCs/>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56"/>
                <w:sz w:val="20"/>
                <w:shd w:val="solid" w:color="000000" w:fill="000000"/>
                <w:fitText w:val="540" w:id="-1032110067"/>
                <w14:textFill>
                  <w14:solidFill>
                    <w14:srgbClr w14:val="000000">
                      <w14:alpha w14:val="100000"/>
                    </w14:srgbClr>
                  </w14:solidFill>
                </w14:textFill>
              </w:rPr>
              <w:t>|||||</w:t>
            </w:r>
            <w:r w:rsidRPr="0036355B">
              <w:rPr>
                <w:rFonts w:ascii="Arial Narrow" w:eastAsiaTheme="majorEastAsia" w:hAnsi="Arial Narrow" w:cstheme="majorBidi"/>
                <w:bCs/>
                <w:color w:val="000000"/>
                <w:spacing w:val="5"/>
                <w:sz w:val="20"/>
                <w:shd w:val="solid" w:color="000000" w:fill="000000"/>
                <w:fitText w:val="540" w:id="-1032110067"/>
                <w14:textFill>
                  <w14:solidFill>
                    <w14:srgbClr w14:val="000000">
                      <w14:alpha w14:val="100000"/>
                    </w14:srgbClr>
                  </w14:solidFill>
                </w14:textFill>
              </w:rPr>
              <w:t>|</w:t>
            </w:r>
            <w:r w:rsidR="005936E3">
              <w:rPr>
                <w:rFonts w:ascii="Arial Narrow" w:hAnsi="Arial Narrow"/>
                <w:sz w:val="18"/>
                <w:szCs w:val="22"/>
                <w:vertAlign w:val="superscript"/>
              </w:rPr>
              <w:t>2</w:t>
            </w:r>
          </w:p>
        </w:tc>
        <w:tc>
          <w:tcPr>
            <w:tcW w:w="1081" w:type="dxa"/>
            <w:shd w:val="clear" w:color="auto" w:fill="auto"/>
            <w:vAlign w:val="center"/>
          </w:tcPr>
          <w:p w14:paraId="4CCBB473" w14:textId="321B7A6C" w:rsidR="00EB54E6" w:rsidRPr="005441F2" w:rsidRDefault="0036355B" w:rsidP="00B61BA5">
            <w:pPr>
              <w:keepNext/>
              <w:jc w:val="center"/>
              <w:rPr>
                <w:rFonts w:ascii="Arial Narrow" w:eastAsiaTheme="majorEastAsia" w:hAnsi="Arial Narrow"/>
                <w:bCs/>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56"/>
                <w:sz w:val="20"/>
                <w:shd w:val="solid" w:color="000000" w:fill="000000"/>
                <w:fitText w:val="540" w:id="-1032110064"/>
                <w14:textFill>
                  <w14:solidFill>
                    <w14:srgbClr w14:val="000000">
                      <w14:alpha w14:val="100000"/>
                    </w14:srgbClr>
                  </w14:solidFill>
                </w14:textFill>
              </w:rPr>
              <w:t>|||||</w:t>
            </w:r>
            <w:r w:rsidRPr="0036355B">
              <w:rPr>
                <w:rFonts w:ascii="Arial Narrow" w:eastAsiaTheme="majorEastAsia" w:hAnsi="Arial Narrow" w:cstheme="majorBidi"/>
                <w:bCs/>
                <w:color w:val="000000"/>
                <w:spacing w:val="5"/>
                <w:sz w:val="20"/>
                <w:shd w:val="solid" w:color="000000" w:fill="000000"/>
                <w:fitText w:val="540" w:id="-1032110064"/>
                <w14:textFill>
                  <w14:solidFill>
                    <w14:srgbClr w14:val="000000">
                      <w14:alpha w14:val="100000"/>
                    </w14:srgbClr>
                  </w14:solidFill>
                </w14:textFill>
              </w:rPr>
              <w:t>|</w:t>
            </w:r>
            <w:r w:rsidR="005936E3">
              <w:rPr>
                <w:rFonts w:ascii="Arial Narrow" w:hAnsi="Arial Narrow"/>
                <w:sz w:val="18"/>
                <w:szCs w:val="22"/>
                <w:vertAlign w:val="superscript"/>
              </w:rPr>
              <w:t>2</w:t>
            </w:r>
          </w:p>
        </w:tc>
        <w:tc>
          <w:tcPr>
            <w:tcW w:w="1081" w:type="dxa"/>
            <w:shd w:val="clear" w:color="auto" w:fill="auto"/>
            <w:vAlign w:val="center"/>
          </w:tcPr>
          <w:p w14:paraId="3DD68455" w14:textId="2F9307C9" w:rsidR="00EB54E6" w:rsidRPr="005441F2" w:rsidRDefault="0036355B" w:rsidP="00B61BA5">
            <w:pPr>
              <w:keepNext/>
              <w:jc w:val="center"/>
              <w:rPr>
                <w:rFonts w:ascii="Arial Narrow" w:eastAsiaTheme="majorEastAsia" w:hAnsi="Arial Narrow"/>
                <w:bCs/>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56"/>
                <w:sz w:val="20"/>
                <w:shd w:val="solid" w:color="000000" w:fill="000000"/>
                <w:fitText w:val="540" w:id="-1032110078"/>
                <w14:textFill>
                  <w14:solidFill>
                    <w14:srgbClr w14:val="000000">
                      <w14:alpha w14:val="100000"/>
                    </w14:srgbClr>
                  </w14:solidFill>
                </w14:textFill>
              </w:rPr>
              <w:t>|||||</w:t>
            </w:r>
            <w:r w:rsidRPr="0036355B">
              <w:rPr>
                <w:rFonts w:ascii="Arial Narrow" w:eastAsiaTheme="majorEastAsia" w:hAnsi="Arial Narrow" w:cstheme="majorBidi"/>
                <w:bCs/>
                <w:color w:val="000000"/>
                <w:spacing w:val="5"/>
                <w:sz w:val="20"/>
                <w:shd w:val="solid" w:color="000000" w:fill="000000"/>
                <w:fitText w:val="540" w:id="-1032110078"/>
                <w14:textFill>
                  <w14:solidFill>
                    <w14:srgbClr w14:val="000000">
                      <w14:alpha w14:val="100000"/>
                    </w14:srgbClr>
                  </w14:solidFill>
                </w14:textFill>
              </w:rPr>
              <w:t>|</w:t>
            </w:r>
            <w:r w:rsidR="005936E3">
              <w:rPr>
                <w:rFonts w:ascii="Arial Narrow" w:hAnsi="Arial Narrow"/>
                <w:sz w:val="18"/>
                <w:szCs w:val="22"/>
                <w:vertAlign w:val="superscript"/>
              </w:rPr>
              <w:t>2</w:t>
            </w:r>
          </w:p>
        </w:tc>
        <w:tc>
          <w:tcPr>
            <w:tcW w:w="1081" w:type="dxa"/>
            <w:shd w:val="clear" w:color="auto" w:fill="auto"/>
            <w:vAlign w:val="center"/>
          </w:tcPr>
          <w:p w14:paraId="699F8193" w14:textId="20E15795" w:rsidR="00EB54E6" w:rsidRPr="005441F2" w:rsidRDefault="0036355B" w:rsidP="00B61BA5">
            <w:pPr>
              <w:keepNext/>
              <w:jc w:val="center"/>
              <w:rPr>
                <w:rFonts w:ascii="Arial Narrow" w:eastAsiaTheme="majorEastAsia" w:hAnsi="Arial Narrow"/>
                <w:bCs/>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56"/>
                <w:sz w:val="20"/>
                <w:shd w:val="solid" w:color="000000" w:fill="000000"/>
                <w:fitText w:val="540" w:id="-1032110075"/>
                <w14:textFill>
                  <w14:solidFill>
                    <w14:srgbClr w14:val="000000">
                      <w14:alpha w14:val="100000"/>
                    </w14:srgbClr>
                  </w14:solidFill>
                </w14:textFill>
              </w:rPr>
              <w:t>|||||</w:t>
            </w:r>
            <w:r w:rsidRPr="0036355B">
              <w:rPr>
                <w:rFonts w:ascii="Arial Narrow" w:eastAsiaTheme="majorEastAsia" w:hAnsi="Arial Narrow" w:cstheme="majorBidi"/>
                <w:bCs/>
                <w:color w:val="000000"/>
                <w:spacing w:val="5"/>
                <w:sz w:val="20"/>
                <w:shd w:val="solid" w:color="000000" w:fill="000000"/>
                <w:fitText w:val="540" w:id="-1032110075"/>
                <w14:textFill>
                  <w14:solidFill>
                    <w14:srgbClr w14:val="000000">
                      <w14:alpha w14:val="100000"/>
                    </w14:srgbClr>
                  </w14:solidFill>
                </w14:textFill>
              </w:rPr>
              <w:t>|</w:t>
            </w:r>
            <w:r w:rsidR="005936E3">
              <w:rPr>
                <w:rFonts w:ascii="Arial Narrow" w:hAnsi="Arial Narrow"/>
                <w:sz w:val="18"/>
                <w:szCs w:val="22"/>
                <w:vertAlign w:val="superscript"/>
              </w:rPr>
              <w:t>2</w:t>
            </w:r>
          </w:p>
        </w:tc>
        <w:tc>
          <w:tcPr>
            <w:tcW w:w="1082" w:type="dxa"/>
            <w:shd w:val="clear" w:color="auto" w:fill="auto"/>
            <w:vAlign w:val="center"/>
          </w:tcPr>
          <w:p w14:paraId="273AD64C" w14:textId="28402B9F" w:rsidR="00EB54E6" w:rsidRPr="005441F2" w:rsidRDefault="0036355B" w:rsidP="00B61BA5">
            <w:pPr>
              <w:keepNext/>
              <w:jc w:val="center"/>
              <w:rPr>
                <w:rFonts w:ascii="Arial Narrow" w:eastAsiaTheme="majorEastAsia" w:hAnsi="Arial Narrow"/>
                <w:bCs/>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56"/>
                <w:sz w:val="20"/>
                <w:shd w:val="solid" w:color="000000" w:fill="000000"/>
                <w:fitText w:val="540" w:id="-1032110072"/>
                <w14:textFill>
                  <w14:solidFill>
                    <w14:srgbClr w14:val="000000">
                      <w14:alpha w14:val="100000"/>
                    </w14:srgbClr>
                  </w14:solidFill>
                </w14:textFill>
              </w:rPr>
              <w:t>|||||</w:t>
            </w:r>
            <w:r w:rsidRPr="0036355B">
              <w:rPr>
                <w:rFonts w:ascii="Arial Narrow" w:eastAsiaTheme="majorEastAsia" w:hAnsi="Arial Narrow" w:cstheme="majorBidi"/>
                <w:bCs/>
                <w:color w:val="000000"/>
                <w:spacing w:val="5"/>
                <w:sz w:val="20"/>
                <w:shd w:val="solid" w:color="000000" w:fill="000000"/>
                <w:fitText w:val="540" w:id="-1032110072"/>
                <w14:textFill>
                  <w14:solidFill>
                    <w14:srgbClr w14:val="000000">
                      <w14:alpha w14:val="100000"/>
                    </w14:srgbClr>
                  </w14:solidFill>
                </w14:textFill>
              </w:rPr>
              <w:t>|</w:t>
            </w:r>
            <w:r w:rsidR="005936E3">
              <w:rPr>
                <w:rFonts w:ascii="Arial Narrow" w:hAnsi="Arial Narrow"/>
                <w:sz w:val="18"/>
                <w:szCs w:val="22"/>
                <w:vertAlign w:val="superscript"/>
              </w:rPr>
              <w:t>2</w:t>
            </w:r>
          </w:p>
        </w:tc>
      </w:tr>
      <w:tr w:rsidR="00EB54E6" w:rsidRPr="00C802B9" w14:paraId="1EEDB077" w14:textId="77777777" w:rsidTr="00B61BA5">
        <w:tc>
          <w:tcPr>
            <w:tcW w:w="2580" w:type="dxa"/>
            <w:shd w:val="clear" w:color="auto" w:fill="auto"/>
            <w:vAlign w:val="center"/>
          </w:tcPr>
          <w:p w14:paraId="6DF47874" w14:textId="77777777" w:rsidR="00EB54E6" w:rsidRPr="00C802B9" w:rsidRDefault="00EB54E6" w:rsidP="00B61BA5">
            <w:pPr>
              <w:keepNext/>
              <w:jc w:val="left"/>
              <w:rPr>
                <w:rFonts w:ascii="Arial Narrow" w:eastAsiaTheme="majorEastAsia" w:hAnsi="Arial Narrow" w:cstheme="majorBidi"/>
                <w:bCs/>
                <w:sz w:val="20"/>
              </w:rPr>
            </w:pPr>
            <w:r w:rsidRPr="00C802B9">
              <w:rPr>
                <w:rFonts w:ascii="Arial Narrow" w:eastAsiaTheme="majorEastAsia" w:hAnsi="Arial Narrow" w:cstheme="majorBidi"/>
                <w:bCs/>
                <w:sz w:val="20"/>
              </w:rPr>
              <w:t>Proportion with LDL cholesterol level 1.0-2.6 mmol/L (75.2%)</w:t>
            </w:r>
          </w:p>
        </w:tc>
        <w:tc>
          <w:tcPr>
            <w:tcW w:w="1081" w:type="dxa"/>
            <w:shd w:val="clear" w:color="auto" w:fill="auto"/>
            <w:vAlign w:val="center"/>
          </w:tcPr>
          <w:p w14:paraId="56BDF3E6" w14:textId="73BD8198" w:rsidR="00EB54E6" w:rsidRPr="005441F2" w:rsidRDefault="0036355B" w:rsidP="00B61BA5">
            <w:pPr>
              <w:keepNext/>
              <w:jc w:val="center"/>
              <w:rPr>
                <w:rFonts w:ascii="Arial Narrow" w:eastAsiaTheme="majorEastAsia" w:hAnsi="Arial Narrow"/>
                <w:bCs/>
                <w:color w:val="000000"/>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56"/>
                <w:sz w:val="20"/>
                <w:shd w:val="solid" w:color="000000" w:fill="000000"/>
                <w:fitText w:val="540" w:id="-1032110069"/>
                <w14:textFill>
                  <w14:solidFill>
                    <w14:srgbClr w14:val="000000">
                      <w14:alpha w14:val="100000"/>
                    </w14:srgbClr>
                  </w14:solidFill>
                </w14:textFill>
              </w:rPr>
              <w:t>|||||</w:t>
            </w:r>
            <w:r w:rsidRPr="0036355B">
              <w:rPr>
                <w:rFonts w:ascii="Arial Narrow" w:eastAsiaTheme="majorEastAsia" w:hAnsi="Arial Narrow" w:cstheme="majorBidi"/>
                <w:bCs/>
                <w:color w:val="000000"/>
                <w:spacing w:val="5"/>
                <w:sz w:val="20"/>
                <w:shd w:val="solid" w:color="000000" w:fill="000000"/>
                <w:fitText w:val="540" w:id="-1032110069"/>
                <w14:textFill>
                  <w14:solidFill>
                    <w14:srgbClr w14:val="000000">
                      <w14:alpha w14:val="100000"/>
                    </w14:srgbClr>
                  </w14:solidFill>
                </w14:textFill>
              </w:rPr>
              <w:t>|</w:t>
            </w:r>
            <w:r w:rsidR="005936E3">
              <w:rPr>
                <w:rFonts w:ascii="Arial Narrow" w:hAnsi="Arial Narrow"/>
                <w:sz w:val="18"/>
                <w:szCs w:val="22"/>
                <w:vertAlign w:val="superscript"/>
              </w:rPr>
              <w:t>3</w:t>
            </w:r>
          </w:p>
        </w:tc>
        <w:tc>
          <w:tcPr>
            <w:tcW w:w="1081" w:type="dxa"/>
            <w:shd w:val="clear" w:color="auto" w:fill="auto"/>
            <w:vAlign w:val="center"/>
          </w:tcPr>
          <w:p w14:paraId="50429ED6" w14:textId="3DB434BE" w:rsidR="00EB54E6" w:rsidRPr="005441F2" w:rsidRDefault="0036355B" w:rsidP="00B61BA5">
            <w:pPr>
              <w:keepNext/>
              <w:jc w:val="center"/>
              <w:rPr>
                <w:rFonts w:ascii="Arial Narrow" w:eastAsiaTheme="majorEastAsia" w:hAnsi="Arial Narrow"/>
                <w:bCs/>
                <w:color w:val="000000"/>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56"/>
                <w:sz w:val="20"/>
                <w:shd w:val="solid" w:color="000000" w:fill="000000"/>
                <w:fitText w:val="540" w:id="-1032110066"/>
                <w14:textFill>
                  <w14:solidFill>
                    <w14:srgbClr w14:val="000000">
                      <w14:alpha w14:val="100000"/>
                    </w14:srgbClr>
                  </w14:solidFill>
                </w14:textFill>
              </w:rPr>
              <w:t>|||||</w:t>
            </w:r>
            <w:r w:rsidRPr="0036355B">
              <w:rPr>
                <w:rFonts w:ascii="Arial Narrow" w:eastAsiaTheme="majorEastAsia" w:hAnsi="Arial Narrow" w:cstheme="majorBidi"/>
                <w:bCs/>
                <w:color w:val="000000"/>
                <w:spacing w:val="5"/>
                <w:sz w:val="20"/>
                <w:shd w:val="solid" w:color="000000" w:fill="000000"/>
                <w:fitText w:val="540" w:id="-1032110066"/>
                <w14:textFill>
                  <w14:solidFill>
                    <w14:srgbClr w14:val="000000">
                      <w14:alpha w14:val="100000"/>
                    </w14:srgbClr>
                  </w14:solidFill>
                </w14:textFill>
              </w:rPr>
              <w:t>|</w:t>
            </w:r>
            <w:r w:rsidR="005936E3">
              <w:rPr>
                <w:rFonts w:ascii="Arial Narrow" w:hAnsi="Arial Narrow"/>
                <w:sz w:val="18"/>
                <w:szCs w:val="22"/>
                <w:vertAlign w:val="superscript"/>
              </w:rPr>
              <w:t>3</w:t>
            </w:r>
          </w:p>
        </w:tc>
        <w:tc>
          <w:tcPr>
            <w:tcW w:w="1081" w:type="dxa"/>
            <w:shd w:val="clear" w:color="auto" w:fill="auto"/>
            <w:vAlign w:val="center"/>
          </w:tcPr>
          <w:p w14:paraId="26D4613E" w14:textId="06FA1ACA" w:rsidR="00EB54E6" w:rsidRPr="005441F2" w:rsidRDefault="0036355B" w:rsidP="00B61BA5">
            <w:pPr>
              <w:keepNext/>
              <w:jc w:val="center"/>
              <w:rPr>
                <w:rFonts w:ascii="Arial Narrow" w:eastAsiaTheme="majorEastAsia" w:hAnsi="Arial Narrow"/>
                <w:bCs/>
                <w:color w:val="000000"/>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56"/>
                <w:sz w:val="20"/>
                <w:shd w:val="solid" w:color="000000" w:fill="000000"/>
                <w:fitText w:val="540" w:id="-1032110080"/>
                <w14:textFill>
                  <w14:solidFill>
                    <w14:srgbClr w14:val="000000">
                      <w14:alpha w14:val="100000"/>
                    </w14:srgbClr>
                  </w14:solidFill>
                </w14:textFill>
              </w:rPr>
              <w:t>|||||</w:t>
            </w:r>
            <w:r w:rsidRPr="0036355B">
              <w:rPr>
                <w:rFonts w:ascii="Arial Narrow" w:eastAsiaTheme="majorEastAsia" w:hAnsi="Arial Narrow" w:cstheme="majorBidi"/>
                <w:bCs/>
                <w:color w:val="000000"/>
                <w:spacing w:val="5"/>
                <w:sz w:val="20"/>
                <w:shd w:val="solid" w:color="000000" w:fill="000000"/>
                <w:fitText w:val="540" w:id="-1032110080"/>
                <w14:textFill>
                  <w14:solidFill>
                    <w14:srgbClr w14:val="000000">
                      <w14:alpha w14:val="100000"/>
                    </w14:srgbClr>
                  </w14:solidFill>
                </w14:textFill>
              </w:rPr>
              <w:t>|</w:t>
            </w:r>
            <w:r w:rsidR="005936E3">
              <w:rPr>
                <w:rFonts w:ascii="Arial Narrow" w:hAnsi="Arial Narrow"/>
                <w:sz w:val="18"/>
                <w:szCs w:val="22"/>
                <w:vertAlign w:val="superscript"/>
              </w:rPr>
              <w:t>3</w:t>
            </w:r>
          </w:p>
        </w:tc>
        <w:tc>
          <w:tcPr>
            <w:tcW w:w="1081" w:type="dxa"/>
            <w:shd w:val="clear" w:color="auto" w:fill="auto"/>
            <w:vAlign w:val="center"/>
          </w:tcPr>
          <w:p w14:paraId="3CA357C6" w14:textId="4CD31F25" w:rsidR="00EB54E6" w:rsidRPr="005441F2" w:rsidRDefault="0036355B" w:rsidP="00B61BA5">
            <w:pPr>
              <w:keepNext/>
              <w:jc w:val="center"/>
              <w:rPr>
                <w:rFonts w:ascii="Arial Narrow" w:eastAsiaTheme="majorEastAsia" w:hAnsi="Arial Narrow"/>
                <w:bCs/>
                <w:color w:val="000000"/>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56"/>
                <w:sz w:val="20"/>
                <w:shd w:val="solid" w:color="000000" w:fill="000000"/>
                <w:fitText w:val="540" w:id="-1032110077"/>
                <w14:textFill>
                  <w14:solidFill>
                    <w14:srgbClr w14:val="000000">
                      <w14:alpha w14:val="100000"/>
                    </w14:srgbClr>
                  </w14:solidFill>
                </w14:textFill>
              </w:rPr>
              <w:t>|||||</w:t>
            </w:r>
            <w:r w:rsidRPr="0036355B">
              <w:rPr>
                <w:rFonts w:ascii="Arial Narrow" w:eastAsiaTheme="majorEastAsia" w:hAnsi="Arial Narrow" w:cstheme="majorBidi"/>
                <w:bCs/>
                <w:color w:val="000000"/>
                <w:spacing w:val="5"/>
                <w:sz w:val="20"/>
                <w:shd w:val="solid" w:color="000000" w:fill="000000"/>
                <w:fitText w:val="540" w:id="-1032110077"/>
                <w14:textFill>
                  <w14:solidFill>
                    <w14:srgbClr w14:val="000000">
                      <w14:alpha w14:val="100000"/>
                    </w14:srgbClr>
                  </w14:solidFill>
                </w14:textFill>
              </w:rPr>
              <w:t>|</w:t>
            </w:r>
            <w:r w:rsidR="005936E3">
              <w:rPr>
                <w:rFonts w:ascii="Arial Narrow" w:hAnsi="Arial Narrow"/>
                <w:sz w:val="18"/>
                <w:szCs w:val="22"/>
                <w:vertAlign w:val="superscript"/>
              </w:rPr>
              <w:t>3</w:t>
            </w:r>
          </w:p>
        </w:tc>
        <w:tc>
          <w:tcPr>
            <w:tcW w:w="1081" w:type="dxa"/>
            <w:shd w:val="clear" w:color="auto" w:fill="auto"/>
            <w:vAlign w:val="center"/>
          </w:tcPr>
          <w:p w14:paraId="616B0F02" w14:textId="4AD9C679" w:rsidR="00EB54E6" w:rsidRPr="005441F2" w:rsidRDefault="0036355B" w:rsidP="00B61BA5">
            <w:pPr>
              <w:keepNext/>
              <w:jc w:val="center"/>
              <w:rPr>
                <w:rFonts w:ascii="Arial Narrow" w:eastAsiaTheme="majorEastAsia" w:hAnsi="Arial Narrow"/>
                <w:bCs/>
                <w:color w:val="000000"/>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56"/>
                <w:sz w:val="20"/>
                <w:shd w:val="solid" w:color="000000" w:fill="000000"/>
                <w:fitText w:val="540" w:id="-1032110074"/>
                <w14:textFill>
                  <w14:solidFill>
                    <w14:srgbClr w14:val="000000">
                      <w14:alpha w14:val="100000"/>
                    </w14:srgbClr>
                  </w14:solidFill>
                </w14:textFill>
              </w:rPr>
              <w:t>|||||</w:t>
            </w:r>
            <w:r w:rsidRPr="0036355B">
              <w:rPr>
                <w:rFonts w:ascii="Arial Narrow" w:eastAsiaTheme="majorEastAsia" w:hAnsi="Arial Narrow" w:cstheme="majorBidi"/>
                <w:bCs/>
                <w:color w:val="000000"/>
                <w:spacing w:val="5"/>
                <w:sz w:val="20"/>
                <w:shd w:val="solid" w:color="000000" w:fill="000000"/>
                <w:fitText w:val="540" w:id="-1032110074"/>
                <w14:textFill>
                  <w14:solidFill>
                    <w14:srgbClr w14:val="000000">
                      <w14:alpha w14:val="100000"/>
                    </w14:srgbClr>
                  </w14:solidFill>
                </w14:textFill>
              </w:rPr>
              <w:t>|</w:t>
            </w:r>
            <w:r w:rsidR="005936E3">
              <w:rPr>
                <w:rFonts w:ascii="Arial Narrow" w:hAnsi="Arial Narrow"/>
                <w:sz w:val="18"/>
                <w:szCs w:val="22"/>
                <w:vertAlign w:val="superscript"/>
              </w:rPr>
              <w:t>3</w:t>
            </w:r>
          </w:p>
        </w:tc>
        <w:tc>
          <w:tcPr>
            <w:tcW w:w="1082" w:type="dxa"/>
            <w:shd w:val="clear" w:color="auto" w:fill="auto"/>
            <w:vAlign w:val="center"/>
          </w:tcPr>
          <w:p w14:paraId="632BB5E3" w14:textId="2E8DA747" w:rsidR="00EB54E6" w:rsidRPr="005441F2" w:rsidRDefault="0036355B" w:rsidP="00B61BA5">
            <w:pPr>
              <w:keepNext/>
              <w:jc w:val="center"/>
              <w:rPr>
                <w:rFonts w:ascii="Arial Narrow" w:eastAsiaTheme="majorEastAsia" w:hAnsi="Arial Narrow"/>
                <w:bCs/>
                <w:color w:val="000000"/>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56"/>
                <w:sz w:val="20"/>
                <w:shd w:val="solid" w:color="000000" w:fill="000000"/>
                <w:fitText w:val="540" w:id="-1032110071"/>
                <w14:textFill>
                  <w14:solidFill>
                    <w14:srgbClr w14:val="000000">
                      <w14:alpha w14:val="100000"/>
                    </w14:srgbClr>
                  </w14:solidFill>
                </w14:textFill>
              </w:rPr>
              <w:t>|||||</w:t>
            </w:r>
            <w:r w:rsidRPr="0036355B">
              <w:rPr>
                <w:rFonts w:ascii="Arial Narrow" w:eastAsiaTheme="majorEastAsia" w:hAnsi="Arial Narrow" w:cstheme="majorBidi"/>
                <w:bCs/>
                <w:color w:val="000000"/>
                <w:spacing w:val="5"/>
                <w:sz w:val="20"/>
                <w:shd w:val="solid" w:color="000000" w:fill="000000"/>
                <w:fitText w:val="540" w:id="-1032110071"/>
                <w14:textFill>
                  <w14:solidFill>
                    <w14:srgbClr w14:val="000000">
                      <w14:alpha w14:val="100000"/>
                    </w14:srgbClr>
                  </w14:solidFill>
                </w14:textFill>
              </w:rPr>
              <w:t>|</w:t>
            </w:r>
            <w:r w:rsidR="005936E3">
              <w:rPr>
                <w:rFonts w:ascii="Arial Narrow" w:hAnsi="Arial Narrow"/>
                <w:sz w:val="18"/>
                <w:szCs w:val="22"/>
                <w:vertAlign w:val="superscript"/>
              </w:rPr>
              <w:t>4</w:t>
            </w:r>
          </w:p>
        </w:tc>
      </w:tr>
      <w:tr w:rsidR="00EB54E6" w:rsidRPr="00C802B9" w14:paraId="7F1D542E" w14:textId="77777777" w:rsidTr="00B61BA5">
        <w:tc>
          <w:tcPr>
            <w:tcW w:w="2580" w:type="dxa"/>
            <w:shd w:val="clear" w:color="auto" w:fill="auto"/>
            <w:vAlign w:val="center"/>
          </w:tcPr>
          <w:p w14:paraId="1F978765" w14:textId="77777777" w:rsidR="00EB54E6" w:rsidRPr="00C802B9" w:rsidRDefault="00EB54E6" w:rsidP="00B61BA5">
            <w:pPr>
              <w:keepNext/>
              <w:jc w:val="left"/>
              <w:rPr>
                <w:rFonts w:ascii="Arial Narrow" w:eastAsiaTheme="majorEastAsia" w:hAnsi="Arial Narrow" w:cstheme="majorBidi"/>
                <w:bCs/>
                <w:sz w:val="20"/>
              </w:rPr>
            </w:pPr>
            <w:r w:rsidRPr="00C802B9">
              <w:rPr>
                <w:rFonts w:ascii="Arial Narrow" w:eastAsiaTheme="majorEastAsia" w:hAnsi="Arial Narrow" w:cstheme="majorBidi"/>
                <w:bCs/>
                <w:sz w:val="20"/>
              </w:rPr>
              <w:t>Proportion with triglyceride level 1.7-5.6 mmol/L (27.6%)</w:t>
            </w:r>
          </w:p>
        </w:tc>
        <w:tc>
          <w:tcPr>
            <w:tcW w:w="1081" w:type="dxa"/>
            <w:shd w:val="clear" w:color="auto" w:fill="auto"/>
            <w:vAlign w:val="center"/>
          </w:tcPr>
          <w:p w14:paraId="1331F015" w14:textId="66C20F1A" w:rsidR="00EB54E6" w:rsidRPr="005441F2" w:rsidRDefault="0036355B" w:rsidP="00B61BA5">
            <w:pPr>
              <w:keepNext/>
              <w:jc w:val="center"/>
              <w:rPr>
                <w:rFonts w:ascii="Arial Narrow" w:eastAsiaTheme="majorEastAsia" w:hAnsi="Arial Narrow"/>
                <w:bCs/>
                <w:color w:val="000000"/>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56"/>
                <w:sz w:val="20"/>
                <w:shd w:val="solid" w:color="000000" w:fill="000000"/>
                <w:fitText w:val="540" w:id="-1032110068"/>
                <w14:textFill>
                  <w14:solidFill>
                    <w14:srgbClr w14:val="000000">
                      <w14:alpha w14:val="100000"/>
                    </w14:srgbClr>
                  </w14:solidFill>
                </w14:textFill>
              </w:rPr>
              <w:t>|||||</w:t>
            </w:r>
            <w:r w:rsidRPr="0036355B">
              <w:rPr>
                <w:rFonts w:ascii="Arial Narrow" w:eastAsiaTheme="majorEastAsia" w:hAnsi="Arial Narrow" w:cstheme="majorBidi"/>
                <w:bCs/>
                <w:color w:val="000000"/>
                <w:spacing w:val="5"/>
                <w:sz w:val="20"/>
                <w:shd w:val="solid" w:color="000000" w:fill="000000"/>
                <w:fitText w:val="540" w:id="-1032110068"/>
                <w14:textFill>
                  <w14:solidFill>
                    <w14:srgbClr w14:val="000000">
                      <w14:alpha w14:val="100000"/>
                    </w14:srgbClr>
                  </w14:solidFill>
                </w14:textFill>
              </w:rPr>
              <w:t>|</w:t>
            </w:r>
            <w:r w:rsidR="005936E3">
              <w:rPr>
                <w:rFonts w:ascii="Arial Narrow" w:hAnsi="Arial Narrow"/>
                <w:sz w:val="18"/>
                <w:szCs w:val="22"/>
                <w:vertAlign w:val="superscript"/>
              </w:rPr>
              <w:t>5</w:t>
            </w:r>
          </w:p>
        </w:tc>
        <w:tc>
          <w:tcPr>
            <w:tcW w:w="1081" w:type="dxa"/>
            <w:shd w:val="clear" w:color="auto" w:fill="auto"/>
            <w:vAlign w:val="center"/>
          </w:tcPr>
          <w:p w14:paraId="7DD4068E" w14:textId="549EB649" w:rsidR="00EB54E6" w:rsidRPr="005441F2" w:rsidRDefault="0036355B" w:rsidP="00B61BA5">
            <w:pPr>
              <w:keepNext/>
              <w:jc w:val="center"/>
              <w:rPr>
                <w:rFonts w:ascii="Arial Narrow" w:eastAsiaTheme="majorEastAsia" w:hAnsi="Arial Narrow"/>
                <w:bCs/>
                <w:color w:val="000000"/>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56"/>
                <w:sz w:val="20"/>
                <w:shd w:val="solid" w:color="000000" w:fill="000000"/>
                <w:fitText w:val="540" w:id="-1032110065"/>
                <w14:textFill>
                  <w14:solidFill>
                    <w14:srgbClr w14:val="000000">
                      <w14:alpha w14:val="100000"/>
                    </w14:srgbClr>
                  </w14:solidFill>
                </w14:textFill>
              </w:rPr>
              <w:t>|||||</w:t>
            </w:r>
            <w:r w:rsidRPr="0036355B">
              <w:rPr>
                <w:rFonts w:ascii="Arial Narrow" w:eastAsiaTheme="majorEastAsia" w:hAnsi="Arial Narrow" w:cstheme="majorBidi"/>
                <w:bCs/>
                <w:color w:val="000000"/>
                <w:spacing w:val="5"/>
                <w:sz w:val="20"/>
                <w:shd w:val="solid" w:color="000000" w:fill="000000"/>
                <w:fitText w:val="540" w:id="-1032110065"/>
                <w14:textFill>
                  <w14:solidFill>
                    <w14:srgbClr w14:val="000000">
                      <w14:alpha w14:val="100000"/>
                    </w14:srgbClr>
                  </w14:solidFill>
                </w14:textFill>
              </w:rPr>
              <w:t>|</w:t>
            </w:r>
            <w:r w:rsidR="005936E3">
              <w:rPr>
                <w:rFonts w:ascii="Arial Narrow" w:hAnsi="Arial Narrow"/>
                <w:sz w:val="18"/>
                <w:szCs w:val="22"/>
                <w:vertAlign w:val="superscript"/>
              </w:rPr>
              <w:t>5</w:t>
            </w:r>
          </w:p>
        </w:tc>
        <w:tc>
          <w:tcPr>
            <w:tcW w:w="1081" w:type="dxa"/>
            <w:shd w:val="clear" w:color="auto" w:fill="auto"/>
            <w:vAlign w:val="center"/>
          </w:tcPr>
          <w:p w14:paraId="4A0C66E1" w14:textId="15B4183C" w:rsidR="00EB54E6" w:rsidRPr="005441F2" w:rsidRDefault="0036355B" w:rsidP="00B61BA5">
            <w:pPr>
              <w:keepNext/>
              <w:jc w:val="center"/>
              <w:rPr>
                <w:rFonts w:ascii="Arial Narrow" w:eastAsiaTheme="majorEastAsia" w:hAnsi="Arial Narrow"/>
                <w:bCs/>
                <w:color w:val="000000"/>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56"/>
                <w:sz w:val="20"/>
                <w:shd w:val="solid" w:color="000000" w:fill="000000"/>
                <w:fitText w:val="540" w:id="-1032110079"/>
                <w14:textFill>
                  <w14:solidFill>
                    <w14:srgbClr w14:val="000000">
                      <w14:alpha w14:val="100000"/>
                    </w14:srgbClr>
                  </w14:solidFill>
                </w14:textFill>
              </w:rPr>
              <w:t>|||||</w:t>
            </w:r>
            <w:r w:rsidRPr="0036355B">
              <w:rPr>
                <w:rFonts w:ascii="Arial Narrow" w:eastAsiaTheme="majorEastAsia" w:hAnsi="Arial Narrow" w:cstheme="majorBidi"/>
                <w:bCs/>
                <w:color w:val="000000"/>
                <w:spacing w:val="5"/>
                <w:sz w:val="20"/>
                <w:shd w:val="solid" w:color="000000" w:fill="000000"/>
                <w:fitText w:val="540" w:id="-1032110079"/>
                <w14:textFill>
                  <w14:solidFill>
                    <w14:srgbClr w14:val="000000">
                      <w14:alpha w14:val="100000"/>
                    </w14:srgbClr>
                  </w14:solidFill>
                </w14:textFill>
              </w:rPr>
              <w:t>|</w:t>
            </w:r>
            <w:r w:rsidR="005936E3">
              <w:rPr>
                <w:rFonts w:ascii="Arial Narrow" w:hAnsi="Arial Narrow"/>
                <w:sz w:val="18"/>
                <w:szCs w:val="22"/>
                <w:vertAlign w:val="superscript"/>
              </w:rPr>
              <w:t>5</w:t>
            </w:r>
          </w:p>
        </w:tc>
        <w:tc>
          <w:tcPr>
            <w:tcW w:w="1081" w:type="dxa"/>
            <w:shd w:val="clear" w:color="auto" w:fill="auto"/>
            <w:vAlign w:val="center"/>
          </w:tcPr>
          <w:p w14:paraId="58D391CA" w14:textId="1FD5A37F" w:rsidR="00EB54E6" w:rsidRPr="005441F2" w:rsidRDefault="0036355B" w:rsidP="00B61BA5">
            <w:pPr>
              <w:keepNext/>
              <w:jc w:val="center"/>
              <w:rPr>
                <w:rFonts w:ascii="Arial Narrow" w:eastAsiaTheme="majorEastAsia" w:hAnsi="Arial Narrow"/>
                <w:bCs/>
                <w:color w:val="000000"/>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56"/>
                <w:sz w:val="20"/>
                <w:shd w:val="solid" w:color="000000" w:fill="000000"/>
                <w:fitText w:val="540" w:id="-1032110076"/>
                <w14:textFill>
                  <w14:solidFill>
                    <w14:srgbClr w14:val="000000">
                      <w14:alpha w14:val="100000"/>
                    </w14:srgbClr>
                  </w14:solidFill>
                </w14:textFill>
              </w:rPr>
              <w:t>|||||</w:t>
            </w:r>
            <w:r w:rsidRPr="0036355B">
              <w:rPr>
                <w:rFonts w:ascii="Arial Narrow" w:eastAsiaTheme="majorEastAsia" w:hAnsi="Arial Narrow" w:cstheme="majorBidi"/>
                <w:bCs/>
                <w:color w:val="000000"/>
                <w:spacing w:val="5"/>
                <w:sz w:val="20"/>
                <w:shd w:val="solid" w:color="000000" w:fill="000000"/>
                <w:fitText w:val="540" w:id="-1032110076"/>
                <w14:textFill>
                  <w14:solidFill>
                    <w14:srgbClr w14:val="000000">
                      <w14:alpha w14:val="100000"/>
                    </w14:srgbClr>
                  </w14:solidFill>
                </w14:textFill>
              </w:rPr>
              <w:t>|</w:t>
            </w:r>
            <w:r w:rsidR="005936E3">
              <w:rPr>
                <w:rFonts w:ascii="Arial Narrow" w:hAnsi="Arial Narrow"/>
                <w:sz w:val="18"/>
                <w:szCs w:val="22"/>
                <w:vertAlign w:val="superscript"/>
              </w:rPr>
              <w:t>5</w:t>
            </w:r>
          </w:p>
        </w:tc>
        <w:tc>
          <w:tcPr>
            <w:tcW w:w="1081" w:type="dxa"/>
            <w:shd w:val="clear" w:color="auto" w:fill="auto"/>
            <w:vAlign w:val="center"/>
          </w:tcPr>
          <w:p w14:paraId="478CDA3C" w14:textId="3038A250" w:rsidR="00EB54E6" w:rsidRPr="005441F2" w:rsidRDefault="0036355B" w:rsidP="00B61BA5">
            <w:pPr>
              <w:keepNext/>
              <w:jc w:val="center"/>
              <w:rPr>
                <w:rFonts w:ascii="Arial Narrow" w:eastAsiaTheme="majorEastAsia" w:hAnsi="Arial Narrow"/>
                <w:bCs/>
                <w:color w:val="000000"/>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56"/>
                <w:sz w:val="20"/>
                <w:shd w:val="solid" w:color="000000" w:fill="000000"/>
                <w:fitText w:val="540" w:id="-1032110073"/>
                <w14:textFill>
                  <w14:solidFill>
                    <w14:srgbClr w14:val="000000">
                      <w14:alpha w14:val="100000"/>
                    </w14:srgbClr>
                  </w14:solidFill>
                </w14:textFill>
              </w:rPr>
              <w:t>|||||</w:t>
            </w:r>
            <w:r w:rsidRPr="0036355B">
              <w:rPr>
                <w:rFonts w:ascii="Arial Narrow" w:eastAsiaTheme="majorEastAsia" w:hAnsi="Arial Narrow" w:cstheme="majorBidi"/>
                <w:bCs/>
                <w:color w:val="000000"/>
                <w:spacing w:val="5"/>
                <w:sz w:val="20"/>
                <w:shd w:val="solid" w:color="000000" w:fill="000000"/>
                <w:fitText w:val="540" w:id="-1032110073"/>
                <w14:textFill>
                  <w14:solidFill>
                    <w14:srgbClr w14:val="000000">
                      <w14:alpha w14:val="100000"/>
                    </w14:srgbClr>
                  </w14:solidFill>
                </w14:textFill>
              </w:rPr>
              <w:t>|</w:t>
            </w:r>
            <w:r w:rsidR="005936E3">
              <w:rPr>
                <w:rFonts w:ascii="Arial Narrow" w:hAnsi="Arial Narrow"/>
                <w:sz w:val="18"/>
                <w:szCs w:val="22"/>
                <w:vertAlign w:val="superscript"/>
              </w:rPr>
              <w:t>5</w:t>
            </w:r>
          </w:p>
        </w:tc>
        <w:tc>
          <w:tcPr>
            <w:tcW w:w="1082" w:type="dxa"/>
            <w:shd w:val="clear" w:color="auto" w:fill="auto"/>
            <w:vAlign w:val="center"/>
          </w:tcPr>
          <w:p w14:paraId="019D0033" w14:textId="116148D1" w:rsidR="00EB54E6" w:rsidRPr="005441F2" w:rsidRDefault="0036355B" w:rsidP="00B61BA5">
            <w:pPr>
              <w:keepNext/>
              <w:jc w:val="center"/>
              <w:rPr>
                <w:rFonts w:ascii="Arial Narrow" w:eastAsiaTheme="majorEastAsia" w:hAnsi="Arial Narrow"/>
                <w:bCs/>
                <w:color w:val="000000"/>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56"/>
                <w:sz w:val="20"/>
                <w:shd w:val="solid" w:color="000000" w:fill="000000"/>
                <w:fitText w:val="540" w:id="-1032110070"/>
                <w14:textFill>
                  <w14:solidFill>
                    <w14:srgbClr w14:val="000000">
                      <w14:alpha w14:val="100000"/>
                    </w14:srgbClr>
                  </w14:solidFill>
                </w14:textFill>
              </w:rPr>
              <w:t>|||||</w:t>
            </w:r>
            <w:r w:rsidRPr="0036355B">
              <w:rPr>
                <w:rFonts w:ascii="Arial Narrow" w:eastAsiaTheme="majorEastAsia" w:hAnsi="Arial Narrow" w:cstheme="majorBidi"/>
                <w:bCs/>
                <w:color w:val="000000"/>
                <w:spacing w:val="5"/>
                <w:sz w:val="20"/>
                <w:shd w:val="solid" w:color="000000" w:fill="000000"/>
                <w:fitText w:val="540" w:id="-1032110070"/>
                <w14:textFill>
                  <w14:solidFill>
                    <w14:srgbClr w14:val="000000">
                      <w14:alpha w14:val="100000"/>
                    </w14:srgbClr>
                  </w14:solidFill>
                </w14:textFill>
              </w:rPr>
              <w:t>|</w:t>
            </w:r>
            <w:r w:rsidR="005936E3">
              <w:rPr>
                <w:rFonts w:ascii="Arial Narrow" w:hAnsi="Arial Narrow"/>
                <w:sz w:val="18"/>
                <w:szCs w:val="22"/>
                <w:vertAlign w:val="superscript"/>
              </w:rPr>
              <w:t>5</w:t>
            </w:r>
          </w:p>
        </w:tc>
      </w:tr>
      <w:tr w:rsidR="00EB54E6" w:rsidRPr="00C802B9" w14:paraId="0427854F" w14:textId="77777777" w:rsidTr="00B61BA5">
        <w:tc>
          <w:tcPr>
            <w:tcW w:w="2580" w:type="dxa"/>
            <w:shd w:val="clear" w:color="auto" w:fill="auto"/>
            <w:vAlign w:val="center"/>
          </w:tcPr>
          <w:p w14:paraId="233356A2" w14:textId="77777777" w:rsidR="00EB54E6" w:rsidRPr="00C802B9" w:rsidRDefault="00EB54E6" w:rsidP="00B61BA5">
            <w:pPr>
              <w:keepNext/>
              <w:jc w:val="left"/>
              <w:rPr>
                <w:rFonts w:ascii="Arial Narrow" w:eastAsiaTheme="majorEastAsia" w:hAnsi="Arial Narrow" w:cstheme="majorBidi"/>
                <w:bCs/>
                <w:sz w:val="20"/>
              </w:rPr>
            </w:pPr>
            <w:r w:rsidRPr="00C802B9">
              <w:rPr>
                <w:rFonts w:ascii="Arial Narrow" w:eastAsiaTheme="majorEastAsia" w:hAnsi="Arial Narrow" w:cstheme="majorBidi"/>
                <w:bCs/>
                <w:sz w:val="20"/>
              </w:rPr>
              <w:t>Icosapent ethyl uptake rate</w:t>
            </w:r>
          </w:p>
        </w:tc>
        <w:tc>
          <w:tcPr>
            <w:tcW w:w="1081" w:type="dxa"/>
            <w:shd w:val="clear" w:color="auto" w:fill="auto"/>
            <w:vAlign w:val="center"/>
          </w:tcPr>
          <w:p w14:paraId="038F55DA" w14:textId="42726F84" w:rsidR="00EB54E6" w:rsidRPr="00C802B9" w:rsidRDefault="0036355B" w:rsidP="00B61BA5">
            <w:pPr>
              <w:keepNext/>
              <w:jc w:val="center"/>
              <w:rPr>
                <w:rFonts w:ascii="Arial Narrow" w:eastAsiaTheme="majorEastAsia" w:hAnsi="Arial Narrow" w:cstheme="majorBidi"/>
                <w:bCs/>
                <w:sz w:val="20"/>
              </w:rPr>
            </w:pPr>
            <w:r>
              <w:rPr>
                <w:rFonts w:ascii="Arial Narrow" w:eastAsiaTheme="majorEastAsia" w:hAnsi="Arial Narrow"/>
                <w:bCs/>
                <w:color w:val="000000"/>
                <w:sz w:val="20"/>
              </w:rPr>
              <w:t xml:space="preserve"> </w:t>
            </w:r>
            <w:r w:rsidRPr="0036355B">
              <w:rPr>
                <w:rFonts w:ascii="Arial Narrow" w:eastAsiaTheme="majorEastAsia" w:hAnsi="Arial Narrow"/>
                <w:bCs/>
                <w:color w:val="000000"/>
                <w:spacing w:val="32"/>
                <w:sz w:val="20"/>
                <w:shd w:val="solid" w:color="000000" w:fill="000000"/>
                <w:fitText w:val="570" w:id="-1032110067"/>
                <w14:textFill>
                  <w14:solidFill>
                    <w14:srgbClr w14:val="000000">
                      <w14:alpha w14:val="100000"/>
                    </w14:srgbClr>
                  </w14:solidFill>
                </w14:textFill>
              </w:rPr>
              <w:t>|||||||</w:t>
            </w:r>
            <w:r w:rsidRPr="0036355B">
              <w:rPr>
                <w:rFonts w:ascii="Arial Narrow" w:eastAsiaTheme="majorEastAsia" w:hAnsi="Arial Narrow"/>
                <w:bCs/>
                <w:color w:val="000000"/>
                <w:spacing w:val="6"/>
                <w:sz w:val="20"/>
                <w:shd w:val="solid" w:color="000000" w:fill="000000"/>
                <w:fitText w:val="570" w:id="-1032110067"/>
                <w14:textFill>
                  <w14:solidFill>
                    <w14:srgbClr w14:val="000000">
                      <w14:alpha w14:val="100000"/>
                    </w14:srgbClr>
                  </w14:solidFill>
                </w14:textFill>
              </w:rPr>
              <w:t>|</w:t>
            </w:r>
            <w:r w:rsidR="00EB54E6" w:rsidRPr="00C802B9">
              <w:rPr>
                <w:rFonts w:ascii="Arial Narrow" w:eastAsiaTheme="majorEastAsia" w:hAnsi="Arial Narrow"/>
                <w:bCs/>
                <w:color w:val="000000"/>
                <w:sz w:val="20"/>
              </w:rPr>
              <w:t>%</w:t>
            </w:r>
          </w:p>
        </w:tc>
        <w:tc>
          <w:tcPr>
            <w:tcW w:w="1081" w:type="dxa"/>
            <w:shd w:val="clear" w:color="auto" w:fill="auto"/>
            <w:vAlign w:val="center"/>
          </w:tcPr>
          <w:p w14:paraId="2CDD4D3C" w14:textId="34AB2C32" w:rsidR="00EB54E6" w:rsidRPr="00C802B9" w:rsidRDefault="0036355B" w:rsidP="00B61BA5">
            <w:pPr>
              <w:keepNext/>
              <w:jc w:val="center"/>
              <w:rPr>
                <w:rFonts w:ascii="Arial Narrow" w:eastAsiaTheme="majorEastAsia" w:hAnsi="Arial Narrow" w:cstheme="majorBidi"/>
                <w:bCs/>
                <w:sz w:val="20"/>
              </w:rPr>
            </w:pPr>
            <w:r>
              <w:rPr>
                <w:rFonts w:ascii="Arial Narrow" w:eastAsiaTheme="majorEastAsia" w:hAnsi="Arial Narrow"/>
                <w:bCs/>
                <w:color w:val="000000"/>
                <w:sz w:val="20"/>
              </w:rPr>
              <w:t xml:space="preserve"> </w:t>
            </w:r>
            <w:r w:rsidRPr="0036355B">
              <w:rPr>
                <w:rFonts w:ascii="Arial Narrow" w:eastAsiaTheme="majorEastAsia" w:hAnsi="Arial Narrow"/>
                <w:bCs/>
                <w:color w:val="000000"/>
                <w:spacing w:val="32"/>
                <w:sz w:val="20"/>
                <w:shd w:val="solid" w:color="000000" w:fill="000000"/>
                <w:fitText w:val="570" w:id="-1032110064"/>
                <w14:textFill>
                  <w14:solidFill>
                    <w14:srgbClr w14:val="000000">
                      <w14:alpha w14:val="100000"/>
                    </w14:srgbClr>
                  </w14:solidFill>
                </w14:textFill>
              </w:rPr>
              <w:t>|||||||</w:t>
            </w:r>
            <w:r w:rsidRPr="0036355B">
              <w:rPr>
                <w:rFonts w:ascii="Arial Narrow" w:eastAsiaTheme="majorEastAsia" w:hAnsi="Arial Narrow"/>
                <w:bCs/>
                <w:color w:val="000000"/>
                <w:spacing w:val="6"/>
                <w:sz w:val="20"/>
                <w:shd w:val="solid" w:color="000000" w:fill="000000"/>
                <w:fitText w:val="570" w:id="-1032110064"/>
                <w14:textFill>
                  <w14:solidFill>
                    <w14:srgbClr w14:val="000000">
                      <w14:alpha w14:val="100000"/>
                    </w14:srgbClr>
                  </w14:solidFill>
                </w14:textFill>
              </w:rPr>
              <w:t>|</w:t>
            </w:r>
            <w:r w:rsidR="00EB54E6" w:rsidRPr="00C802B9">
              <w:rPr>
                <w:rFonts w:ascii="Arial Narrow" w:eastAsiaTheme="majorEastAsia" w:hAnsi="Arial Narrow"/>
                <w:bCs/>
                <w:color w:val="000000"/>
                <w:sz w:val="20"/>
              </w:rPr>
              <w:t>%</w:t>
            </w:r>
          </w:p>
        </w:tc>
        <w:tc>
          <w:tcPr>
            <w:tcW w:w="1081" w:type="dxa"/>
            <w:shd w:val="clear" w:color="auto" w:fill="auto"/>
            <w:vAlign w:val="center"/>
          </w:tcPr>
          <w:p w14:paraId="40E8C3C0" w14:textId="4F1AE577" w:rsidR="00EB54E6" w:rsidRPr="00C802B9" w:rsidRDefault="0036355B" w:rsidP="00B61BA5">
            <w:pPr>
              <w:keepNext/>
              <w:jc w:val="center"/>
              <w:rPr>
                <w:rFonts w:ascii="Arial Narrow" w:eastAsiaTheme="majorEastAsia" w:hAnsi="Arial Narrow" w:cstheme="majorBidi"/>
                <w:bCs/>
                <w:sz w:val="20"/>
              </w:rPr>
            </w:pPr>
            <w:r>
              <w:rPr>
                <w:rFonts w:ascii="Arial Narrow" w:eastAsiaTheme="majorEastAsia" w:hAnsi="Arial Narrow"/>
                <w:bCs/>
                <w:color w:val="000000"/>
                <w:sz w:val="20"/>
              </w:rPr>
              <w:t xml:space="preserve"> </w:t>
            </w:r>
            <w:r w:rsidRPr="0036355B">
              <w:rPr>
                <w:rFonts w:ascii="Arial Narrow" w:eastAsiaTheme="majorEastAsia" w:hAnsi="Arial Narrow"/>
                <w:bCs/>
                <w:color w:val="000000"/>
                <w:spacing w:val="32"/>
                <w:sz w:val="20"/>
                <w:shd w:val="solid" w:color="000000" w:fill="000000"/>
                <w:fitText w:val="570" w:id="-1032110078"/>
                <w14:textFill>
                  <w14:solidFill>
                    <w14:srgbClr w14:val="000000">
                      <w14:alpha w14:val="100000"/>
                    </w14:srgbClr>
                  </w14:solidFill>
                </w14:textFill>
              </w:rPr>
              <w:t>|||||||</w:t>
            </w:r>
            <w:r w:rsidRPr="0036355B">
              <w:rPr>
                <w:rFonts w:ascii="Arial Narrow" w:eastAsiaTheme="majorEastAsia" w:hAnsi="Arial Narrow"/>
                <w:bCs/>
                <w:color w:val="000000"/>
                <w:spacing w:val="6"/>
                <w:sz w:val="20"/>
                <w:shd w:val="solid" w:color="000000" w:fill="000000"/>
                <w:fitText w:val="570" w:id="-1032110078"/>
                <w14:textFill>
                  <w14:solidFill>
                    <w14:srgbClr w14:val="000000">
                      <w14:alpha w14:val="100000"/>
                    </w14:srgbClr>
                  </w14:solidFill>
                </w14:textFill>
              </w:rPr>
              <w:t>|</w:t>
            </w:r>
            <w:r w:rsidR="00EB54E6" w:rsidRPr="00C802B9">
              <w:rPr>
                <w:rFonts w:ascii="Arial Narrow" w:eastAsiaTheme="majorEastAsia" w:hAnsi="Arial Narrow"/>
                <w:bCs/>
                <w:color w:val="000000"/>
                <w:sz w:val="20"/>
              </w:rPr>
              <w:t>%</w:t>
            </w:r>
          </w:p>
        </w:tc>
        <w:tc>
          <w:tcPr>
            <w:tcW w:w="1081" w:type="dxa"/>
            <w:shd w:val="clear" w:color="auto" w:fill="auto"/>
            <w:vAlign w:val="center"/>
          </w:tcPr>
          <w:p w14:paraId="3CAA6522" w14:textId="02261166" w:rsidR="00EB54E6" w:rsidRPr="00C802B9" w:rsidRDefault="0036355B" w:rsidP="00B61BA5">
            <w:pPr>
              <w:keepNext/>
              <w:jc w:val="center"/>
              <w:rPr>
                <w:rFonts w:ascii="Arial Narrow" w:eastAsiaTheme="majorEastAsia" w:hAnsi="Arial Narrow" w:cstheme="majorBidi"/>
                <w:bCs/>
                <w:sz w:val="20"/>
              </w:rPr>
            </w:pPr>
            <w:r>
              <w:rPr>
                <w:rFonts w:ascii="Arial Narrow" w:eastAsiaTheme="majorEastAsia" w:hAnsi="Arial Narrow"/>
                <w:bCs/>
                <w:color w:val="000000"/>
                <w:sz w:val="20"/>
              </w:rPr>
              <w:t xml:space="preserve"> </w:t>
            </w:r>
            <w:r w:rsidRPr="0036355B">
              <w:rPr>
                <w:rFonts w:ascii="Arial Narrow" w:eastAsiaTheme="majorEastAsia" w:hAnsi="Arial Narrow"/>
                <w:bCs/>
                <w:color w:val="000000"/>
                <w:spacing w:val="32"/>
                <w:sz w:val="20"/>
                <w:shd w:val="solid" w:color="000000" w:fill="000000"/>
                <w:fitText w:val="570" w:id="-1032110075"/>
                <w14:textFill>
                  <w14:solidFill>
                    <w14:srgbClr w14:val="000000">
                      <w14:alpha w14:val="100000"/>
                    </w14:srgbClr>
                  </w14:solidFill>
                </w14:textFill>
              </w:rPr>
              <w:t>|||||||</w:t>
            </w:r>
            <w:r w:rsidRPr="0036355B">
              <w:rPr>
                <w:rFonts w:ascii="Arial Narrow" w:eastAsiaTheme="majorEastAsia" w:hAnsi="Arial Narrow"/>
                <w:bCs/>
                <w:color w:val="000000"/>
                <w:spacing w:val="6"/>
                <w:sz w:val="20"/>
                <w:shd w:val="solid" w:color="000000" w:fill="000000"/>
                <w:fitText w:val="570" w:id="-1032110075"/>
                <w14:textFill>
                  <w14:solidFill>
                    <w14:srgbClr w14:val="000000">
                      <w14:alpha w14:val="100000"/>
                    </w14:srgbClr>
                  </w14:solidFill>
                </w14:textFill>
              </w:rPr>
              <w:t>|</w:t>
            </w:r>
            <w:r w:rsidR="00EB54E6" w:rsidRPr="00C802B9">
              <w:rPr>
                <w:rFonts w:ascii="Arial Narrow" w:eastAsiaTheme="majorEastAsia" w:hAnsi="Arial Narrow"/>
                <w:bCs/>
                <w:color w:val="000000"/>
                <w:sz w:val="20"/>
              </w:rPr>
              <w:t>%</w:t>
            </w:r>
          </w:p>
        </w:tc>
        <w:tc>
          <w:tcPr>
            <w:tcW w:w="1081" w:type="dxa"/>
            <w:shd w:val="clear" w:color="auto" w:fill="auto"/>
            <w:vAlign w:val="center"/>
          </w:tcPr>
          <w:p w14:paraId="6FF68EA8" w14:textId="2A37061A" w:rsidR="00EB54E6" w:rsidRPr="00C802B9" w:rsidRDefault="0036355B" w:rsidP="00B61BA5">
            <w:pPr>
              <w:keepNext/>
              <w:jc w:val="center"/>
              <w:rPr>
                <w:rFonts w:ascii="Arial Narrow" w:eastAsiaTheme="majorEastAsia" w:hAnsi="Arial Narrow" w:cstheme="majorBidi"/>
                <w:bCs/>
                <w:sz w:val="20"/>
              </w:rPr>
            </w:pPr>
            <w:r>
              <w:rPr>
                <w:rFonts w:ascii="Arial Narrow" w:eastAsiaTheme="majorEastAsia" w:hAnsi="Arial Narrow"/>
                <w:bCs/>
                <w:color w:val="000000"/>
                <w:sz w:val="20"/>
              </w:rPr>
              <w:t xml:space="preserve"> </w:t>
            </w:r>
            <w:r w:rsidRPr="0036355B">
              <w:rPr>
                <w:rFonts w:ascii="Arial Narrow" w:eastAsiaTheme="majorEastAsia" w:hAnsi="Arial Narrow"/>
                <w:bCs/>
                <w:color w:val="000000"/>
                <w:spacing w:val="32"/>
                <w:sz w:val="20"/>
                <w:shd w:val="solid" w:color="000000" w:fill="000000"/>
                <w:fitText w:val="570" w:id="-1032110072"/>
                <w14:textFill>
                  <w14:solidFill>
                    <w14:srgbClr w14:val="000000">
                      <w14:alpha w14:val="100000"/>
                    </w14:srgbClr>
                  </w14:solidFill>
                </w14:textFill>
              </w:rPr>
              <w:t>|||||||</w:t>
            </w:r>
            <w:r w:rsidRPr="0036355B">
              <w:rPr>
                <w:rFonts w:ascii="Arial Narrow" w:eastAsiaTheme="majorEastAsia" w:hAnsi="Arial Narrow"/>
                <w:bCs/>
                <w:color w:val="000000"/>
                <w:spacing w:val="6"/>
                <w:sz w:val="20"/>
                <w:shd w:val="solid" w:color="000000" w:fill="000000"/>
                <w:fitText w:val="570" w:id="-1032110072"/>
                <w14:textFill>
                  <w14:solidFill>
                    <w14:srgbClr w14:val="000000">
                      <w14:alpha w14:val="100000"/>
                    </w14:srgbClr>
                  </w14:solidFill>
                </w14:textFill>
              </w:rPr>
              <w:t>|</w:t>
            </w:r>
            <w:r w:rsidR="00EB54E6" w:rsidRPr="00C802B9">
              <w:rPr>
                <w:rFonts w:ascii="Arial Narrow" w:eastAsiaTheme="majorEastAsia" w:hAnsi="Arial Narrow"/>
                <w:bCs/>
                <w:color w:val="000000"/>
                <w:sz w:val="20"/>
              </w:rPr>
              <w:t>%</w:t>
            </w:r>
          </w:p>
        </w:tc>
        <w:tc>
          <w:tcPr>
            <w:tcW w:w="1082" w:type="dxa"/>
            <w:shd w:val="clear" w:color="auto" w:fill="auto"/>
            <w:vAlign w:val="center"/>
          </w:tcPr>
          <w:p w14:paraId="60CBC3E8" w14:textId="5A15FA95" w:rsidR="00EB54E6" w:rsidRPr="00C802B9" w:rsidRDefault="0036355B" w:rsidP="00B61BA5">
            <w:pPr>
              <w:keepNext/>
              <w:jc w:val="center"/>
              <w:rPr>
                <w:rFonts w:ascii="Arial Narrow" w:eastAsiaTheme="majorEastAsia" w:hAnsi="Arial Narrow" w:cstheme="majorBidi"/>
                <w:bCs/>
                <w:sz w:val="20"/>
              </w:rPr>
            </w:pPr>
            <w:r>
              <w:rPr>
                <w:rFonts w:ascii="Arial Narrow" w:eastAsiaTheme="majorEastAsia" w:hAnsi="Arial Narrow"/>
                <w:bCs/>
                <w:color w:val="000000"/>
                <w:sz w:val="20"/>
              </w:rPr>
              <w:t xml:space="preserve"> </w:t>
            </w:r>
            <w:r w:rsidRPr="0036355B">
              <w:rPr>
                <w:rFonts w:ascii="Arial Narrow" w:eastAsiaTheme="majorEastAsia" w:hAnsi="Arial Narrow"/>
                <w:bCs/>
                <w:color w:val="000000"/>
                <w:spacing w:val="32"/>
                <w:sz w:val="20"/>
                <w:shd w:val="solid" w:color="000000" w:fill="000000"/>
                <w:fitText w:val="570" w:id="-1032110069"/>
                <w14:textFill>
                  <w14:solidFill>
                    <w14:srgbClr w14:val="000000">
                      <w14:alpha w14:val="100000"/>
                    </w14:srgbClr>
                  </w14:solidFill>
                </w14:textFill>
              </w:rPr>
              <w:t>|||||||</w:t>
            </w:r>
            <w:r w:rsidRPr="0036355B">
              <w:rPr>
                <w:rFonts w:ascii="Arial Narrow" w:eastAsiaTheme="majorEastAsia" w:hAnsi="Arial Narrow"/>
                <w:bCs/>
                <w:color w:val="000000"/>
                <w:spacing w:val="6"/>
                <w:sz w:val="20"/>
                <w:shd w:val="solid" w:color="000000" w:fill="000000"/>
                <w:fitText w:val="570" w:id="-1032110069"/>
                <w14:textFill>
                  <w14:solidFill>
                    <w14:srgbClr w14:val="000000">
                      <w14:alpha w14:val="100000"/>
                    </w14:srgbClr>
                  </w14:solidFill>
                </w14:textFill>
              </w:rPr>
              <w:t>|</w:t>
            </w:r>
            <w:r w:rsidR="00EB54E6" w:rsidRPr="00C802B9">
              <w:rPr>
                <w:rFonts w:ascii="Arial Narrow" w:eastAsiaTheme="majorEastAsia" w:hAnsi="Arial Narrow"/>
                <w:bCs/>
                <w:color w:val="000000"/>
                <w:sz w:val="20"/>
              </w:rPr>
              <w:t>%</w:t>
            </w:r>
          </w:p>
        </w:tc>
      </w:tr>
      <w:tr w:rsidR="00EB54E6" w:rsidRPr="00C802B9" w14:paraId="253CBC29" w14:textId="77777777" w:rsidTr="00B61BA5">
        <w:tc>
          <w:tcPr>
            <w:tcW w:w="2580" w:type="dxa"/>
            <w:shd w:val="clear" w:color="auto" w:fill="auto"/>
            <w:vAlign w:val="center"/>
          </w:tcPr>
          <w:p w14:paraId="7B31DBFF" w14:textId="77777777" w:rsidR="00EB54E6" w:rsidRPr="00C802B9" w:rsidRDefault="00EB54E6" w:rsidP="00B61BA5">
            <w:pPr>
              <w:keepNext/>
              <w:jc w:val="left"/>
              <w:rPr>
                <w:rFonts w:ascii="Arial Narrow" w:eastAsiaTheme="majorEastAsia" w:hAnsi="Arial Narrow" w:cstheme="majorBidi"/>
                <w:bCs/>
                <w:sz w:val="20"/>
              </w:rPr>
            </w:pPr>
            <w:r w:rsidRPr="00C802B9">
              <w:rPr>
                <w:rFonts w:ascii="Arial Narrow" w:eastAsiaTheme="majorEastAsia" w:hAnsi="Arial Narrow" w:cstheme="majorBidi"/>
                <w:bCs/>
                <w:sz w:val="20"/>
              </w:rPr>
              <w:t>Total treated patients</w:t>
            </w:r>
          </w:p>
        </w:tc>
        <w:tc>
          <w:tcPr>
            <w:tcW w:w="1081" w:type="dxa"/>
            <w:shd w:val="clear" w:color="auto" w:fill="auto"/>
          </w:tcPr>
          <w:p w14:paraId="42D1BD99" w14:textId="785BADC9" w:rsidR="00EB54E6" w:rsidRPr="005441F2" w:rsidRDefault="0036355B" w:rsidP="00B61BA5">
            <w:pPr>
              <w:keepNext/>
              <w:jc w:val="center"/>
              <w:rPr>
                <w:rFonts w:ascii="Arial Narrow" w:eastAsiaTheme="majorEastAsia" w:hAnsi="Arial Narrow" w:cstheme="majorBidi"/>
                <w:bCs/>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56"/>
                <w:sz w:val="20"/>
                <w:shd w:val="solid" w:color="000000" w:fill="000000"/>
                <w:fitText w:val="540" w:id="-1032110066"/>
                <w14:textFill>
                  <w14:solidFill>
                    <w14:srgbClr w14:val="000000">
                      <w14:alpha w14:val="100000"/>
                    </w14:srgbClr>
                  </w14:solidFill>
                </w14:textFill>
              </w:rPr>
              <w:t>|||||</w:t>
            </w:r>
            <w:r w:rsidRPr="0036355B">
              <w:rPr>
                <w:rFonts w:ascii="Arial Narrow" w:eastAsiaTheme="majorEastAsia" w:hAnsi="Arial Narrow" w:cstheme="majorBidi"/>
                <w:bCs/>
                <w:color w:val="000000"/>
                <w:spacing w:val="5"/>
                <w:sz w:val="20"/>
                <w:shd w:val="solid" w:color="000000" w:fill="000000"/>
                <w:fitText w:val="540" w:id="-1032110066"/>
                <w14:textFill>
                  <w14:solidFill>
                    <w14:srgbClr w14:val="000000">
                      <w14:alpha w14:val="100000"/>
                    </w14:srgbClr>
                  </w14:solidFill>
                </w14:textFill>
              </w:rPr>
              <w:t>|</w:t>
            </w:r>
            <w:r w:rsidR="005936E3">
              <w:rPr>
                <w:rFonts w:ascii="Arial Narrow" w:hAnsi="Arial Narrow"/>
                <w:sz w:val="18"/>
                <w:szCs w:val="22"/>
                <w:vertAlign w:val="superscript"/>
              </w:rPr>
              <w:t>6</w:t>
            </w:r>
          </w:p>
        </w:tc>
        <w:tc>
          <w:tcPr>
            <w:tcW w:w="1081" w:type="dxa"/>
            <w:shd w:val="clear" w:color="auto" w:fill="auto"/>
          </w:tcPr>
          <w:p w14:paraId="03636915" w14:textId="3077FE31" w:rsidR="00EB54E6" w:rsidRPr="005441F2" w:rsidRDefault="0036355B" w:rsidP="00B61BA5">
            <w:pPr>
              <w:keepNext/>
              <w:jc w:val="center"/>
              <w:rPr>
                <w:rFonts w:ascii="Arial Narrow" w:eastAsiaTheme="majorEastAsia" w:hAnsi="Arial Narrow" w:cstheme="majorBidi"/>
                <w:bCs/>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56"/>
                <w:sz w:val="20"/>
                <w:shd w:val="solid" w:color="000000" w:fill="000000"/>
                <w:fitText w:val="540" w:id="-1032110080"/>
                <w14:textFill>
                  <w14:solidFill>
                    <w14:srgbClr w14:val="000000">
                      <w14:alpha w14:val="100000"/>
                    </w14:srgbClr>
                  </w14:solidFill>
                </w14:textFill>
              </w:rPr>
              <w:t>|||||</w:t>
            </w:r>
            <w:r w:rsidRPr="0036355B">
              <w:rPr>
                <w:rFonts w:ascii="Arial Narrow" w:eastAsiaTheme="majorEastAsia" w:hAnsi="Arial Narrow" w:cstheme="majorBidi"/>
                <w:bCs/>
                <w:color w:val="000000"/>
                <w:spacing w:val="5"/>
                <w:sz w:val="20"/>
                <w:shd w:val="solid" w:color="000000" w:fill="000000"/>
                <w:fitText w:val="540" w:id="-1032110080"/>
                <w14:textFill>
                  <w14:solidFill>
                    <w14:srgbClr w14:val="000000">
                      <w14:alpha w14:val="100000"/>
                    </w14:srgbClr>
                  </w14:solidFill>
                </w14:textFill>
              </w:rPr>
              <w:t>|</w:t>
            </w:r>
            <w:r w:rsidR="005936E3">
              <w:rPr>
                <w:rFonts w:ascii="Arial Narrow" w:hAnsi="Arial Narrow"/>
                <w:sz w:val="18"/>
                <w:szCs w:val="22"/>
                <w:vertAlign w:val="superscript"/>
              </w:rPr>
              <w:t>7</w:t>
            </w:r>
          </w:p>
        </w:tc>
        <w:tc>
          <w:tcPr>
            <w:tcW w:w="1081" w:type="dxa"/>
            <w:shd w:val="clear" w:color="auto" w:fill="auto"/>
          </w:tcPr>
          <w:p w14:paraId="17C2FD95" w14:textId="140833A6" w:rsidR="00EB54E6" w:rsidRPr="005441F2" w:rsidRDefault="0036355B" w:rsidP="00B61BA5">
            <w:pPr>
              <w:keepNext/>
              <w:jc w:val="center"/>
              <w:rPr>
                <w:rFonts w:ascii="Arial Narrow" w:eastAsiaTheme="majorEastAsia" w:hAnsi="Arial Narrow" w:cstheme="majorBidi"/>
                <w:bCs/>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56"/>
                <w:sz w:val="20"/>
                <w:shd w:val="solid" w:color="000000" w:fill="000000"/>
                <w:fitText w:val="540" w:id="-1032110077"/>
                <w14:textFill>
                  <w14:solidFill>
                    <w14:srgbClr w14:val="000000">
                      <w14:alpha w14:val="100000"/>
                    </w14:srgbClr>
                  </w14:solidFill>
                </w14:textFill>
              </w:rPr>
              <w:t>|||||</w:t>
            </w:r>
            <w:r w:rsidRPr="0036355B">
              <w:rPr>
                <w:rFonts w:ascii="Arial Narrow" w:eastAsiaTheme="majorEastAsia" w:hAnsi="Arial Narrow" w:cstheme="majorBidi"/>
                <w:bCs/>
                <w:color w:val="000000"/>
                <w:spacing w:val="5"/>
                <w:sz w:val="20"/>
                <w:shd w:val="solid" w:color="000000" w:fill="000000"/>
                <w:fitText w:val="540" w:id="-1032110077"/>
                <w14:textFill>
                  <w14:solidFill>
                    <w14:srgbClr w14:val="000000">
                      <w14:alpha w14:val="100000"/>
                    </w14:srgbClr>
                  </w14:solidFill>
                </w14:textFill>
              </w:rPr>
              <w:t>|</w:t>
            </w:r>
            <w:r w:rsidR="005936E3">
              <w:rPr>
                <w:rFonts w:ascii="Arial Narrow" w:hAnsi="Arial Narrow"/>
                <w:sz w:val="18"/>
                <w:szCs w:val="22"/>
                <w:vertAlign w:val="superscript"/>
              </w:rPr>
              <w:t>8</w:t>
            </w:r>
          </w:p>
        </w:tc>
        <w:tc>
          <w:tcPr>
            <w:tcW w:w="1081" w:type="dxa"/>
            <w:shd w:val="clear" w:color="auto" w:fill="auto"/>
          </w:tcPr>
          <w:p w14:paraId="2E870463" w14:textId="58AB410A" w:rsidR="00EB54E6" w:rsidRPr="005441F2" w:rsidRDefault="0036355B" w:rsidP="00B61BA5">
            <w:pPr>
              <w:keepNext/>
              <w:jc w:val="center"/>
              <w:rPr>
                <w:rFonts w:ascii="Arial Narrow" w:eastAsiaTheme="majorEastAsia" w:hAnsi="Arial Narrow" w:cstheme="majorBidi"/>
                <w:bCs/>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56"/>
                <w:sz w:val="20"/>
                <w:shd w:val="solid" w:color="000000" w:fill="000000"/>
                <w:fitText w:val="540" w:id="-1032110070"/>
                <w14:textFill>
                  <w14:solidFill>
                    <w14:srgbClr w14:val="000000">
                      <w14:alpha w14:val="100000"/>
                    </w14:srgbClr>
                  </w14:solidFill>
                </w14:textFill>
              </w:rPr>
              <w:t>|||||</w:t>
            </w:r>
            <w:r w:rsidRPr="0036355B">
              <w:rPr>
                <w:rFonts w:ascii="Arial Narrow" w:eastAsiaTheme="majorEastAsia" w:hAnsi="Arial Narrow" w:cstheme="majorBidi"/>
                <w:bCs/>
                <w:color w:val="000000"/>
                <w:spacing w:val="5"/>
                <w:sz w:val="20"/>
                <w:shd w:val="solid" w:color="000000" w:fill="000000"/>
                <w:fitText w:val="540" w:id="-1032110070"/>
                <w14:textFill>
                  <w14:solidFill>
                    <w14:srgbClr w14:val="000000">
                      <w14:alpha w14:val="100000"/>
                    </w14:srgbClr>
                  </w14:solidFill>
                </w14:textFill>
              </w:rPr>
              <w:t>|</w:t>
            </w:r>
            <w:r w:rsidR="005936E3">
              <w:rPr>
                <w:rFonts w:ascii="Arial Narrow" w:hAnsi="Arial Narrow"/>
                <w:sz w:val="18"/>
                <w:szCs w:val="22"/>
                <w:vertAlign w:val="superscript"/>
              </w:rPr>
              <w:t>9</w:t>
            </w:r>
          </w:p>
        </w:tc>
        <w:tc>
          <w:tcPr>
            <w:tcW w:w="1081" w:type="dxa"/>
            <w:shd w:val="clear" w:color="auto" w:fill="auto"/>
          </w:tcPr>
          <w:p w14:paraId="0CC019D8" w14:textId="3F36B0EB" w:rsidR="00EB54E6" w:rsidRPr="005441F2" w:rsidRDefault="0036355B" w:rsidP="00B61BA5">
            <w:pPr>
              <w:keepNext/>
              <w:jc w:val="center"/>
              <w:rPr>
                <w:rFonts w:ascii="Arial Narrow" w:eastAsiaTheme="majorEastAsia" w:hAnsi="Arial Narrow" w:cstheme="majorBidi"/>
                <w:bCs/>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56"/>
                <w:sz w:val="20"/>
                <w:shd w:val="solid" w:color="000000" w:fill="000000"/>
                <w:fitText w:val="540" w:id="-1032110080"/>
                <w14:textFill>
                  <w14:solidFill>
                    <w14:srgbClr w14:val="000000">
                      <w14:alpha w14:val="100000"/>
                    </w14:srgbClr>
                  </w14:solidFill>
                </w14:textFill>
              </w:rPr>
              <w:t>|||||</w:t>
            </w:r>
            <w:r w:rsidRPr="0036355B">
              <w:rPr>
                <w:rFonts w:ascii="Arial Narrow" w:eastAsiaTheme="majorEastAsia" w:hAnsi="Arial Narrow" w:cstheme="majorBidi"/>
                <w:bCs/>
                <w:color w:val="000000"/>
                <w:spacing w:val="5"/>
                <w:sz w:val="20"/>
                <w:shd w:val="solid" w:color="000000" w:fill="000000"/>
                <w:fitText w:val="540" w:id="-1032110080"/>
                <w14:textFill>
                  <w14:solidFill>
                    <w14:srgbClr w14:val="000000">
                      <w14:alpha w14:val="100000"/>
                    </w14:srgbClr>
                  </w14:solidFill>
                </w14:textFill>
              </w:rPr>
              <w:t>|</w:t>
            </w:r>
            <w:r w:rsidR="005936E3">
              <w:rPr>
                <w:rFonts w:ascii="Arial Narrow" w:hAnsi="Arial Narrow"/>
                <w:sz w:val="18"/>
                <w:szCs w:val="22"/>
                <w:vertAlign w:val="superscript"/>
              </w:rPr>
              <w:t>9</w:t>
            </w:r>
          </w:p>
        </w:tc>
        <w:tc>
          <w:tcPr>
            <w:tcW w:w="1082" w:type="dxa"/>
            <w:shd w:val="clear" w:color="auto" w:fill="auto"/>
          </w:tcPr>
          <w:p w14:paraId="40AC18B5" w14:textId="136265D9" w:rsidR="00EB54E6" w:rsidRPr="005441F2" w:rsidRDefault="0036355B" w:rsidP="00B61BA5">
            <w:pPr>
              <w:keepNext/>
              <w:jc w:val="center"/>
              <w:rPr>
                <w:rFonts w:ascii="Arial Narrow" w:eastAsiaTheme="majorEastAsia" w:hAnsi="Arial Narrow" w:cstheme="majorBidi"/>
                <w:bCs/>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56"/>
                <w:sz w:val="20"/>
                <w:shd w:val="solid" w:color="000000" w:fill="000000"/>
                <w:fitText w:val="540" w:id="-1032110073"/>
                <w14:textFill>
                  <w14:solidFill>
                    <w14:srgbClr w14:val="000000">
                      <w14:alpha w14:val="100000"/>
                    </w14:srgbClr>
                  </w14:solidFill>
                </w14:textFill>
              </w:rPr>
              <w:t>|||||</w:t>
            </w:r>
            <w:r w:rsidRPr="0036355B">
              <w:rPr>
                <w:rFonts w:ascii="Arial Narrow" w:eastAsiaTheme="majorEastAsia" w:hAnsi="Arial Narrow" w:cstheme="majorBidi"/>
                <w:bCs/>
                <w:color w:val="000000"/>
                <w:spacing w:val="5"/>
                <w:sz w:val="20"/>
                <w:shd w:val="solid" w:color="000000" w:fill="000000"/>
                <w:fitText w:val="540" w:id="-1032110073"/>
                <w14:textFill>
                  <w14:solidFill>
                    <w14:srgbClr w14:val="000000">
                      <w14:alpha w14:val="100000"/>
                    </w14:srgbClr>
                  </w14:solidFill>
                </w14:textFill>
              </w:rPr>
              <w:t>|</w:t>
            </w:r>
            <w:r w:rsidR="005936E3">
              <w:rPr>
                <w:rFonts w:ascii="Arial Narrow" w:hAnsi="Arial Narrow"/>
                <w:sz w:val="18"/>
                <w:szCs w:val="22"/>
                <w:vertAlign w:val="superscript"/>
              </w:rPr>
              <w:t>9</w:t>
            </w:r>
            <w:r>
              <w:rPr>
                <w:rFonts w:ascii="Arial Narrow" w:eastAsiaTheme="majorEastAsia" w:hAnsi="Arial Narrow" w:cstheme="majorBidi"/>
                <w:bCs/>
                <w:sz w:val="20"/>
              </w:rPr>
              <w:t xml:space="preserve"> </w:t>
            </w:r>
          </w:p>
        </w:tc>
      </w:tr>
      <w:tr w:rsidR="00EB54E6" w:rsidRPr="00C802B9" w14:paraId="16C987CE" w14:textId="77777777" w:rsidTr="00B61BA5">
        <w:tc>
          <w:tcPr>
            <w:tcW w:w="9067" w:type="dxa"/>
            <w:gridSpan w:val="7"/>
            <w:shd w:val="clear" w:color="auto" w:fill="auto"/>
            <w:vAlign w:val="center"/>
          </w:tcPr>
          <w:p w14:paraId="260B33A8" w14:textId="77777777" w:rsidR="00EB54E6" w:rsidRPr="00C802B9" w:rsidRDefault="00EB54E6" w:rsidP="00B61BA5">
            <w:pPr>
              <w:keepNext/>
              <w:jc w:val="left"/>
              <w:rPr>
                <w:rFonts w:ascii="Arial Narrow" w:eastAsiaTheme="majorEastAsia" w:hAnsi="Arial Narrow"/>
                <w:b/>
                <w:color w:val="000000"/>
                <w:sz w:val="20"/>
              </w:rPr>
            </w:pPr>
            <w:r w:rsidRPr="00C802B9">
              <w:rPr>
                <w:rFonts w:ascii="Arial Narrow" w:eastAsiaTheme="majorEastAsia" w:hAnsi="Arial Narrow"/>
                <w:b/>
                <w:color w:val="000000"/>
                <w:sz w:val="20"/>
              </w:rPr>
              <w:t>Cost of icosapent ethyl to the PBS/RPBS</w:t>
            </w:r>
          </w:p>
        </w:tc>
      </w:tr>
      <w:tr w:rsidR="00EB54E6" w:rsidRPr="00C802B9" w14:paraId="70A3700B" w14:textId="77777777" w:rsidTr="00B61BA5">
        <w:tc>
          <w:tcPr>
            <w:tcW w:w="2580" w:type="dxa"/>
            <w:shd w:val="clear" w:color="auto" w:fill="auto"/>
            <w:vAlign w:val="center"/>
          </w:tcPr>
          <w:p w14:paraId="4C6BA029" w14:textId="77777777" w:rsidR="00EB54E6" w:rsidRPr="00C802B9" w:rsidRDefault="00EB54E6" w:rsidP="00B61BA5">
            <w:pPr>
              <w:keepNext/>
              <w:jc w:val="left"/>
              <w:rPr>
                <w:rFonts w:ascii="Arial Narrow" w:eastAsiaTheme="majorEastAsia" w:hAnsi="Arial Narrow" w:cstheme="majorBidi"/>
                <w:bCs/>
                <w:sz w:val="20"/>
              </w:rPr>
            </w:pPr>
            <w:r w:rsidRPr="00C802B9">
              <w:rPr>
                <w:rFonts w:ascii="Arial Narrow" w:eastAsiaTheme="majorEastAsia" w:hAnsi="Arial Narrow" w:cstheme="majorBidi"/>
                <w:bCs/>
                <w:sz w:val="20"/>
              </w:rPr>
              <w:t>Total scripts (11.86 per year)</w:t>
            </w:r>
            <w:r w:rsidRPr="00C802B9">
              <w:rPr>
                <w:rFonts w:ascii="Arial Narrow" w:eastAsiaTheme="majorEastAsia" w:hAnsi="Arial Narrow" w:cstheme="majorBidi"/>
                <w:bCs/>
                <w:sz w:val="20"/>
                <w:vertAlign w:val="superscript"/>
              </w:rPr>
              <w:t>1</w:t>
            </w:r>
          </w:p>
        </w:tc>
        <w:tc>
          <w:tcPr>
            <w:tcW w:w="1081" w:type="dxa"/>
            <w:shd w:val="clear" w:color="auto" w:fill="auto"/>
          </w:tcPr>
          <w:p w14:paraId="57EC12D2" w14:textId="608428C6" w:rsidR="00EB54E6" w:rsidRPr="005441F2" w:rsidRDefault="0036355B" w:rsidP="00B61BA5">
            <w:pPr>
              <w:keepNext/>
              <w:jc w:val="center"/>
              <w:rPr>
                <w:rFonts w:ascii="Arial Narrow" w:eastAsiaTheme="majorEastAsia" w:hAnsi="Arial Narrow"/>
                <w:bCs/>
                <w:color w:val="000000"/>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56"/>
                <w:sz w:val="20"/>
                <w:shd w:val="solid" w:color="000000" w:fill="000000"/>
                <w:fitText w:val="540" w:id="-1032110066"/>
                <w14:textFill>
                  <w14:solidFill>
                    <w14:srgbClr w14:val="000000">
                      <w14:alpha w14:val="100000"/>
                    </w14:srgbClr>
                  </w14:solidFill>
                </w14:textFill>
              </w:rPr>
              <w:t>|||||</w:t>
            </w:r>
            <w:r w:rsidRPr="0036355B">
              <w:rPr>
                <w:rFonts w:ascii="Arial Narrow" w:eastAsiaTheme="majorEastAsia" w:hAnsi="Arial Narrow" w:cstheme="majorBidi"/>
                <w:bCs/>
                <w:color w:val="000000"/>
                <w:spacing w:val="5"/>
                <w:sz w:val="20"/>
                <w:shd w:val="solid" w:color="000000" w:fill="000000"/>
                <w:fitText w:val="540" w:id="-1032110066"/>
                <w14:textFill>
                  <w14:solidFill>
                    <w14:srgbClr w14:val="000000">
                      <w14:alpha w14:val="100000"/>
                    </w14:srgbClr>
                  </w14:solidFill>
                </w14:textFill>
              </w:rPr>
              <w:t>|</w:t>
            </w:r>
            <w:r w:rsidR="005936E3">
              <w:rPr>
                <w:rFonts w:ascii="Arial Narrow" w:hAnsi="Arial Narrow"/>
                <w:sz w:val="18"/>
                <w:szCs w:val="22"/>
                <w:vertAlign w:val="superscript"/>
              </w:rPr>
              <w:t>5</w:t>
            </w:r>
          </w:p>
        </w:tc>
        <w:tc>
          <w:tcPr>
            <w:tcW w:w="1081" w:type="dxa"/>
            <w:shd w:val="clear" w:color="auto" w:fill="auto"/>
          </w:tcPr>
          <w:p w14:paraId="169AD889" w14:textId="0252A0FD" w:rsidR="00EB54E6" w:rsidRPr="005441F2" w:rsidRDefault="0036355B" w:rsidP="00B61BA5">
            <w:pPr>
              <w:keepNext/>
              <w:jc w:val="center"/>
              <w:rPr>
                <w:rFonts w:ascii="Arial Narrow" w:eastAsiaTheme="majorEastAsia" w:hAnsi="Arial Narrow"/>
                <w:bCs/>
                <w:color w:val="000000"/>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32"/>
                <w:sz w:val="20"/>
                <w:shd w:val="solid" w:color="000000" w:fill="000000"/>
                <w:fitText w:val="570" w:id="-1032110080"/>
                <w14:textFill>
                  <w14:solidFill>
                    <w14:srgbClr w14:val="000000">
                      <w14:alpha w14:val="100000"/>
                    </w14:srgbClr>
                  </w14:solidFill>
                </w14:textFill>
              </w:rPr>
              <w:t>|||||||</w:t>
            </w:r>
            <w:r w:rsidRPr="0036355B">
              <w:rPr>
                <w:rFonts w:ascii="Arial Narrow" w:eastAsiaTheme="majorEastAsia" w:hAnsi="Arial Narrow" w:cstheme="majorBidi"/>
                <w:bCs/>
                <w:color w:val="000000"/>
                <w:spacing w:val="6"/>
                <w:sz w:val="20"/>
                <w:shd w:val="solid" w:color="000000" w:fill="000000"/>
                <w:fitText w:val="570" w:id="-1032110080"/>
                <w14:textFill>
                  <w14:solidFill>
                    <w14:srgbClr w14:val="000000">
                      <w14:alpha w14:val="100000"/>
                    </w14:srgbClr>
                  </w14:solidFill>
                </w14:textFill>
              </w:rPr>
              <w:t>|</w:t>
            </w:r>
            <w:r w:rsidR="005936E3">
              <w:rPr>
                <w:rFonts w:ascii="Arial Narrow" w:hAnsi="Arial Narrow"/>
                <w:sz w:val="18"/>
                <w:szCs w:val="22"/>
                <w:vertAlign w:val="superscript"/>
              </w:rPr>
              <w:t>10</w:t>
            </w:r>
          </w:p>
        </w:tc>
        <w:tc>
          <w:tcPr>
            <w:tcW w:w="1081" w:type="dxa"/>
            <w:shd w:val="clear" w:color="auto" w:fill="auto"/>
          </w:tcPr>
          <w:p w14:paraId="4D71B5DE" w14:textId="0151C7C3" w:rsidR="00EB54E6" w:rsidRPr="005441F2" w:rsidRDefault="0036355B" w:rsidP="00B61BA5">
            <w:pPr>
              <w:keepNext/>
              <w:jc w:val="center"/>
              <w:rPr>
                <w:rFonts w:ascii="Arial Narrow" w:eastAsiaTheme="majorEastAsia" w:hAnsi="Arial Narrow"/>
                <w:bCs/>
                <w:color w:val="000000"/>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32"/>
                <w:sz w:val="20"/>
                <w:shd w:val="solid" w:color="000000" w:fill="000000"/>
                <w:fitText w:val="570" w:id="-1032109824"/>
                <w14:textFill>
                  <w14:solidFill>
                    <w14:srgbClr w14:val="000000">
                      <w14:alpha w14:val="100000"/>
                    </w14:srgbClr>
                  </w14:solidFill>
                </w14:textFill>
              </w:rPr>
              <w:t>|||||||</w:t>
            </w:r>
            <w:r w:rsidRPr="0036355B">
              <w:rPr>
                <w:rFonts w:ascii="Arial Narrow" w:eastAsiaTheme="majorEastAsia" w:hAnsi="Arial Narrow" w:cstheme="majorBidi"/>
                <w:bCs/>
                <w:color w:val="000000"/>
                <w:spacing w:val="6"/>
                <w:sz w:val="20"/>
                <w:shd w:val="solid" w:color="000000" w:fill="000000"/>
                <w:fitText w:val="570" w:id="-1032109824"/>
                <w14:textFill>
                  <w14:solidFill>
                    <w14:srgbClr w14:val="000000">
                      <w14:alpha w14:val="100000"/>
                    </w14:srgbClr>
                  </w14:solidFill>
                </w14:textFill>
              </w:rPr>
              <w:t>|</w:t>
            </w:r>
            <w:r w:rsidR="005936E3">
              <w:rPr>
                <w:rFonts w:ascii="Arial Narrow" w:hAnsi="Arial Narrow"/>
                <w:sz w:val="18"/>
                <w:szCs w:val="22"/>
                <w:vertAlign w:val="superscript"/>
              </w:rPr>
              <w:t>11</w:t>
            </w:r>
          </w:p>
        </w:tc>
        <w:tc>
          <w:tcPr>
            <w:tcW w:w="1081" w:type="dxa"/>
            <w:shd w:val="clear" w:color="auto" w:fill="auto"/>
          </w:tcPr>
          <w:p w14:paraId="1E5AE509" w14:textId="41B7F8BA" w:rsidR="00EB54E6" w:rsidRPr="005441F2" w:rsidRDefault="0036355B" w:rsidP="00B61BA5">
            <w:pPr>
              <w:keepNext/>
              <w:jc w:val="center"/>
              <w:rPr>
                <w:rFonts w:ascii="Arial Narrow" w:eastAsiaTheme="majorEastAsia" w:hAnsi="Arial Narrow"/>
                <w:bCs/>
                <w:color w:val="000000"/>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32"/>
                <w:sz w:val="20"/>
                <w:shd w:val="solid" w:color="000000" w:fill="000000"/>
                <w:fitText w:val="570" w:id="-1032109821"/>
                <w14:textFill>
                  <w14:solidFill>
                    <w14:srgbClr w14:val="000000">
                      <w14:alpha w14:val="100000"/>
                    </w14:srgbClr>
                  </w14:solidFill>
                </w14:textFill>
              </w:rPr>
              <w:t>|||||||</w:t>
            </w:r>
            <w:r w:rsidRPr="0036355B">
              <w:rPr>
                <w:rFonts w:ascii="Arial Narrow" w:eastAsiaTheme="majorEastAsia" w:hAnsi="Arial Narrow" w:cstheme="majorBidi"/>
                <w:bCs/>
                <w:color w:val="000000"/>
                <w:spacing w:val="6"/>
                <w:sz w:val="20"/>
                <w:shd w:val="solid" w:color="000000" w:fill="000000"/>
                <w:fitText w:val="570" w:id="-1032109821"/>
                <w14:textFill>
                  <w14:solidFill>
                    <w14:srgbClr w14:val="000000">
                      <w14:alpha w14:val="100000"/>
                    </w14:srgbClr>
                  </w14:solidFill>
                </w14:textFill>
              </w:rPr>
              <w:t>|</w:t>
            </w:r>
            <w:r w:rsidR="005936E3">
              <w:rPr>
                <w:rFonts w:ascii="Arial Narrow" w:hAnsi="Arial Narrow"/>
                <w:sz w:val="18"/>
                <w:szCs w:val="22"/>
                <w:vertAlign w:val="superscript"/>
              </w:rPr>
              <w:t>12</w:t>
            </w:r>
          </w:p>
        </w:tc>
        <w:tc>
          <w:tcPr>
            <w:tcW w:w="1081" w:type="dxa"/>
            <w:shd w:val="clear" w:color="auto" w:fill="auto"/>
          </w:tcPr>
          <w:p w14:paraId="20114684" w14:textId="73340F46" w:rsidR="00EB54E6" w:rsidRPr="005441F2" w:rsidRDefault="0036355B" w:rsidP="00B61BA5">
            <w:pPr>
              <w:keepNext/>
              <w:jc w:val="center"/>
              <w:rPr>
                <w:rFonts w:ascii="Arial Narrow" w:eastAsiaTheme="majorEastAsia" w:hAnsi="Arial Narrow"/>
                <w:bCs/>
                <w:color w:val="000000"/>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32"/>
                <w:sz w:val="20"/>
                <w:shd w:val="solid" w:color="000000" w:fill="000000"/>
                <w:fitText w:val="570" w:id="-1032109818"/>
                <w14:textFill>
                  <w14:solidFill>
                    <w14:srgbClr w14:val="000000">
                      <w14:alpha w14:val="100000"/>
                    </w14:srgbClr>
                  </w14:solidFill>
                </w14:textFill>
              </w:rPr>
              <w:t>|||||||</w:t>
            </w:r>
            <w:r w:rsidRPr="0036355B">
              <w:rPr>
                <w:rFonts w:ascii="Arial Narrow" w:eastAsiaTheme="majorEastAsia" w:hAnsi="Arial Narrow" w:cstheme="majorBidi"/>
                <w:bCs/>
                <w:color w:val="000000"/>
                <w:spacing w:val="6"/>
                <w:sz w:val="20"/>
                <w:shd w:val="solid" w:color="000000" w:fill="000000"/>
                <w:fitText w:val="570" w:id="-1032109818"/>
                <w14:textFill>
                  <w14:solidFill>
                    <w14:srgbClr w14:val="000000">
                      <w14:alpha w14:val="100000"/>
                    </w14:srgbClr>
                  </w14:solidFill>
                </w14:textFill>
              </w:rPr>
              <w:t>|</w:t>
            </w:r>
            <w:r w:rsidR="005936E3">
              <w:rPr>
                <w:rFonts w:ascii="Arial Narrow" w:hAnsi="Arial Narrow"/>
                <w:sz w:val="18"/>
                <w:szCs w:val="22"/>
                <w:vertAlign w:val="superscript"/>
              </w:rPr>
              <w:t>12</w:t>
            </w:r>
          </w:p>
        </w:tc>
        <w:tc>
          <w:tcPr>
            <w:tcW w:w="1082" w:type="dxa"/>
            <w:shd w:val="clear" w:color="auto" w:fill="auto"/>
          </w:tcPr>
          <w:p w14:paraId="51CAEAED" w14:textId="5E41E185" w:rsidR="00EB54E6" w:rsidRPr="005441F2" w:rsidRDefault="0036355B" w:rsidP="00B61BA5">
            <w:pPr>
              <w:keepNext/>
              <w:jc w:val="center"/>
              <w:rPr>
                <w:rFonts w:ascii="Arial Narrow" w:eastAsiaTheme="majorEastAsia" w:hAnsi="Arial Narrow"/>
                <w:bCs/>
                <w:color w:val="000000"/>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32"/>
                <w:sz w:val="20"/>
                <w:shd w:val="solid" w:color="000000" w:fill="000000"/>
                <w:fitText w:val="570" w:id="-1032109815"/>
                <w14:textFill>
                  <w14:solidFill>
                    <w14:srgbClr w14:val="000000">
                      <w14:alpha w14:val="100000"/>
                    </w14:srgbClr>
                  </w14:solidFill>
                </w14:textFill>
              </w:rPr>
              <w:t>|||||||</w:t>
            </w:r>
            <w:r w:rsidRPr="0036355B">
              <w:rPr>
                <w:rFonts w:ascii="Arial Narrow" w:eastAsiaTheme="majorEastAsia" w:hAnsi="Arial Narrow" w:cstheme="majorBidi"/>
                <w:bCs/>
                <w:color w:val="000000"/>
                <w:spacing w:val="6"/>
                <w:sz w:val="20"/>
                <w:shd w:val="solid" w:color="000000" w:fill="000000"/>
                <w:fitText w:val="570" w:id="-1032109815"/>
                <w14:textFill>
                  <w14:solidFill>
                    <w14:srgbClr w14:val="000000">
                      <w14:alpha w14:val="100000"/>
                    </w14:srgbClr>
                  </w14:solidFill>
                </w14:textFill>
              </w:rPr>
              <w:t>|</w:t>
            </w:r>
            <w:r w:rsidR="005936E3">
              <w:rPr>
                <w:rFonts w:ascii="Arial Narrow" w:hAnsi="Arial Narrow"/>
                <w:sz w:val="18"/>
                <w:szCs w:val="22"/>
                <w:vertAlign w:val="superscript"/>
              </w:rPr>
              <w:t>12</w:t>
            </w:r>
          </w:p>
        </w:tc>
      </w:tr>
      <w:tr w:rsidR="00EB54E6" w:rsidRPr="00C802B9" w14:paraId="7946590C" w14:textId="77777777" w:rsidTr="00B61BA5">
        <w:tc>
          <w:tcPr>
            <w:tcW w:w="2580" w:type="dxa"/>
            <w:shd w:val="clear" w:color="auto" w:fill="auto"/>
            <w:vAlign w:val="center"/>
          </w:tcPr>
          <w:p w14:paraId="490E500E" w14:textId="77777777" w:rsidR="00EB54E6" w:rsidRPr="00C802B9" w:rsidRDefault="00EB54E6" w:rsidP="00B61BA5">
            <w:pPr>
              <w:keepNext/>
              <w:jc w:val="left"/>
              <w:rPr>
                <w:rFonts w:ascii="Arial Narrow" w:eastAsiaTheme="majorEastAsia" w:hAnsi="Arial Narrow" w:cstheme="majorBidi"/>
                <w:bCs/>
                <w:sz w:val="20"/>
                <w:vertAlign w:val="superscript"/>
              </w:rPr>
            </w:pPr>
            <w:r w:rsidRPr="00C802B9">
              <w:rPr>
                <w:rFonts w:ascii="Arial Narrow" w:eastAsiaTheme="majorEastAsia" w:hAnsi="Arial Narrow" w:cstheme="majorBidi"/>
                <w:bCs/>
                <w:sz w:val="20"/>
              </w:rPr>
              <w:t>Cost to the PBS/RPBS ($204.71 per script)</w:t>
            </w:r>
          </w:p>
        </w:tc>
        <w:tc>
          <w:tcPr>
            <w:tcW w:w="1081" w:type="dxa"/>
            <w:shd w:val="clear" w:color="auto" w:fill="auto"/>
            <w:vAlign w:val="center"/>
          </w:tcPr>
          <w:p w14:paraId="4521FEE1" w14:textId="0169A444" w:rsidR="00EB54E6" w:rsidRPr="005441F2" w:rsidRDefault="0036355B" w:rsidP="00B61BA5">
            <w:pPr>
              <w:keepNext/>
              <w:jc w:val="center"/>
              <w:rPr>
                <w:rFonts w:ascii="Arial Narrow" w:eastAsiaTheme="majorEastAsia" w:hAnsi="Arial Narrow"/>
                <w:bCs/>
                <w:color w:val="000000"/>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32"/>
                <w:sz w:val="20"/>
                <w:shd w:val="solid" w:color="000000" w:fill="000000"/>
                <w:fitText w:val="570" w:id="-1032109812"/>
                <w14:textFill>
                  <w14:solidFill>
                    <w14:srgbClr w14:val="000000">
                      <w14:alpha w14:val="100000"/>
                    </w14:srgbClr>
                  </w14:solidFill>
                </w14:textFill>
              </w:rPr>
              <w:t>|||||||</w:t>
            </w:r>
            <w:r w:rsidRPr="0036355B">
              <w:rPr>
                <w:rFonts w:ascii="Arial Narrow" w:eastAsiaTheme="majorEastAsia" w:hAnsi="Arial Narrow" w:cstheme="majorBidi"/>
                <w:bCs/>
                <w:color w:val="000000"/>
                <w:spacing w:val="6"/>
                <w:sz w:val="20"/>
                <w:shd w:val="solid" w:color="000000" w:fill="000000"/>
                <w:fitText w:val="570" w:id="-1032109812"/>
                <w14:textFill>
                  <w14:solidFill>
                    <w14:srgbClr w14:val="000000">
                      <w14:alpha w14:val="100000"/>
                    </w14:srgbClr>
                  </w14:solidFill>
                </w14:textFill>
              </w:rPr>
              <w:t>|</w:t>
            </w:r>
            <w:r w:rsidR="005936E3">
              <w:rPr>
                <w:rFonts w:ascii="Arial Narrow" w:hAnsi="Arial Narrow"/>
                <w:sz w:val="18"/>
                <w:szCs w:val="22"/>
                <w:vertAlign w:val="superscript"/>
              </w:rPr>
              <w:t>13</w:t>
            </w:r>
          </w:p>
        </w:tc>
        <w:tc>
          <w:tcPr>
            <w:tcW w:w="1081" w:type="dxa"/>
            <w:shd w:val="clear" w:color="auto" w:fill="auto"/>
            <w:vAlign w:val="center"/>
          </w:tcPr>
          <w:p w14:paraId="443BD6C1" w14:textId="2D0BDC5C" w:rsidR="00EB54E6" w:rsidRPr="005441F2" w:rsidRDefault="0036355B" w:rsidP="00B61BA5">
            <w:pPr>
              <w:keepNext/>
              <w:jc w:val="center"/>
              <w:rPr>
                <w:rFonts w:ascii="Arial Narrow" w:eastAsiaTheme="majorEastAsia" w:hAnsi="Arial Narrow"/>
                <w:bCs/>
                <w:color w:val="000000"/>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32"/>
                <w:sz w:val="20"/>
                <w:shd w:val="solid" w:color="000000" w:fill="000000"/>
                <w:fitText w:val="570" w:id="-1032109809"/>
                <w14:textFill>
                  <w14:solidFill>
                    <w14:srgbClr w14:val="000000">
                      <w14:alpha w14:val="100000"/>
                    </w14:srgbClr>
                  </w14:solidFill>
                </w14:textFill>
              </w:rPr>
              <w:t>|||||||</w:t>
            </w:r>
            <w:r w:rsidRPr="0036355B">
              <w:rPr>
                <w:rFonts w:ascii="Arial Narrow" w:eastAsiaTheme="majorEastAsia" w:hAnsi="Arial Narrow" w:cstheme="majorBidi"/>
                <w:bCs/>
                <w:color w:val="000000"/>
                <w:spacing w:val="6"/>
                <w:sz w:val="20"/>
                <w:shd w:val="solid" w:color="000000" w:fill="000000"/>
                <w:fitText w:val="570" w:id="-1032109809"/>
                <w14:textFill>
                  <w14:solidFill>
                    <w14:srgbClr w14:val="000000">
                      <w14:alpha w14:val="100000"/>
                    </w14:srgbClr>
                  </w14:solidFill>
                </w14:textFill>
              </w:rPr>
              <w:t>|</w:t>
            </w:r>
            <w:r w:rsidR="005936E3">
              <w:rPr>
                <w:rFonts w:ascii="Arial Narrow" w:hAnsi="Arial Narrow"/>
                <w:sz w:val="18"/>
                <w:szCs w:val="22"/>
                <w:vertAlign w:val="superscript"/>
              </w:rPr>
              <w:t>14</w:t>
            </w:r>
          </w:p>
        </w:tc>
        <w:tc>
          <w:tcPr>
            <w:tcW w:w="1081" w:type="dxa"/>
            <w:shd w:val="clear" w:color="auto" w:fill="auto"/>
            <w:vAlign w:val="center"/>
          </w:tcPr>
          <w:p w14:paraId="46AA7BDC" w14:textId="5056AAFA" w:rsidR="00EB54E6" w:rsidRPr="005441F2" w:rsidRDefault="0036355B" w:rsidP="00B61BA5">
            <w:pPr>
              <w:keepNext/>
              <w:jc w:val="center"/>
              <w:rPr>
                <w:rFonts w:ascii="Arial Narrow" w:eastAsiaTheme="majorEastAsia" w:hAnsi="Arial Narrow"/>
                <w:bCs/>
                <w:color w:val="000000"/>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32"/>
                <w:sz w:val="20"/>
                <w:shd w:val="solid" w:color="000000" w:fill="000000"/>
                <w:fitText w:val="570" w:id="-1032109823"/>
                <w14:textFill>
                  <w14:solidFill>
                    <w14:srgbClr w14:val="000000">
                      <w14:alpha w14:val="100000"/>
                    </w14:srgbClr>
                  </w14:solidFill>
                </w14:textFill>
              </w:rPr>
              <w:t>|||||||</w:t>
            </w:r>
            <w:r w:rsidRPr="0036355B">
              <w:rPr>
                <w:rFonts w:ascii="Arial Narrow" w:eastAsiaTheme="majorEastAsia" w:hAnsi="Arial Narrow" w:cstheme="majorBidi"/>
                <w:bCs/>
                <w:color w:val="000000"/>
                <w:spacing w:val="6"/>
                <w:sz w:val="20"/>
                <w:shd w:val="solid" w:color="000000" w:fill="000000"/>
                <w:fitText w:val="570" w:id="-1032109823"/>
                <w14:textFill>
                  <w14:solidFill>
                    <w14:srgbClr w14:val="000000">
                      <w14:alpha w14:val="100000"/>
                    </w14:srgbClr>
                  </w14:solidFill>
                </w14:textFill>
              </w:rPr>
              <w:t>|</w:t>
            </w:r>
            <w:r w:rsidR="005936E3">
              <w:rPr>
                <w:rFonts w:ascii="Arial Narrow" w:hAnsi="Arial Narrow"/>
                <w:sz w:val="18"/>
                <w:szCs w:val="22"/>
                <w:vertAlign w:val="superscript"/>
              </w:rPr>
              <w:t>15</w:t>
            </w:r>
          </w:p>
        </w:tc>
        <w:tc>
          <w:tcPr>
            <w:tcW w:w="1081" w:type="dxa"/>
            <w:shd w:val="clear" w:color="auto" w:fill="auto"/>
            <w:vAlign w:val="center"/>
          </w:tcPr>
          <w:p w14:paraId="155E8748" w14:textId="6841DE7E" w:rsidR="00EB54E6" w:rsidRPr="005441F2" w:rsidRDefault="0036355B" w:rsidP="00B61BA5">
            <w:pPr>
              <w:keepNext/>
              <w:jc w:val="center"/>
              <w:rPr>
                <w:rFonts w:ascii="Arial Narrow" w:eastAsiaTheme="majorEastAsia" w:hAnsi="Arial Narrow"/>
                <w:bCs/>
                <w:color w:val="000000"/>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32"/>
                <w:sz w:val="20"/>
                <w:shd w:val="solid" w:color="000000" w:fill="000000"/>
                <w:fitText w:val="570" w:id="-1032109820"/>
                <w14:textFill>
                  <w14:solidFill>
                    <w14:srgbClr w14:val="000000">
                      <w14:alpha w14:val="100000"/>
                    </w14:srgbClr>
                  </w14:solidFill>
                </w14:textFill>
              </w:rPr>
              <w:t>|||||||</w:t>
            </w:r>
            <w:r w:rsidRPr="0036355B">
              <w:rPr>
                <w:rFonts w:ascii="Arial Narrow" w:eastAsiaTheme="majorEastAsia" w:hAnsi="Arial Narrow" w:cstheme="majorBidi"/>
                <w:bCs/>
                <w:color w:val="000000"/>
                <w:spacing w:val="6"/>
                <w:sz w:val="20"/>
                <w:shd w:val="solid" w:color="000000" w:fill="000000"/>
                <w:fitText w:val="570" w:id="-1032109820"/>
                <w14:textFill>
                  <w14:solidFill>
                    <w14:srgbClr w14:val="000000">
                      <w14:alpha w14:val="100000"/>
                    </w14:srgbClr>
                  </w14:solidFill>
                </w14:textFill>
              </w:rPr>
              <w:t>|</w:t>
            </w:r>
            <w:r w:rsidR="005936E3">
              <w:rPr>
                <w:rFonts w:ascii="Arial Narrow" w:hAnsi="Arial Narrow"/>
                <w:sz w:val="18"/>
                <w:szCs w:val="22"/>
                <w:vertAlign w:val="superscript"/>
              </w:rPr>
              <w:t>16</w:t>
            </w:r>
          </w:p>
        </w:tc>
        <w:tc>
          <w:tcPr>
            <w:tcW w:w="1081" w:type="dxa"/>
            <w:shd w:val="clear" w:color="auto" w:fill="auto"/>
            <w:vAlign w:val="center"/>
          </w:tcPr>
          <w:p w14:paraId="66789F42" w14:textId="0C6CE298" w:rsidR="00EB54E6" w:rsidRPr="005441F2" w:rsidRDefault="0036355B" w:rsidP="00B61BA5">
            <w:pPr>
              <w:keepNext/>
              <w:jc w:val="center"/>
              <w:rPr>
                <w:rFonts w:ascii="Arial Narrow" w:eastAsiaTheme="majorEastAsia" w:hAnsi="Arial Narrow"/>
                <w:bCs/>
                <w:color w:val="000000"/>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32"/>
                <w:sz w:val="20"/>
                <w:shd w:val="solid" w:color="000000" w:fill="000000"/>
                <w:fitText w:val="570" w:id="-1032109817"/>
                <w14:textFill>
                  <w14:solidFill>
                    <w14:srgbClr w14:val="000000">
                      <w14:alpha w14:val="100000"/>
                    </w14:srgbClr>
                  </w14:solidFill>
                </w14:textFill>
              </w:rPr>
              <w:t>|||||||</w:t>
            </w:r>
            <w:r w:rsidRPr="0036355B">
              <w:rPr>
                <w:rFonts w:ascii="Arial Narrow" w:eastAsiaTheme="majorEastAsia" w:hAnsi="Arial Narrow" w:cstheme="majorBidi"/>
                <w:bCs/>
                <w:color w:val="000000"/>
                <w:spacing w:val="6"/>
                <w:sz w:val="20"/>
                <w:shd w:val="solid" w:color="000000" w:fill="000000"/>
                <w:fitText w:val="570" w:id="-1032109817"/>
                <w14:textFill>
                  <w14:solidFill>
                    <w14:srgbClr w14:val="000000">
                      <w14:alpha w14:val="100000"/>
                    </w14:srgbClr>
                  </w14:solidFill>
                </w14:textFill>
              </w:rPr>
              <w:t>|</w:t>
            </w:r>
            <w:r w:rsidR="005936E3">
              <w:rPr>
                <w:rFonts w:ascii="Arial Narrow" w:hAnsi="Arial Narrow"/>
                <w:sz w:val="18"/>
                <w:szCs w:val="22"/>
                <w:vertAlign w:val="superscript"/>
              </w:rPr>
              <w:t>16</w:t>
            </w:r>
          </w:p>
        </w:tc>
        <w:tc>
          <w:tcPr>
            <w:tcW w:w="1082" w:type="dxa"/>
            <w:shd w:val="clear" w:color="auto" w:fill="auto"/>
            <w:vAlign w:val="center"/>
          </w:tcPr>
          <w:p w14:paraId="3C829978" w14:textId="4401B80A" w:rsidR="00EB54E6" w:rsidRPr="005441F2" w:rsidRDefault="0036355B" w:rsidP="00B61BA5">
            <w:pPr>
              <w:keepNext/>
              <w:jc w:val="center"/>
              <w:rPr>
                <w:rFonts w:ascii="Arial Narrow" w:eastAsiaTheme="majorEastAsia" w:hAnsi="Arial Narrow"/>
                <w:bCs/>
                <w:color w:val="000000"/>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32"/>
                <w:sz w:val="20"/>
                <w:shd w:val="solid" w:color="000000" w:fill="000000"/>
                <w:fitText w:val="570" w:id="-1032109814"/>
                <w14:textFill>
                  <w14:solidFill>
                    <w14:srgbClr w14:val="000000">
                      <w14:alpha w14:val="100000"/>
                    </w14:srgbClr>
                  </w14:solidFill>
                </w14:textFill>
              </w:rPr>
              <w:t>|||||||</w:t>
            </w:r>
            <w:r w:rsidRPr="0036355B">
              <w:rPr>
                <w:rFonts w:ascii="Arial Narrow" w:eastAsiaTheme="majorEastAsia" w:hAnsi="Arial Narrow" w:cstheme="majorBidi"/>
                <w:bCs/>
                <w:color w:val="000000"/>
                <w:spacing w:val="6"/>
                <w:sz w:val="20"/>
                <w:shd w:val="solid" w:color="000000" w:fill="000000"/>
                <w:fitText w:val="570" w:id="-1032109814"/>
                <w14:textFill>
                  <w14:solidFill>
                    <w14:srgbClr w14:val="000000">
                      <w14:alpha w14:val="100000"/>
                    </w14:srgbClr>
                  </w14:solidFill>
                </w14:textFill>
              </w:rPr>
              <w:t>|</w:t>
            </w:r>
            <w:r w:rsidR="005936E3">
              <w:rPr>
                <w:rFonts w:ascii="Arial Narrow" w:hAnsi="Arial Narrow"/>
                <w:sz w:val="18"/>
                <w:szCs w:val="22"/>
                <w:vertAlign w:val="superscript"/>
              </w:rPr>
              <w:t>16</w:t>
            </w:r>
          </w:p>
        </w:tc>
      </w:tr>
      <w:tr w:rsidR="00EB54E6" w:rsidRPr="00C802B9" w14:paraId="70B19B98" w14:textId="77777777" w:rsidTr="00B61BA5">
        <w:tc>
          <w:tcPr>
            <w:tcW w:w="2580" w:type="dxa"/>
            <w:shd w:val="clear" w:color="auto" w:fill="auto"/>
            <w:vAlign w:val="center"/>
          </w:tcPr>
          <w:p w14:paraId="1AD31401" w14:textId="77777777" w:rsidR="00EB54E6" w:rsidRPr="00C802B9" w:rsidRDefault="00EB54E6" w:rsidP="00B61BA5">
            <w:pPr>
              <w:keepNext/>
              <w:jc w:val="left"/>
              <w:rPr>
                <w:rFonts w:ascii="Arial Narrow" w:eastAsiaTheme="majorEastAsia" w:hAnsi="Arial Narrow" w:cstheme="majorBidi"/>
                <w:bCs/>
                <w:sz w:val="20"/>
              </w:rPr>
            </w:pPr>
            <w:r w:rsidRPr="00C802B9">
              <w:rPr>
                <w:rFonts w:ascii="Arial Narrow" w:eastAsiaTheme="majorEastAsia" w:hAnsi="Arial Narrow" w:cstheme="majorBidi"/>
                <w:bCs/>
                <w:sz w:val="20"/>
              </w:rPr>
              <w:t>Patient copayments</w:t>
            </w:r>
            <w:r w:rsidRPr="00C802B9">
              <w:rPr>
                <w:rFonts w:ascii="Arial Narrow" w:eastAsiaTheme="majorEastAsia" w:hAnsi="Arial Narrow" w:cstheme="majorBidi"/>
                <w:bCs/>
                <w:sz w:val="20"/>
                <w:vertAlign w:val="superscript"/>
              </w:rPr>
              <w:t>2</w:t>
            </w:r>
          </w:p>
        </w:tc>
        <w:tc>
          <w:tcPr>
            <w:tcW w:w="1081" w:type="dxa"/>
            <w:shd w:val="clear" w:color="auto" w:fill="auto"/>
          </w:tcPr>
          <w:p w14:paraId="2EB31A8B" w14:textId="0192145D" w:rsidR="00EB54E6" w:rsidRPr="005441F2" w:rsidRDefault="0036355B" w:rsidP="00B61BA5">
            <w:pPr>
              <w:keepNext/>
              <w:jc w:val="center"/>
              <w:rPr>
                <w:rFonts w:ascii="Arial Narrow" w:eastAsiaTheme="majorEastAsia" w:hAnsi="Arial Narrow"/>
                <w:bCs/>
                <w:color w:val="000000"/>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32"/>
                <w:sz w:val="20"/>
                <w:shd w:val="solid" w:color="000000" w:fill="000000"/>
                <w:fitText w:val="570" w:id="-1032109811"/>
                <w14:textFill>
                  <w14:solidFill>
                    <w14:srgbClr w14:val="000000">
                      <w14:alpha w14:val="100000"/>
                    </w14:srgbClr>
                  </w14:solidFill>
                </w14:textFill>
              </w:rPr>
              <w:t>|||||||</w:t>
            </w:r>
            <w:r w:rsidRPr="0036355B">
              <w:rPr>
                <w:rFonts w:ascii="Arial Narrow" w:eastAsiaTheme="majorEastAsia" w:hAnsi="Arial Narrow" w:cstheme="majorBidi"/>
                <w:bCs/>
                <w:color w:val="000000"/>
                <w:spacing w:val="6"/>
                <w:sz w:val="20"/>
                <w:shd w:val="solid" w:color="000000" w:fill="000000"/>
                <w:fitText w:val="570" w:id="-1032109811"/>
                <w14:textFill>
                  <w14:solidFill>
                    <w14:srgbClr w14:val="000000">
                      <w14:alpha w14:val="100000"/>
                    </w14:srgbClr>
                  </w14:solidFill>
                </w14:textFill>
              </w:rPr>
              <w:t>|</w:t>
            </w:r>
            <w:r w:rsidR="005936E3">
              <w:rPr>
                <w:rFonts w:ascii="Arial Narrow" w:hAnsi="Arial Narrow"/>
                <w:sz w:val="18"/>
                <w:szCs w:val="22"/>
                <w:vertAlign w:val="superscript"/>
              </w:rPr>
              <w:t>17</w:t>
            </w:r>
          </w:p>
        </w:tc>
        <w:tc>
          <w:tcPr>
            <w:tcW w:w="1081" w:type="dxa"/>
            <w:shd w:val="clear" w:color="auto" w:fill="auto"/>
          </w:tcPr>
          <w:p w14:paraId="280E1878" w14:textId="79482044" w:rsidR="00EB54E6" w:rsidRPr="005441F2" w:rsidRDefault="0036355B" w:rsidP="00B61BA5">
            <w:pPr>
              <w:keepNext/>
              <w:jc w:val="center"/>
              <w:rPr>
                <w:rFonts w:ascii="Arial Narrow" w:eastAsiaTheme="majorEastAsia" w:hAnsi="Arial Narrow"/>
                <w:bCs/>
                <w:color w:val="000000"/>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32"/>
                <w:sz w:val="20"/>
                <w:shd w:val="solid" w:color="000000" w:fill="000000"/>
                <w:fitText w:val="570" w:id="-1032109808"/>
                <w14:textFill>
                  <w14:solidFill>
                    <w14:srgbClr w14:val="000000">
                      <w14:alpha w14:val="100000"/>
                    </w14:srgbClr>
                  </w14:solidFill>
                </w14:textFill>
              </w:rPr>
              <w:t>|||||||</w:t>
            </w:r>
            <w:r w:rsidRPr="0036355B">
              <w:rPr>
                <w:rFonts w:ascii="Arial Narrow" w:eastAsiaTheme="majorEastAsia" w:hAnsi="Arial Narrow" w:cstheme="majorBidi"/>
                <w:bCs/>
                <w:color w:val="000000"/>
                <w:spacing w:val="6"/>
                <w:sz w:val="20"/>
                <w:shd w:val="solid" w:color="000000" w:fill="000000"/>
                <w:fitText w:val="570" w:id="-1032109808"/>
                <w14:textFill>
                  <w14:solidFill>
                    <w14:srgbClr w14:val="000000">
                      <w14:alpha w14:val="100000"/>
                    </w14:srgbClr>
                  </w14:solidFill>
                </w14:textFill>
              </w:rPr>
              <w:t>|</w:t>
            </w:r>
            <w:r w:rsidR="005936E3">
              <w:rPr>
                <w:rFonts w:ascii="Arial Narrow" w:hAnsi="Arial Narrow"/>
                <w:sz w:val="18"/>
                <w:szCs w:val="22"/>
                <w:vertAlign w:val="superscript"/>
              </w:rPr>
              <w:t>17</w:t>
            </w:r>
          </w:p>
        </w:tc>
        <w:tc>
          <w:tcPr>
            <w:tcW w:w="1081" w:type="dxa"/>
            <w:shd w:val="clear" w:color="auto" w:fill="auto"/>
          </w:tcPr>
          <w:p w14:paraId="3FCD827E" w14:textId="0E1E0DE4" w:rsidR="00EB54E6" w:rsidRPr="005441F2" w:rsidRDefault="0036355B" w:rsidP="00B61BA5">
            <w:pPr>
              <w:keepNext/>
              <w:jc w:val="center"/>
              <w:rPr>
                <w:rFonts w:ascii="Arial Narrow" w:eastAsiaTheme="majorEastAsia" w:hAnsi="Arial Narrow"/>
                <w:bCs/>
                <w:color w:val="000000"/>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32"/>
                <w:sz w:val="20"/>
                <w:shd w:val="solid" w:color="000000" w:fill="000000"/>
                <w:fitText w:val="570" w:id="-1032109822"/>
                <w14:textFill>
                  <w14:solidFill>
                    <w14:srgbClr w14:val="000000">
                      <w14:alpha w14:val="100000"/>
                    </w14:srgbClr>
                  </w14:solidFill>
                </w14:textFill>
              </w:rPr>
              <w:t>|||||||</w:t>
            </w:r>
            <w:r w:rsidRPr="0036355B">
              <w:rPr>
                <w:rFonts w:ascii="Arial Narrow" w:eastAsiaTheme="majorEastAsia" w:hAnsi="Arial Narrow" w:cstheme="majorBidi"/>
                <w:bCs/>
                <w:color w:val="000000"/>
                <w:spacing w:val="6"/>
                <w:sz w:val="20"/>
                <w:shd w:val="solid" w:color="000000" w:fill="000000"/>
                <w:fitText w:val="570" w:id="-1032109822"/>
                <w14:textFill>
                  <w14:solidFill>
                    <w14:srgbClr w14:val="000000">
                      <w14:alpha w14:val="100000"/>
                    </w14:srgbClr>
                  </w14:solidFill>
                </w14:textFill>
              </w:rPr>
              <w:t>|</w:t>
            </w:r>
            <w:r w:rsidR="005936E3">
              <w:rPr>
                <w:rFonts w:ascii="Arial Narrow" w:hAnsi="Arial Narrow"/>
                <w:sz w:val="18"/>
                <w:szCs w:val="22"/>
                <w:vertAlign w:val="superscript"/>
              </w:rPr>
              <w:t>17</w:t>
            </w:r>
          </w:p>
        </w:tc>
        <w:tc>
          <w:tcPr>
            <w:tcW w:w="1081" w:type="dxa"/>
            <w:shd w:val="clear" w:color="auto" w:fill="auto"/>
          </w:tcPr>
          <w:p w14:paraId="4A13FFE1" w14:textId="7175489E" w:rsidR="00EB54E6" w:rsidRPr="005441F2" w:rsidRDefault="0036355B" w:rsidP="00B61BA5">
            <w:pPr>
              <w:keepNext/>
              <w:jc w:val="center"/>
              <w:rPr>
                <w:rFonts w:ascii="Arial Narrow" w:eastAsiaTheme="majorEastAsia" w:hAnsi="Arial Narrow"/>
                <w:bCs/>
                <w:color w:val="000000"/>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32"/>
                <w:sz w:val="20"/>
                <w:shd w:val="solid" w:color="000000" w:fill="000000"/>
                <w:fitText w:val="570" w:id="-1032109819"/>
                <w14:textFill>
                  <w14:solidFill>
                    <w14:srgbClr w14:val="000000">
                      <w14:alpha w14:val="100000"/>
                    </w14:srgbClr>
                  </w14:solidFill>
                </w14:textFill>
              </w:rPr>
              <w:t>|||||||</w:t>
            </w:r>
            <w:r w:rsidRPr="0036355B">
              <w:rPr>
                <w:rFonts w:ascii="Arial Narrow" w:eastAsiaTheme="majorEastAsia" w:hAnsi="Arial Narrow" w:cstheme="majorBidi"/>
                <w:bCs/>
                <w:color w:val="000000"/>
                <w:spacing w:val="6"/>
                <w:sz w:val="20"/>
                <w:shd w:val="solid" w:color="000000" w:fill="000000"/>
                <w:fitText w:val="570" w:id="-1032109819"/>
                <w14:textFill>
                  <w14:solidFill>
                    <w14:srgbClr w14:val="000000">
                      <w14:alpha w14:val="100000"/>
                    </w14:srgbClr>
                  </w14:solidFill>
                </w14:textFill>
              </w:rPr>
              <w:t>|</w:t>
            </w:r>
            <w:r w:rsidR="005936E3">
              <w:rPr>
                <w:rFonts w:ascii="Arial Narrow" w:hAnsi="Arial Narrow"/>
                <w:sz w:val="18"/>
                <w:szCs w:val="22"/>
                <w:vertAlign w:val="superscript"/>
              </w:rPr>
              <w:t>17</w:t>
            </w:r>
          </w:p>
        </w:tc>
        <w:tc>
          <w:tcPr>
            <w:tcW w:w="1081" w:type="dxa"/>
            <w:shd w:val="clear" w:color="auto" w:fill="auto"/>
          </w:tcPr>
          <w:p w14:paraId="7C4C27FC" w14:textId="5999F6B3" w:rsidR="00EB54E6" w:rsidRPr="005441F2" w:rsidRDefault="0036355B" w:rsidP="00B61BA5">
            <w:pPr>
              <w:keepNext/>
              <w:jc w:val="center"/>
              <w:rPr>
                <w:rFonts w:ascii="Arial Narrow" w:eastAsiaTheme="majorEastAsia" w:hAnsi="Arial Narrow"/>
                <w:bCs/>
                <w:color w:val="000000"/>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32"/>
                <w:sz w:val="20"/>
                <w:shd w:val="solid" w:color="000000" w:fill="000000"/>
                <w:fitText w:val="570" w:id="-1032109816"/>
                <w14:textFill>
                  <w14:solidFill>
                    <w14:srgbClr w14:val="000000">
                      <w14:alpha w14:val="100000"/>
                    </w14:srgbClr>
                  </w14:solidFill>
                </w14:textFill>
              </w:rPr>
              <w:t>|||||||</w:t>
            </w:r>
            <w:r w:rsidRPr="0036355B">
              <w:rPr>
                <w:rFonts w:ascii="Arial Narrow" w:eastAsiaTheme="majorEastAsia" w:hAnsi="Arial Narrow" w:cstheme="majorBidi"/>
                <w:bCs/>
                <w:color w:val="000000"/>
                <w:spacing w:val="6"/>
                <w:sz w:val="20"/>
                <w:shd w:val="solid" w:color="000000" w:fill="000000"/>
                <w:fitText w:val="570" w:id="-1032109816"/>
                <w14:textFill>
                  <w14:solidFill>
                    <w14:srgbClr w14:val="000000">
                      <w14:alpha w14:val="100000"/>
                    </w14:srgbClr>
                  </w14:solidFill>
                </w14:textFill>
              </w:rPr>
              <w:t>|</w:t>
            </w:r>
            <w:r w:rsidR="005936E3">
              <w:rPr>
                <w:rFonts w:ascii="Arial Narrow" w:hAnsi="Arial Narrow"/>
                <w:sz w:val="18"/>
                <w:szCs w:val="22"/>
                <w:vertAlign w:val="superscript"/>
              </w:rPr>
              <w:t>17</w:t>
            </w:r>
          </w:p>
        </w:tc>
        <w:tc>
          <w:tcPr>
            <w:tcW w:w="1082" w:type="dxa"/>
            <w:shd w:val="clear" w:color="auto" w:fill="auto"/>
          </w:tcPr>
          <w:p w14:paraId="10A6F92B" w14:textId="435A6243" w:rsidR="00EB54E6" w:rsidRPr="005441F2" w:rsidRDefault="0036355B" w:rsidP="00B61BA5">
            <w:pPr>
              <w:keepNext/>
              <w:jc w:val="center"/>
              <w:rPr>
                <w:rFonts w:ascii="Arial Narrow" w:eastAsiaTheme="majorEastAsia" w:hAnsi="Arial Narrow"/>
                <w:bCs/>
                <w:color w:val="000000"/>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32"/>
                <w:sz w:val="20"/>
                <w:shd w:val="solid" w:color="000000" w:fill="000000"/>
                <w:fitText w:val="570" w:id="-1032109813"/>
                <w14:textFill>
                  <w14:solidFill>
                    <w14:srgbClr w14:val="000000">
                      <w14:alpha w14:val="100000"/>
                    </w14:srgbClr>
                  </w14:solidFill>
                </w14:textFill>
              </w:rPr>
              <w:t>|||||||</w:t>
            </w:r>
            <w:r w:rsidRPr="0036355B">
              <w:rPr>
                <w:rFonts w:ascii="Arial Narrow" w:eastAsiaTheme="majorEastAsia" w:hAnsi="Arial Narrow" w:cstheme="majorBidi"/>
                <w:bCs/>
                <w:color w:val="000000"/>
                <w:spacing w:val="6"/>
                <w:sz w:val="20"/>
                <w:shd w:val="solid" w:color="000000" w:fill="000000"/>
                <w:fitText w:val="570" w:id="-1032109813"/>
                <w14:textFill>
                  <w14:solidFill>
                    <w14:srgbClr w14:val="000000">
                      <w14:alpha w14:val="100000"/>
                    </w14:srgbClr>
                  </w14:solidFill>
                </w14:textFill>
              </w:rPr>
              <w:t>|</w:t>
            </w:r>
            <w:r w:rsidR="005936E3">
              <w:rPr>
                <w:rFonts w:ascii="Arial Narrow" w:hAnsi="Arial Narrow"/>
                <w:sz w:val="18"/>
                <w:szCs w:val="22"/>
                <w:vertAlign w:val="superscript"/>
              </w:rPr>
              <w:t>17</w:t>
            </w:r>
          </w:p>
        </w:tc>
      </w:tr>
      <w:tr w:rsidR="00EB54E6" w:rsidRPr="00C802B9" w14:paraId="136268AA" w14:textId="77777777" w:rsidTr="00B61BA5">
        <w:tc>
          <w:tcPr>
            <w:tcW w:w="2580" w:type="dxa"/>
            <w:shd w:val="clear" w:color="auto" w:fill="auto"/>
            <w:vAlign w:val="center"/>
          </w:tcPr>
          <w:p w14:paraId="68AB002A" w14:textId="77777777" w:rsidR="00EB54E6" w:rsidRPr="00C802B9" w:rsidRDefault="00EB54E6" w:rsidP="00B61BA5">
            <w:pPr>
              <w:keepNext/>
              <w:jc w:val="left"/>
              <w:rPr>
                <w:rFonts w:ascii="Arial Narrow" w:eastAsiaTheme="majorEastAsia" w:hAnsi="Arial Narrow" w:cstheme="majorBidi"/>
                <w:b/>
                <w:sz w:val="20"/>
              </w:rPr>
            </w:pPr>
            <w:r w:rsidRPr="00C802B9">
              <w:rPr>
                <w:rFonts w:ascii="Arial Narrow" w:eastAsiaTheme="majorEastAsia" w:hAnsi="Arial Narrow" w:cstheme="majorBidi"/>
                <w:b/>
                <w:sz w:val="20"/>
              </w:rPr>
              <w:t>Net cost to PBS/RPBS</w:t>
            </w:r>
          </w:p>
        </w:tc>
        <w:tc>
          <w:tcPr>
            <w:tcW w:w="1081" w:type="dxa"/>
            <w:shd w:val="clear" w:color="auto" w:fill="auto"/>
          </w:tcPr>
          <w:p w14:paraId="03324578" w14:textId="740BC7F8" w:rsidR="00EB54E6" w:rsidRPr="005441F2" w:rsidRDefault="0036355B" w:rsidP="00B61BA5">
            <w:pPr>
              <w:keepNext/>
              <w:jc w:val="center"/>
              <w:rPr>
                <w:rFonts w:ascii="Arial Narrow" w:eastAsiaTheme="majorEastAsia" w:hAnsi="Arial Narrow"/>
                <w:b/>
                <w:color w:val="000000"/>
                <w:sz w:val="20"/>
                <w:highlight w:val="darkGray"/>
              </w:rPr>
            </w:pPr>
            <w:r>
              <w:rPr>
                <w:rFonts w:ascii="Arial Narrow" w:eastAsiaTheme="majorEastAsia" w:hAnsi="Arial Narrow" w:cstheme="majorBidi" w:hint="eastAsia"/>
                <w:b/>
                <w:sz w:val="20"/>
              </w:rPr>
              <w:t xml:space="preserve"> </w:t>
            </w:r>
            <w:r w:rsidRPr="008A76A6">
              <w:rPr>
                <w:rFonts w:ascii="Arial Narrow" w:eastAsiaTheme="majorEastAsia" w:hAnsi="Arial Narrow" w:cstheme="majorBidi"/>
                <w:b/>
                <w:color w:val="000000"/>
                <w:spacing w:val="62"/>
                <w:sz w:val="20"/>
                <w:shd w:val="solid" w:color="000000" w:fill="000000"/>
                <w:fitText w:val="370" w:id="-1032109810"/>
                <w14:textFill>
                  <w14:solidFill>
                    <w14:srgbClr w14:val="000000">
                      <w14:alpha w14:val="100000"/>
                    </w14:srgbClr>
                  </w14:solidFill>
                </w14:textFill>
              </w:rPr>
              <w:t>|||</w:t>
            </w:r>
            <w:r w:rsidRPr="008A76A6">
              <w:rPr>
                <w:rFonts w:ascii="Arial Narrow" w:eastAsiaTheme="majorEastAsia" w:hAnsi="Arial Narrow" w:cstheme="majorBidi"/>
                <w:b/>
                <w:color w:val="000000"/>
                <w:spacing w:val="1"/>
                <w:sz w:val="20"/>
                <w:shd w:val="solid" w:color="000000" w:fill="000000"/>
                <w:fitText w:val="370" w:id="-1032109810"/>
                <w14:textFill>
                  <w14:solidFill>
                    <w14:srgbClr w14:val="000000">
                      <w14:alpha w14:val="100000"/>
                    </w14:srgbClr>
                  </w14:solidFill>
                </w14:textFill>
              </w:rPr>
              <w:t>|</w:t>
            </w:r>
            <w:r w:rsidR="005936E3">
              <w:rPr>
                <w:rFonts w:ascii="Arial Narrow" w:hAnsi="Arial Narrow"/>
                <w:sz w:val="18"/>
                <w:szCs w:val="22"/>
                <w:vertAlign w:val="superscript"/>
              </w:rPr>
              <w:t>13</w:t>
            </w:r>
          </w:p>
        </w:tc>
        <w:tc>
          <w:tcPr>
            <w:tcW w:w="1081" w:type="dxa"/>
            <w:shd w:val="clear" w:color="auto" w:fill="auto"/>
          </w:tcPr>
          <w:p w14:paraId="3A9FC9E3" w14:textId="433D1FB0" w:rsidR="00EB54E6" w:rsidRPr="005441F2" w:rsidRDefault="0036355B" w:rsidP="00B61BA5">
            <w:pPr>
              <w:keepNext/>
              <w:jc w:val="center"/>
              <w:rPr>
                <w:rFonts w:ascii="Arial Narrow" w:eastAsiaTheme="majorEastAsia" w:hAnsi="Arial Narrow"/>
                <w:b/>
                <w:color w:val="000000"/>
                <w:sz w:val="20"/>
                <w:highlight w:val="darkGray"/>
              </w:rPr>
            </w:pPr>
            <w:r w:rsidRPr="008A76A6">
              <w:rPr>
                <w:rFonts w:ascii="Arial Narrow" w:eastAsiaTheme="majorEastAsia" w:hAnsi="Arial Narrow" w:cstheme="majorBidi"/>
                <w:b/>
                <w:color w:val="000000"/>
                <w:spacing w:val="62"/>
                <w:sz w:val="20"/>
                <w:shd w:val="solid" w:color="000000" w:fill="000000"/>
                <w:fitText w:val="370" w:id="-1032109823"/>
                <w14:textFill>
                  <w14:solidFill>
                    <w14:srgbClr w14:val="000000">
                      <w14:alpha w14:val="100000"/>
                    </w14:srgbClr>
                  </w14:solidFill>
                </w14:textFill>
              </w:rPr>
              <w:t>|||</w:t>
            </w:r>
            <w:r w:rsidRPr="008A76A6">
              <w:rPr>
                <w:rFonts w:ascii="Arial Narrow" w:eastAsiaTheme="majorEastAsia" w:hAnsi="Arial Narrow" w:cstheme="majorBidi"/>
                <w:b/>
                <w:color w:val="000000"/>
                <w:spacing w:val="1"/>
                <w:sz w:val="20"/>
                <w:shd w:val="solid" w:color="000000" w:fill="000000"/>
                <w:fitText w:val="370" w:id="-1032109823"/>
                <w14:textFill>
                  <w14:solidFill>
                    <w14:srgbClr w14:val="000000">
                      <w14:alpha w14:val="100000"/>
                    </w14:srgbClr>
                  </w14:solidFill>
                </w14:textFill>
              </w:rPr>
              <w:t>|</w:t>
            </w:r>
            <w:r w:rsidR="005936E3">
              <w:rPr>
                <w:rFonts w:ascii="Arial Narrow" w:hAnsi="Arial Narrow"/>
                <w:sz w:val="18"/>
                <w:szCs w:val="22"/>
                <w:vertAlign w:val="superscript"/>
              </w:rPr>
              <w:t>18</w:t>
            </w:r>
          </w:p>
        </w:tc>
        <w:tc>
          <w:tcPr>
            <w:tcW w:w="1081" w:type="dxa"/>
            <w:shd w:val="clear" w:color="auto" w:fill="auto"/>
          </w:tcPr>
          <w:p w14:paraId="1F10D346" w14:textId="747E3324" w:rsidR="00EB54E6" w:rsidRPr="005441F2" w:rsidRDefault="0036355B" w:rsidP="00B61BA5">
            <w:pPr>
              <w:keepNext/>
              <w:jc w:val="center"/>
              <w:rPr>
                <w:rFonts w:ascii="Arial Narrow" w:eastAsiaTheme="majorEastAsia" w:hAnsi="Arial Narrow"/>
                <w:b/>
                <w:color w:val="000000"/>
                <w:sz w:val="20"/>
                <w:highlight w:val="darkGray"/>
              </w:rPr>
            </w:pPr>
            <w:r w:rsidRPr="008A76A6">
              <w:rPr>
                <w:rFonts w:ascii="Arial Narrow" w:eastAsiaTheme="majorEastAsia" w:hAnsi="Arial Narrow" w:cstheme="majorBidi"/>
                <w:b/>
                <w:color w:val="000000"/>
                <w:spacing w:val="62"/>
                <w:sz w:val="20"/>
                <w:shd w:val="solid" w:color="000000" w:fill="000000"/>
                <w:fitText w:val="370" w:id="-1032109819"/>
                <w14:textFill>
                  <w14:solidFill>
                    <w14:srgbClr w14:val="000000">
                      <w14:alpha w14:val="100000"/>
                    </w14:srgbClr>
                  </w14:solidFill>
                </w14:textFill>
              </w:rPr>
              <w:t>|||</w:t>
            </w:r>
            <w:r w:rsidRPr="008A76A6">
              <w:rPr>
                <w:rFonts w:ascii="Arial Narrow" w:eastAsiaTheme="majorEastAsia" w:hAnsi="Arial Narrow" w:cstheme="majorBidi"/>
                <w:b/>
                <w:color w:val="000000"/>
                <w:spacing w:val="1"/>
                <w:sz w:val="20"/>
                <w:shd w:val="solid" w:color="000000" w:fill="000000"/>
                <w:fitText w:val="370" w:id="-1032109819"/>
                <w14:textFill>
                  <w14:solidFill>
                    <w14:srgbClr w14:val="000000">
                      <w14:alpha w14:val="100000"/>
                    </w14:srgbClr>
                  </w14:solidFill>
                </w14:textFill>
              </w:rPr>
              <w:t>|</w:t>
            </w:r>
            <w:r w:rsidR="005936E3">
              <w:rPr>
                <w:rFonts w:ascii="Arial Narrow" w:hAnsi="Arial Narrow"/>
                <w:sz w:val="18"/>
                <w:szCs w:val="22"/>
                <w:vertAlign w:val="superscript"/>
              </w:rPr>
              <w:t>19</w:t>
            </w:r>
          </w:p>
        </w:tc>
        <w:tc>
          <w:tcPr>
            <w:tcW w:w="1081" w:type="dxa"/>
            <w:shd w:val="clear" w:color="auto" w:fill="auto"/>
          </w:tcPr>
          <w:p w14:paraId="6385EBAF" w14:textId="26839809" w:rsidR="00EB54E6" w:rsidRPr="005441F2" w:rsidRDefault="0036355B" w:rsidP="00B61BA5">
            <w:pPr>
              <w:keepNext/>
              <w:jc w:val="center"/>
              <w:rPr>
                <w:rFonts w:ascii="Arial Narrow" w:eastAsiaTheme="majorEastAsia" w:hAnsi="Arial Narrow"/>
                <w:b/>
                <w:color w:val="000000"/>
                <w:sz w:val="20"/>
                <w:highlight w:val="darkGray"/>
              </w:rPr>
            </w:pPr>
            <w:r w:rsidRPr="008A76A6">
              <w:rPr>
                <w:rFonts w:ascii="Arial Narrow" w:eastAsiaTheme="majorEastAsia" w:hAnsi="Arial Narrow" w:cstheme="majorBidi"/>
                <w:b/>
                <w:color w:val="000000"/>
                <w:spacing w:val="62"/>
                <w:sz w:val="20"/>
                <w:shd w:val="solid" w:color="000000" w:fill="000000"/>
                <w:fitText w:val="370" w:id="-1032109815"/>
                <w14:textFill>
                  <w14:solidFill>
                    <w14:srgbClr w14:val="000000">
                      <w14:alpha w14:val="100000"/>
                    </w14:srgbClr>
                  </w14:solidFill>
                </w14:textFill>
              </w:rPr>
              <w:t>|||</w:t>
            </w:r>
            <w:r w:rsidRPr="008A76A6">
              <w:rPr>
                <w:rFonts w:ascii="Arial Narrow" w:eastAsiaTheme="majorEastAsia" w:hAnsi="Arial Narrow" w:cstheme="majorBidi"/>
                <w:b/>
                <w:color w:val="000000"/>
                <w:spacing w:val="1"/>
                <w:sz w:val="20"/>
                <w:shd w:val="solid" w:color="000000" w:fill="000000"/>
                <w:fitText w:val="370" w:id="-1032109815"/>
                <w14:textFill>
                  <w14:solidFill>
                    <w14:srgbClr w14:val="000000">
                      <w14:alpha w14:val="100000"/>
                    </w14:srgbClr>
                  </w14:solidFill>
                </w14:textFill>
              </w:rPr>
              <w:t>|</w:t>
            </w:r>
            <w:r w:rsidR="005936E3">
              <w:rPr>
                <w:rFonts w:ascii="Arial Narrow" w:hAnsi="Arial Narrow"/>
                <w:sz w:val="18"/>
                <w:szCs w:val="22"/>
                <w:vertAlign w:val="superscript"/>
              </w:rPr>
              <w:t>16</w:t>
            </w:r>
          </w:p>
        </w:tc>
        <w:tc>
          <w:tcPr>
            <w:tcW w:w="1081" w:type="dxa"/>
            <w:shd w:val="clear" w:color="auto" w:fill="auto"/>
          </w:tcPr>
          <w:p w14:paraId="23AF8ED0" w14:textId="32060611" w:rsidR="00EB54E6" w:rsidRPr="005441F2" w:rsidRDefault="0036355B" w:rsidP="00B61BA5">
            <w:pPr>
              <w:keepNext/>
              <w:jc w:val="center"/>
              <w:rPr>
                <w:rFonts w:ascii="Arial Narrow" w:eastAsiaTheme="majorEastAsia" w:hAnsi="Arial Narrow"/>
                <w:b/>
                <w:color w:val="000000"/>
                <w:sz w:val="20"/>
                <w:highlight w:val="darkGray"/>
              </w:rPr>
            </w:pPr>
            <w:r>
              <w:rPr>
                <w:rFonts w:ascii="Arial Narrow" w:eastAsiaTheme="majorEastAsia" w:hAnsi="Arial Narrow" w:cstheme="majorBidi" w:hint="eastAsia"/>
                <w:b/>
                <w:sz w:val="20"/>
              </w:rPr>
              <w:t xml:space="preserve"> </w:t>
            </w:r>
            <w:r w:rsidRPr="008A76A6">
              <w:rPr>
                <w:rFonts w:ascii="Arial Narrow" w:eastAsiaTheme="majorEastAsia" w:hAnsi="Arial Narrow" w:cstheme="majorBidi"/>
                <w:b/>
                <w:color w:val="000000"/>
                <w:spacing w:val="62"/>
                <w:sz w:val="20"/>
                <w:shd w:val="solid" w:color="000000" w:fill="000000"/>
                <w:fitText w:val="370" w:id="-1032109811"/>
                <w14:textFill>
                  <w14:solidFill>
                    <w14:srgbClr w14:val="000000">
                      <w14:alpha w14:val="100000"/>
                    </w14:srgbClr>
                  </w14:solidFill>
                </w14:textFill>
              </w:rPr>
              <w:t>|||</w:t>
            </w:r>
            <w:r w:rsidRPr="008A76A6">
              <w:rPr>
                <w:rFonts w:ascii="Arial Narrow" w:eastAsiaTheme="majorEastAsia" w:hAnsi="Arial Narrow" w:cstheme="majorBidi"/>
                <w:b/>
                <w:color w:val="000000"/>
                <w:spacing w:val="1"/>
                <w:sz w:val="20"/>
                <w:shd w:val="solid" w:color="000000" w:fill="000000"/>
                <w:fitText w:val="370" w:id="-1032109811"/>
                <w14:textFill>
                  <w14:solidFill>
                    <w14:srgbClr w14:val="000000">
                      <w14:alpha w14:val="100000"/>
                    </w14:srgbClr>
                  </w14:solidFill>
                </w14:textFill>
              </w:rPr>
              <w:t>|</w:t>
            </w:r>
            <w:r w:rsidR="005936E3">
              <w:rPr>
                <w:rFonts w:ascii="Arial Narrow" w:hAnsi="Arial Narrow"/>
                <w:sz w:val="18"/>
                <w:szCs w:val="22"/>
                <w:vertAlign w:val="superscript"/>
              </w:rPr>
              <w:t>16</w:t>
            </w:r>
          </w:p>
        </w:tc>
        <w:tc>
          <w:tcPr>
            <w:tcW w:w="1082" w:type="dxa"/>
            <w:shd w:val="clear" w:color="auto" w:fill="auto"/>
          </w:tcPr>
          <w:p w14:paraId="21068D2B" w14:textId="53BB7A02" w:rsidR="00EB54E6" w:rsidRPr="005441F2" w:rsidRDefault="0036355B" w:rsidP="00B61BA5">
            <w:pPr>
              <w:keepNext/>
              <w:jc w:val="center"/>
              <w:rPr>
                <w:rFonts w:ascii="Arial Narrow" w:eastAsiaTheme="majorEastAsia" w:hAnsi="Arial Narrow"/>
                <w:b/>
                <w:color w:val="000000"/>
                <w:sz w:val="20"/>
                <w:highlight w:val="darkGray"/>
              </w:rPr>
            </w:pPr>
            <w:r w:rsidRPr="008A76A6">
              <w:rPr>
                <w:rFonts w:ascii="Arial Narrow" w:eastAsiaTheme="majorEastAsia" w:hAnsi="Arial Narrow" w:cstheme="majorBidi"/>
                <w:b/>
                <w:color w:val="000000"/>
                <w:spacing w:val="62"/>
                <w:sz w:val="20"/>
                <w:shd w:val="solid" w:color="000000" w:fill="000000"/>
                <w:fitText w:val="370" w:id="-1032109824"/>
                <w14:textFill>
                  <w14:solidFill>
                    <w14:srgbClr w14:val="000000">
                      <w14:alpha w14:val="100000"/>
                    </w14:srgbClr>
                  </w14:solidFill>
                </w14:textFill>
              </w:rPr>
              <w:t>|||</w:t>
            </w:r>
            <w:r w:rsidRPr="008A76A6">
              <w:rPr>
                <w:rFonts w:ascii="Arial Narrow" w:eastAsiaTheme="majorEastAsia" w:hAnsi="Arial Narrow" w:cstheme="majorBidi"/>
                <w:b/>
                <w:color w:val="000000"/>
                <w:spacing w:val="1"/>
                <w:sz w:val="20"/>
                <w:shd w:val="solid" w:color="000000" w:fill="000000"/>
                <w:fitText w:val="370" w:id="-1032109824"/>
                <w14:textFill>
                  <w14:solidFill>
                    <w14:srgbClr w14:val="000000">
                      <w14:alpha w14:val="100000"/>
                    </w14:srgbClr>
                  </w14:solidFill>
                </w14:textFill>
              </w:rPr>
              <w:t>|</w:t>
            </w:r>
            <w:r w:rsidR="005936E3">
              <w:rPr>
                <w:rFonts w:ascii="Arial Narrow" w:hAnsi="Arial Narrow"/>
                <w:sz w:val="18"/>
                <w:szCs w:val="22"/>
                <w:vertAlign w:val="superscript"/>
              </w:rPr>
              <w:t>16</w:t>
            </w:r>
          </w:p>
        </w:tc>
      </w:tr>
      <w:tr w:rsidR="00EB54E6" w:rsidRPr="00C802B9" w14:paraId="47289BA4" w14:textId="77777777" w:rsidTr="00B61BA5">
        <w:tc>
          <w:tcPr>
            <w:tcW w:w="2580" w:type="dxa"/>
            <w:shd w:val="clear" w:color="auto" w:fill="auto"/>
            <w:vAlign w:val="center"/>
          </w:tcPr>
          <w:p w14:paraId="41560485" w14:textId="77777777" w:rsidR="00EB54E6" w:rsidRPr="00C802B9" w:rsidRDefault="00EB54E6" w:rsidP="00B61BA5">
            <w:pPr>
              <w:keepNext/>
              <w:jc w:val="left"/>
              <w:rPr>
                <w:rFonts w:ascii="Arial Narrow" w:eastAsiaTheme="majorEastAsia" w:hAnsi="Arial Narrow" w:cstheme="majorBidi"/>
                <w:bCs/>
                <w:sz w:val="20"/>
                <w:vertAlign w:val="superscript"/>
              </w:rPr>
            </w:pPr>
            <w:r w:rsidRPr="00C802B9">
              <w:rPr>
                <w:rFonts w:ascii="Arial Narrow" w:eastAsiaTheme="majorEastAsia" w:hAnsi="Arial Narrow" w:cstheme="majorBidi"/>
                <w:bCs/>
                <w:sz w:val="20"/>
              </w:rPr>
              <w:t>Net cost to PBS/RPBS</w:t>
            </w:r>
            <w:r w:rsidRPr="00C802B9">
              <w:rPr>
                <w:rFonts w:ascii="Arial Narrow" w:eastAsiaTheme="majorEastAsia" w:hAnsi="Arial Narrow" w:cstheme="majorBidi"/>
                <w:bCs/>
                <w:sz w:val="20"/>
                <w:vertAlign w:val="superscript"/>
              </w:rPr>
              <w:t>3</w:t>
            </w:r>
          </w:p>
        </w:tc>
        <w:tc>
          <w:tcPr>
            <w:tcW w:w="1081" w:type="dxa"/>
            <w:shd w:val="clear" w:color="auto" w:fill="auto"/>
          </w:tcPr>
          <w:p w14:paraId="1BF83617" w14:textId="491B3C55" w:rsidR="00EB54E6" w:rsidRPr="005441F2" w:rsidRDefault="0036355B" w:rsidP="00B61BA5">
            <w:pPr>
              <w:keepNext/>
              <w:jc w:val="center"/>
              <w:rPr>
                <w:rFonts w:ascii="Arial Narrow" w:eastAsiaTheme="majorEastAsia" w:hAnsi="Arial Narrow" w:cstheme="majorBidi"/>
                <w:b/>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32"/>
                <w:sz w:val="20"/>
                <w:shd w:val="solid" w:color="000000" w:fill="000000"/>
                <w:fitText w:val="570" w:id="-1032109820"/>
                <w14:textFill>
                  <w14:solidFill>
                    <w14:srgbClr w14:val="000000">
                      <w14:alpha w14:val="100000"/>
                    </w14:srgbClr>
                  </w14:solidFill>
                </w14:textFill>
              </w:rPr>
              <w:t>|||||||</w:t>
            </w:r>
            <w:r w:rsidRPr="0036355B">
              <w:rPr>
                <w:rFonts w:ascii="Arial Narrow" w:eastAsiaTheme="majorEastAsia" w:hAnsi="Arial Narrow" w:cstheme="majorBidi"/>
                <w:bCs/>
                <w:color w:val="000000"/>
                <w:spacing w:val="6"/>
                <w:sz w:val="20"/>
                <w:shd w:val="solid" w:color="000000" w:fill="000000"/>
                <w:fitText w:val="570" w:id="-1032109820"/>
                <w14:textFill>
                  <w14:solidFill>
                    <w14:srgbClr w14:val="000000">
                      <w14:alpha w14:val="100000"/>
                    </w14:srgbClr>
                  </w14:solidFill>
                </w14:textFill>
              </w:rPr>
              <w:t>|</w:t>
            </w:r>
            <w:r w:rsidR="005936E3">
              <w:rPr>
                <w:rFonts w:ascii="Arial Narrow" w:hAnsi="Arial Narrow"/>
                <w:sz w:val="18"/>
                <w:szCs w:val="22"/>
                <w:vertAlign w:val="superscript"/>
              </w:rPr>
              <w:t>13</w:t>
            </w:r>
          </w:p>
        </w:tc>
        <w:tc>
          <w:tcPr>
            <w:tcW w:w="1081" w:type="dxa"/>
            <w:shd w:val="clear" w:color="auto" w:fill="auto"/>
          </w:tcPr>
          <w:p w14:paraId="1C3FC6AE" w14:textId="4D1E1214" w:rsidR="00EB54E6" w:rsidRPr="005441F2" w:rsidRDefault="0036355B" w:rsidP="00B61BA5">
            <w:pPr>
              <w:keepNext/>
              <w:jc w:val="center"/>
              <w:rPr>
                <w:rFonts w:ascii="Arial Narrow" w:eastAsiaTheme="majorEastAsia" w:hAnsi="Arial Narrow" w:cstheme="majorBidi"/>
                <w:b/>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32"/>
                <w:sz w:val="20"/>
                <w:shd w:val="solid" w:color="000000" w:fill="000000"/>
                <w:fitText w:val="570" w:id="-1032109817"/>
                <w14:textFill>
                  <w14:solidFill>
                    <w14:srgbClr w14:val="000000">
                      <w14:alpha w14:val="100000"/>
                    </w14:srgbClr>
                  </w14:solidFill>
                </w14:textFill>
              </w:rPr>
              <w:t>|||||||</w:t>
            </w:r>
            <w:r w:rsidRPr="0036355B">
              <w:rPr>
                <w:rFonts w:ascii="Arial Narrow" w:eastAsiaTheme="majorEastAsia" w:hAnsi="Arial Narrow" w:cstheme="majorBidi"/>
                <w:bCs/>
                <w:color w:val="000000"/>
                <w:spacing w:val="6"/>
                <w:sz w:val="20"/>
                <w:shd w:val="solid" w:color="000000" w:fill="000000"/>
                <w:fitText w:val="570" w:id="-1032109817"/>
                <w14:textFill>
                  <w14:solidFill>
                    <w14:srgbClr w14:val="000000">
                      <w14:alpha w14:val="100000"/>
                    </w14:srgbClr>
                  </w14:solidFill>
                </w14:textFill>
              </w:rPr>
              <w:t>|</w:t>
            </w:r>
            <w:r w:rsidR="005936E3">
              <w:rPr>
                <w:rFonts w:ascii="Arial Narrow" w:hAnsi="Arial Narrow"/>
                <w:sz w:val="18"/>
                <w:szCs w:val="22"/>
                <w:vertAlign w:val="superscript"/>
              </w:rPr>
              <w:t>18</w:t>
            </w:r>
          </w:p>
        </w:tc>
        <w:tc>
          <w:tcPr>
            <w:tcW w:w="1081" w:type="dxa"/>
            <w:shd w:val="clear" w:color="auto" w:fill="auto"/>
          </w:tcPr>
          <w:p w14:paraId="55B5CF23" w14:textId="0D31257B" w:rsidR="00EB54E6" w:rsidRPr="005441F2" w:rsidRDefault="0036355B" w:rsidP="00B61BA5">
            <w:pPr>
              <w:keepNext/>
              <w:jc w:val="center"/>
              <w:rPr>
                <w:rFonts w:ascii="Arial Narrow" w:eastAsiaTheme="majorEastAsia" w:hAnsi="Arial Narrow" w:cstheme="majorBidi"/>
                <w:b/>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32"/>
                <w:sz w:val="20"/>
                <w:shd w:val="solid" w:color="000000" w:fill="000000"/>
                <w:fitText w:val="570" w:id="-1032109814"/>
                <w14:textFill>
                  <w14:solidFill>
                    <w14:srgbClr w14:val="000000">
                      <w14:alpha w14:val="100000"/>
                    </w14:srgbClr>
                  </w14:solidFill>
                </w14:textFill>
              </w:rPr>
              <w:t>|||||||</w:t>
            </w:r>
            <w:r w:rsidRPr="0036355B">
              <w:rPr>
                <w:rFonts w:ascii="Arial Narrow" w:eastAsiaTheme="majorEastAsia" w:hAnsi="Arial Narrow" w:cstheme="majorBidi"/>
                <w:bCs/>
                <w:color w:val="000000"/>
                <w:spacing w:val="6"/>
                <w:sz w:val="20"/>
                <w:shd w:val="solid" w:color="000000" w:fill="000000"/>
                <w:fitText w:val="570" w:id="-1032109814"/>
                <w14:textFill>
                  <w14:solidFill>
                    <w14:srgbClr w14:val="000000">
                      <w14:alpha w14:val="100000"/>
                    </w14:srgbClr>
                  </w14:solidFill>
                </w14:textFill>
              </w:rPr>
              <w:t>|</w:t>
            </w:r>
            <w:r w:rsidR="005936E3">
              <w:rPr>
                <w:rFonts w:ascii="Arial Narrow" w:hAnsi="Arial Narrow"/>
                <w:sz w:val="18"/>
                <w:szCs w:val="22"/>
                <w:vertAlign w:val="superscript"/>
              </w:rPr>
              <w:t>19</w:t>
            </w:r>
          </w:p>
        </w:tc>
        <w:tc>
          <w:tcPr>
            <w:tcW w:w="1081" w:type="dxa"/>
            <w:shd w:val="clear" w:color="auto" w:fill="auto"/>
          </w:tcPr>
          <w:p w14:paraId="3AD847F5" w14:textId="28430A73" w:rsidR="00EB54E6" w:rsidRPr="005441F2" w:rsidRDefault="0036355B" w:rsidP="00B61BA5">
            <w:pPr>
              <w:keepNext/>
              <w:jc w:val="center"/>
              <w:rPr>
                <w:rFonts w:ascii="Arial Narrow" w:eastAsiaTheme="majorEastAsia" w:hAnsi="Arial Narrow" w:cstheme="majorBidi"/>
                <w:b/>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32"/>
                <w:sz w:val="20"/>
                <w:shd w:val="solid" w:color="000000" w:fill="000000"/>
                <w:fitText w:val="570" w:id="-1032109811"/>
                <w14:textFill>
                  <w14:solidFill>
                    <w14:srgbClr w14:val="000000">
                      <w14:alpha w14:val="100000"/>
                    </w14:srgbClr>
                  </w14:solidFill>
                </w14:textFill>
              </w:rPr>
              <w:t>|||||||</w:t>
            </w:r>
            <w:r w:rsidRPr="0036355B">
              <w:rPr>
                <w:rFonts w:ascii="Arial Narrow" w:eastAsiaTheme="majorEastAsia" w:hAnsi="Arial Narrow" w:cstheme="majorBidi"/>
                <w:bCs/>
                <w:color w:val="000000"/>
                <w:spacing w:val="6"/>
                <w:sz w:val="20"/>
                <w:shd w:val="solid" w:color="000000" w:fill="000000"/>
                <w:fitText w:val="570" w:id="-1032109811"/>
                <w14:textFill>
                  <w14:solidFill>
                    <w14:srgbClr w14:val="000000">
                      <w14:alpha w14:val="100000"/>
                    </w14:srgbClr>
                  </w14:solidFill>
                </w14:textFill>
              </w:rPr>
              <w:t>|</w:t>
            </w:r>
            <w:r w:rsidR="005936E3">
              <w:rPr>
                <w:rFonts w:ascii="Arial Narrow" w:hAnsi="Arial Narrow"/>
                <w:sz w:val="18"/>
                <w:szCs w:val="22"/>
                <w:vertAlign w:val="superscript"/>
              </w:rPr>
              <w:t>16</w:t>
            </w:r>
          </w:p>
        </w:tc>
        <w:tc>
          <w:tcPr>
            <w:tcW w:w="1081" w:type="dxa"/>
            <w:shd w:val="clear" w:color="auto" w:fill="auto"/>
          </w:tcPr>
          <w:p w14:paraId="164D5E78" w14:textId="6D96A9D1" w:rsidR="00EB54E6" w:rsidRPr="005441F2" w:rsidRDefault="0036355B" w:rsidP="00B61BA5">
            <w:pPr>
              <w:keepNext/>
              <w:jc w:val="center"/>
              <w:rPr>
                <w:rFonts w:ascii="Arial Narrow" w:eastAsiaTheme="majorEastAsia" w:hAnsi="Arial Narrow" w:cstheme="majorBidi"/>
                <w:b/>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32"/>
                <w:sz w:val="20"/>
                <w:shd w:val="solid" w:color="000000" w:fill="000000"/>
                <w:fitText w:val="570" w:id="-1032109808"/>
                <w14:textFill>
                  <w14:solidFill>
                    <w14:srgbClr w14:val="000000">
                      <w14:alpha w14:val="100000"/>
                    </w14:srgbClr>
                  </w14:solidFill>
                </w14:textFill>
              </w:rPr>
              <w:t>|||||||</w:t>
            </w:r>
            <w:r w:rsidRPr="0036355B">
              <w:rPr>
                <w:rFonts w:ascii="Arial Narrow" w:eastAsiaTheme="majorEastAsia" w:hAnsi="Arial Narrow" w:cstheme="majorBidi"/>
                <w:bCs/>
                <w:color w:val="000000"/>
                <w:spacing w:val="6"/>
                <w:sz w:val="20"/>
                <w:shd w:val="solid" w:color="000000" w:fill="000000"/>
                <w:fitText w:val="570" w:id="-1032109808"/>
                <w14:textFill>
                  <w14:solidFill>
                    <w14:srgbClr w14:val="000000">
                      <w14:alpha w14:val="100000"/>
                    </w14:srgbClr>
                  </w14:solidFill>
                </w14:textFill>
              </w:rPr>
              <w:t>|</w:t>
            </w:r>
            <w:r w:rsidR="005936E3">
              <w:rPr>
                <w:rFonts w:ascii="Arial Narrow" w:hAnsi="Arial Narrow"/>
                <w:sz w:val="18"/>
                <w:szCs w:val="22"/>
                <w:vertAlign w:val="superscript"/>
              </w:rPr>
              <w:t>16</w:t>
            </w:r>
          </w:p>
        </w:tc>
        <w:tc>
          <w:tcPr>
            <w:tcW w:w="1082" w:type="dxa"/>
            <w:shd w:val="clear" w:color="auto" w:fill="auto"/>
          </w:tcPr>
          <w:p w14:paraId="312DDA9E" w14:textId="7C58F6E1" w:rsidR="00EB54E6" w:rsidRPr="005441F2" w:rsidRDefault="0036355B" w:rsidP="00B61BA5">
            <w:pPr>
              <w:keepNext/>
              <w:jc w:val="center"/>
              <w:rPr>
                <w:rFonts w:ascii="Arial Narrow" w:eastAsiaTheme="majorEastAsia" w:hAnsi="Arial Narrow" w:cstheme="majorBidi"/>
                <w:b/>
                <w:sz w:val="20"/>
                <w:highlight w:val="darkGray"/>
              </w:rPr>
            </w:pPr>
            <w:r>
              <w:rPr>
                <w:rFonts w:ascii="Arial Narrow" w:eastAsiaTheme="majorEastAsia" w:hAnsi="Arial Narrow" w:cstheme="majorBidi"/>
                <w:bCs/>
                <w:sz w:val="20"/>
              </w:rPr>
              <w:t xml:space="preserve"> </w:t>
            </w:r>
            <w:r w:rsidRPr="0036355B">
              <w:rPr>
                <w:rFonts w:ascii="Arial Narrow" w:eastAsiaTheme="majorEastAsia" w:hAnsi="Arial Narrow" w:cstheme="majorBidi"/>
                <w:bCs/>
                <w:color w:val="000000"/>
                <w:spacing w:val="32"/>
                <w:sz w:val="20"/>
                <w:shd w:val="solid" w:color="000000" w:fill="000000"/>
                <w:fitText w:val="570" w:id="-1032109822"/>
                <w14:textFill>
                  <w14:solidFill>
                    <w14:srgbClr w14:val="000000">
                      <w14:alpha w14:val="100000"/>
                    </w14:srgbClr>
                  </w14:solidFill>
                </w14:textFill>
              </w:rPr>
              <w:t>|||||||</w:t>
            </w:r>
            <w:r w:rsidRPr="0036355B">
              <w:rPr>
                <w:rFonts w:ascii="Arial Narrow" w:eastAsiaTheme="majorEastAsia" w:hAnsi="Arial Narrow" w:cstheme="majorBidi"/>
                <w:bCs/>
                <w:color w:val="000000"/>
                <w:spacing w:val="6"/>
                <w:sz w:val="20"/>
                <w:shd w:val="solid" w:color="000000" w:fill="000000"/>
                <w:fitText w:val="570" w:id="-1032109822"/>
                <w14:textFill>
                  <w14:solidFill>
                    <w14:srgbClr w14:val="000000">
                      <w14:alpha w14:val="100000"/>
                    </w14:srgbClr>
                  </w14:solidFill>
                </w14:textFill>
              </w:rPr>
              <w:t>|</w:t>
            </w:r>
            <w:r w:rsidR="005936E3">
              <w:rPr>
                <w:rFonts w:ascii="Arial Narrow" w:hAnsi="Arial Narrow"/>
                <w:sz w:val="18"/>
                <w:szCs w:val="22"/>
                <w:vertAlign w:val="superscript"/>
              </w:rPr>
              <w:t>16</w:t>
            </w:r>
          </w:p>
        </w:tc>
      </w:tr>
    </w:tbl>
    <w:p w14:paraId="7BE7BDEA" w14:textId="77777777" w:rsidR="00EB54E6" w:rsidRPr="00C802B9" w:rsidRDefault="00EB54E6" w:rsidP="00EB54E6">
      <w:pPr>
        <w:spacing w:after="120"/>
        <w:contextualSpacing/>
        <w:rPr>
          <w:rFonts w:ascii="Arial Narrow" w:hAnsi="Arial Narrow"/>
          <w:sz w:val="18"/>
          <w:szCs w:val="22"/>
        </w:rPr>
      </w:pPr>
      <w:r w:rsidRPr="00C802B9">
        <w:rPr>
          <w:rFonts w:ascii="Arial Narrow" w:hAnsi="Arial Narrow"/>
          <w:sz w:val="18"/>
          <w:szCs w:val="22"/>
        </w:rPr>
        <w:t>Source: Table 4.2.1 of the commentary (5.07.COM.101)</w:t>
      </w:r>
    </w:p>
    <w:p w14:paraId="046DA3F6" w14:textId="77777777" w:rsidR="00EB54E6" w:rsidRPr="00C802B9" w:rsidRDefault="00EB54E6" w:rsidP="00EB54E6">
      <w:pPr>
        <w:spacing w:after="120"/>
        <w:contextualSpacing/>
        <w:rPr>
          <w:rFonts w:ascii="Arial Narrow" w:hAnsi="Arial Narrow"/>
          <w:sz w:val="18"/>
          <w:szCs w:val="22"/>
        </w:rPr>
      </w:pPr>
      <w:r w:rsidRPr="00C802B9">
        <w:rPr>
          <w:rFonts w:ascii="Arial Narrow" w:hAnsi="Arial Narrow"/>
          <w:sz w:val="18"/>
          <w:szCs w:val="22"/>
        </w:rPr>
        <w:t>Abbreviations: ASCVD, atherosclerotic cardiovascular disease.</w:t>
      </w:r>
    </w:p>
    <w:p w14:paraId="7D37C1D8" w14:textId="77777777" w:rsidR="00EB54E6" w:rsidRPr="00C802B9" w:rsidRDefault="00EB54E6" w:rsidP="00EB54E6">
      <w:pPr>
        <w:spacing w:after="120"/>
        <w:contextualSpacing/>
        <w:rPr>
          <w:rFonts w:ascii="Arial Narrow" w:hAnsi="Arial Narrow"/>
          <w:sz w:val="18"/>
          <w:szCs w:val="22"/>
        </w:rPr>
      </w:pPr>
      <w:r w:rsidRPr="00C802B9">
        <w:rPr>
          <w:rFonts w:ascii="Arial Narrow" w:hAnsi="Arial Narrow"/>
          <w:sz w:val="18"/>
          <w:szCs w:val="22"/>
          <w:vertAlign w:val="superscript"/>
        </w:rPr>
        <w:t>1</w:t>
      </w:r>
      <w:r w:rsidRPr="00C802B9">
        <w:rPr>
          <w:rFonts w:ascii="Arial Narrow" w:hAnsi="Arial Narrow"/>
          <w:sz w:val="18"/>
          <w:szCs w:val="22"/>
        </w:rPr>
        <w:t xml:space="preserve"> Based on 12.17 scripts per year multiplied by treatment adherence of 97.5%.</w:t>
      </w:r>
    </w:p>
    <w:p w14:paraId="5F14857C" w14:textId="77777777" w:rsidR="00EB54E6" w:rsidRPr="00C802B9" w:rsidRDefault="00EB54E6" w:rsidP="00EB54E6">
      <w:pPr>
        <w:spacing w:after="120"/>
        <w:contextualSpacing/>
        <w:rPr>
          <w:rFonts w:ascii="Arial Narrow" w:hAnsi="Arial Narrow"/>
          <w:sz w:val="18"/>
          <w:szCs w:val="22"/>
        </w:rPr>
      </w:pPr>
      <w:r w:rsidRPr="00C802B9">
        <w:rPr>
          <w:rFonts w:ascii="Arial Narrow" w:hAnsi="Arial Narrow"/>
          <w:sz w:val="18"/>
          <w:szCs w:val="22"/>
          <w:vertAlign w:val="superscript"/>
        </w:rPr>
        <w:t>2</w:t>
      </w:r>
      <w:r w:rsidRPr="00C802B9">
        <w:rPr>
          <w:rFonts w:ascii="Arial Narrow" w:hAnsi="Arial Narrow"/>
          <w:sz w:val="18"/>
          <w:szCs w:val="22"/>
        </w:rPr>
        <w:t xml:space="preserve"> Average PBS copayment of $12.93 and RPBS copayment of $5.91 based on dispensing data for Fluvastatin (PBS item 2863Q).</w:t>
      </w:r>
    </w:p>
    <w:p w14:paraId="3151D65E" w14:textId="49086B09" w:rsidR="00EB54E6" w:rsidRDefault="00EB54E6" w:rsidP="005441F2">
      <w:pPr>
        <w:rPr>
          <w:rFonts w:ascii="Arial Narrow" w:hAnsi="Arial Narrow"/>
          <w:sz w:val="18"/>
          <w:szCs w:val="22"/>
        </w:rPr>
      </w:pPr>
      <w:r w:rsidRPr="00C802B9">
        <w:rPr>
          <w:rFonts w:ascii="Arial Narrow" w:hAnsi="Arial Narrow"/>
          <w:sz w:val="18"/>
          <w:szCs w:val="22"/>
          <w:vertAlign w:val="superscript"/>
        </w:rPr>
        <w:t>3</w:t>
      </w:r>
      <w:r w:rsidRPr="00C802B9">
        <w:rPr>
          <w:rFonts w:ascii="Arial Narrow" w:hAnsi="Arial Narrow"/>
          <w:sz w:val="18"/>
          <w:szCs w:val="22"/>
        </w:rPr>
        <w:t xml:space="preserve"> Net cost to the PBS/RPBS recalculated during the evaluation using on July 2023 PBS markups.</w:t>
      </w:r>
    </w:p>
    <w:p w14:paraId="6CBD722D" w14:textId="75E1A4D6" w:rsidR="005936E3" w:rsidRPr="005441F2" w:rsidRDefault="005936E3" w:rsidP="005936E3">
      <w:pPr>
        <w:rPr>
          <w:rFonts w:ascii="Arial Narrow" w:hAnsi="Arial Narrow"/>
          <w:i/>
          <w:iCs/>
          <w:sz w:val="18"/>
          <w:szCs w:val="22"/>
        </w:rPr>
      </w:pPr>
      <w:bookmarkStart w:id="73" w:name="_Hlk157779032"/>
      <w:r w:rsidRPr="005441F2">
        <w:rPr>
          <w:rFonts w:ascii="Arial Narrow" w:hAnsi="Arial Narrow"/>
          <w:i/>
          <w:iCs/>
          <w:sz w:val="18"/>
          <w:szCs w:val="22"/>
        </w:rPr>
        <w:t>The redacted values correspond to the following ranges:</w:t>
      </w:r>
    </w:p>
    <w:p w14:paraId="6C7DA15F" w14:textId="1B29EC62" w:rsidR="005936E3" w:rsidRPr="005441F2" w:rsidRDefault="005936E3" w:rsidP="005936E3">
      <w:pPr>
        <w:rPr>
          <w:rFonts w:ascii="Arial Narrow" w:hAnsi="Arial Narrow"/>
          <w:i/>
          <w:iCs/>
          <w:sz w:val="18"/>
          <w:szCs w:val="22"/>
        </w:rPr>
      </w:pPr>
      <w:r w:rsidRPr="005441F2">
        <w:rPr>
          <w:rFonts w:ascii="Arial Narrow" w:hAnsi="Arial Narrow"/>
          <w:i/>
          <w:iCs/>
          <w:sz w:val="18"/>
          <w:szCs w:val="22"/>
          <w:vertAlign w:val="superscript"/>
        </w:rPr>
        <w:t>1</w:t>
      </w:r>
      <w:r w:rsidRPr="005441F2">
        <w:rPr>
          <w:rFonts w:ascii="Arial Narrow" w:hAnsi="Arial Narrow"/>
          <w:i/>
          <w:iCs/>
          <w:sz w:val="18"/>
          <w:szCs w:val="22"/>
        </w:rPr>
        <w:t xml:space="preserve"> &gt; 10,000,000</w:t>
      </w:r>
    </w:p>
    <w:p w14:paraId="325E2B84" w14:textId="33427287" w:rsidR="005936E3" w:rsidRPr="005441F2" w:rsidRDefault="005936E3" w:rsidP="005936E3">
      <w:pPr>
        <w:rPr>
          <w:rFonts w:ascii="Arial Narrow" w:hAnsi="Arial Narrow"/>
          <w:i/>
          <w:iCs/>
          <w:sz w:val="18"/>
          <w:szCs w:val="22"/>
        </w:rPr>
      </w:pPr>
      <w:r w:rsidRPr="005441F2">
        <w:rPr>
          <w:rFonts w:ascii="Arial Narrow" w:hAnsi="Arial Narrow"/>
          <w:i/>
          <w:iCs/>
          <w:sz w:val="18"/>
          <w:szCs w:val="22"/>
          <w:vertAlign w:val="superscript"/>
        </w:rPr>
        <w:t>2</w:t>
      </w:r>
      <w:r w:rsidRPr="005441F2">
        <w:rPr>
          <w:rFonts w:ascii="Arial Narrow" w:hAnsi="Arial Narrow"/>
          <w:i/>
          <w:iCs/>
          <w:sz w:val="18"/>
          <w:szCs w:val="22"/>
        </w:rPr>
        <w:t xml:space="preserve"> 1,000,000 to &lt; 2,000,000</w:t>
      </w:r>
    </w:p>
    <w:p w14:paraId="17307119" w14:textId="44FFC3EA" w:rsidR="005936E3" w:rsidRPr="005441F2" w:rsidRDefault="005936E3" w:rsidP="005936E3">
      <w:pPr>
        <w:rPr>
          <w:rFonts w:ascii="Arial Narrow" w:hAnsi="Arial Narrow"/>
          <w:i/>
          <w:iCs/>
          <w:sz w:val="18"/>
          <w:szCs w:val="22"/>
        </w:rPr>
      </w:pPr>
      <w:r w:rsidRPr="005441F2">
        <w:rPr>
          <w:rFonts w:ascii="Arial Narrow" w:hAnsi="Arial Narrow"/>
          <w:i/>
          <w:iCs/>
          <w:sz w:val="18"/>
          <w:szCs w:val="22"/>
          <w:vertAlign w:val="superscript"/>
        </w:rPr>
        <w:t>3</w:t>
      </w:r>
      <w:r w:rsidRPr="005441F2">
        <w:rPr>
          <w:rFonts w:ascii="Arial Narrow" w:hAnsi="Arial Narrow"/>
          <w:i/>
          <w:iCs/>
          <w:sz w:val="18"/>
          <w:szCs w:val="22"/>
        </w:rPr>
        <w:t xml:space="preserve"> 800,000 to &lt; 900,000</w:t>
      </w:r>
    </w:p>
    <w:p w14:paraId="230BC213" w14:textId="456616FA" w:rsidR="005936E3" w:rsidRPr="005441F2" w:rsidRDefault="005936E3" w:rsidP="005936E3">
      <w:pPr>
        <w:rPr>
          <w:rFonts w:ascii="Arial Narrow" w:hAnsi="Arial Narrow"/>
          <w:i/>
          <w:iCs/>
          <w:sz w:val="18"/>
          <w:szCs w:val="22"/>
        </w:rPr>
      </w:pPr>
      <w:r w:rsidRPr="005441F2">
        <w:rPr>
          <w:rFonts w:ascii="Arial Narrow" w:hAnsi="Arial Narrow"/>
          <w:i/>
          <w:iCs/>
          <w:sz w:val="18"/>
          <w:szCs w:val="22"/>
          <w:vertAlign w:val="superscript"/>
        </w:rPr>
        <w:t>4</w:t>
      </w:r>
      <w:r w:rsidRPr="005441F2">
        <w:rPr>
          <w:rFonts w:ascii="Arial Narrow" w:hAnsi="Arial Narrow"/>
          <w:i/>
          <w:iCs/>
          <w:sz w:val="18"/>
          <w:szCs w:val="22"/>
        </w:rPr>
        <w:t xml:space="preserve"> 900,000 to &lt; 1,000,000</w:t>
      </w:r>
    </w:p>
    <w:bookmarkEnd w:id="73"/>
    <w:p w14:paraId="788C5A32" w14:textId="00E55CDE" w:rsidR="005936E3" w:rsidRPr="005441F2" w:rsidRDefault="005936E3" w:rsidP="005936E3">
      <w:pPr>
        <w:rPr>
          <w:rFonts w:ascii="Arial Narrow" w:hAnsi="Arial Narrow"/>
          <w:i/>
          <w:iCs/>
          <w:sz w:val="18"/>
          <w:szCs w:val="22"/>
        </w:rPr>
      </w:pPr>
      <w:r w:rsidRPr="005441F2">
        <w:rPr>
          <w:rFonts w:ascii="Arial Narrow" w:hAnsi="Arial Narrow"/>
          <w:i/>
          <w:iCs/>
          <w:sz w:val="18"/>
          <w:szCs w:val="22"/>
          <w:vertAlign w:val="superscript"/>
        </w:rPr>
        <w:t>5</w:t>
      </w:r>
      <w:r w:rsidRPr="005441F2">
        <w:rPr>
          <w:rFonts w:ascii="Arial Narrow" w:hAnsi="Arial Narrow"/>
          <w:i/>
          <w:iCs/>
          <w:sz w:val="18"/>
          <w:szCs w:val="22"/>
        </w:rPr>
        <w:t xml:space="preserve"> 200,000 to &lt; 300,000</w:t>
      </w:r>
    </w:p>
    <w:p w14:paraId="7A285AFB" w14:textId="28FF4606" w:rsidR="005936E3" w:rsidRPr="005441F2" w:rsidRDefault="005936E3" w:rsidP="005936E3">
      <w:pPr>
        <w:rPr>
          <w:rFonts w:ascii="Arial Narrow" w:hAnsi="Arial Narrow"/>
          <w:i/>
          <w:iCs/>
          <w:sz w:val="18"/>
          <w:szCs w:val="22"/>
        </w:rPr>
      </w:pPr>
      <w:r w:rsidRPr="005441F2">
        <w:rPr>
          <w:rFonts w:ascii="Arial Narrow" w:hAnsi="Arial Narrow"/>
          <w:i/>
          <w:iCs/>
          <w:sz w:val="18"/>
          <w:szCs w:val="22"/>
          <w:vertAlign w:val="superscript"/>
        </w:rPr>
        <w:t>6</w:t>
      </w:r>
      <w:r w:rsidRPr="005441F2">
        <w:rPr>
          <w:rFonts w:ascii="Arial Narrow" w:hAnsi="Arial Narrow"/>
          <w:i/>
          <w:iCs/>
          <w:sz w:val="18"/>
          <w:szCs w:val="22"/>
        </w:rPr>
        <w:t xml:space="preserve"> 10,000 to &lt; 20,000</w:t>
      </w:r>
    </w:p>
    <w:p w14:paraId="642E1571" w14:textId="585530A8" w:rsidR="005936E3" w:rsidRPr="005441F2" w:rsidRDefault="005936E3" w:rsidP="005936E3">
      <w:pPr>
        <w:rPr>
          <w:rFonts w:ascii="Arial Narrow" w:hAnsi="Arial Narrow"/>
          <w:i/>
          <w:iCs/>
          <w:sz w:val="18"/>
          <w:szCs w:val="22"/>
        </w:rPr>
      </w:pPr>
      <w:r w:rsidRPr="005441F2">
        <w:rPr>
          <w:rFonts w:ascii="Arial Narrow" w:hAnsi="Arial Narrow"/>
          <w:i/>
          <w:iCs/>
          <w:sz w:val="18"/>
          <w:szCs w:val="22"/>
          <w:vertAlign w:val="superscript"/>
        </w:rPr>
        <w:t>7</w:t>
      </w:r>
      <w:r w:rsidRPr="005441F2">
        <w:rPr>
          <w:rFonts w:ascii="Arial Narrow" w:hAnsi="Arial Narrow"/>
          <w:i/>
          <w:iCs/>
          <w:sz w:val="18"/>
          <w:szCs w:val="22"/>
        </w:rPr>
        <w:t xml:space="preserve"> 20,000 to &lt; 30,000</w:t>
      </w:r>
    </w:p>
    <w:p w14:paraId="57388CD3" w14:textId="61DED1FF" w:rsidR="005936E3" w:rsidRPr="005441F2" w:rsidRDefault="005936E3" w:rsidP="005936E3">
      <w:pPr>
        <w:rPr>
          <w:rFonts w:ascii="Arial Narrow" w:hAnsi="Arial Narrow"/>
          <w:i/>
          <w:iCs/>
          <w:sz w:val="18"/>
          <w:szCs w:val="22"/>
        </w:rPr>
      </w:pPr>
      <w:r w:rsidRPr="005441F2">
        <w:rPr>
          <w:rFonts w:ascii="Arial Narrow" w:hAnsi="Arial Narrow"/>
          <w:i/>
          <w:iCs/>
          <w:sz w:val="18"/>
          <w:szCs w:val="22"/>
          <w:vertAlign w:val="superscript"/>
        </w:rPr>
        <w:t>8</w:t>
      </w:r>
      <w:r w:rsidRPr="005441F2">
        <w:rPr>
          <w:rFonts w:ascii="Arial Narrow" w:hAnsi="Arial Narrow"/>
          <w:i/>
          <w:iCs/>
          <w:sz w:val="18"/>
          <w:szCs w:val="22"/>
        </w:rPr>
        <w:t xml:space="preserve"> 30,000 to &lt; 40,000</w:t>
      </w:r>
    </w:p>
    <w:p w14:paraId="3C2B159A" w14:textId="732CFBCE" w:rsidR="005936E3" w:rsidRPr="005441F2" w:rsidRDefault="005936E3" w:rsidP="005936E3">
      <w:pPr>
        <w:rPr>
          <w:rFonts w:ascii="Arial Narrow" w:hAnsi="Arial Narrow"/>
          <w:i/>
          <w:iCs/>
          <w:sz w:val="18"/>
          <w:szCs w:val="22"/>
        </w:rPr>
      </w:pPr>
      <w:r w:rsidRPr="005441F2">
        <w:rPr>
          <w:rFonts w:ascii="Arial Narrow" w:hAnsi="Arial Narrow"/>
          <w:i/>
          <w:iCs/>
          <w:sz w:val="18"/>
          <w:szCs w:val="22"/>
          <w:vertAlign w:val="superscript"/>
        </w:rPr>
        <w:t>9</w:t>
      </w:r>
      <w:r w:rsidRPr="005441F2">
        <w:rPr>
          <w:rFonts w:ascii="Arial Narrow" w:hAnsi="Arial Narrow"/>
          <w:i/>
          <w:iCs/>
          <w:sz w:val="18"/>
          <w:szCs w:val="22"/>
        </w:rPr>
        <w:t xml:space="preserve"> 40,000 to &lt; 50,000</w:t>
      </w:r>
    </w:p>
    <w:p w14:paraId="1FC4FD1B" w14:textId="09761C1C" w:rsidR="005936E3" w:rsidRPr="005441F2" w:rsidRDefault="005936E3" w:rsidP="005936E3">
      <w:pPr>
        <w:rPr>
          <w:rFonts w:ascii="Arial Narrow" w:hAnsi="Arial Narrow"/>
          <w:i/>
          <w:iCs/>
          <w:sz w:val="18"/>
          <w:szCs w:val="22"/>
        </w:rPr>
      </w:pPr>
      <w:r w:rsidRPr="005441F2">
        <w:rPr>
          <w:rFonts w:ascii="Arial Narrow" w:hAnsi="Arial Narrow"/>
          <w:i/>
          <w:iCs/>
          <w:sz w:val="18"/>
          <w:szCs w:val="22"/>
          <w:vertAlign w:val="superscript"/>
        </w:rPr>
        <w:t>10</w:t>
      </w:r>
      <w:r w:rsidRPr="005441F2">
        <w:rPr>
          <w:rFonts w:ascii="Arial Narrow" w:hAnsi="Arial Narrow"/>
          <w:i/>
          <w:iCs/>
          <w:sz w:val="18"/>
          <w:szCs w:val="22"/>
        </w:rPr>
        <w:t xml:space="preserve"> 300,000 to &lt; 400,000</w:t>
      </w:r>
    </w:p>
    <w:p w14:paraId="132104D7" w14:textId="4FCB7992" w:rsidR="005936E3" w:rsidRPr="005441F2" w:rsidRDefault="005936E3" w:rsidP="005936E3">
      <w:pPr>
        <w:rPr>
          <w:rFonts w:ascii="Arial Narrow" w:hAnsi="Arial Narrow"/>
          <w:i/>
          <w:iCs/>
          <w:sz w:val="18"/>
          <w:szCs w:val="22"/>
        </w:rPr>
      </w:pPr>
      <w:r w:rsidRPr="005441F2">
        <w:rPr>
          <w:rFonts w:ascii="Arial Narrow" w:hAnsi="Arial Narrow"/>
          <w:i/>
          <w:iCs/>
          <w:sz w:val="18"/>
          <w:szCs w:val="22"/>
          <w:vertAlign w:val="superscript"/>
        </w:rPr>
        <w:t>11</w:t>
      </w:r>
      <w:r w:rsidRPr="005441F2">
        <w:rPr>
          <w:rFonts w:ascii="Arial Narrow" w:hAnsi="Arial Narrow"/>
          <w:i/>
          <w:iCs/>
          <w:sz w:val="18"/>
          <w:szCs w:val="22"/>
        </w:rPr>
        <w:t xml:space="preserve"> 400,000 to &lt; 500,000</w:t>
      </w:r>
    </w:p>
    <w:p w14:paraId="4C03A84F" w14:textId="2EC3A7AB" w:rsidR="005936E3" w:rsidRPr="005441F2" w:rsidRDefault="005936E3" w:rsidP="005936E3">
      <w:pPr>
        <w:rPr>
          <w:rFonts w:ascii="Arial Narrow" w:hAnsi="Arial Narrow"/>
          <w:i/>
          <w:iCs/>
          <w:sz w:val="18"/>
          <w:szCs w:val="22"/>
        </w:rPr>
      </w:pPr>
      <w:r w:rsidRPr="005441F2">
        <w:rPr>
          <w:rFonts w:ascii="Arial Narrow" w:hAnsi="Arial Narrow"/>
          <w:i/>
          <w:iCs/>
          <w:sz w:val="18"/>
          <w:szCs w:val="22"/>
          <w:vertAlign w:val="superscript"/>
        </w:rPr>
        <w:t>12</w:t>
      </w:r>
      <w:r w:rsidRPr="005441F2">
        <w:rPr>
          <w:rFonts w:ascii="Arial Narrow" w:hAnsi="Arial Narrow"/>
          <w:i/>
          <w:iCs/>
          <w:sz w:val="18"/>
          <w:szCs w:val="22"/>
        </w:rPr>
        <w:t xml:space="preserve"> 500,000 to &lt; 600,000</w:t>
      </w:r>
    </w:p>
    <w:p w14:paraId="230415FA" w14:textId="7C6B216F" w:rsidR="005936E3" w:rsidRPr="005441F2" w:rsidRDefault="005936E3" w:rsidP="005936E3">
      <w:pPr>
        <w:rPr>
          <w:rFonts w:ascii="Arial Narrow" w:hAnsi="Arial Narrow"/>
          <w:i/>
          <w:iCs/>
          <w:sz w:val="18"/>
          <w:szCs w:val="22"/>
        </w:rPr>
      </w:pPr>
      <w:r w:rsidRPr="005441F2">
        <w:rPr>
          <w:rFonts w:ascii="Arial Narrow" w:hAnsi="Arial Narrow"/>
          <w:i/>
          <w:iCs/>
          <w:sz w:val="18"/>
          <w:szCs w:val="22"/>
          <w:vertAlign w:val="superscript"/>
        </w:rPr>
        <w:t>13</w:t>
      </w:r>
      <w:r w:rsidRPr="005441F2">
        <w:rPr>
          <w:rFonts w:ascii="Arial Narrow" w:hAnsi="Arial Narrow"/>
          <w:i/>
          <w:iCs/>
          <w:sz w:val="18"/>
          <w:szCs w:val="22"/>
        </w:rPr>
        <w:t xml:space="preserve"> $40 million to &lt; $50 million</w:t>
      </w:r>
    </w:p>
    <w:p w14:paraId="34EEAC1E" w14:textId="6BB101ED" w:rsidR="005936E3" w:rsidRPr="005441F2" w:rsidRDefault="005936E3" w:rsidP="005936E3">
      <w:pPr>
        <w:rPr>
          <w:rFonts w:ascii="Arial Narrow" w:hAnsi="Arial Narrow"/>
          <w:i/>
          <w:iCs/>
          <w:sz w:val="18"/>
          <w:szCs w:val="22"/>
        </w:rPr>
      </w:pPr>
      <w:r w:rsidRPr="005441F2">
        <w:rPr>
          <w:rFonts w:ascii="Arial Narrow" w:hAnsi="Arial Narrow"/>
          <w:i/>
          <w:iCs/>
          <w:sz w:val="18"/>
          <w:szCs w:val="22"/>
          <w:vertAlign w:val="superscript"/>
        </w:rPr>
        <w:t>14</w:t>
      </w:r>
      <w:r w:rsidRPr="005441F2">
        <w:rPr>
          <w:rFonts w:ascii="Arial Narrow" w:hAnsi="Arial Narrow"/>
          <w:i/>
          <w:iCs/>
          <w:sz w:val="18"/>
          <w:szCs w:val="22"/>
        </w:rPr>
        <w:t xml:space="preserve"> $70 million to &lt; $80 million</w:t>
      </w:r>
    </w:p>
    <w:p w14:paraId="00A3BF36" w14:textId="1BA541D3" w:rsidR="005936E3" w:rsidRPr="005441F2" w:rsidRDefault="005936E3" w:rsidP="005936E3">
      <w:pPr>
        <w:rPr>
          <w:rFonts w:ascii="Arial Narrow" w:hAnsi="Arial Narrow"/>
          <w:i/>
          <w:iCs/>
          <w:sz w:val="18"/>
          <w:szCs w:val="22"/>
        </w:rPr>
      </w:pPr>
      <w:r w:rsidRPr="005441F2">
        <w:rPr>
          <w:rFonts w:ascii="Arial Narrow" w:hAnsi="Arial Narrow"/>
          <w:i/>
          <w:iCs/>
          <w:sz w:val="18"/>
          <w:szCs w:val="22"/>
          <w:vertAlign w:val="superscript"/>
        </w:rPr>
        <w:t>15</w:t>
      </w:r>
      <w:r w:rsidRPr="005441F2">
        <w:rPr>
          <w:rFonts w:ascii="Arial Narrow" w:hAnsi="Arial Narrow"/>
          <w:i/>
          <w:iCs/>
          <w:sz w:val="18"/>
          <w:szCs w:val="22"/>
        </w:rPr>
        <w:t xml:space="preserve"> $90 million to &lt; $100 million</w:t>
      </w:r>
    </w:p>
    <w:p w14:paraId="2DDB0A8E" w14:textId="7BE3D31D" w:rsidR="005936E3" w:rsidRPr="005441F2" w:rsidRDefault="005936E3" w:rsidP="005936E3">
      <w:pPr>
        <w:rPr>
          <w:rFonts w:ascii="Arial Narrow" w:hAnsi="Arial Narrow"/>
          <w:i/>
          <w:iCs/>
          <w:sz w:val="18"/>
          <w:szCs w:val="22"/>
        </w:rPr>
      </w:pPr>
      <w:r w:rsidRPr="005441F2">
        <w:rPr>
          <w:rFonts w:ascii="Arial Narrow" w:hAnsi="Arial Narrow"/>
          <w:i/>
          <w:iCs/>
          <w:sz w:val="18"/>
          <w:szCs w:val="22"/>
          <w:vertAlign w:val="superscript"/>
        </w:rPr>
        <w:t>16</w:t>
      </w:r>
      <w:r w:rsidRPr="005441F2">
        <w:rPr>
          <w:rFonts w:ascii="Arial Narrow" w:hAnsi="Arial Narrow"/>
          <w:i/>
          <w:iCs/>
          <w:sz w:val="18"/>
          <w:szCs w:val="22"/>
        </w:rPr>
        <w:t xml:space="preserve"> $100 million to &lt; $200 million</w:t>
      </w:r>
    </w:p>
    <w:p w14:paraId="6E26F77E" w14:textId="2B36C457" w:rsidR="005936E3" w:rsidRPr="005441F2" w:rsidRDefault="005936E3" w:rsidP="005936E3">
      <w:pPr>
        <w:rPr>
          <w:rFonts w:ascii="Arial Narrow" w:hAnsi="Arial Narrow"/>
          <w:i/>
          <w:iCs/>
          <w:sz w:val="18"/>
          <w:szCs w:val="22"/>
        </w:rPr>
      </w:pPr>
      <w:r w:rsidRPr="005441F2">
        <w:rPr>
          <w:rFonts w:ascii="Arial Narrow" w:hAnsi="Arial Narrow"/>
          <w:i/>
          <w:iCs/>
          <w:sz w:val="18"/>
          <w:szCs w:val="22"/>
          <w:vertAlign w:val="superscript"/>
        </w:rPr>
        <w:t>17</w:t>
      </w:r>
      <w:r w:rsidRPr="005441F2">
        <w:rPr>
          <w:rFonts w:ascii="Arial Narrow" w:hAnsi="Arial Narrow"/>
          <w:i/>
          <w:iCs/>
          <w:sz w:val="18"/>
          <w:szCs w:val="22"/>
        </w:rPr>
        <w:t xml:space="preserve"> $0 to &lt; $10 million</w:t>
      </w:r>
    </w:p>
    <w:p w14:paraId="6F16FCFE" w14:textId="03407CEA" w:rsidR="005936E3" w:rsidRPr="005441F2" w:rsidRDefault="005936E3" w:rsidP="005936E3">
      <w:pPr>
        <w:rPr>
          <w:rFonts w:ascii="Arial Narrow" w:hAnsi="Arial Narrow"/>
          <w:i/>
          <w:iCs/>
          <w:sz w:val="18"/>
          <w:szCs w:val="22"/>
        </w:rPr>
      </w:pPr>
      <w:r w:rsidRPr="005441F2">
        <w:rPr>
          <w:rFonts w:ascii="Arial Narrow" w:hAnsi="Arial Narrow"/>
          <w:i/>
          <w:iCs/>
          <w:sz w:val="18"/>
          <w:szCs w:val="22"/>
          <w:vertAlign w:val="superscript"/>
        </w:rPr>
        <w:t>18</w:t>
      </w:r>
      <w:r w:rsidRPr="005441F2">
        <w:rPr>
          <w:rFonts w:ascii="Arial Narrow" w:hAnsi="Arial Narrow"/>
          <w:i/>
          <w:iCs/>
          <w:sz w:val="18"/>
          <w:szCs w:val="22"/>
        </w:rPr>
        <w:t xml:space="preserve"> $60 million to &lt; $70 million </w:t>
      </w:r>
    </w:p>
    <w:p w14:paraId="1E56DFD4" w14:textId="40E9E51D" w:rsidR="005936E3" w:rsidRPr="004671F3" w:rsidRDefault="005936E3" w:rsidP="004671F3">
      <w:pPr>
        <w:spacing w:after="120"/>
        <w:rPr>
          <w:rFonts w:ascii="Arial Narrow" w:hAnsi="Arial Narrow"/>
          <w:i/>
          <w:iCs/>
          <w:sz w:val="18"/>
          <w:szCs w:val="22"/>
        </w:rPr>
      </w:pPr>
      <w:r w:rsidRPr="005441F2">
        <w:rPr>
          <w:rFonts w:ascii="Arial Narrow" w:hAnsi="Arial Narrow"/>
          <w:i/>
          <w:iCs/>
          <w:sz w:val="18"/>
          <w:szCs w:val="22"/>
          <w:vertAlign w:val="superscript"/>
        </w:rPr>
        <w:t>19</w:t>
      </w:r>
      <w:r w:rsidRPr="005441F2">
        <w:rPr>
          <w:rFonts w:ascii="Arial Narrow" w:hAnsi="Arial Narrow"/>
          <w:i/>
          <w:iCs/>
          <w:sz w:val="18"/>
          <w:szCs w:val="22"/>
        </w:rPr>
        <w:t xml:space="preserve"> $80 million to &lt; $90 million</w:t>
      </w:r>
    </w:p>
    <w:p w14:paraId="74C253C0" w14:textId="5431E5BD" w:rsidR="00E211D2" w:rsidRPr="00E211D2" w:rsidRDefault="00E211D2" w:rsidP="0091664F">
      <w:pPr>
        <w:widowControl w:val="0"/>
        <w:numPr>
          <w:ilvl w:val="1"/>
          <w:numId w:val="1"/>
        </w:numPr>
        <w:spacing w:after="120"/>
        <w:ind w:left="720" w:hanging="720"/>
      </w:pPr>
      <w:r w:rsidRPr="00C802B9">
        <w:t>The estimated net cost to</w:t>
      </w:r>
      <w:r w:rsidRPr="00E211D2">
        <w:t xml:space="preserve"> the PBS/RPBS was $</w:t>
      </w:r>
      <w:r w:rsidR="005936E3">
        <w:t>40 million to &lt; $50</w:t>
      </w:r>
      <w:r w:rsidRPr="00E211D2">
        <w:t xml:space="preserve"> million in Year 1, increasing to $</w:t>
      </w:r>
      <w:r w:rsidR="005936E3">
        <w:t>100 million to &lt; $200</w:t>
      </w:r>
      <w:r w:rsidR="004671F3">
        <w:t xml:space="preserve"> </w:t>
      </w:r>
      <w:r w:rsidRPr="00E211D2">
        <w:t>million in Year 6, a total cost of $</w:t>
      </w:r>
      <w:r w:rsidR="005936E3">
        <w:t>500 million to &lt;</w:t>
      </w:r>
      <w:r w:rsidR="008A76A6">
        <w:t> </w:t>
      </w:r>
      <w:r w:rsidR="005936E3">
        <w:t>$600</w:t>
      </w:r>
      <w:r w:rsidRPr="00E211D2">
        <w:t xml:space="preserve"> million over the first six years of listing. The estimated net cost to the PBS/RPBS (based on July 2023 PBS markups) was $</w:t>
      </w:r>
      <w:r w:rsidR="005936E3">
        <w:t>40 million to &lt; $50</w:t>
      </w:r>
      <w:r w:rsidR="004E40F4">
        <w:t> </w:t>
      </w:r>
      <w:r w:rsidRPr="00E211D2">
        <w:t>million in Year 1, increasing to $</w:t>
      </w:r>
      <w:r w:rsidR="005936E3">
        <w:t>100 million to &lt; $200</w:t>
      </w:r>
      <w:r w:rsidRPr="00E211D2">
        <w:t xml:space="preserve"> million in Year 6, a total cost of $</w:t>
      </w:r>
      <w:r w:rsidR="005936E3">
        <w:t>500 million to &lt;</w:t>
      </w:r>
      <w:r w:rsidR="008A76A6">
        <w:t> </w:t>
      </w:r>
      <w:r w:rsidR="005936E3">
        <w:t>$600</w:t>
      </w:r>
      <w:r w:rsidR="004E40F4">
        <w:t> </w:t>
      </w:r>
      <w:r w:rsidRPr="00E211D2">
        <w:t>million over the first six years of listing.</w:t>
      </w:r>
    </w:p>
    <w:p w14:paraId="5E13F2B8" w14:textId="32679E59" w:rsidR="00E211D2" w:rsidRPr="00E211D2" w:rsidRDefault="00E211D2" w:rsidP="0091664F">
      <w:pPr>
        <w:widowControl w:val="0"/>
        <w:numPr>
          <w:ilvl w:val="1"/>
          <w:numId w:val="1"/>
        </w:numPr>
        <w:spacing w:after="120"/>
        <w:ind w:left="720" w:hanging="720"/>
      </w:pPr>
      <w:r w:rsidRPr="00E211D2">
        <w:t xml:space="preserve">The </w:t>
      </w:r>
      <w:r w:rsidR="00EB54E6">
        <w:t xml:space="preserve">DUSC considered that overall, the financial implications were likely to be overestimated due to the following reasons: </w:t>
      </w:r>
    </w:p>
    <w:p w14:paraId="22A39609" w14:textId="77777777" w:rsidR="00E211D2" w:rsidRPr="004E40F4" w:rsidRDefault="00E211D2" w:rsidP="004E40F4">
      <w:pPr>
        <w:pStyle w:val="COMexecsummbulletlist"/>
      </w:pPr>
      <w:r w:rsidRPr="004E40F4">
        <w:lastRenderedPageBreak/>
        <w:t>The epidemiological inputs used to derive the financial estimates (proportion of patients treated with a statin, the proportion of patients with an LDL cholesterol level of 1.0 to 2.6 mmol/L, and the proportion of patients with a triglyceride level of 1.7 to 5.6 mmol/L) were highly uncertain, lacked applicability to the proposed PBS population, and were relatively outdated. The estimates were generally based on the proportion of patients receiving treatment with a statin rather than the proportion of patients on the maximum tolerated dose of a statin. Changes in any of the epidemiological inputs had a large impact on the financial estimates.</w:t>
      </w:r>
    </w:p>
    <w:p w14:paraId="69CFB550" w14:textId="2C0B25CF" w:rsidR="00E211D2" w:rsidRPr="004E40F4" w:rsidRDefault="00E211D2" w:rsidP="004E40F4">
      <w:pPr>
        <w:pStyle w:val="COMexecsummbulletlist"/>
      </w:pPr>
      <w:r w:rsidRPr="004E40F4">
        <w:t>The estimated prevalence of ASCVD was based on a broader range of cardiovascular conditions than included in the proposed restriction and may overestimate the number of prevalent patients with ASCVD.</w:t>
      </w:r>
    </w:p>
    <w:p w14:paraId="234E5BB4" w14:textId="5BF680E7" w:rsidR="00EB54E6" w:rsidRPr="004E40F4" w:rsidRDefault="00EB54E6" w:rsidP="004E40F4">
      <w:pPr>
        <w:pStyle w:val="COMexecsummbulletlist"/>
      </w:pPr>
      <w:r w:rsidRPr="004E40F4">
        <w:t>The assumed treatment adherence of 97.5% is unlikely to be realised in practice given the high pill burden icosapent ethyl (4 x capsules per day), suboptimal compliance with statin therapy, and the large number of medications used in the management of ASCVD.</w:t>
      </w:r>
      <w:r w:rsidR="00C802B9" w:rsidRPr="004E40F4">
        <w:t xml:space="preserve"> When using a prevalent approach</w:t>
      </w:r>
      <w:r w:rsidR="00914F29" w:rsidRPr="004E40F4">
        <w:t>,</w:t>
      </w:r>
      <w:r w:rsidR="00C802B9" w:rsidRPr="004E40F4">
        <w:t xml:space="preserve"> a more appropriate calculation for prescriptions per person per year would be to use the average number of prescriptions per person per year for statin therapy in the current market (a prevalent market).</w:t>
      </w:r>
    </w:p>
    <w:p w14:paraId="2238DEE9" w14:textId="3E6A228B" w:rsidR="00576972" w:rsidRPr="00C9624D" w:rsidRDefault="00576972" w:rsidP="00606FBA">
      <w:pPr>
        <w:pStyle w:val="COMH2-non-numbered"/>
      </w:pPr>
      <w:r w:rsidRPr="00C802B9">
        <w:t>Quality Use of Medicines</w:t>
      </w:r>
      <w:bookmarkEnd w:id="68"/>
      <w:bookmarkEnd w:id="69"/>
      <w:bookmarkEnd w:id="70"/>
    </w:p>
    <w:p w14:paraId="6D4381CC" w14:textId="0721CC87" w:rsidR="0029358F" w:rsidRDefault="0029358F" w:rsidP="0091664F">
      <w:pPr>
        <w:widowControl w:val="0"/>
        <w:numPr>
          <w:ilvl w:val="1"/>
          <w:numId w:val="1"/>
        </w:numPr>
        <w:spacing w:after="120"/>
        <w:ind w:left="720" w:hanging="720"/>
      </w:pPr>
      <w:r>
        <w:t xml:space="preserve">The submission listed the following activities to support the quality use of medicines: </w:t>
      </w:r>
    </w:p>
    <w:p w14:paraId="51D7547D" w14:textId="77777777" w:rsidR="0029358F" w:rsidRPr="004E40F4" w:rsidRDefault="0029358F" w:rsidP="004E40F4">
      <w:pPr>
        <w:pStyle w:val="COMexecsummbulletlist"/>
      </w:pPr>
      <w:r w:rsidRPr="004E40F4">
        <w:t>Providing medical education materials and programs to familiarise general practitioners with the evidence-based prescribing of icosapent ethyl, and guidance regarding PBS restriction criteria for the secondary prevention of cardiovascular events.</w:t>
      </w:r>
    </w:p>
    <w:p w14:paraId="4CD1101C" w14:textId="77777777" w:rsidR="0029358F" w:rsidRPr="004E40F4" w:rsidRDefault="0029358F" w:rsidP="004E40F4">
      <w:pPr>
        <w:pStyle w:val="COMexecsummbulletlist"/>
      </w:pPr>
      <w:r w:rsidRPr="004E40F4">
        <w:t>Developing medical education materials to assist clinicians in the identification of patients eligible for treatment, consistent with the proposed PBS restriction criteria.</w:t>
      </w:r>
    </w:p>
    <w:p w14:paraId="0B63CDB4" w14:textId="603284F5" w:rsidR="0029358F" w:rsidRPr="00835F52" w:rsidRDefault="0029358F" w:rsidP="0091664F">
      <w:pPr>
        <w:widowControl w:val="0"/>
        <w:numPr>
          <w:ilvl w:val="1"/>
          <w:numId w:val="1"/>
        </w:numPr>
        <w:spacing w:after="120"/>
        <w:ind w:left="720" w:hanging="720"/>
      </w:pPr>
      <w:r w:rsidRPr="00835F52">
        <w:t>Quality use of medicines issues identified include:</w:t>
      </w:r>
    </w:p>
    <w:p w14:paraId="4FDB9536" w14:textId="7020EC21" w:rsidR="0029358F" w:rsidRPr="004E40F4" w:rsidRDefault="0029358F" w:rsidP="004E40F4">
      <w:pPr>
        <w:pStyle w:val="COMexecsummbulletlist"/>
      </w:pPr>
      <w:r w:rsidRPr="004E40F4">
        <w:t>Potentially reduced treatment benefit associated with icosapent ethyl among patients consuming a diet high in omega-3 fatty acids, or using omega-3 fatty acid supplement products.</w:t>
      </w:r>
      <w:r w:rsidR="00EB54E6" w:rsidRPr="004E40F4">
        <w:t xml:space="preserve"> The DUSC noted that this should be highlighted to clinicians and patients.</w:t>
      </w:r>
    </w:p>
    <w:p w14:paraId="3418E085" w14:textId="77777777" w:rsidR="00EB54E6" w:rsidRPr="004E40F4" w:rsidRDefault="006C1E73" w:rsidP="004E40F4">
      <w:pPr>
        <w:pStyle w:val="COMexecsummbulletlist"/>
      </w:pPr>
      <w:r w:rsidRPr="004E40F4">
        <w:t>The icosapent ethyl product information states that it is not known whether patients with allergies to fish and/or shellfish are at increased risk of an allergic reaction to icosapent ethyl</w:t>
      </w:r>
      <w:r w:rsidR="00E74ED6" w:rsidRPr="004E40F4">
        <w:t>; and that i</w:t>
      </w:r>
      <w:r w:rsidRPr="004E40F4">
        <w:t>cosapent ethyl should be used with caution in patients with known hypersensitivity to fish and/or shellfish.</w:t>
      </w:r>
      <w:r w:rsidR="00E74ED6" w:rsidRPr="004E40F4">
        <w:t xml:space="preserve"> Additionally, the </w:t>
      </w:r>
      <w:r w:rsidRPr="004E40F4">
        <w:t>product information states that icosapent ethyl should not be used by patients who are allergic to soya or peanut.</w:t>
      </w:r>
    </w:p>
    <w:p w14:paraId="6B50372D" w14:textId="77777777" w:rsidR="00EB54E6" w:rsidRPr="004E40F4" w:rsidRDefault="00E211D2" w:rsidP="004E40F4">
      <w:pPr>
        <w:pStyle w:val="COMexecsummbulletlist"/>
      </w:pPr>
      <w:r w:rsidRPr="004E40F4">
        <w:lastRenderedPageBreak/>
        <w:t xml:space="preserve">DUSC noted that no information was produced regarding degradation if icosapent ethyl were added to dose administration aids. DUSC considered that a portion of the target population would be using dose administration aids and it should be noted whether this form of administration would lead to a less efficacious medication similar to the impact of oxidation on fish oil preparations. </w:t>
      </w:r>
    </w:p>
    <w:p w14:paraId="5A87C2B7" w14:textId="20475337" w:rsidR="00E211D2" w:rsidRPr="004E40F4" w:rsidRDefault="00E211D2" w:rsidP="004E40F4">
      <w:pPr>
        <w:pStyle w:val="COMexecsummbulletlist"/>
      </w:pPr>
      <w:r w:rsidRPr="004E40F4">
        <w:t xml:space="preserve">DUSC noted the controversies surrounding fish farming which may present ecological and moral quandaries for some patients. DUSC considered that information on where and how fish are sourced in the manufacturing of icosapent ethyl may reduce these ethical concerns for patients. </w:t>
      </w:r>
    </w:p>
    <w:p w14:paraId="6015A395" w14:textId="2EDB6A4E" w:rsidR="00576972" w:rsidRPr="00C9624D" w:rsidRDefault="00576972" w:rsidP="00606FBA">
      <w:pPr>
        <w:pStyle w:val="COMH2-non-numbered"/>
      </w:pPr>
      <w:bookmarkStart w:id="74" w:name="_Toc22897649"/>
      <w:bookmarkStart w:id="75" w:name="_Toc144685995"/>
      <w:bookmarkStart w:id="76" w:name="_Toc145499035"/>
      <w:r w:rsidRPr="00E11910">
        <w:t>Financial Management – Risk Sharing Arrangements</w:t>
      </w:r>
      <w:bookmarkEnd w:id="74"/>
      <w:bookmarkEnd w:id="75"/>
      <w:bookmarkEnd w:id="76"/>
    </w:p>
    <w:p w14:paraId="4A2E5A2E" w14:textId="39F0D512" w:rsidR="0029358F" w:rsidRDefault="0029358F" w:rsidP="0091664F">
      <w:pPr>
        <w:widowControl w:val="0"/>
        <w:numPr>
          <w:ilvl w:val="1"/>
          <w:numId w:val="1"/>
        </w:numPr>
        <w:spacing w:after="120"/>
        <w:ind w:left="720" w:hanging="720"/>
      </w:pPr>
      <w:r w:rsidRPr="00B32EC8">
        <w:t xml:space="preserve">The submission proposed a </w:t>
      </w:r>
      <w:r w:rsidR="00EC456E">
        <w:t>R</w:t>
      </w:r>
      <w:r w:rsidRPr="00B32EC8">
        <w:t>isk</w:t>
      </w:r>
      <w:r w:rsidR="00EC456E">
        <w:t xml:space="preserve"> S</w:t>
      </w:r>
      <w:r w:rsidRPr="00B32EC8">
        <w:t xml:space="preserve">haring </w:t>
      </w:r>
      <w:r w:rsidR="00EC456E">
        <w:t>A</w:t>
      </w:r>
      <w:r w:rsidRPr="00B32EC8">
        <w:t>rrangement with a tiered rebate structure to mitigate the financial risk to Government. Under the proposed arrangement, a rebate of</w:t>
      </w:r>
      <w:r w:rsidR="0036355B">
        <w:t xml:space="preserve"> </w:t>
      </w:r>
      <w:r w:rsidR="0036355B" w:rsidRPr="004671F3">
        <w:rPr>
          <w:color w:val="000000"/>
          <w:spacing w:val="4"/>
          <w:w w:val="59"/>
          <w:shd w:val="solid" w:color="000000" w:fill="000000"/>
          <w:fitText w:val="590" w:id="-1032109819"/>
          <w14:textFill>
            <w14:solidFill>
              <w14:srgbClr w14:val="000000">
                <w14:alpha w14:val="100000"/>
              </w14:srgbClr>
            </w14:solidFill>
          </w14:textFill>
        </w:rPr>
        <w:t>||||</w:t>
      </w:r>
      <w:r w:rsidR="004671F3" w:rsidRPr="004671F3">
        <w:rPr>
          <w:color w:val="000000"/>
          <w:spacing w:val="4"/>
          <w:w w:val="59"/>
          <w:shd w:val="solid" w:color="000000" w:fill="000000"/>
          <w:fitText w:val="590" w:id="-1032109819"/>
          <w14:textFill>
            <w14:solidFill>
              <w14:srgbClr w14:val="000000">
                <w14:alpha w14:val="100000"/>
              </w14:srgbClr>
            </w14:solidFill>
          </w14:textFill>
        </w:rPr>
        <w:t xml:space="preserve"> </w:t>
      </w:r>
      <w:r w:rsidR="0036355B" w:rsidRPr="004671F3">
        <w:rPr>
          <w:color w:val="000000"/>
          <w:spacing w:val="4"/>
          <w:w w:val="59"/>
          <w:shd w:val="solid" w:color="000000" w:fill="000000"/>
          <w:fitText w:val="590" w:id="-1032109819"/>
          <w14:textFill>
            <w14:solidFill>
              <w14:srgbClr w14:val="000000">
                <w14:alpha w14:val="100000"/>
              </w14:srgbClr>
            </w14:solidFill>
          </w14:textFill>
        </w:rPr>
        <w:t>||||</w:t>
      </w:r>
      <w:r w:rsidRPr="00B32EC8">
        <w:t xml:space="preserve">% </w:t>
      </w:r>
      <w:r>
        <w:t xml:space="preserve">would apply for </w:t>
      </w:r>
      <w:r w:rsidRPr="00B32EC8">
        <w:t>expenditure between</w:t>
      </w:r>
      <w:r w:rsidR="004671F3">
        <w:t xml:space="preserve"> </w:t>
      </w:r>
      <w:r w:rsidR="0036355B" w:rsidRPr="004671F3">
        <w:rPr>
          <w:color w:val="000000"/>
          <w:spacing w:val="19"/>
          <w:w w:val="66"/>
          <w:shd w:val="solid" w:color="000000" w:fill="000000"/>
          <w:fitText w:val="220" w:id="-1032109816"/>
          <w14:textFill>
            <w14:solidFill>
              <w14:srgbClr w14:val="000000">
                <w14:alpha w14:val="100000"/>
              </w14:srgbClr>
            </w14:solidFill>
          </w14:textFill>
        </w:rPr>
        <w:t>|</w:t>
      </w:r>
      <w:r w:rsidR="004671F3" w:rsidRPr="004671F3">
        <w:rPr>
          <w:color w:val="000000"/>
          <w:spacing w:val="19"/>
          <w:w w:val="66"/>
          <w:shd w:val="solid" w:color="000000" w:fill="000000"/>
          <w:fitText w:val="220" w:id="-1032109816"/>
          <w14:textFill>
            <w14:solidFill>
              <w14:srgbClr w14:val="000000">
                <w14:alpha w14:val="100000"/>
              </w14:srgbClr>
            </w14:solidFill>
          </w14:textFill>
        </w:rPr>
        <w:t xml:space="preserve"> </w:t>
      </w:r>
      <w:r w:rsidR="0036355B" w:rsidRPr="004671F3">
        <w:rPr>
          <w:color w:val="000000"/>
          <w:spacing w:val="1"/>
          <w:w w:val="66"/>
          <w:shd w:val="solid" w:color="000000" w:fill="000000"/>
          <w:fitText w:val="220" w:id="-1032109816"/>
          <w14:textFill>
            <w14:solidFill>
              <w14:srgbClr w14:val="000000">
                <w14:alpha w14:val="100000"/>
              </w14:srgbClr>
            </w14:solidFill>
          </w14:textFill>
        </w:rPr>
        <w:t>|</w:t>
      </w:r>
      <w:r w:rsidR="00296FCD">
        <w:t>%</w:t>
      </w:r>
      <w:r w:rsidRPr="00B32EC8">
        <w:t xml:space="preserve"> and</w:t>
      </w:r>
      <w:r w:rsidR="004671F3">
        <w:t xml:space="preserve"> </w:t>
      </w:r>
      <w:r w:rsidR="0036355B" w:rsidRPr="004671F3">
        <w:rPr>
          <w:color w:val="000000"/>
          <w:spacing w:val="9"/>
          <w:w w:val="61"/>
          <w:shd w:val="solid" w:color="000000" w:fill="000000"/>
          <w:fitText w:val="340" w:id="-1032109813"/>
          <w14:textFill>
            <w14:solidFill>
              <w14:srgbClr w14:val="000000">
                <w14:alpha w14:val="100000"/>
              </w14:srgbClr>
            </w14:solidFill>
          </w14:textFill>
        </w:rPr>
        <w:t>||</w:t>
      </w:r>
      <w:r w:rsidR="004671F3" w:rsidRPr="004671F3">
        <w:rPr>
          <w:color w:val="000000"/>
          <w:spacing w:val="9"/>
          <w:w w:val="61"/>
          <w:shd w:val="solid" w:color="000000" w:fill="000000"/>
          <w:fitText w:val="340" w:id="-1032109813"/>
          <w14:textFill>
            <w14:solidFill>
              <w14:srgbClr w14:val="000000">
                <w14:alpha w14:val="100000"/>
              </w14:srgbClr>
            </w14:solidFill>
          </w14:textFill>
        </w:rPr>
        <w:t xml:space="preserve"> </w:t>
      </w:r>
      <w:r w:rsidR="0036355B" w:rsidRPr="004671F3">
        <w:rPr>
          <w:color w:val="000000"/>
          <w:spacing w:val="9"/>
          <w:w w:val="61"/>
          <w:shd w:val="solid" w:color="000000" w:fill="000000"/>
          <w:fitText w:val="340" w:id="-1032109813"/>
          <w14:textFill>
            <w14:solidFill>
              <w14:srgbClr w14:val="000000">
                <w14:alpha w14:val="100000"/>
              </w14:srgbClr>
            </w14:solidFill>
          </w14:textFill>
        </w:rPr>
        <w:t>|</w:t>
      </w:r>
      <w:r w:rsidR="0036355B" w:rsidRPr="004671F3">
        <w:rPr>
          <w:color w:val="000000"/>
          <w:spacing w:val="2"/>
          <w:w w:val="61"/>
          <w:shd w:val="solid" w:color="000000" w:fill="000000"/>
          <w:fitText w:val="340" w:id="-1032109813"/>
          <w14:textFill>
            <w14:solidFill>
              <w14:srgbClr w14:val="000000">
                <w14:alpha w14:val="100000"/>
              </w14:srgbClr>
            </w14:solidFill>
          </w14:textFill>
        </w:rPr>
        <w:t>|</w:t>
      </w:r>
      <w:r w:rsidRPr="00B32EC8">
        <w:t xml:space="preserve">% of the estimated cost </w:t>
      </w:r>
      <w:r>
        <w:t>to government, and a</w:t>
      </w:r>
      <w:r w:rsidR="004671F3">
        <w:t xml:space="preserve"> </w:t>
      </w:r>
      <w:r w:rsidR="0036355B" w:rsidRPr="004671F3">
        <w:rPr>
          <w:color w:val="000000"/>
          <w:spacing w:val="4"/>
          <w:w w:val="27"/>
          <w:shd w:val="solid" w:color="000000" w:fill="000000"/>
          <w:fitText w:val="150" w:id="-1032109810"/>
          <w14:textFill>
            <w14:solidFill>
              <w14:srgbClr w14:val="000000">
                <w14:alpha w14:val="100000"/>
              </w14:srgbClr>
            </w14:solidFill>
          </w14:textFill>
        </w:rPr>
        <w:t>||</w:t>
      </w:r>
      <w:r w:rsidR="004671F3" w:rsidRPr="004671F3">
        <w:rPr>
          <w:color w:val="000000"/>
          <w:spacing w:val="4"/>
          <w:w w:val="27"/>
          <w:shd w:val="solid" w:color="000000" w:fill="000000"/>
          <w:fitText w:val="150" w:id="-1032109810"/>
          <w14:textFill>
            <w14:solidFill>
              <w14:srgbClr w14:val="000000">
                <w14:alpha w14:val="100000"/>
              </w14:srgbClr>
            </w14:solidFill>
          </w14:textFill>
        </w:rPr>
        <w:t xml:space="preserve"> </w:t>
      </w:r>
      <w:r w:rsidR="0036355B" w:rsidRPr="004671F3">
        <w:rPr>
          <w:color w:val="000000"/>
          <w:spacing w:val="4"/>
          <w:w w:val="27"/>
          <w:shd w:val="solid" w:color="000000" w:fill="000000"/>
          <w:fitText w:val="150" w:id="-1032109810"/>
          <w14:textFill>
            <w14:solidFill>
              <w14:srgbClr w14:val="000000">
                <w14:alpha w14:val="100000"/>
              </w14:srgbClr>
            </w14:solidFill>
          </w14:textFill>
        </w:rPr>
        <w:t>||</w:t>
      </w:r>
      <w:r w:rsidRPr="00B32EC8">
        <w:t xml:space="preserve">% rebate </w:t>
      </w:r>
      <w:r>
        <w:t>would apply to expenditure above</w:t>
      </w:r>
      <w:r w:rsidR="004671F3">
        <w:t xml:space="preserve"> </w:t>
      </w:r>
      <w:r w:rsidR="0036355B" w:rsidRPr="004671F3">
        <w:rPr>
          <w:color w:val="000000"/>
          <w:spacing w:val="15"/>
          <w:w w:val="15"/>
          <w:shd w:val="solid" w:color="000000" w:fill="000000"/>
          <w:fitText w:val="40" w:id="-1032109823"/>
          <w14:textFill>
            <w14:solidFill>
              <w14:srgbClr w14:val="000000">
                <w14:alpha w14:val="100000"/>
              </w14:srgbClr>
            </w14:solidFill>
          </w14:textFill>
        </w:rPr>
        <w:t>|</w:t>
      </w:r>
      <w:r w:rsidR="004671F3" w:rsidRPr="004671F3">
        <w:rPr>
          <w:color w:val="000000"/>
          <w:spacing w:val="1"/>
          <w:w w:val="15"/>
          <w:shd w:val="solid" w:color="000000" w:fill="000000"/>
          <w:fitText w:val="40" w:id="-1032109823"/>
          <w14:textFill>
            <w14:solidFill>
              <w14:srgbClr w14:val="000000">
                <w14:alpha w14:val="100000"/>
              </w14:srgbClr>
            </w14:solidFill>
          </w14:textFill>
        </w:rPr>
        <w:t xml:space="preserve"> </w:t>
      </w:r>
      <w:r w:rsidR="0036355B" w:rsidRPr="004671F3">
        <w:rPr>
          <w:color w:val="000000"/>
          <w:spacing w:val="9"/>
          <w:w w:val="61"/>
          <w:shd w:val="solid" w:color="000000" w:fill="000000"/>
          <w:fitText w:val="340" w:id="-1032109822"/>
          <w14:textFill>
            <w14:solidFill>
              <w14:srgbClr w14:val="000000">
                <w14:alpha w14:val="100000"/>
              </w14:srgbClr>
            </w14:solidFill>
          </w14:textFill>
        </w:rPr>
        <w:t>||</w:t>
      </w:r>
      <w:r w:rsidR="004671F3" w:rsidRPr="004671F3">
        <w:rPr>
          <w:color w:val="000000"/>
          <w:spacing w:val="9"/>
          <w:w w:val="61"/>
          <w:shd w:val="solid" w:color="000000" w:fill="000000"/>
          <w:fitText w:val="340" w:id="-1032109822"/>
          <w14:textFill>
            <w14:solidFill>
              <w14:srgbClr w14:val="000000">
                <w14:alpha w14:val="100000"/>
              </w14:srgbClr>
            </w14:solidFill>
          </w14:textFill>
        </w:rPr>
        <w:t xml:space="preserve"> </w:t>
      </w:r>
      <w:r w:rsidR="0036355B" w:rsidRPr="004671F3">
        <w:rPr>
          <w:color w:val="000000"/>
          <w:spacing w:val="9"/>
          <w:w w:val="61"/>
          <w:shd w:val="solid" w:color="000000" w:fill="000000"/>
          <w:fitText w:val="340" w:id="-1032109822"/>
          <w14:textFill>
            <w14:solidFill>
              <w14:srgbClr w14:val="000000">
                <w14:alpha w14:val="100000"/>
              </w14:srgbClr>
            </w14:solidFill>
          </w14:textFill>
        </w:rPr>
        <w:t>|</w:t>
      </w:r>
      <w:r w:rsidR="0036355B" w:rsidRPr="004671F3">
        <w:rPr>
          <w:color w:val="000000"/>
          <w:spacing w:val="2"/>
          <w:w w:val="61"/>
          <w:shd w:val="solid" w:color="000000" w:fill="000000"/>
          <w:fitText w:val="340" w:id="-1032109822"/>
          <w14:textFill>
            <w14:solidFill>
              <w14:srgbClr w14:val="000000">
                <w14:alpha w14:val="100000"/>
              </w14:srgbClr>
            </w14:solidFill>
          </w14:textFill>
        </w:rPr>
        <w:t>|</w:t>
      </w:r>
      <w:r>
        <w:t xml:space="preserve">% of the estimated cost to </w:t>
      </w:r>
      <w:r w:rsidR="00EC456E">
        <w:t>Government</w:t>
      </w:r>
      <w:r>
        <w:t>.</w:t>
      </w:r>
    </w:p>
    <w:p w14:paraId="6FFC1BBE" w14:textId="5856B24E" w:rsidR="00EB54E6" w:rsidRDefault="00F315B2" w:rsidP="0091664F">
      <w:pPr>
        <w:widowControl w:val="0"/>
        <w:numPr>
          <w:ilvl w:val="1"/>
          <w:numId w:val="1"/>
        </w:numPr>
        <w:spacing w:after="120"/>
        <w:ind w:left="720" w:hanging="720"/>
      </w:pPr>
      <w:r>
        <w:fldChar w:fldCharType="begin" w:fldLock="1"/>
      </w:r>
      <w:r>
        <w:instrText xml:space="preserve"> REF _Ref144678967 \h </w:instrText>
      </w:r>
      <w:r w:rsidR="0091664F">
        <w:instrText xml:space="preserve"> \* MERGEFORMAT </w:instrText>
      </w:r>
      <w:r>
        <w:fldChar w:fldCharType="separate"/>
      </w:r>
      <w:r w:rsidR="003F1735">
        <w:t>Table 17</w:t>
      </w:r>
      <w:r>
        <w:fldChar w:fldCharType="end"/>
      </w:r>
      <w:r w:rsidR="0029358F">
        <w:t xml:space="preserve"> presents the risk-sharing arrangement caps proposed in the submission.</w:t>
      </w:r>
    </w:p>
    <w:p w14:paraId="5A631DF3" w14:textId="27E9450F" w:rsidR="0029358F" w:rsidRPr="0023413C" w:rsidRDefault="00705F51" w:rsidP="0029358F">
      <w:pPr>
        <w:pStyle w:val="COMtablefigcaption"/>
        <w:rPr>
          <w:b w:val="0"/>
        </w:rPr>
      </w:pPr>
      <w:bookmarkStart w:id="77" w:name="_Ref144678967"/>
      <w:r>
        <w:t xml:space="preserve">Table </w:t>
      </w:r>
      <w:fldSimple w:instr=" SEQ Table \* ARABIC " w:fldLock="1">
        <w:r w:rsidR="003F1735">
          <w:rPr>
            <w:noProof/>
          </w:rPr>
          <w:t>17</w:t>
        </w:r>
      </w:fldSimple>
      <w:bookmarkEnd w:id="77"/>
      <w:r w:rsidR="0029358F" w:rsidRPr="0023413C">
        <w:t xml:space="preserve">: </w:t>
      </w:r>
      <w:r w:rsidR="0029358F">
        <w:t>R</w:t>
      </w:r>
      <w:r w:rsidR="0029358F" w:rsidRPr="006D3409">
        <w:t>isk-sharing arrangement caps proposed in the submission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7: Risk-sharing arrangement caps proposed in the submission"/>
        <w:tblDescription w:val="Table 17: Risk-sharing arrangement caps proposed in the submission"/>
      </w:tblPr>
      <w:tblGrid>
        <w:gridCol w:w="1871"/>
        <w:gridCol w:w="1199"/>
        <w:gridCol w:w="1199"/>
        <w:gridCol w:w="1200"/>
        <w:gridCol w:w="1199"/>
        <w:gridCol w:w="1199"/>
        <w:gridCol w:w="1200"/>
      </w:tblGrid>
      <w:tr w:rsidR="0029358F" w:rsidRPr="00D424C7" w14:paraId="674DCB11" w14:textId="77777777" w:rsidTr="001D4554">
        <w:trPr>
          <w:tblHeader/>
        </w:trPr>
        <w:tc>
          <w:tcPr>
            <w:tcW w:w="1871" w:type="dxa"/>
            <w:shd w:val="clear" w:color="auto" w:fill="auto"/>
            <w:vAlign w:val="center"/>
          </w:tcPr>
          <w:p w14:paraId="2780CC25" w14:textId="77777777" w:rsidR="0029358F" w:rsidRPr="00D424C7" w:rsidRDefault="0029358F" w:rsidP="001D4554">
            <w:pPr>
              <w:pStyle w:val="COMTableheadingrow"/>
            </w:pPr>
          </w:p>
        </w:tc>
        <w:tc>
          <w:tcPr>
            <w:tcW w:w="1199" w:type="dxa"/>
            <w:shd w:val="clear" w:color="auto" w:fill="auto"/>
            <w:vAlign w:val="center"/>
          </w:tcPr>
          <w:p w14:paraId="13246B41" w14:textId="77777777" w:rsidR="0029358F" w:rsidRPr="00D424C7" w:rsidRDefault="0029358F" w:rsidP="001D4554">
            <w:pPr>
              <w:pStyle w:val="COMTableheadingrow"/>
              <w:jc w:val="center"/>
            </w:pPr>
            <w:r w:rsidRPr="00D424C7">
              <w:t>Year 1</w:t>
            </w:r>
          </w:p>
        </w:tc>
        <w:tc>
          <w:tcPr>
            <w:tcW w:w="1199" w:type="dxa"/>
            <w:shd w:val="clear" w:color="auto" w:fill="auto"/>
            <w:vAlign w:val="center"/>
          </w:tcPr>
          <w:p w14:paraId="77335ED9" w14:textId="77777777" w:rsidR="0029358F" w:rsidRPr="00D424C7" w:rsidRDefault="0029358F" w:rsidP="001D4554">
            <w:pPr>
              <w:pStyle w:val="COMTableheadingrow"/>
              <w:jc w:val="center"/>
            </w:pPr>
            <w:r w:rsidRPr="00D424C7">
              <w:t>Year 2</w:t>
            </w:r>
          </w:p>
        </w:tc>
        <w:tc>
          <w:tcPr>
            <w:tcW w:w="1200" w:type="dxa"/>
            <w:shd w:val="clear" w:color="auto" w:fill="auto"/>
            <w:vAlign w:val="center"/>
          </w:tcPr>
          <w:p w14:paraId="08CA9A8E" w14:textId="77777777" w:rsidR="0029358F" w:rsidRPr="00D424C7" w:rsidRDefault="0029358F" w:rsidP="001D4554">
            <w:pPr>
              <w:pStyle w:val="COMTableheadingrow"/>
              <w:jc w:val="center"/>
            </w:pPr>
            <w:r w:rsidRPr="00D424C7">
              <w:t>Year 3</w:t>
            </w:r>
          </w:p>
        </w:tc>
        <w:tc>
          <w:tcPr>
            <w:tcW w:w="1199" w:type="dxa"/>
            <w:shd w:val="clear" w:color="auto" w:fill="auto"/>
            <w:vAlign w:val="center"/>
          </w:tcPr>
          <w:p w14:paraId="5F97E677" w14:textId="77777777" w:rsidR="0029358F" w:rsidRPr="00D424C7" w:rsidRDefault="0029358F" w:rsidP="001D4554">
            <w:pPr>
              <w:pStyle w:val="COMTableheadingrow"/>
              <w:jc w:val="center"/>
            </w:pPr>
            <w:r w:rsidRPr="00D424C7">
              <w:t>Year 4</w:t>
            </w:r>
          </w:p>
        </w:tc>
        <w:tc>
          <w:tcPr>
            <w:tcW w:w="1199" w:type="dxa"/>
            <w:shd w:val="clear" w:color="auto" w:fill="auto"/>
            <w:vAlign w:val="center"/>
          </w:tcPr>
          <w:p w14:paraId="61715BDD" w14:textId="77777777" w:rsidR="0029358F" w:rsidRPr="00D424C7" w:rsidRDefault="0029358F" w:rsidP="001D4554">
            <w:pPr>
              <w:pStyle w:val="COMTableheadingrow"/>
              <w:jc w:val="center"/>
            </w:pPr>
            <w:r w:rsidRPr="00D424C7">
              <w:t>Year 5</w:t>
            </w:r>
          </w:p>
        </w:tc>
        <w:tc>
          <w:tcPr>
            <w:tcW w:w="1200" w:type="dxa"/>
            <w:shd w:val="clear" w:color="auto" w:fill="auto"/>
            <w:vAlign w:val="center"/>
          </w:tcPr>
          <w:p w14:paraId="54DE180F" w14:textId="77777777" w:rsidR="0029358F" w:rsidRPr="00D424C7" w:rsidRDefault="0029358F" w:rsidP="001D4554">
            <w:pPr>
              <w:pStyle w:val="COMTableheadingrow"/>
              <w:jc w:val="center"/>
            </w:pPr>
            <w:r w:rsidRPr="00D424C7">
              <w:t>Year 6</w:t>
            </w:r>
          </w:p>
        </w:tc>
      </w:tr>
      <w:tr w:rsidR="0029358F" w:rsidRPr="003F255E" w14:paraId="612D52BE" w14:textId="77777777" w:rsidTr="001D4554">
        <w:tc>
          <w:tcPr>
            <w:tcW w:w="1871" w:type="dxa"/>
            <w:shd w:val="clear" w:color="auto" w:fill="auto"/>
          </w:tcPr>
          <w:p w14:paraId="2E74404A" w14:textId="70F1E917" w:rsidR="0029358F" w:rsidRPr="00705B92" w:rsidRDefault="0029358F" w:rsidP="001D4554">
            <w:pPr>
              <w:pStyle w:val="COMTabletext"/>
              <w:rPr>
                <w:i/>
                <w:iCs/>
                <w:vertAlign w:val="superscript"/>
              </w:rPr>
            </w:pPr>
            <w:r w:rsidRPr="00CE2645">
              <w:t xml:space="preserve">Tier 1 </w:t>
            </w:r>
            <w:proofErr w:type="spellStart"/>
            <w:r w:rsidRPr="00CE2645">
              <w:t>cap</w:t>
            </w:r>
            <w:r w:rsidR="008A76A6">
              <w:rPr>
                <w:vertAlign w:val="superscript"/>
              </w:rPr>
              <w:t>a</w:t>
            </w:r>
            <w:proofErr w:type="spellEnd"/>
          </w:p>
        </w:tc>
        <w:tc>
          <w:tcPr>
            <w:tcW w:w="1199" w:type="dxa"/>
            <w:shd w:val="clear" w:color="auto" w:fill="auto"/>
          </w:tcPr>
          <w:p w14:paraId="3CD32D0D" w14:textId="0976D273" w:rsidR="0029358F" w:rsidRPr="005441F2" w:rsidRDefault="0036355B" w:rsidP="001D4554">
            <w:pPr>
              <w:pStyle w:val="COMTabletext"/>
              <w:jc w:val="center"/>
              <w:rPr>
                <w:i/>
                <w:iCs/>
                <w:highlight w:val="darkGray"/>
              </w:rPr>
            </w:pPr>
            <w:r>
              <w:t xml:space="preserve"> </w:t>
            </w:r>
            <w:r w:rsidRPr="0036355B">
              <w:rPr>
                <w:color w:val="000000"/>
                <w:spacing w:val="214"/>
                <w:shd w:val="solid" w:color="000000" w:fill="000000"/>
                <w:fitText w:val="300" w:id="-1032109819"/>
                <w14:textFill>
                  <w14:solidFill>
                    <w14:srgbClr w14:val="000000">
                      <w14:alpha w14:val="100000"/>
                    </w14:srgbClr>
                  </w14:solidFill>
                </w14:textFill>
              </w:rPr>
              <w:t>|</w:t>
            </w:r>
            <w:r w:rsidRPr="0036355B">
              <w:rPr>
                <w:color w:val="000000"/>
                <w:spacing w:val="1"/>
                <w:shd w:val="solid" w:color="000000" w:fill="000000"/>
                <w:fitText w:val="300" w:id="-1032109819"/>
                <w14:textFill>
                  <w14:solidFill>
                    <w14:srgbClr w14:val="000000">
                      <w14:alpha w14:val="100000"/>
                    </w14:srgbClr>
                  </w14:solidFill>
                </w14:textFill>
              </w:rPr>
              <w:t>|</w:t>
            </w:r>
            <w:r w:rsidR="005936E3" w:rsidRPr="00C153DC">
              <w:rPr>
                <w:sz w:val="18"/>
                <w:szCs w:val="18"/>
                <w:vertAlign w:val="superscript"/>
              </w:rPr>
              <w:t>1</w:t>
            </w:r>
          </w:p>
        </w:tc>
        <w:tc>
          <w:tcPr>
            <w:tcW w:w="1199" w:type="dxa"/>
            <w:shd w:val="clear" w:color="auto" w:fill="auto"/>
          </w:tcPr>
          <w:p w14:paraId="0C742138" w14:textId="4FDC3EEB" w:rsidR="0029358F" w:rsidRPr="005441F2" w:rsidRDefault="0036355B" w:rsidP="001D4554">
            <w:pPr>
              <w:pStyle w:val="COMTabletext"/>
              <w:jc w:val="center"/>
              <w:rPr>
                <w:i/>
                <w:iCs/>
                <w:highlight w:val="darkGray"/>
              </w:rPr>
            </w:pPr>
            <w:r>
              <w:t xml:space="preserve"> </w:t>
            </w:r>
            <w:r w:rsidRPr="0036355B">
              <w:rPr>
                <w:color w:val="000000"/>
                <w:spacing w:val="214"/>
                <w:shd w:val="solid" w:color="000000" w:fill="000000"/>
                <w:fitText w:val="300" w:id="-1032109816"/>
                <w14:textFill>
                  <w14:solidFill>
                    <w14:srgbClr w14:val="000000">
                      <w14:alpha w14:val="100000"/>
                    </w14:srgbClr>
                  </w14:solidFill>
                </w14:textFill>
              </w:rPr>
              <w:t>|</w:t>
            </w:r>
            <w:r w:rsidRPr="0036355B">
              <w:rPr>
                <w:color w:val="000000"/>
                <w:spacing w:val="1"/>
                <w:shd w:val="solid" w:color="000000" w:fill="000000"/>
                <w:fitText w:val="300" w:id="-1032109816"/>
                <w14:textFill>
                  <w14:solidFill>
                    <w14:srgbClr w14:val="000000">
                      <w14:alpha w14:val="100000"/>
                    </w14:srgbClr>
                  </w14:solidFill>
                </w14:textFill>
              </w:rPr>
              <w:t>|</w:t>
            </w:r>
            <w:r w:rsidR="005936E3">
              <w:rPr>
                <w:sz w:val="18"/>
                <w:szCs w:val="18"/>
                <w:vertAlign w:val="superscript"/>
              </w:rPr>
              <w:t>2</w:t>
            </w:r>
          </w:p>
        </w:tc>
        <w:tc>
          <w:tcPr>
            <w:tcW w:w="1200" w:type="dxa"/>
            <w:shd w:val="clear" w:color="auto" w:fill="auto"/>
          </w:tcPr>
          <w:p w14:paraId="5E2B1E7C" w14:textId="27DB0416" w:rsidR="0029358F" w:rsidRPr="005441F2" w:rsidRDefault="0036355B" w:rsidP="001D4554">
            <w:pPr>
              <w:pStyle w:val="COMTabletext"/>
              <w:jc w:val="center"/>
              <w:rPr>
                <w:i/>
                <w:iCs/>
                <w:highlight w:val="darkGray"/>
              </w:rPr>
            </w:pPr>
            <w:r>
              <w:t xml:space="preserve"> </w:t>
            </w:r>
            <w:r w:rsidRPr="0036355B">
              <w:rPr>
                <w:color w:val="000000"/>
                <w:spacing w:val="214"/>
                <w:shd w:val="solid" w:color="000000" w:fill="000000"/>
                <w:fitText w:val="300" w:id="-1032109813"/>
                <w14:textFill>
                  <w14:solidFill>
                    <w14:srgbClr w14:val="000000">
                      <w14:alpha w14:val="100000"/>
                    </w14:srgbClr>
                  </w14:solidFill>
                </w14:textFill>
              </w:rPr>
              <w:t>|</w:t>
            </w:r>
            <w:r w:rsidRPr="0036355B">
              <w:rPr>
                <w:color w:val="000000"/>
                <w:spacing w:val="1"/>
                <w:shd w:val="solid" w:color="000000" w:fill="000000"/>
                <w:fitText w:val="300" w:id="-1032109813"/>
                <w14:textFill>
                  <w14:solidFill>
                    <w14:srgbClr w14:val="000000">
                      <w14:alpha w14:val="100000"/>
                    </w14:srgbClr>
                  </w14:solidFill>
                </w14:textFill>
              </w:rPr>
              <w:t>|</w:t>
            </w:r>
            <w:r w:rsidR="005936E3">
              <w:rPr>
                <w:sz w:val="18"/>
                <w:szCs w:val="18"/>
                <w:vertAlign w:val="superscript"/>
              </w:rPr>
              <w:t>3</w:t>
            </w:r>
          </w:p>
        </w:tc>
        <w:tc>
          <w:tcPr>
            <w:tcW w:w="1199" w:type="dxa"/>
            <w:shd w:val="clear" w:color="auto" w:fill="auto"/>
          </w:tcPr>
          <w:p w14:paraId="373D5D47" w14:textId="1701221F" w:rsidR="0029358F" w:rsidRPr="005441F2" w:rsidRDefault="0036355B" w:rsidP="001D4554">
            <w:pPr>
              <w:pStyle w:val="COMTabletext"/>
              <w:jc w:val="center"/>
              <w:rPr>
                <w:i/>
                <w:iCs/>
                <w:highlight w:val="darkGray"/>
              </w:rPr>
            </w:pPr>
            <w:r>
              <w:t xml:space="preserve"> </w:t>
            </w:r>
            <w:r w:rsidRPr="0036355B">
              <w:rPr>
                <w:color w:val="000000"/>
                <w:spacing w:val="214"/>
                <w:shd w:val="solid" w:color="000000" w:fill="000000"/>
                <w:fitText w:val="300" w:id="-1032109810"/>
                <w14:textFill>
                  <w14:solidFill>
                    <w14:srgbClr w14:val="000000">
                      <w14:alpha w14:val="100000"/>
                    </w14:srgbClr>
                  </w14:solidFill>
                </w14:textFill>
              </w:rPr>
              <w:t>|</w:t>
            </w:r>
            <w:r w:rsidRPr="0036355B">
              <w:rPr>
                <w:color w:val="000000"/>
                <w:spacing w:val="1"/>
                <w:shd w:val="solid" w:color="000000" w:fill="000000"/>
                <w:fitText w:val="300" w:id="-1032109810"/>
                <w14:textFill>
                  <w14:solidFill>
                    <w14:srgbClr w14:val="000000">
                      <w14:alpha w14:val="100000"/>
                    </w14:srgbClr>
                  </w14:solidFill>
                </w14:textFill>
              </w:rPr>
              <w:t>|</w:t>
            </w:r>
            <w:r w:rsidR="005936E3">
              <w:rPr>
                <w:sz w:val="18"/>
                <w:szCs w:val="18"/>
                <w:vertAlign w:val="superscript"/>
              </w:rPr>
              <w:t>4</w:t>
            </w:r>
          </w:p>
        </w:tc>
        <w:tc>
          <w:tcPr>
            <w:tcW w:w="1199" w:type="dxa"/>
            <w:shd w:val="clear" w:color="auto" w:fill="auto"/>
          </w:tcPr>
          <w:p w14:paraId="48304BA7" w14:textId="5A651DBF" w:rsidR="0029358F" w:rsidRPr="005441F2" w:rsidRDefault="0036355B" w:rsidP="001D4554">
            <w:pPr>
              <w:pStyle w:val="COMTabletext"/>
              <w:jc w:val="center"/>
              <w:rPr>
                <w:i/>
                <w:iCs/>
                <w:highlight w:val="darkGray"/>
              </w:rPr>
            </w:pPr>
            <w:r>
              <w:t xml:space="preserve"> </w:t>
            </w:r>
            <w:r w:rsidRPr="0036355B">
              <w:rPr>
                <w:color w:val="000000"/>
                <w:spacing w:val="214"/>
                <w:shd w:val="solid" w:color="000000" w:fill="000000"/>
                <w:fitText w:val="300" w:id="-1032109824"/>
                <w14:textFill>
                  <w14:solidFill>
                    <w14:srgbClr w14:val="000000">
                      <w14:alpha w14:val="100000"/>
                    </w14:srgbClr>
                  </w14:solidFill>
                </w14:textFill>
              </w:rPr>
              <w:t>|</w:t>
            </w:r>
            <w:r w:rsidRPr="0036355B">
              <w:rPr>
                <w:color w:val="000000"/>
                <w:spacing w:val="1"/>
                <w:shd w:val="solid" w:color="000000" w:fill="000000"/>
                <w:fitText w:val="300" w:id="-1032109824"/>
                <w14:textFill>
                  <w14:solidFill>
                    <w14:srgbClr w14:val="000000">
                      <w14:alpha w14:val="100000"/>
                    </w14:srgbClr>
                  </w14:solidFill>
                </w14:textFill>
              </w:rPr>
              <w:t>|</w:t>
            </w:r>
            <w:r w:rsidR="005936E3">
              <w:rPr>
                <w:sz w:val="18"/>
                <w:szCs w:val="18"/>
                <w:vertAlign w:val="superscript"/>
              </w:rPr>
              <w:t>4</w:t>
            </w:r>
          </w:p>
        </w:tc>
        <w:tc>
          <w:tcPr>
            <w:tcW w:w="1200" w:type="dxa"/>
            <w:shd w:val="clear" w:color="auto" w:fill="auto"/>
          </w:tcPr>
          <w:p w14:paraId="7FD31DDB" w14:textId="1CD7586E" w:rsidR="0029358F" w:rsidRPr="005441F2" w:rsidRDefault="0036355B" w:rsidP="001D4554">
            <w:pPr>
              <w:pStyle w:val="COMTabletext"/>
              <w:jc w:val="center"/>
              <w:rPr>
                <w:i/>
                <w:iCs/>
                <w:highlight w:val="darkGray"/>
              </w:rPr>
            </w:pPr>
            <w:r>
              <w:t xml:space="preserve"> </w:t>
            </w:r>
            <w:r w:rsidRPr="0036355B">
              <w:rPr>
                <w:color w:val="000000"/>
                <w:spacing w:val="214"/>
                <w:shd w:val="solid" w:color="000000" w:fill="000000"/>
                <w:fitText w:val="300" w:id="-1032109821"/>
                <w14:textFill>
                  <w14:solidFill>
                    <w14:srgbClr w14:val="000000">
                      <w14:alpha w14:val="100000"/>
                    </w14:srgbClr>
                  </w14:solidFill>
                </w14:textFill>
              </w:rPr>
              <w:t>|</w:t>
            </w:r>
            <w:r w:rsidRPr="0036355B">
              <w:rPr>
                <w:color w:val="000000"/>
                <w:spacing w:val="1"/>
                <w:shd w:val="solid" w:color="000000" w:fill="000000"/>
                <w:fitText w:val="300" w:id="-1032109821"/>
                <w14:textFill>
                  <w14:solidFill>
                    <w14:srgbClr w14:val="000000">
                      <w14:alpha w14:val="100000"/>
                    </w14:srgbClr>
                  </w14:solidFill>
                </w14:textFill>
              </w:rPr>
              <w:t>|</w:t>
            </w:r>
            <w:r w:rsidR="005936E3">
              <w:rPr>
                <w:sz w:val="18"/>
                <w:szCs w:val="18"/>
                <w:vertAlign w:val="superscript"/>
              </w:rPr>
              <w:t>4</w:t>
            </w:r>
          </w:p>
        </w:tc>
      </w:tr>
      <w:tr w:rsidR="0029358F" w:rsidRPr="003F255E" w14:paraId="3A62BE96" w14:textId="77777777" w:rsidTr="001D4554">
        <w:tc>
          <w:tcPr>
            <w:tcW w:w="1871" w:type="dxa"/>
            <w:shd w:val="clear" w:color="auto" w:fill="auto"/>
            <w:vAlign w:val="center"/>
          </w:tcPr>
          <w:p w14:paraId="22CC2A5A" w14:textId="4B6B6AE5" w:rsidR="0029358F" w:rsidRPr="00705B92" w:rsidRDefault="0029358F" w:rsidP="001D4554">
            <w:pPr>
              <w:pStyle w:val="COMTabletext"/>
              <w:rPr>
                <w:vertAlign w:val="superscript"/>
              </w:rPr>
            </w:pPr>
            <w:r w:rsidRPr="00CE2645">
              <w:t xml:space="preserve">Tier 2 </w:t>
            </w:r>
            <w:proofErr w:type="spellStart"/>
            <w:r w:rsidRPr="00CE2645">
              <w:t>cap</w:t>
            </w:r>
            <w:r w:rsidR="008A76A6">
              <w:rPr>
                <w:vertAlign w:val="superscript"/>
              </w:rPr>
              <w:t>b</w:t>
            </w:r>
            <w:proofErr w:type="spellEnd"/>
          </w:p>
        </w:tc>
        <w:tc>
          <w:tcPr>
            <w:tcW w:w="1199" w:type="dxa"/>
            <w:shd w:val="clear" w:color="auto" w:fill="auto"/>
          </w:tcPr>
          <w:p w14:paraId="0D8184AF" w14:textId="2852C048" w:rsidR="0029358F" w:rsidRPr="005441F2" w:rsidRDefault="0036355B" w:rsidP="001D4554">
            <w:pPr>
              <w:pStyle w:val="COMTabletext"/>
              <w:jc w:val="center"/>
              <w:rPr>
                <w:i/>
                <w:iCs/>
                <w:highlight w:val="darkGray"/>
              </w:rPr>
            </w:pPr>
            <w:r>
              <w:t xml:space="preserve"> </w:t>
            </w:r>
            <w:r w:rsidRPr="0036355B">
              <w:rPr>
                <w:color w:val="000000"/>
                <w:spacing w:val="214"/>
                <w:shd w:val="solid" w:color="000000" w:fill="000000"/>
                <w:fitText w:val="300" w:id="-1032109818"/>
                <w14:textFill>
                  <w14:solidFill>
                    <w14:srgbClr w14:val="000000">
                      <w14:alpha w14:val="100000"/>
                    </w14:srgbClr>
                  </w14:solidFill>
                </w14:textFill>
              </w:rPr>
              <w:t>|</w:t>
            </w:r>
            <w:r w:rsidRPr="0036355B">
              <w:rPr>
                <w:color w:val="000000"/>
                <w:spacing w:val="1"/>
                <w:shd w:val="solid" w:color="000000" w:fill="000000"/>
                <w:fitText w:val="300" w:id="-1032109818"/>
                <w14:textFill>
                  <w14:solidFill>
                    <w14:srgbClr w14:val="000000">
                      <w14:alpha w14:val="100000"/>
                    </w14:srgbClr>
                  </w14:solidFill>
                </w14:textFill>
              </w:rPr>
              <w:t>|</w:t>
            </w:r>
            <w:r w:rsidR="005936E3">
              <w:rPr>
                <w:sz w:val="18"/>
                <w:szCs w:val="18"/>
                <w:vertAlign w:val="superscript"/>
              </w:rPr>
              <w:t>2</w:t>
            </w:r>
          </w:p>
        </w:tc>
        <w:tc>
          <w:tcPr>
            <w:tcW w:w="1199" w:type="dxa"/>
            <w:shd w:val="clear" w:color="auto" w:fill="auto"/>
          </w:tcPr>
          <w:p w14:paraId="3CCBD3B7" w14:textId="6333CF83" w:rsidR="0029358F" w:rsidRPr="005441F2" w:rsidRDefault="0036355B" w:rsidP="001D4554">
            <w:pPr>
              <w:pStyle w:val="COMTabletext"/>
              <w:jc w:val="center"/>
              <w:rPr>
                <w:i/>
                <w:iCs/>
                <w:highlight w:val="darkGray"/>
              </w:rPr>
            </w:pPr>
            <w:r>
              <w:t xml:space="preserve"> </w:t>
            </w:r>
            <w:r w:rsidRPr="0036355B">
              <w:rPr>
                <w:color w:val="000000"/>
                <w:spacing w:val="214"/>
                <w:shd w:val="solid" w:color="000000" w:fill="000000"/>
                <w:fitText w:val="300" w:id="-1032109815"/>
                <w14:textFill>
                  <w14:solidFill>
                    <w14:srgbClr w14:val="000000">
                      <w14:alpha w14:val="100000"/>
                    </w14:srgbClr>
                  </w14:solidFill>
                </w14:textFill>
              </w:rPr>
              <w:t>|</w:t>
            </w:r>
            <w:r w:rsidRPr="0036355B">
              <w:rPr>
                <w:color w:val="000000"/>
                <w:spacing w:val="1"/>
                <w:shd w:val="solid" w:color="000000" w:fill="000000"/>
                <w:fitText w:val="300" w:id="-1032109815"/>
                <w14:textFill>
                  <w14:solidFill>
                    <w14:srgbClr w14:val="000000">
                      <w14:alpha w14:val="100000"/>
                    </w14:srgbClr>
                  </w14:solidFill>
                </w14:textFill>
              </w:rPr>
              <w:t>|</w:t>
            </w:r>
            <w:r w:rsidR="005936E3">
              <w:rPr>
                <w:sz w:val="18"/>
                <w:szCs w:val="18"/>
                <w:vertAlign w:val="superscript"/>
              </w:rPr>
              <w:t>5</w:t>
            </w:r>
          </w:p>
        </w:tc>
        <w:tc>
          <w:tcPr>
            <w:tcW w:w="1200" w:type="dxa"/>
            <w:shd w:val="clear" w:color="auto" w:fill="auto"/>
          </w:tcPr>
          <w:p w14:paraId="7285D869" w14:textId="72CD0460" w:rsidR="0029358F" w:rsidRPr="005441F2" w:rsidRDefault="0036355B" w:rsidP="001D4554">
            <w:pPr>
              <w:pStyle w:val="COMTabletext"/>
              <w:jc w:val="center"/>
              <w:rPr>
                <w:i/>
                <w:iCs/>
                <w:highlight w:val="darkGray"/>
              </w:rPr>
            </w:pPr>
            <w:r>
              <w:t xml:space="preserve"> </w:t>
            </w:r>
            <w:r w:rsidRPr="0036355B">
              <w:rPr>
                <w:color w:val="000000"/>
                <w:spacing w:val="214"/>
                <w:shd w:val="solid" w:color="000000" w:fill="000000"/>
                <w:fitText w:val="300" w:id="-1032109812"/>
                <w14:textFill>
                  <w14:solidFill>
                    <w14:srgbClr w14:val="000000">
                      <w14:alpha w14:val="100000"/>
                    </w14:srgbClr>
                  </w14:solidFill>
                </w14:textFill>
              </w:rPr>
              <w:t>|</w:t>
            </w:r>
            <w:r w:rsidRPr="0036355B">
              <w:rPr>
                <w:color w:val="000000"/>
                <w:spacing w:val="1"/>
                <w:shd w:val="solid" w:color="000000" w:fill="000000"/>
                <w:fitText w:val="300" w:id="-1032109812"/>
                <w14:textFill>
                  <w14:solidFill>
                    <w14:srgbClr w14:val="000000">
                      <w14:alpha w14:val="100000"/>
                    </w14:srgbClr>
                  </w14:solidFill>
                </w14:textFill>
              </w:rPr>
              <w:t>|</w:t>
            </w:r>
            <w:r w:rsidR="005936E3">
              <w:rPr>
                <w:sz w:val="18"/>
                <w:szCs w:val="18"/>
                <w:vertAlign w:val="superscript"/>
              </w:rPr>
              <w:t>4</w:t>
            </w:r>
          </w:p>
        </w:tc>
        <w:tc>
          <w:tcPr>
            <w:tcW w:w="1199" w:type="dxa"/>
            <w:shd w:val="clear" w:color="auto" w:fill="auto"/>
          </w:tcPr>
          <w:p w14:paraId="13CC388C" w14:textId="73FCDF26" w:rsidR="0029358F" w:rsidRPr="005441F2" w:rsidRDefault="0036355B" w:rsidP="001D4554">
            <w:pPr>
              <w:pStyle w:val="COMTabletext"/>
              <w:jc w:val="center"/>
              <w:rPr>
                <w:i/>
                <w:iCs/>
                <w:highlight w:val="darkGray"/>
              </w:rPr>
            </w:pPr>
            <w:r>
              <w:t xml:space="preserve"> </w:t>
            </w:r>
            <w:r w:rsidRPr="0036355B">
              <w:rPr>
                <w:color w:val="000000"/>
                <w:spacing w:val="214"/>
                <w:shd w:val="solid" w:color="000000" w:fill="000000"/>
                <w:fitText w:val="300" w:id="-1032109809"/>
                <w14:textFill>
                  <w14:solidFill>
                    <w14:srgbClr w14:val="000000">
                      <w14:alpha w14:val="100000"/>
                    </w14:srgbClr>
                  </w14:solidFill>
                </w14:textFill>
              </w:rPr>
              <w:t>|</w:t>
            </w:r>
            <w:r w:rsidRPr="0036355B">
              <w:rPr>
                <w:color w:val="000000"/>
                <w:spacing w:val="1"/>
                <w:shd w:val="solid" w:color="000000" w:fill="000000"/>
                <w:fitText w:val="300" w:id="-1032109809"/>
                <w14:textFill>
                  <w14:solidFill>
                    <w14:srgbClr w14:val="000000">
                      <w14:alpha w14:val="100000"/>
                    </w14:srgbClr>
                  </w14:solidFill>
                </w14:textFill>
              </w:rPr>
              <w:t>|</w:t>
            </w:r>
            <w:r w:rsidR="005936E3">
              <w:rPr>
                <w:sz w:val="18"/>
                <w:szCs w:val="18"/>
                <w:vertAlign w:val="superscript"/>
              </w:rPr>
              <w:t>4</w:t>
            </w:r>
          </w:p>
        </w:tc>
        <w:tc>
          <w:tcPr>
            <w:tcW w:w="1199" w:type="dxa"/>
            <w:shd w:val="clear" w:color="auto" w:fill="auto"/>
          </w:tcPr>
          <w:p w14:paraId="1CA204D7" w14:textId="687D1786" w:rsidR="0029358F" w:rsidRPr="005441F2" w:rsidRDefault="0036355B" w:rsidP="001D4554">
            <w:pPr>
              <w:pStyle w:val="COMTabletext"/>
              <w:jc w:val="center"/>
              <w:rPr>
                <w:i/>
                <w:iCs/>
                <w:highlight w:val="darkGray"/>
              </w:rPr>
            </w:pPr>
            <w:r>
              <w:t xml:space="preserve"> </w:t>
            </w:r>
            <w:r w:rsidRPr="0036355B">
              <w:rPr>
                <w:color w:val="000000"/>
                <w:spacing w:val="214"/>
                <w:shd w:val="solid" w:color="000000" w:fill="000000"/>
                <w:fitText w:val="300" w:id="-1032109823"/>
                <w14:textFill>
                  <w14:solidFill>
                    <w14:srgbClr w14:val="000000">
                      <w14:alpha w14:val="100000"/>
                    </w14:srgbClr>
                  </w14:solidFill>
                </w14:textFill>
              </w:rPr>
              <w:t>|</w:t>
            </w:r>
            <w:r w:rsidRPr="0036355B">
              <w:rPr>
                <w:color w:val="000000"/>
                <w:spacing w:val="1"/>
                <w:shd w:val="solid" w:color="000000" w:fill="000000"/>
                <w:fitText w:val="300" w:id="-1032109823"/>
                <w14:textFill>
                  <w14:solidFill>
                    <w14:srgbClr w14:val="000000">
                      <w14:alpha w14:val="100000"/>
                    </w14:srgbClr>
                  </w14:solidFill>
                </w14:textFill>
              </w:rPr>
              <w:t>|</w:t>
            </w:r>
            <w:r w:rsidR="005936E3">
              <w:rPr>
                <w:sz w:val="18"/>
                <w:szCs w:val="18"/>
                <w:vertAlign w:val="superscript"/>
              </w:rPr>
              <w:t>4</w:t>
            </w:r>
          </w:p>
        </w:tc>
        <w:tc>
          <w:tcPr>
            <w:tcW w:w="1200" w:type="dxa"/>
            <w:shd w:val="clear" w:color="auto" w:fill="auto"/>
          </w:tcPr>
          <w:p w14:paraId="0EA06581" w14:textId="242E3E09" w:rsidR="0029358F" w:rsidRPr="005441F2" w:rsidRDefault="0036355B" w:rsidP="001D4554">
            <w:pPr>
              <w:pStyle w:val="COMTabletext"/>
              <w:jc w:val="center"/>
              <w:rPr>
                <w:i/>
                <w:iCs/>
                <w:highlight w:val="darkGray"/>
              </w:rPr>
            </w:pPr>
            <w:r>
              <w:t xml:space="preserve"> </w:t>
            </w:r>
            <w:r w:rsidRPr="0036355B">
              <w:rPr>
                <w:color w:val="000000"/>
                <w:spacing w:val="214"/>
                <w:shd w:val="solid" w:color="000000" w:fill="000000"/>
                <w:fitText w:val="300" w:id="-1032109820"/>
                <w14:textFill>
                  <w14:solidFill>
                    <w14:srgbClr w14:val="000000">
                      <w14:alpha w14:val="100000"/>
                    </w14:srgbClr>
                  </w14:solidFill>
                </w14:textFill>
              </w:rPr>
              <w:t>|</w:t>
            </w:r>
            <w:r w:rsidRPr="0036355B">
              <w:rPr>
                <w:color w:val="000000"/>
                <w:spacing w:val="1"/>
                <w:shd w:val="solid" w:color="000000" w:fill="000000"/>
                <w:fitText w:val="300" w:id="-1032109820"/>
                <w14:textFill>
                  <w14:solidFill>
                    <w14:srgbClr w14:val="000000">
                      <w14:alpha w14:val="100000"/>
                    </w14:srgbClr>
                  </w14:solidFill>
                </w14:textFill>
              </w:rPr>
              <w:t>|</w:t>
            </w:r>
            <w:r w:rsidR="005936E3">
              <w:rPr>
                <w:sz w:val="18"/>
                <w:szCs w:val="18"/>
                <w:vertAlign w:val="superscript"/>
              </w:rPr>
              <w:t>4</w:t>
            </w:r>
          </w:p>
        </w:tc>
      </w:tr>
    </w:tbl>
    <w:p w14:paraId="79364739" w14:textId="77777777" w:rsidR="0029358F" w:rsidRDefault="0029358F" w:rsidP="0029358F">
      <w:pPr>
        <w:pStyle w:val="COMTablefooter"/>
      </w:pPr>
      <w:r>
        <w:t>Source: Constructed using the Section 4 financial estimates Excel workbook.</w:t>
      </w:r>
    </w:p>
    <w:p w14:paraId="32574188" w14:textId="0A047893" w:rsidR="0029358F" w:rsidRPr="001E0D2D" w:rsidRDefault="008A76A6" w:rsidP="0029358F">
      <w:pPr>
        <w:pStyle w:val="COMTablefooter"/>
      </w:pPr>
      <w:r>
        <w:rPr>
          <w:vertAlign w:val="superscript"/>
        </w:rPr>
        <w:t>a</w:t>
      </w:r>
      <w:r w:rsidR="0029358F" w:rsidRPr="001E0D2D">
        <w:t xml:space="preserve"> Based on the estimated </w:t>
      </w:r>
      <w:r w:rsidR="0029358F" w:rsidRPr="0076606C">
        <w:t>cost to government.</w:t>
      </w:r>
    </w:p>
    <w:p w14:paraId="5879C091" w14:textId="42F6F8C0" w:rsidR="0029358F" w:rsidRDefault="008A76A6" w:rsidP="005441F2">
      <w:pPr>
        <w:pStyle w:val="COMTablefooter"/>
        <w:tabs>
          <w:tab w:val="left" w:pos="5011"/>
        </w:tabs>
        <w:spacing w:after="0"/>
      </w:pPr>
      <w:r>
        <w:rPr>
          <w:vertAlign w:val="superscript"/>
        </w:rPr>
        <w:t>b</w:t>
      </w:r>
      <w:r w:rsidR="0029358F" w:rsidRPr="001E0D2D">
        <w:t xml:space="preserve"> Based on the estimated cost to government multiplied by 150%.</w:t>
      </w:r>
    </w:p>
    <w:p w14:paraId="682FF066" w14:textId="2E495327" w:rsidR="005936E3" w:rsidRPr="005441F2" w:rsidRDefault="005936E3" w:rsidP="005936E3">
      <w:pPr>
        <w:rPr>
          <w:rFonts w:ascii="Arial Narrow" w:hAnsi="Arial Narrow"/>
          <w:i/>
          <w:iCs/>
          <w:sz w:val="18"/>
          <w:szCs w:val="18"/>
        </w:rPr>
      </w:pPr>
      <w:r w:rsidRPr="005441F2">
        <w:rPr>
          <w:rFonts w:ascii="Arial Narrow" w:hAnsi="Arial Narrow"/>
          <w:i/>
          <w:iCs/>
          <w:sz w:val="18"/>
          <w:szCs w:val="18"/>
        </w:rPr>
        <w:t>The redacted values correspond to the following ranges:</w:t>
      </w:r>
    </w:p>
    <w:p w14:paraId="4E07D842" w14:textId="5D028271" w:rsidR="005936E3" w:rsidRPr="005441F2" w:rsidRDefault="005936E3" w:rsidP="005936E3">
      <w:pPr>
        <w:rPr>
          <w:rFonts w:ascii="Arial Narrow" w:hAnsi="Arial Narrow"/>
          <w:i/>
          <w:iCs/>
          <w:sz w:val="18"/>
          <w:szCs w:val="18"/>
        </w:rPr>
      </w:pPr>
      <w:r w:rsidRPr="005441F2">
        <w:rPr>
          <w:rFonts w:ascii="Arial Narrow" w:hAnsi="Arial Narrow"/>
          <w:i/>
          <w:iCs/>
          <w:sz w:val="18"/>
          <w:szCs w:val="18"/>
          <w:vertAlign w:val="superscript"/>
        </w:rPr>
        <w:t>1</w:t>
      </w:r>
      <w:r w:rsidRPr="005441F2">
        <w:rPr>
          <w:rFonts w:ascii="Arial Narrow" w:hAnsi="Arial Narrow"/>
          <w:i/>
          <w:iCs/>
          <w:sz w:val="18"/>
          <w:szCs w:val="18"/>
        </w:rPr>
        <w:t xml:space="preserve"> $40 million to &lt; $50 million</w:t>
      </w:r>
    </w:p>
    <w:p w14:paraId="445316AC" w14:textId="7B5EE792" w:rsidR="005936E3" w:rsidRPr="005441F2" w:rsidRDefault="005936E3" w:rsidP="005936E3">
      <w:pPr>
        <w:rPr>
          <w:rFonts w:ascii="Arial Narrow" w:hAnsi="Arial Narrow"/>
          <w:i/>
          <w:iCs/>
          <w:sz w:val="18"/>
          <w:szCs w:val="18"/>
        </w:rPr>
      </w:pPr>
      <w:r w:rsidRPr="005441F2">
        <w:rPr>
          <w:rFonts w:ascii="Arial Narrow" w:hAnsi="Arial Narrow"/>
          <w:i/>
          <w:iCs/>
          <w:sz w:val="18"/>
          <w:szCs w:val="18"/>
          <w:vertAlign w:val="superscript"/>
        </w:rPr>
        <w:t>2</w:t>
      </w:r>
      <w:r w:rsidRPr="005441F2">
        <w:rPr>
          <w:rFonts w:ascii="Arial Narrow" w:hAnsi="Arial Narrow"/>
          <w:i/>
          <w:iCs/>
          <w:sz w:val="18"/>
          <w:szCs w:val="18"/>
        </w:rPr>
        <w:t xml:space="preserve"> $60 million to &lt; $70 million</w:t>
      </w:r>
    </w:p>
    <w:p w14:paraId="02E6B3D2" w14:textId="0A08F707" w:rsidR="005936E3" w:rsidRPr="005441F2" w:rsidRDefault="005936E3" w:rsidP="005936E3">
      <w:pPr>
        <w:rPr>
          <w:rFonts w:ascii="Arial Narrow" w:hAnsi="Arial Narrow"/>
          <w:i/>
          <w:iCs/>
          <w:sz w:val="18"/>
          <w:szCs w:val="18"/>
        </w:rPr>
      </w:pPr>
      <w:r w:rsidRPr="005441F2">
        <w:rPr>
          <w:rFonts w:ascii="Arial Narrow" w:hAnsi="Arial Narrow"/>
          <w:i/>
          <w:iCs/>
          <w:sz w:val="18"/>
          <w:szCs w:val="18"/>
          <w:vertAlign w:val="superscript"/>
        </w:rPr>
        <w:t>3</w:t>
      </w:r>
      <w:r w:rsidRPr="005441F2">
        <w:rPr>
          <w:rFonts w:ascii="Arial Narrow" w:hAnsi="Arial Narrow"/>
          <w:i/>
          <w:iCs/>
          <w:sz w:val="18"/>
          <w:szCs w:val="18"/>
        </w:rPr>
        <w:t xml:space="preserve"> $80 million to &lt; $90 million</w:t>
      </w:r>
    </w:p>
    <w:p w14:paraId="14F970E8" w14:textId="4C12FFD5" w:rsidR="005936E3" w:rsidRPr="005441F2" w:rsidRDefault="005936E3" w:rsidP="005936E3">
      <w:pPr>
        <w:rPr>
          <w:rFonts w:ascii="Arial Narrow" w:hAnsi="Arial Narrow"/>
          <w:i/>
          <w:iCs/>
          <w:sz w:val="18"/>
          <w:szCs w:val="18"/>
        </w:rPr>
      </w:pPr>
      <w:r w:rsidRPr="005441F2">
        <w:rPr>
          <w:rFonts w:ascii="Arial Narrow" w:hAnsi="Arial Narrow"/>
          <w:i/>
          <w:iCs/>
          <w:sz w:val="18"/>
          <w:szCs w:val="18"/>
          <w:vertAlign w:val="superscript"/>
        </w:rPr>
        <w:t>4</w:t>
      </w:r>
      <w:r w:rsidRPr="005441F2">
        <w:rPr>
          <w:rFonts w:ascii="Arial Narrow" w:hAnsi="Arial Narrow"/>
          <w:i/>
          <w:iCs/>
          <w:sz w:val="18"/>
          <w:szCs w:val="18"/>
        </w:rPr>
        <w:t xml:space="preserve"> $100 million to &lt; $200 million</w:t>
      </w:r>
    </w:p>
    <w:p w14:paraId="0893BBC6" w14:textId="0BE35E73" w:rsidR="005936E3" w:rsidRPr="004671F3" w:rsidRDefault="005936E3" w:rsidP="00502356">
      <w:pPr>
        <w:spacing w:after="120"/>
        <w:rPr>
          <w:rFonts w:ascii="Arial Narrow" w:hAnsi="Arial Narrow"/>
          <w:i/>
          <w:iCs/>
          <w:sz w:val="18"/>
          <w:szCs w:val="18"/>
        </w:rPr>
      </w:pPr>
      <w:r w:rsidRPr="005441F2">
        <w:rPr>
          <w:rFonts w:ascii="Arial Narrow" w:hAnsi="Arial Narrow"/>
          <w:i/>
          <w:iCs/>
          <w:sz w:val="18"/>
          <w:szCs w:val="18"/>
          <w:vertAlign w:val="superscript"/>
        </w:rPr>
        <w:t>5</w:t>
      </w:r>
      <w:r w:rsidRPr="005441F2">
        <w:rPr>
          <w:rFonts w:ascii="Arial Narrow" w:hAnsi="Arial Narrow"/>
          <w:i/>
          <w:iCs/>
          <w:sz w:val="18"/>
          <w:szCs w:val="18"/>
        </w:rPr>
        <w:t xml:space="preserve"> $90 million to &lt; $100 million</w:t>
      </w:r>
    </w:p>
    <w:p w14:paraId="466A4592" w14:textId="14388115" w:rsidR="00E211D2" w:rsidRPr="00E211D2" w:rsidRDefault="00E211D2" w:rsidP="00502356">
      <w:pPr>
        <w:ind w:firstLine="720"/>
      </w:pPr>
      <w:r>
        <w:rPr>
          <w:i/>
          <w:iCs/>
        </w:rPr>
        <w:t>For more detail on PBAC’s view, see section 7 PBAC outcome.</w:t>
      </w:r>
    </w:p>
    <w:p w14:paraId="40EB6490" w14:textId="77777777" w:rsidR="00E211D2" w:rsidRPr="0090150D" w:rsidRDefault="00E211D2" w:rsidP="00E211D2">
      <w:pPr>
        <w:pStyle w:val="COMH1numbered"/>
      </w:pPr>
      <w:bookmarkStart w:id="78" w:name="_Hlk76381249"/>
      <w:bookmarkStart w:id="79" w:name="_Hlk76377955"/>
      <w:r w:rsidRPr="0090150D">
        <w:t>PBAC Outcome</w:t>
      </w:r>
    </w:p>
    <w:p w14:paraId="4DAED8F5" w14:textId="21236118" w:rsidR="00EF2C32" w:rsidRDefault="00EF2C32" w:rsidP="00E211D2">
      <w:pPr>
        <w:widowControl w:val="0"/>
        <w:numPr>
          <w:ilvl w:val="1"/>
          <w:numId w:val="1"/>
        </w:numPr>
        <w:spacing w:after="120"/>
        <w:ind w:left="720" w:hanging="720"/>
        <w:rPr>
          <w:rFonts w:asciiTheme="minorHAnsi" w:hAnsiTheme="minorHAnsi"/>
          <w:snapToGrid w:val="0"/>
          <w:lang w:val="en-GB"/>
        </w:rPr>
      </w:pPr>
      <w:bookmarkStart w:id="80" w:name="_Hlk111543188"/>
      <w:r>
        <w:rPr>
          <w:rFonts w:asciiTheme="minorHAnsi" w:hAnsiTheme="minorHAnsi"/>
          <w:snapToGrid w:val="0"/>
          <w:lang w:val="en-GB"/>
        </w:rPr>
        <w:t xml:space="preserve">The PBAC did not recommend icosapent ethyl for the treatment of patients with atherosclerotic cardiovascular disease (ASCVD) and elevated triglycerides. The PBAC considered that there was a </w:t>
      </w:r>
      <w:r w:rsidR="00C80943">
        <w:rPr>
          <w:rFonts w:asciiTheme="minorHAnsi" w:hAnsiTheme="minorHAnsi"/>
          <w:snapToGrid w:val="0"/>
          <w:lang w:val="en-GB"/>
        </w:rPr>
        <w:t>low</w:t>
      </w:r>
      <w:r>
        <w:rPr>
          <w:rFonts w:asciiTheme="minorHAnsi" w:hAnsiTheme="minorHAnsi"/>
          <w:snapToGrid w:val="0"/>
          <w:lang w:val="en-GB"/>
        </w:rPr>
        <w:t xml:space="preserve"> clinical need for icosapent ethyl </w:t>
      </w:r>
      <w:r w:rsidR="00C80943">
        <w:rPr>
          <w:rFonts w:asciiTheme="minorHAnsi" w:hAnsiTheme="minorHAnsi"/>
          <w:snapToGrid w:val="0"/>
          <w:lang w:val="en-GB"/>
        </w:rPr>
        <w:t xml:space="preserve">given current therapies to treat patients with ASCVD are underutilised, and adding this option </w:t>
      </w:r>
      <w:r w:rsidR="00914F29">
        <w:rPr>
          <w:rFonts w:asciiTheme="minorHAnsi" w:hAnsiTheme="minorHAnsi"/>
          <w:snapToGrid w:val="0"/>
          <w:lang w:val="en-GB"/>
        </w:rPr>
        <w:t xml:space="preserve">would </w:t>
      </w:r>
      <w:r w:rsidR="00C80943">
        <w:rPr>
          <w:rFonts w:asciiTheme="minorHAnsi" w:hAnsiTheme="minorHAnsi"/>
          <w:snapToGrid w:val="0"/>
          <w:lang w:val="en-GB"/>
        </w:rPr>
        <w:t xml:space="preserve">complicate the treatment space at a substantial potential cost to Government. Furthermore, the PBAC considered </w:t>
      </w:r>
      <w:r>
        <w:rPr>
          <w:rFonts w:asciiTheme="minorHAnsi" w:hAnsiTheme="minorHAnsi"/>
          <w:snapToGrid w:val="0"/>
          <w:lang w:val="en-GB"/>
        </w:rPr>
        <w:t>the magnitude of benefit was uncertain</w:t>
      </w:r>
      <w:r w:rsidR="00C80943">
        <w:rPr>
          <w:rFonts w:asciiTheme="minorHAnsi" w:hAnsiTheme="minorHAnsi"/>
          <w:snapToGrid w:val="0"/>
          <w:lang w:val="en-GB"/>
        </w:rPr>
        <w:t xml:space="preserve"> given the mechanism of action of </w:t>
      </w:r>
      <w:r w:rsidR="00C80943">
        <w:rPr>
          <w:lang w:val="en-US"/>
        </w:rPr>
        <w:t>icosapent ethyl</w:t>
      </w:r>
      <w:r w:rsidR="00C80943">
        <w:rPr>
          <w:rFonts w:asciiTheme="minorHAnsi" w:hAnsiTheme="minorHAnsi"/>
          <w:snapToGrid w:val="0"/>
          <w:lang w:val="en-GB"/>
        </w:rPr>
        <w:t xml:space="preserve"> is </w:t>
      </w:r>
      <w:r w:rsidR="00BC654C">
        <w:rPr>
          <w:rFonts w:asciiTheme="minorHAnsi" w:hAnsiTheme="minorHAnsi"/>
          <w:snapToGrid w:val="0"/>
          <w:lang w:val="en-GB"/>
        </w:rPr>
        <w:t xml:space="preserve">inadequately </w:t>
      </w:r>
      <w:r w:rsidR="00C80943">
        <w:rPr>
          <w:rFonts w:asciiTheme="minorHAnsi" w:hAnsiTheme="minorHAnsi"/>
          <w:snapToGrid w:val="0"/>
          <w:lang w:val="en-GB"/>
        </w:rPr>
        <w:t xml:space="preserve">understood, there are inconsistent trial results across </w:t>
      </w:r>
      <w:r w:rsidR="0028795C">
        <w:rPr>
          <w:rFonts w:asciiTheme="minorHAnsi" w:hAnsiTheme="minorHAnsi"/>
          <w:snapToGrid w:val="0"/>
          <w:lang w:val="en-GB"/>
        </w:rPr>
        <w:t xml:space="preserve">studies of </w:t>
      </w:r>
      <w:r w:rsidR="00C80943" w:rsidRPr="003A24B7">
        <w:t>eicosapentaenoic acid</w:t>
      </w:r>
      <w:r w:rsidR="0028795C">
        <w:t xml:space="preserve"> (EPA) therapies and the negative</w:t>
      </w:r>
      <w:r w:rsidR="00C80943">
        <w:t xml:space="preserve"> </w:t>
      </w:r>
      <w:r w:rsidR="0028795C">
        <w:t xml:space="preserve">impact of the mineral oil used in the placebo arm of the REDUCE-IT trial </w:t>
      </w:r>
      <w:r w:rsidR="00914F29">
        <w:t xml:space="preserve">was </w:t>
      </w:r>
      <w:r w:rsidR="0028795C">
        <w:t>not easily quantifiable</w:t>
      </w:r>
      <w:r>
        <w:rPr>
          <w:rFonts w:asciiTheme="minorHAnsi" w:hAnsiTheme="minorHAnsi"/>
          <w:snapToGrid w:val="0"/>
          <w:lang w:val="en-GB"/>
        </w:rPr>
        <w:t xml:space="preserve">. The PBAC considered that the </w:t>
      </w:r>
      <w:r w:rsidR="006C313E">
        <w:rPr>
          <w:rFonts w:asciiTheme="minorHAnsi" w:hAnsiTheme="minorHAnsi"/>
          <w:snapToGrid w:val="0"/>
          <w:lang w:val="en-GB"/>
        </w:rPr>
        <w:t xml:space="preserve">revised </w:t>
      </w:r>
      <w:r>
        <w:rPr>
          <w:rFonts w:asciiTheme="minorHAnsi" w:hAnsiTheme="minorHAnsi"/>
          <w:snapToGrid w:val="0"/>
          <w:lang w:val="en-GB"/>
        </w:rPr>
        <w:t xml:space="preserve">incremental cost </w:t>
      </w:r>
      <w:r>
        <w:rPr>
          <w:rFonts w:asciiTheme="minorHAnsi" w:hAnsiTheme="minorHAnsi"/>
          <w:snapToGrid w:val="0"/>
          <w:lang w:val="en-GB"/>
        </w:rPr>
        <w:lastRenderedPageBreak/>
        <w:t xml:space="preserve">effectiveness ratio (ICER) presented in the pre-PBAC response </w:t>
      </w:r>
      <w:r w:rsidR="00D4357F">
        <w:rPr>
          <w:rFonts w:asciiTheme="minorHAnsi" w:hAnsiTheme="minorHAnsi"/>
          <w:snapToGrid w:val="0"/>
          <w:lang w:val="en-GB"/>
        </w:rPr>
        <w:t xml:space="preserve">was too </w:t>
      </w:r>
      <w:r>
        <w:rPr>
          <w:rFonts w:asciiTheme="minorHAnsi" w:hAnsiTheme="minorHAnsi"/>
          <w:snapToGrid w:val="0"/>
          <w:lang w:val="en-GB"/>
        </w:rPr>
        <w:t xml:space="preserve">high and </w:t>
      </w:r>
      <w:r w:rsidR="00D4357F">
        <w:rPr>
          <w:rFonts w:asciiTheme="minorHAnsi" w:hAnsiTheme="minorHAnsi"/>
          <w:snapToGrid w:val="0"/>
          <w:lang w:val="en-GB"/>
        </w:rPr>
        <w:t xml:space="preserve">remained </w:t>
      </w:r>
      <w:r>
        <w:rPr>
          <w:rFonts w:asciiTheme="minorHAnsi" w:hAnsiTheme="minorHAnsi"/>
          <w:snapToGrid w:val="0"/>
          <w:lang w:val="en-GB"/>
        </w:rPr>
        <w:t>uncertain</w:t>
      </w:r>
      <w:r w:rsidR="006C313E">
        <w:rPr>
          <w:rFonts w:asciiTheme="minorHAnsi" w:hAnsiTheme="minorHAnsi"/>
          <w:snapToGrid w:val="0"/>
          <w:lang w:val="en-GB"/>
        </w:rPr>
        <w:t xml:space="preserve"> and </w:t>
      </w:r>
      <w:r w:rsidR="00983010">
        <w:rPr>
          <w:rFonts w:asciiTheme="minorHAnsi" w:hAnsiTheme="minorHAnsi"/>
          <w:snapToGrid w:val="0"/>
          <w:lang w:val="en-GB"/>
        </w:rPr>
        <w:t xml:space="preserve">that </w:t>
      </w:r>
      <w:r w:rsidR="006C313E">
        <w:rPr>
          <w:rFonts w:asciiTheme="minorHAnsi" w:hAnsiTheme="minorHAnsi"/>
          <w:snapToGrid w:val="0"/>
          <w:lang w:val="en-GB"/>
        </w:rPr>
        <w:t>a substantial price reduction was required</w:t>
      </w:r>
      <w:r>
        <w:rPr>
          <w:rFonts w:asciiTheme="minorHAnsi" w:hAnsiTheme="minorHAnsi"/>
          <w:snapToGrid w:val="0"/>
          <w:lang w:val="en-GB"/>
        </w:rPr>
        <w:t xml:space="preserve">. In addition, the PBAC considered that the </w:t>
      </w:r>
      <w:r w:rsidR="00B516AA">
        <w:rPr>
          <w:rFonts w:asciiTheme="minorHAnsi" w:hAnsiTheme="minorHAnsi"/>
          <w:snapToGrid w:val="0"/>
          <w:lang w:val="en-GB"/>
        </w:rPr>
        <w:t>estimate</w:t>
      </w:r>
      <w:r w:rsidR="006C313E">
        <w:rPr>
          <w:rFonts w:asciiTheme="minorHAnsi" w:hAnsiTheme="minorHAnsi"/>
          <w:snapToGrid w:val="0"/>
          <w:lang w:val="en-GB"/>
        </w:rPr>
        <w:t>d</w:t>
      </w:r>
      <w:r w:rsidR="00B516AA">
        <w:rPr>
          <w:rFonts w:asciiTheme="minorHAnsi" w:hAnsiTheme="minorHAnsi"/>
          <w:snapToGrid w:val="0"/>
          <w:lang w:val="en-GB"/>
        </w:rPr>
        <w:t xml:space="preserve"> </w:t>
      </w:r>
      <w:r>
        <w:rPr>
          <w:rFonts w:asciiTheme="minorHAnsi" w:hAnsiTheme="minorHAnsi"/>
          <w:snapToGrid w:val="0"/>
          <w:lang w:val="en-GB"/>
        </w:rPr>
        <w:t xml:space="preserve">utilisation and </w:t>
      </w:r>
      <w:r w:rsidR="00B516AA">
        <w:rPr>
          <w:rFonts w:asciiTheme="minorHAnsi" w:hAnsiTheme="minorHAnsi"/>
          <w:snapToGrid w:val="0"/>
          <w:lang w:val="en-GB"/>
        </w:rPr>
        <w:t xml:space="preserve">the </w:t>
      </w:r>
      <w:r>
        <w:rPr>
          <w:rFonts w:asciiTheme="minorHAnsi" w:hAnsiTheme="minorHAnsi"/>
          <w:snapToGrid w:val="0"/>
          <w:lang w:val="en-GB"/>
        </w:rPr>
        <w:t>financial impact were very high</w:t>
      </w:r>
      <w:r w:rsidR="004E2047">
        <w:rPr>
          <w:rFonts w:asciiTheme="minorHAnsi" w:hAnsiTheme="minorHAnsi"/>
          <w:snapToGrid w:val="0"/>
          <w:lang w:val="en-GB"/>
        </w:rPr>
        <w:t xml:space="preserve">, and </w:t>
      </w:r>
      <w:r w:rsidR="006C02E7">
        <w:rPr>
          <w:rFonts w:asciiTheme="minorHAnsi" w:hAnsiTheme="minorHAnsi"/>
          <w:snapToGrid w:val="0"/>
          <w:lang w:val="en-GB"/>
        </w:rPr>
        <w:t xml:space="preserve">likely </w:t>
      </w:r>
      <w:r w:rsidR="004E2047">
        <w:rPr>
          <w:rFonts w:asciiTheme="minorHAnsi" w:hAnsiTheme="minorHAnsi"/>
          <w:snapToGrid w:val="0"/>
          <w:lang w:val="en-GB"/>
        </w:rPr>
        <w:t>overestimated</w:t>
      </w:r>
      <w:r w:rsidR="00D4357F">
        <w:rPr>
          <w:rFonts w:asciiTheme="minorHAnsi" w:hAnsiTheme="minorHAnsi"/>
          <w:snapToGrid w:val="0"/>
          <w:lang w:val="en-GB"/>
        </w:rPr>
        <w:t xml:space="preserve"> and</w:t>
      </w:r>
      <w:r w:rsidR="00914F29">
        <w:rPr>
          <w:rFonts w:asciiTheme="minorHAnsi" w:hAnsiTheme="minorHAnsi"/>
          <w:snapToGrid w:val="0"/>
          <w:lang w:val="en-GB"/>
        </w:rPr>
        <w:t>,</w:t>
      </w:r>
      <w:r w:rsidR="00D4357F">
        <w:rPr>
          <w:rFonts w:asciiTheme="minorHAnsi" w:hAnsiTheme="minorHAnsi"/>
          <w:snapToGrid w:val="0"/>
          <w:lang w:val="en-GB"/>
        </w:rPr>
        <w:t xml:space="preserve"> in the context of uncertain benefits and low clinical need, could not be justified</w:t>
      </w:r>
      <w:r w:rsidR="00B516AA">
        <w:rPr>
          <w:rFonts w:asciiTheme="minorHAnsi" w:hAnsiTheme="minorHAnsi"/>
          <w:snapToGrid w:val="0"/>
          <w:lang w:val="en-GB"/>
        </w:rPr>
        <w:t xml:space="preserve">. The PBAC advised </w:t>
      </w:r>
      <w:r>
        <w:rPr>
          <w:rFonts w:asciiTheme="minorHAnsi" w:hAnsiTheme="minorHAnsi"/>
          <w:snapToGrid w:val="0"/>
          <w:lang w:val="en-GB"/>
        </w:rPr>
        <w:t xml:space="preserve">that a </w:t>
      </w:r>
      <w:r w:rsidR="00EC456E">
        <w:rPr>
          <w:rFonts w:asciiTheme="minorHAnsi" w:hAnsiTheme="minorHAnsi"/>
          <w:snapToGrid w:val="0"/>
          <w:lang w:val="en-GB"/>
        </w:rPr>
        <w:t>Risk S</w:t>
      </w:r>
      <w:r>
        <w:rPr>
          <w:rFonts w:asciiTheme="minorHAnsi" w:hAnsiTheme="minorHAnsi"/>
          <w:snapToGrid w:val="0"/>
          <w:lang w:val="en-GB"/>
        </w:rPr>
        <w:t xml:space="preserve">haring </w:t>
      </w:r>
      <w:r w:rsidR="00EC456E">
        <w:rPr>
          <w:rFonts w:asciiTheme="minorHAnsi" w:hAnsiTheme="minorHAnsi"/>
          <w:snapToGrid w:val="0"/>
          <w:lang w:val="en-GB"/>
        </w:rPr>
        <w:t>A</w:t>
      </w:r>
      <w:r>
        <w:rPr>
          <w:rFonts w:asciiTheme="minorHAnsi" w:hAnsiTheme="minorHAnsi"/>
          <w:snapToGrid w:val="0"/>
          <w:lang w:val="en-GB"/>
        </w:rPr>
        <w:t>rrangement (RSA) based on revised estimates and which consisted of expenditure cap</w:t>
      </w:r>
      <w:r w:rsidR="004E2047">
        <w:rPr>
          <w:rFonts w:asciiTheme="minorHAnsi" w:hAnsiTheme="minorHAnsi"/>
          <w:snapToGrid w:val="0"/>
          <w:lang w:val="en-GB"/>
        </w:rPr>
        <w:t>s</w:t>
      </w:r>
      <w:r>
        <w:rPr>
          <w:rFonts w:asciiTheme="minorHAnsi" w:hAnsiTheme="minorHAnsi"/>
          <w:snapToGrid w:val="0"/>
          <w:lang w:val="en-GB"/>
        </w:rPr>
        <w:t xml:space="preserve"> </w:t>
      </w:r>
      <w:r w:rsidR="004E2047">
        <w:rPr>
          <w:rFonts w:asciiTheme="minorHAnsi" w:hAnsiTheme="minorHAnsi"/>
          <w:snapToGrid w:val="0"/>
          <w:lang w:val="en-GB"/>
        </w:rPr>
        <w:t xml:space="preserve">beyond which 100% rebates </w:t>
      </w:r>
      <w:r>
        <w:rPr>
          <w:rFonts w:asciiTheme="minorHAnsi" w:hAnsiTheme="minorHAnsi"/>
          <w:snapToGrid w:val="0"/>
          <w:lang w:val="en-GB"/>
        </w:rPr>
        <w:t>would be required.</w:t>
      </w:r>
    </w:p>
    <w:p w14:paraId="3C614D8B" w14:textId="06A91633" w:rsidR="00EF2C32" w:rsidRDefault="00EF2C32" w:rsidP="00E211D2">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 xml:space="preserve">The primary reason for this outcome was the cost to </w:t>
      </w:r>
      <w:r w:rsidR="00EC456E">
        <w:rPr>
          <w:rFonts w:asciiTheme="minorHAnsi" w:hAnsiTheme="minorHAnsi"/>
          <w:snapToGrid w:val="0"/>
          <w:lang w:val="en-GB"/>
        </w:rPr>
        <w:t xml:space="preserve">Government </w:t>
      </w:r>
      <w:r>
        <w:rPr>
          <w:rFonts w:asciiTheme="minorHAnsi" w:hAnsiTheme="minorHAnsi"/>
          <w:snapToGrid w:val="0"/>
          <w:lang w:val="en-GB"/>
        </w:rPr>
        <w:t>presented in the submission.</w:t>
      </w:r>
    </w:p>
    <w:p w14:paraId="01EDE339" w14:textId="02E7BA44" w:rsidR="005B7330" w:rsidRDefault="005B7330" w:rsidP="00E211D2">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 xml:space="preserve">The PBAC noted the sponsor hearing provided useful confirmation that the mechanism of action for icosapent ethyl was not easily defined. It was argued </w:t>
      </w:r>
      <w:r w:rsidR="00D31C16">
        <w:rPr>
          <w:rFonts w:asciiTheme="minorHAnsi" w:hAnsiTheme="minorHAnsi"/>
          <w:snapToGrid w:val="0"/>
          <w:lang w:val="en-GB"/>
        </w:rPr>
        <w:t xml:space="preserve">by the clinician </w:t>
      </w:r>
      <w:r>
        <w:rPr>
          <w:rFonts w:asciiTheme="minorHAnsi" w:hAnsiTheme="minorHAnsi"/>
          <w:snapToGrid w:val="0"/>
          <w:lang w:val="en-GB"/>
        </w:rPr>
        <w:t>that the impact of mineral oil on the placebo treatment effect was not likely to be substantial and that the 7% adjustment provided in the pre-PBAC response may be conservative.</w:t>
      </w:r>
    </w:p>
    <w:p w14:paraId="1642420C" w14:textId="7D685400" w:rsidR="005B7330" w:rsidRDefault="005B7330" w:rsidP="005B7330">
      <w:pPr>
        <w:widowControl w:val="0"/>
        <w:numPr>
          <w:ilvl w:val="1"/>
          <w:numId w:val="1"/>
        </w:numPr>
        <w:spacing w:after="120"/>
        <w:ind w:left="720" w:hanging="720"/>
        <w:rPr>
          <w:rFonts w:asciiTheme="minorHAnsi" w:hAnsiTheme="minorHAnsi"/>
          <w:snapToGrid w:val="0"/>
          <w:lang w:val="en-GB"/>
        </w:rPr>
      </w:pPr>
      <w:r w:rsidRPr="005B7330">
        <w:rPr>
          <w:rFonts w:asciiTheme="minorHAnsi" w:hAnsiTheme="minorHAnsi"/>
          <w:snapToGrid w:val="0"/>
          <w:lang w:val="en-GB"/>
        </w:rPr>
        <w:t xml:space="preserve">The PBAC noted the consumer comments </w:t>
      </w:r>
      <w:r w:rsidR="00D31C16">
        <w:rPr>
          <w:rFonts w:asciiTheme="minorHAnsi" w:hAnsiTheme="minorHAnsi"/>
          <w:snapToGrid w:val="0"/>
          <w:lang w:val="en-GB"/>
        </w:rPr>
        <w:t>fr</w:t>
      </w:r>
      <w:r w:rsidRPr="005B7330">
        <w:rPr>
          <w:rFonts w:asciiTheme="minorHAnsi" w:hAnsiTheme="minorHAnsi"/>
          <w:snapToGrid w:val="0"/>
          <w:lang w:val="en-GB"/>
        </w:rPr>
        <w:t xml:space="preserve">om </w:t>
      </w:r>
      <w:r w:rsidR="00914F29">
        <w:rPr>
          <w:rFonts w:asciiTheme="minorHAnsi" w:hAnsiTheme="minorHAnsi"/>
          <w:snapToGrid w:val="0"/>
          <w:lang w:val="en-GB"/>
        </w:rPr>
        <w:t>four</w:t>
      </w:r>
      <w:r w:rsidR="00914F29" w:rsidRPr="005B7330">
        <w:rPr>
          <w:rFonts w:asciiTheme="minorHAnsi" w:hAnsiTheme="minorHAnsi"/>
          <w:snapToGrid w:val="0"/>
          <w:lang w:val="en-GB"/>
        </w:rPr>
        <w:t xml:space="preserve"> </w:t>
      </w:r>
      <w:r w:rsidRPr="005B7330">
        <w:rPr>
          <w:rFonts w:asciiTheme="minorHAnsi" w:hAnsiTheme="minorHAnsi"/>
          <w:snapToGrid w:val="0"/>
          <w:lang w:val="en-GB"/>
        </w:rPr>
        <w:t xml:space="preserve">health professionals </w:t>
      </w:r>
      <w:r>
        <w:rPr>
          <w:rFonts w:asciiTheme="minorHAnsi" w:hAnsiTheme="minorHAnsi"/>
          <w:snapToGrid w:val="0"/>
          <w:lang w:val="en-GB"/>
        </w:rPr>
        <w:t xml:space="preserve">was supportive of icosapent ethyl being an available treatment option for lowering triglycerides. </w:t>
      </w:r>
      <w:r w:rsidR="00914F29">
        <w:rPr>
          <w:rFonts w:asciiTheme="minorHAnsi" w:hAnsiTheme="minorHAnsi"/>
          <w:snapToGrid w:val="0"/>
          <w:lang w:val="en-GB"/>
        </w:rPr>
        <w:t>However, t</w:t>
      </w:r>
      <w:r>
        <w:rPr>
          <w:rFonts w:asciiTheme="minorHAnsi" w:hAnsiTheme="minorHAnsi"/>
          <w:snapToGrid w:val="0"/>
          <w:lang w:val="en-GB"/>
        </w:rPr>
        <w:t xml:space="preserve">he PBAC </w:t>
      </w:r>
      <w:r w:rsidR="004E2047">
        <w:rPr>
          <w:rFonts w:asciiTheme="minorHAnsi" w:hAnsiTheme="minorHAnsi"/>
          <w:snapToGrid w:val="0"/>
          <w:lang w:val="en-GB"/>
        </w:rPr>
        <w:t>considered that there was a low</w:t>
      </w:r>
      <w:r>
        <w:rPr>
          <w:rFonts w:asciiTheme="minorHAnsi" w:hAnsiTheme="minorHAnsi"/>
          <w:snapToGrid w:val="0"/>
          <w:lang w:val="en-GB"/>
        </w:rPr>
        <w:t xml:space="preserve"> clinical need for icosapent ethyl for triglyceride lowering.</w:t>
      </w:r>
    </w:p>
    <w:p w14:paraId="01BAEA1D" w14:textId="6749772C" w:rsidR="00E556A8" w:rsidRDefault="00EF2C32" w:rsidP="005B7330">
      <w:pPr>
        <w:widowControl w:val="0"/>
        <w:numPr>
          <w:ilvl w:val="1"/>
          <w:numId w:val="1"/>
        </w:numPr>
        <w:spacing w:after="120"/>
        <w:ind w:left="720" w:hanging="720"/>
        <w:rPr>
          <w:rFonts w:asciiTheme="minorHAnsi" w:hAnsiTheme="minorHAnsi"/>
          <w:snapToGrid w:val="0"/>
          <w:lang w:val="en-GB"/>
        </w:rPr>
      </w:pPr>
      <w:r w:rsidRPr="005B7330">
        <w:rPr>
          <w:rFonts w:asciiTheme="minorHAnsi" w:hAnsiTheme="minorHAnsi"/>
          <w:snapToGrid w:val="0"/>
          <w:lang w:val="en-GB"/>
        </w:rPr>
        <w:t xml:space="preserve">The PBAC </w:t>
      </w:r>
      <w:r w:rsidR="00B26271">
        <w:rPr>
          <w:rFonts w:asciiTheme="minorHAnsi" w:hAnsiTheme="minorHAnsi"/>
          <w:snapToGrid w:val="0"/>
          <w:lang w:val="en-GB"/>
        </w:rPr>
        <w:t>not</w:t>
      </w:r>
      <w:r w:rsidRPr="005B7330">
        <w:rPr>
          <w:rFonts w:asciiTheme="minorHAnsi" w:hAnsiTheme="minorHAnsi"/>
          <w:snapToGrid w:val="0"/>
          <w:lang w:val="en-GB"/>
        </w:rPr>
        <w:t xml:space="preserve">ed that the proposed place in therapy, for the treatment of patients with ASCVD, a triglyceride level </w:t>
      </w:r>
      <w:r w:rsidRPr="005B7330">
        <w:rPr>
          <w:rFonts w:asciiTheme="minorHAnsi" w:hAnsiTheme="minorHAnsi" w:cstheme="minorHAnsi"/>
          <w:snapToGrid w:val="0"/>
          <w:lang w:val="en-GB"/>
        </w:rPr>
        <w:t>≥</w:t>
      </w:r>
      <w:r w:rsidR="008A76A6">
        <w:rPr>
          <w:rFonts w:asciiTheme="minorHAnsi" w:hAnsiTheme="minorHAnsi" w:cstheme="minorHAnsi"/>
          <w:snapToGrid w:val="0"/>
          <w:lang w:val="en-GB"/>
        </w:rPr>
        <w:t> </w:t>
      </w:r>
      <w:r w:rsidRPr="005B7330">
        <w:rPr>
          <w:rFonts w:asciiTheme="minorHAnsi" w:hAnsiTheme="minorHAnsi"/>
          <w:snapToGrid w:val="0"/>
          <w:lang w:val="en-GB"/>
        </w:rPr>
        <w:t>1.7</w:t>
      </w:r>
      <w:r w:rsidR="008A76A6">
        <w:rPr>
          <w:rFonts w:asciiTheme="minorHAnsi" w:hAnsiTheme="minorHAnsi"/>
          <w:snapToGrid w:val="0"/>
          <w:lang w:val="en-GB"/>
        </w:rPr>
        <w:t> </w:t>
      </w:r>
      <w:r w:rsidRPr="005B7330">
        <w:rPr>
          <w:rFonts w:asciiTheme="minorHAnsi" w:hAnsiTheme="minorHAnsi"/>
          <w:snapToGrid w:val="0"/>
          <w:lang w:val="en-GB"/>
        </w:rPr>
        <w:t>mmol/L and &lt;</w:t>
      </w:r>
      <w:r w:rsidR="008A76A6">
        <w:rPr>
          <w:rFonts w:asciiTheme="minorHAnsi" w:hAnsiTheme="minorHAnsi"/>
          <w:snapToGrid w:val="0"/>
          <w:lang w:val="en-GB"/>
        </w:rPr>
        <w:t> </w:t>
      </w:r>
      <w:r w:rsidRPr="005B7330">
        <w:rPr>
          <w:rFonts w:asciiTheme="minorHAnsi" w:hAnsiTheme="minorHAnsi"/>
          <w:snapToGrid w:val="0"/>
          <w:lang w:val="en-GB"/>
        </w:rPr>
        <w:t>5.6</w:t>
      </w:r>
      <w:r w:rsidR="008A76A6">
        <w:rPr>
          <w:rFonts w:asciiTheme="minorHAnsi" w:hAnsiTheme="minorHAnsi"/>
          <w:snapToGrid w:val="0"/>
          <w:lang w:val="en-GB"/>
        </w:rPr>
        <w:t> </w:t>
      </w:r>
      <w:r w:rsidRPr="005B7330">
        <w:rPr>
          <w:rFonts w:asciiTheme="minorHAnsi" w:hAnsiTheme="minorHAnsi"/>
          <w:snapToGrid w:val="0"/>
          <w:lang w:val="en-GB"/>
        </w:rPr>
        <w:t xml:space="preserve">mmol/L, </w:t>
      </w:r>
      <w:r w:rsidR="00712204" w:rsidRPr="005B7330">
        <w:rPr>
          <w:rFonts w:asciiTheme="minorHAnsi" w:hAnsiTheme="minorHAnsi"/>
          <w:snapToGrid w:val="0"/>
          <w:lang w:val="en-GB"/>
        </w:rPr>
        <w:t xml:space="preserve">and </w:t>
      </w:r>
      <w:r w:rsidRPr="005B7330">
        <w:rPr>
          <w:rFonts w:asciiTheme="minorHAnsi" w:hAnsiTheme="minorHAnsi"/>
          <w:snapToGrid w:val="0"/>
          <w:lang w:val="en-GB"/>
        </w:rPr>
        <w:t xml:space="preserve">a </w:t>
      </w:r>
      <w:r w:rsidR="00920FD5" w:rsidRPr="005B7330">
        <w:rPr>
          <w:rFonts w:asciiTheme="minorHAnsi" w:hAnsiTheme="minorHAnsi"/>
          <w:snapToGrid w:val="0"/>
          <w:lang w:val="en-GB"/>
        </w:rPr>
        <w:t>low-density</w:t>
      </w:r>
      <w:r w:rsidRPr="005B7330">
        <w:rPr>
          <w:rFonts w:asciiTheme="minorHAnsi" w:hAnsiTheme="minorHAnsi"/>
          <w:snapToGrid w:val="0"/>
          <w:lang w:val="en-GB"/>
        </w:rPr>
        <w:t xml:space="preserve"> lipoprotein (LDL) cholesterol level of &gt;</w:t>
      </w:r>
      <w:r w:rsidR="008A76A6">
        <w:rPr>
          <w:rFonts w:asciiTheme="minorHAnsi" w:hAnsiTheme="minorHAnsi"/>
          <w:snapToGrid w:val="0"/>
          <w:lang w:val="en-GB"/>
        </w:rPr>
        <w:t> </w:t>
      </w:r>
      <w:r w:rsidRPr="005B7330">
        <w:rPr>
          <w:rFonts w:asciiTheme="minorHAnsi" w:hAnsiTheme="minorHAnsi"/>
          <w:snapToGrid w:val="0"/>
          <w:lang w:val="en-GB"/>
        </w:rPr>
        <w:t>1.0</w:t>
      </w:r>
      <w:r w:rsidR="008A76A6">
        <w:rPr>
          <w:rFonts w:asciiTheme="minorHAnsi" w:hAnsiTheme="minorHAnsi"/>
          <w:snapToGrid w:val="0"/>
          <w:lang w:val="en-GB"/>
        </w:rPr>
        <w:t> </w:t>
      </w:r>
      <w:r w:rsidRPr="005B7330">
        <w:rPr>
          <w:rFonts w:asciiTheme="minorHAnsi" w:hAnsiTheme="minorHAnsi"/>
          <w:snapToGrid w:val="0"/>
          <w:lang w:val="en-GB"/>
        </w:rPr>
        <w:t xml:space="preserve">mmol/L and </w:t>
      </w:r>
      <w:r w:rsidRPr="005B7330">
        <w:rPr>
          <w:rFonts w:asciiTheme="minorHAnsi" w:hAnsiTheme="minorHAnsi" w:cstheme="minorHAnsi"/>
          <w:snapToGrid w:val="0"/>
          <w:lang w:val="en-GB"/>
        </w:rPr>
        <w:t>≤</w:t>
      </w:r>
      <w:r w:rsidR="008A76A6">
        <w:rPr>
          <w:rFonts w:asciiTheme="minorHAnsi" w:hAnsiTheme="minorHAnsi"/>
          <w:snapToGrid w:val="0"/>
          <w:lang w:val="en-GB"/>
        </w:rPr>
        <w:t> </w:t>
      </w:r>
      <w:r w:rsidRPr="005B7330">
        <w:rPr>
          <w:rFonts w:asciiTheme="minorHAnsi" w:hAnsiTheme="minorHAnsi"/>
          <w:snapToGrid w:val="0"/>
          <w:lang w:val="en-GB"/>
        </w:rPr>
        <w:t>2.6</w:t>
      </w:r>
      <w:r w:rsidR="008A76A6">
        <w:rPr>
          <w:rFonts w:asciiTheme="minorHAnsi" w:hAnsiTheme="minorHAnsi"/>
          <w:snapToGrid w:val="0"/>
          <w:lang w:val="en-GB"/>
        </w:rPr>
        <w:t> </w:t>
      </w:r>
      <w:r w:rsidRPr="005B7330">
        <w:rPr>
          <w:rFonts w:asciiTheme="minorHAnsi" w:hAnsiTheme="minorHAnsi"/>
          <w:snapToGrid w:val="0"/>
          <w:lang w:val="en-GB"/>
        </w:rPr>
        <w:t xml:space="preserve">mmol/L was </w:t>
      </w:r>
      <w:r w:rsidR="00712204" w:rsidRPr="005B7330">
        <w:rPr>
          <w:rFonts w:asciiTheme="minorHAnsi" w:hAnsiTheme="minorHAnsi"/>
          <w:snapToGrid w:val="0"/>
          <w:lang w:val="en-GB"/>
        </w:rPr>
        <w:t>consistent with the main clinical trial</w:t>
      </w:r>
      <w:r w:rsidRPr="005B7330">
        <w:rPr>
          <w:rFonts w:asciiTheme="minorHAnsi" w:hAnsiTheme="minorHAnsi"/>
          <w:snapToGrid w:val="0"/>
          <w:lang w:val="en-GB"/>
        </w:rPr>
        <w:t>.</w:t>
      </w:r>
      <w:r w:rsidR="00712204" w:rsidRPr="005B7330">
        <w:rPr>
          <w:rFonts w:asciiTheme="minorHAnsi" w:hAnsiTheme="minorHAnsi"/>
          <w:snapToGrid w:val="0"/>
          <w:lang w:val="en-GB"/>
        </w:rPr>
        <w:t xml:space="preserve"> </w:t>
      </w:r>
      <w:r w:rsidR="00E556A8">
        <w:rPr>
          <w:rFonts w:asciiTheme="minorHAnsi" w:hAnsiTheme="minorHAnsi"/>
          <w:snapToGrid w:val="0"/>
          <w:lang w:val="en-GB"/>
        </w:rPr>
        <w:t xml:space="preserve">However, the </w:t>
      </w:r>
      <w:r w:rsidR="00914F29">
        <w:rPr>
          <w:rFonts w:asciiTheme="minorHAnsi" w:hAnsiTheme="minorHAnsi"/>
          <w:snapToGrid w:val="0"/>
          <w:lang w:val="en-GB"/>
        </w:rPr>
        <w:t xml:space="preserve">PBAC considered that the </w:t>
      </w:r>
      <w:r w:rsidR="00E556A8">
        <w:rPr>
          <w:rFonts w:asciiTheme="minorHAnsi" w:hAnsiTheme="minorHAnsi"/>
          <w:snapToGrid w:val="0"/>
          <w:lang w:val="en-GB"/>
        </w:rPr>
        <w:t xml:space="preserve">clinical need for </w:t>
      </w:r>
      <w:r w:rsidR="00914F29">
        <w:rPr>
          <w:rFonts w:asciiTheme="minorHAnsi" w:hAnsiTheme="minorHAnsi"/>
          <w:snapToGrid w:val="0"/>
          <w:lang w:val="en-GB"/>
        </w:rPr>
        <w:t xml:space="preserve">a </w:t>
      </w:r>
      <w:r w:rsidR="00E556A8">
        <w:rPr>
          <w:rFonts w:asciiTheme="minorHAnsi" w:hAnsiTheme="minorHAnsi"/>
          <w:snapToGrid w:val="0"/>
          <w:lang w:val="en-GB"/>
        </w:rPr>
        <w:t xml:space="preserve">treatment </w:t>
      </w:r>
      <w:r w:rsidR="00A23313">
        <w:rPr>
          <w:rFonts w:asciiTheme="minorHAnsi" w:hAnsiTheme="minorHAnsi"/>
          <w:snapToGrid w:val="0"/>
          <w:lang w:val="en-GB"/>
        </w:rPr>
        <w:t xml:space="preserve">targeting </w:t>
      </w:r>
      <w:r w:rsidR="00B26271">
        <w:rPr>
          <w:rFonts w:asciiTheme="minorHAnsi" w:hAnsiTheme="minorHAnsi"/>
          <w:snapToGrid w:val="0"/>
          <w:lang w:val="en-GB"/>
        </w:rPr>
        <w:t xml:space="preserve">the </w:t>
      </w:r>
      <w:r w:rsidR="00A23313">
        <w:rPr>
          <w:rFonts w:asciiTheme="minorHAnsi" w:hAnsiTheme="minorHAnsi"/>
          <w:snapToGrid w:val="0"/>
          <w:lang w:val="en-GB"/>
        </w:rPr>
        <w:t xml:space="preserve">lowering </w:t>
      </w:r>
      <w:r w:rsidR="00B26271">
        <w:rPr>
          <w:rFonts w:asciiTheme="minorHAnsi" w:hAnsiTheme="minorHAnsi"/>
          <w:snapToGrid w:val="0"/>
          <w:lang w:val="en-GB"/>
        </w:rPr>
        <w:t xml:space="preserve">of </w:t>
      </w:r>
      <w:r w:rsidR="00A23313">
        <w:rPr>
          <w:rFonts w:asciiTheme="minorHAnsi" w:hAnsiTheme="minorHAnsi"/>
          <w:snapToGrid w:val="0"/>
          <w:lang w:val="en-GB"/>
        </w:rPr>
        <w:t xml:space="preserve">triglycerides was </w:t>
      </w:r>
      <w:r w:rsidR="004E2047">
        <w:rPr>
          <w:rFonts w:asciiTheme="minorHAnsi" w:hAnsiTheme="minorHAnsi"/>
          <w:snapToGrid w:val="0"/>
          <w:lang w:val="en-GB"/>
        </w:rPr>
        <w:t>low</w:t>
      </w:r>
      <w:r w:rsidR="00B26271">
        <w:rPr>
          <w:rFonts w:asciiTheme="minorHAnsi" w:hAnsiTheme="minorHAnsi"/>
          <w:snapToGrid w:val="0"/>
          <w:lang w:val="en-GB"/>
        </w:rPr>
        <w:t>,</w:t>
      </w:r>
      <w:r w:rsidR="00E556A8">
        <w:rPr>
          <w:rFonts w:asciiTheme="minorHAnsi" w:hAnsiTheme="minorHAnsi"/>
          <w:snapToGrid w:val="0"/>
          <w:lang w:val="en-GB"/>
        </w:rPr>
        <w:t xml:space="preserve"> given</w:t>
      </w:r>
      <w:r w:rsidR="00A23313">
        <w:rPr>
          <w:rFonts w:asciiTheme="minorHAnsi" w:hAnsiTheme="minorHAnsi"/>
          <w:snapToGrid w:val="0"/>
          <w:lang w:val="en-GB"/>
        </w:rPr>
        <w:t xml:space="preserve"> </w:t>
      </w:r>
      <w:r w:rsidR="00B26271">
        <w:rPr>
          <w:rFonts w:asciiTheme="minorHAnsi" w:hAnsiTheme="minorHAnsi"/>
          <w:snapToGrid w:val="0"/>
          <w:lang w:val="en-GB"/>
        </w:rPr>
        <w:t>i</w:t>
      </w:r>
      <w:r w:rsidR="00A23313">
        <w:rPr>
          <w:rFonts w:asciiTheme="minorHAnsi" w:hAnsiTheme="minorHAnsi"/>
          <w:snapToGrid w:val="0"/>
          <w:lang w:val="en-GB"/>
        </w:rPr>
        <w:t>cosa</w:t>
      </w:r>
      <w:r w:rsidR="00B26271">
        <w:rPr>
          <w:rFonts w:asciiTheme="minorHAnsi" w:hAnsiTheme="minorHAnsi"/>
          <w:snapToGrid w:val="0"/>
          <w:lang w:val="en-GB"/>
        </w:rPr>
        <w:t>p</w:t>
      </w:r>
      <w:r w:rsidR="00A23313">
        <w:rPr>
          <w:rFonts w:asciiTheme="minorHAnsi" w:hAnsiTheme="minorHAnsi"/>
          <w:snapToGrid w:val="0"/>
          <w:lang w:val="en-GB"/>
        </w:rPr>
        <w:t xml:space="preserve">ent ethyl’s mechanism of action works on multiple pathways, as noted in the sponsor hearing (see paragraph </w:t>
      </w:r>
      <w:r w:rsidR="00A23313">
        <w:rPr>
          <w:rFonts w:asciiTheme="minorHAnsi" w:hAnsiTheme="minorHAnsi"/>
          <w:snapToGrid w:val="0"/>
          <w:lang w:val="en-GB"/>
        </w:rPr>
        <w:fldChar w:fldCharType="begin" w:fldLock="1"/>
      </w:r>
      <w:r w:rsidR="00A23313">
        <w:rPr>
          <w:rFonts w:asciiTheme="minorHAnsi" w:hAnsiTheme="minorHAnsi"/>
          <w:snapToGrid w:val="0"/>
          <w:lang w:val="en-GB"/>
        </w:rPr>
        <w:instrText xml:space="preserve"> REF _Ref151716762 \r \h </w:instrText>
      </w:r>
      <w:r w:rsidR="00A23313">
        <w:rPr>
          <w:rFonts w:asciiTheme="minorHAnsi" w:hAnsiTheme="minorHAnsi"/>
          <w:snapToGrid w:val="0"/>
          <w:lang w:val="en-GB"/>
        </w:rPr>
      </w:r>
      <w:r w:rsidR="00A23313">
        <w:rPr>
          <w:rFonts w:asciiTheme="minorHAnsi" w:hAnsiTheme="minorHAnsi"/>
          <w:snapToGrid w:val="0"/>
          <w:lang w:val="en-GB"/>
        </w:rPr>
        <w:fldChar w:fldCharType="separate"/>
      </w:r>
      <w:r w:rsidR="003F1735">
        <w:rPr>
          <w:rFonts w:asciiTheme="minorHAnsi" w:hAnsiTheme="minorHAnsi"/>
          <w:snapToGrid w:val="0"/>
          <w:lang w:val="en-GB"/>
        </w:rPr>
        <w:t>6.1</w:t>
      </w:r>
      <w:r w:rsidR="00A23313">
        <w:rPr>
          <w:rFonts w:asciiTheme="minorHAnsi" w:hAnsiTheme="minorHAnsi"/>
          <w:snapToGrid w:val="0"/>
          <w:lang w:val="en-GB"/>
        </w:rPr>
        <w:fldChar w:fldCharType="end"/>
      </w:r>
      <w:r w:rsidR="00A23313">
        <w:rPr>
          <w:rFonts w:asciiTheme="minorHAnsi" w:hAnsiTheme="minorHAnsi"/>
          <w:snapToGrid w:val="0"/>
          <w:lang w:val="en-GB"/>
        </w:rPr>
        <w:t>)</w:t>
      </w:r>
      <w:r w:rsidR="00B26271">
        <w:rPr>
          <w:rFonts w:asciiTheme="minorHAnsi" w:hAnsiTheme="minorHAnsi"/>
          <w:snapToGrid w:val="0"/>
          <w:lang w:val="en-GB"/>
        </w:rPr>
        <w:t>,</w:t>
      </w:r>
      <w:r w:rsidR="00A23313">
        <w:rPr>
          <w:rFonts w:asciiTheme="minorHAnsi" w:hAnsiTheme="minorHAnsi"/>
          <w:snapToGrid w:val="0"/>
          <w:lang w:val="en-GB"/>
        </w:rPr>
        <w:t xml:space="preserve"> and </w:t>
      </w:r>
      <w:r w:rsidR="00856702">
        <w:rPr>
          <w:rFonts w:asciiTheme="minorHAnsi" w:hAnsiTheme="minorHAnsi"/>
          <w:snapToGrid w:val="0"/>
          <w:lang w:val="en-GB"/>
        </w:rPr>
        <w:t>the ASCVD benefits</w:t>
      </w:r>
      <w:r w:rsidR="00A23313">
        <w:rPr>
          <w:rFonts w:asciiTheme="minorHAnsi" w:hAnsiTheme="minorHAnsi"/>
          <w:snapToGrid w:val="0"/>
          <w:lang w:val="en-GB"/>
        </w:rPr>
        <w:t xml:space="preserve"> of triglyceride lowering across fish oil studies </w:t>
      </w:r>
      <w:r w:rsidR="00856702">
        <w:rPr>
          <w:rFonts w:asciiTheme="minorHAnsi" w:hAnsiTheme="minorHAnsi"/>
          <w:snapToGrid w:val="0"/>
          <w:lang w:val="en-GB"/>
        </w:rPr>
        <w:t xml:space="preserve">is not conclusive </w:t>
      </w:r>
      <w:r w:rsidR="00A23313">
        <w:rPr>
          <w:rFonts w:asciiTheme="minorHAnsi" w:hAnsiTheme="minorHAnsi"/>
          <w:snapToGrid w:val="0"/>
          <w:lang w:val="en-GB"/>
        </w:rPr>
        <w:t xml:space="preserve">(see paragraph </w:t>
      </w:r>
      <w:r w:rsidR="00A23313">
        <w:rPr>
          <w:rFonts w:asciiTheme="minorHAnsi" w:hAnsiTheme="minorHAnsi"/>
          <w:snapToGrid w:val="0"/>
          <w:lang w:val="en-GB"/>
        </w:rPr>
        <w:fldChar w:fldCharType="begin" w:fldLock="1"/>
      </w:r>
      <w:r w:rsidR="00A23313">
        <w:rPr>
          <w:rFonts w:asciiTheme="minorHAnsi" w:hAnsiTheme="minorHAnsi"/>
          <w:snapToGrid w:val="0"/>
          <w:lang w:val="en-GB"/>
        </w:rPr>
        <w:instrText xml:space="preserve"> REF _Ref151017408 \r \h </w:instrText>
      </w:r>
      <w:r w:rsidR="00A23313">
        <w:rPr>
          <w:rFonts w:asciiTheme="minorHAnsi" w:hAnsiTheme="minorHAnsi"/>
          <w:snapToGrid w:val="0"/>
          <w:lang w:val="en-GB"/>
        </w:rPr>
      </w:r>
      <w:r w:rsidR="00A23313">
        <w:rPr>
          <w:rFonts w:asciiTheme="minorHAnsi" w:hAnsiTheme="minorHAnsi"/>
          <w:snapToGrid w:val="0"/>
          <w:lang w:val="en-GB"/>
        </w:rPr>
        <w:fldChar w:fldCharType="separate"/>
      </w:r>
      <w:r w:rsidR="003F1735">
        <w:rPr>
          <w:rFonts w:asciiTheme="minorHAnsi" w:hAnsiTheme="minorHAnsi"/>
          <w:snapToGrid w:val="0"/>
          <w:lang w:val="en-GB"/>
        </w:rPr>
        <w:t>4.6</w:t>
      </w:r>
      <w:r w:rsidR="00A23313">
        <w:rPr>
          <w:rFonts w:asciiTheme="minorHAnsi" w:hAnsiTheme="minorHAnsi"/>
          <w:snapToGrid w:val="0"/>
          <w:lang w:val="en-GB"/>
        </w:rPr>
        <w:fldChar w:fldCharType="end"/>
      </w:r>
      <w:r w:rsidR="00A23313">
        <w:rPr>
          <w:rFonts w:asciiTheme="minorHAnsi" w:hAnsiTheme="minorHAnsi"/>
          <w:snapToGrid w:val="0"/>
          <w:lang w:val="en-GB"/>
        </w:rPr>
        <w:t>).</w:t>
      </w:r>
      <w:r w:rsidR="00856702">
        <w:rPr>
          <w:rFonts w:asciiTheme="minorHAnsi" w:hAnsiTheme="minorHAnsi"/>
          <w:snapToGrid w:val="0"/>
          <w:lang w:val="en-GB"/>
        </w:rPr>
        <w:t xml:space="preserve"> Furthermore, it was considered that the substantial financial cost to Government for this additional treatment option of uncertain value</w:t>
      </w:r>
      <w:r w:rsidR="00B26271">
        <w:rPr>
          <w:rFonts w:asciiTheme="minorHAnsi" w:hAnsiTheme="minorHAnsi"/>
          <w:snapToGrid w:val="0"/>
          <w:lang w:val="en-GB"/>
        </w:rPr>
        <w:t xml:space="preserve"> (see paragraph </w:t>
      </w:r>
      <w:r w:rsidR="00B26271">
        <w:rPr>
          <w:rFonts w:asciiTheme="minorHAnsi" w:hAnsiTheme="minorHAnsi"/>
          <w:snapToGrid w:val="0"/>
          <w:lang w:val="en-GB"/>
        </w:rPr>
        <w:fldChar w:fldCharType="begin" w:fldLock="1"/>
      </w:r>
      <w:r w:rsidR="00B26271">
        <w:rPr>
          <w:rFonts w:asciiTheme="minorHAnsi" w:hAnsiTheme="minorHAnsi"/>
          <w:snapToGrid w:val="0"/>
          <w:lang w:val="en-GB"/>
        </w:rPr>
        <w:instrText xml:space="preserve"> REF _Ref151717631 \r \h </w:instrText>
      </w:r>
      <w:r w:rsidR="00B26271">
        <w:rPr>
          <w:rFonts w:asciiTheme="minorHAnsi" w:hAnsiTheme="minorHAnsi"/>
          <w:snapToGrid w:val="0"/>
          <w:lang w:val="en-GB"/>
        </w:rPr>
      </w:r>
      <w:r w:rsidR="00B26271">
        <w:rPr>
          <w:rFonts w:asciiTheme="minorHAnsi" w:hAnsiTheme="minorHAnsi"/>
          <w:snapToGrid w:val="0"/>
          <w:lang w:val="en-GB"/>
        </w:rPr>
        <w:fldChar w:fldCharType="separate"/>
      </w:r>
      <w:r w:rsidR="003F1735">
        <w:rPr>
          <w:rFonts w:asciiTheme="minorHAnsi" w:hAnsiTheme="minorHAnsi"/>
          <w:snapToGrid w:val="0"/>
          <w:lang w:val="en-GB"/>
        </w:rPr>
        <w:t>7.9</w:t>
      </w:r>
      <w:r w:rsidR="00B26271">
        <w:rPr>
          <w:rFonts w:asciiTheme="minorHAnsi" w:hAnsiTheme="minorHAnsi"/>
          <w:snapToGrid w:val="0"/>
          <w:lang w:val="en-GB"/>
        </w:rPr>
        <w:fldChar w:fldCharType="end"/>
      </w:r>
      <w:r w:rsidR="00B26271">
        <w:rPr>
          <w:rFonts w:asciiTheme="minorHAnsi" w:hAnsiTheme="minorHAnsi"/>
          <w:snapToGrid w:val="0"/>
          <w:lang w:val="en-GB"/>
        </w:rPr>
        <w:t>)</w:t>
      </w:r>
      <w:r w:rsidR="00856702">
        <w:rPr>
          <w:rFonts w:asciiTheme="minorHAnsi" w:hAnsiTheme="minorHAnsi"/>
          <w:snapToGrid w:val="0"/>
          <w:lang w:val="en-GB"/>
        </w:rPr>
        <w:t>, which may be prescribed alongside other PBS-subsidised ASCVD treatments, was not justified.</w:t>
      </w:r>
    </w:p>
    <w:p w14:paraId="3349814D" w14:textId="29917B52" w:rsidR="00EF2C32" w:rsidRDefault="00EF2C32" w:rsidP="00E211D2">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The PBAC considered that placebo was the appropriate comparator.</w:t>
      </w:r>
    </w:p>
    <w:p w14:paraId="2B494412" w14:textId="77777777" w:rsidR="00EF2C32" w:rsidRDefault="00EF2C32" w:rsidP="00EF2C32">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The PBAC noted that the submission was based on the results of the secondary prevention cohort from the REDUCE-IT trial, a randomised controlled trial that compared icosapent ethyl to placebo.</w:t>
      </w:r>
    </w:p>
    <w:p w14:paraId="0BE3BC9C" w14:textId="0D97B754" w:rsidR="00920FD5" w:rsidRDefault="00EF2C32" w:rsidP="00920FD5">
      <w:pPr>
        <w:widowControl w:val="0"/>
        <w:numPr>
          <w:ilvl w:val="1"/>
          <w:numId w:val="1"/>
        </w:numPr>
        <w:spacing w:after="120"/>
        <w:ind w:left="720" w:hanging="720"/>
        <w:rPr>
          <w:rFonts w:asciiTheme="minorHAnsi" w:hAnsiTheme="minorHAnsi"/>
          <w:snapToGrid w:val="0"/>
          <w:lang w:val="en-GB"/>
        </w:rPr>
      </w:pPr>
      <w:bookmarkStart w:id="81" w:name="_Ref151019134"/>
      <w:r w:rsidRPr="00920FD5">
        <w:rPr>
          <w:rFonts w:asciiTheme="minorHAnsi" w:hAnsiTheme="minorHAnsi"/>
          <w:snapToGrid w:val="0"/>
          <w:lang w:val="en-GB"/>
        </w:rPr>
        <w:t xml:space="preserve">The PBAC noted that icosapent ethyl was associated with a statistically significant improvement in the two key outcomes, the 5-point major cardiac event (MACE) outcome (HR = 0.73; 95% CI: 0.65, 0.81) and the 3-point MACE outcome (HR = 0.72; 95% CI: 0.63, 0.82), and all the secondary outcomes, with the exception of total (all cause) mortality in the secondary prevention cohort. </w:t>
      </w:r>
    </w:p>
    <w:p w14:paraId="46ED2FF0" w14:textId="502D5235" w:rsidR="00920FD5" w:rsidRDefault="00920FD5" w:rsidP="00920FD5">
      <w:pPr>
        <w:widowControl w:val="0"/>
        <w:numPr>
          <w:ilvl w:val="1"/>
          <w:numId w:val="1"/>
        </w:numPr>
        <w:spacing w:after="120"/>
        <w:ind w:left="720" w:hanging="720"/>
        <w:rPr>
          <w:rFonts w:asciiTheme="minorHAnsi" w:hAnsiTheme="minorHAnsi"/>
          <w:snapToGrid w:val="0"/>
          <w:lang w:val="en-GB"/>
        </w:rPr>
      </w:pPr>
      <w:bookmarkStart w:id="82" w:name="_Ref151717631"/>
      <w:r>
        <w:rPr>
          <w:rFonts w:asciiTheme="minorHAnsi" w:hAnsiTheme="minorHAnsi"/>
          <w:snapToGrid w:val="0"/>
          <w:lang w:val="en-GB"/>
        </w:rPr>
        <w:t>However, t</w:t>
      </w:r>
      <w:r w:rsidRPr="00920FD5">
        <w:rPr>
          <w:rFonts w:asciiTheme="minorHAnsi" w:hAnsiTheme="minorHAnsi"/>
          <w:snapToGrid w:val="0"/>
          <w:lang w:val="en-GB"/>
        </w:rPr>
        <w:t>he PBAC noted th</w:t>
      </w:r>
      <w:r>
        <w:rPr>
          <w:rFonts w:asciiTheme="minorHAnsi" w:hAnsiTheme="minorHAnsi"/>
          <w:snapToGrid w:val="0"/>
          <w:lang w:val="en-GB"/>
        </w:rPr>
        <w:t>e following:</w:t>
      </w:r>
      <w:bookmarkEnd w:id="82"/>
    </w:p>
    <w:p w14:paraId="69F53276" w14:textId="4518605C" w:rsidR="00920FD5" w:rsidRPr="00920FD5" w:rsidRDefault="00920FD5" w:rsidP="00980A59">
      <w:pPr>
        <w:widowControl w:val="0"/>
        <w:numPr>
          <w:ilvl w:val="1"/>
          <w:numId w:val="8"/>
        </w:numPr>
        <w:spacing w:after="120"/>
        <w:ind w:left="1080"/>
        <w:rPr>
          <w:rFonts w:asciiTheme="minorHAnsi" w:hAnsiTheme="minorHAnsi"/>
          <w:snapToGrid w:val="0"/>
          <w:lang w:val="en-GB"/>
        </w:rPr>
      </w:pPr>
      <w:r>
        <w:rPr>
          <w:rFonts w:asciiTheme="minorHAnsi" w:hAnsiTheme="minorHAnsi"/>
          <w:snapToGrid w:val="0"/>
          <w:lang w:val="en-GB"/>
        </w:rPr>
        <w:lastRenderedPageBreak/>
        <w:t>O</w:t>
      </w:r>
      <w:r w:rsidRPr="00920FD5">
        <w:rPr>
          <w:rFonts w:asciiTheme="minorHAnsi" w:hAnsiTheme="minorHAnsi"/>
          <w:snapToGrid w:val="0"/>
          <w:lang w:val="en-GB"/>
        </w:rPr>
        <w:t xml:space="preserve">ver the first four years of the REDUCE-IT trial patients in the icosapent ethyl arm experienced decreases of LDL cholesterol </w:t>
      </w:r>
      <w:r w:rsidR="009034EA">
        <w:rPr>
          <w:rFonts w:asciiTheme="minorHAnsi" w:hAnsiTheme="minorHAnsi"/>
          <w:snapToGrid w:val="0"/>
          <w:lang w:val="en-GB"/>
        </w:rPr>
        <w:t xml:space="preserve">(Hopkins method) </w:t>
      </w:r>
      <w:r w:rsidRPr="00920FD5">
        <w:rPr>
          <w:rFonts w:asciiTheme="minorHAnsi" w:hAnsiTheme="minorHAnsi"/>
          <w:snapToGrid w:val="0"/>
          <w:lang w:val="en-GB"/>
        </w:rPr>
        <w:t xml:space="preserve">of </w:t>
      </w:r>
      <w:r w:rsidR="009034EA">
        <w:rPr>
          <w:rFonts w:asciiTheme="minorHAnsi" w:hAnsiTheme="minorHAnsi"/>
          <w:snapToGrid w:val="0"/>
          <w:lang w:val="en-GB"/>
        </w:rPr>
        <w:t>between 0.2% and 2.0%</w:t>
      </w:r>
      <w:r w:rsidRPr="00920FD5">
        <w:rPr>
          <w:rFonts w:asciiTheme="minorHAnsi" w:hAnsiTheme="minorHAnsi"/>
          <w:snapToGrid w:val="0"/>
          <w:lang w:val="en-GB"/>
        </w:rPr>
        <w:t xml:space="preserve">, whereas those in the placebo arm had increases of LDL cholesterol of </w:t>
      </w:r>
      <w:r w:rsidR="009034EA">
        <w:rPr>
          <w:rFonts w:asciiTheme="minorHAnsi" w:hAnsiTheme="minorHAnsi"/>
          <w:snapToGrid w:val="0"/>
          <w:lang w:val="en-GB"/>
        </w:rPr>
        <w:t>between 8.7% and 11.4%</w:t>
      </w:r>
      <w:r w:rsidRPr="00920FD5">
        <w:rPr>
          <w:rFonts w:asciiTheme="minorHAnsi" w:hAnsiTheme="minorHAnsi"/>
          <w:snapToGrid w:val="0"/>
          <w:lang w:val="en-GB"/>
        </w:rPr>
        <w:t xml:space="preserve">. </w:t>
      </w:r>
      <w:r w:rsidR="009034EA" w:rsidRPr="009034EA">
        <w:t>Patients in the placebo arm also experienced increases in apolipoprotein B (7.8%) and high sensitivity C-reactive protein (32.3%) at Year 2.</w:t>
      </w:r>
      <w:r w:rsidR="009034EA">
        <w:t xml:space="preserve"> </w:t>
      </w:r>
      <w:r w:rsidRPr="00920FD5">
        <w:rPr>
          <w:rFonts w:asciiTheme="minorHAnsi" w:hAnsiTheme="minorHAnsi"/>
          <w:snapToGrid w:val="0"/>
          <w:lang w:val="en-GB"/>
        </w:rPr>
        <w:t>The PBAC noted that patients in the placebo arm received mineral oil and that the potential harmful effect of mineral oil placebo on LDL cholesterol levels in the REDUCE-IT trail has been the subject of intense scrutiny</w:t>
      </w:r>
      <w:r>
        <w:rPr>
          <w:rFonts w:asciiTheme="minorHAnsi" w:hAnsiTheme="minorHAnsi"/>
          <w:snapToGrid w:val="0"/>
          <w:lang w:val="en-GB"/>
        </w:rPr>
        <w:t xml:space="preserve"> (see paragraphs </w:t>
      </w:r>
      <w:r>
        <w:rPr>
          <w:rFonts w:asciiTheme="minorHAnsi" w:hAnsiTheme="minorHAnsi"/>
          <w:snapToGrid w:val="0"/>
          <w:lang w:val="en-GB"/>
        </w:rPr>
        <w:fldChar w:fldCharType="begin" w:fldLock="1"/>
      </w:r>
      <w:r>
        <w:rPr>
          <w:rFonts w:asciiTheme="minorHAnsi" w:hAnsiTheme="minorHAnsi"/>
          <w:snapToGrid w:val="0"/>
          <w:lang w:val="en-GB"/>
        </w:rPr>
        <w:instrText xml:space="preserve"> REF _Ref151020336 \r \h </w:instrText>
      </w:r>
      <w:r>
        <w:rPr>
          <w:rFonts w:asciiTheme="minorHAnsi" w:hAnsiTheme="minorHAnsi"/>
          <w:snapToGrid w:val="0"/>
          <w:lang w:val="en-GB"/>
        </w:rPr>
      </w:r>
      <w:r>
        <w:rPr>
          <w:rFonts w:asciiTheme="minorHAnsi" w:hAnsiTheme="minorHAnsi"/>
          <w:snapToGrid w:val="0"/>
          <w:lang w:val="en-GB"/>
        </w:rPr>
        <w:fldChar w:fldCharType="separate"/>
      </w:r>
      <w:r w:rsidR="003F1735">
        <w:rPr>
          <w:rFonts w:asciiTheme="minorHAnsi" w:hAnsiTheme="minorHAnsi"/>
          <w:snapToGrid w:val="0"/>
          <w:lang w:val="en-GB"/>
        </w:rPr>
        <w:t>6.8</w:t>
      </w:r>
      <w:r>
        <w:rPr>
          <w:rFonts w:asciiTheme="minorHAnsi" w:hAnsiTheme="minorHAnsi"/>
          <w:snapToGrid w:val="0"/>
          <w:lang w:val="en-GB"/>
        </w:rPr>
        <w:fldChar w:fldCharType="end"/>
      </w:r>
      <w:r>
        <w:rPr>
          <w:rFonts w:asciiTheme="minorHAnsi" w:hAnsiTheme="minorHAnsi"/>
          <w:snapToGrid w:val="0"/>
          <w:lang w:val="en-GB"/>
        </w:rPr>
        <w:t xml:space="preserve"> and </w:t>
      </w:r>
      <w:r>
        <w:rPr>
          <w:rFonts w:asciiTheme="minorHAnsi" w:hAnsiTheme="minorHAnsi"/>
          <w:snapToGrid w:val="0"/>
          <w:lang w:val="en-GB"/>
        </w:rPr>
        <w:fldChar w:fldCharType="begin" w:fldLock="1"/>
      </w:r>
      <w:r>
        <w:rPr>
          <w:rFonts w:asciiTheme="minorHAnsi" w:hAnsiTheme="minorHAnsi"/>
          <w:snapToGrid w:val="0"/>
          <w:lang w:val="en-GB"/>
        </w:rPr>
        <w:instrText xml:space="preserve"> REF _Ref151020149 \r \h </w:instrText>
      </w:r>
      <w:r>
        <w:rPr>
          <w:rFonts w:asciiTheme="minorHAnsi" w:hAnsiTheme="minorHAnsi"/>
          <w:snapToGrid w:val="0"/>
          <w:lang w:val="en-GB"/>
        </w:rPr>
      </w:r>
      <w:r>
        <w:rPr>
          <w:rFonts w:asciiTheme="minorHAnsi" w:hAnsiTheme="minorHAnsi"/>
          <w:snapToGrid w:val="0"/>
          <w:lang w:val="en-GB"/>
        </w:rPr>
        <w:fldChar w:fldCharType="separate"/>
      </w:r>
      <w:r w:rsidR="003F1735">
        <w:rPr>
          <w:rFonts w:asciiTheme="minorHAnsi" w:hAnsiTheme="minorHAnsi"/>
          <w:snapToGrid w:val="0"/>
          <w:lang w:val="en-GB"/>
        </w:rPr>
        <w:t>6.21</w:t>
      </w:r>
      <w:r>
        <w:rPr>
          <w:rFonts w:asciiTheme="minorHAnsi" w:hAnsiTheme="minorHAnsi"/>
          <w:snapToGrid w:val="0"/>
          <w:lang w:val="en-GB"/>
        </w:rPr>
        <w:fldChar w:fldCharType="end"/>
      </w:r>
      <w:r>
        <w:rPr>
          <w:rFonts w:asciiTheme="minorHAnsi" w:hAnsiTheme="minorHAnsi"/>
          <w:snapToGrid w:val="0"/>
          <w:lang w:val="en-GB"/>
        </w:rPr>
        <w:t>);</w:t>
      </w:r>
      <w:bookmarkEnd w:id="81"/>
      <w:r w:rsidRPr="00920FD5">
        <w:rPr>
          <w:rFonts w:asciiTheme="minorHAnsi" w:hAnsiTheme="minorHAnsi"/>
          <w:snapToGrid w:val="0"/>
          <w:lang w:val="en-GB"/>
        </w:rPr>
        <w:t xml:space="preserve"> </w:t>
      </w:r>
    </w:p>
    <w:p w14:paraId="4F94A6BC" w14:textId="4852637E" w:rsidR="00920FD5" w:rsidRDefault="00920FD5" w:rsidP="00980A59">
      <w:pPr>
        <w:widowControl w:val="0"/>
        <w:numPr>
          <w:ilvl w:val="1"/>
          <w:numId w:val="8"/>
        </w:numPr>
        <w:spacing w:after="120"/>
        <w:ind w:left="1080"/>
        <w:rPr>
          <w:rFonts w:asciiTheme="minorHAnsi" w:hAnsiTheme="minorHAnsi"/>
          <w:snapToGrid w:val="0"/>
          <w:lang w:val="en-GB"/>
        </w:rPr>
      </w:pPr>
      <w:r>
        <w:rPr>
          <w:rFonts w:asciiTheme="minorHAnsi" w:hAnsiTheme="minorHAnsi"/>
          <w:snapToGrid w:val="0"/>
          <w:lang w:val="en-GB"/>
        </w:rPr>
        <w:t xml:space="preserve">There was a long history of trials studying the effects of fish oils in ASCVD which have produced variable results (see paragraph </w:t>
      </w:r>
      <w:r>
        <w:rPr>
          <w:rFonts w:asciiTheme="minorHAnsi" w:hAnsiTheme="minorHAnsi"/>
          <w:snapToGrid w:val="0"/>
          <w:lang w:val="en-GB"/>
        </w:rPr>
        <w:fldChar w:fldCharType="begin" w:fldLock="1"/>
      </w:r>
      <w:r>
        <w:rPr>
          <w:rFonts w:asciiTheme="minorHAnsi" w:hAnsiTheme="minorHAnsi"/>
          <w:snapToGrid w:val="0"/>
          <w:lang w:val="en-GB"/>
        </w:rPr>
        <w:instrText xml:space="preserve"> REF _Ref151017408 \r \h </w:instrText>
      </w:r>
      <w:r>
        <w:rPr>
          <w:rFonts w:asciiTheme="minorHAnsi" w:hAnsiTheme="minorHAnsi"/>
          <w:snapToGrid w:val="0"/>
          <w:lang w:val="en-GB"/>
        </w:rPr>
      </w:r>
      <w:r>
        <w:rPr>
          <w:rFonts w:asciiTheme="minorHAnsi" w:hAnsiTheme="minorHAnsi"/>
          <w:snapToGrid w:val="0"/>
          <w:lang w:val="en-GB"/>
        </w:rPr>
        <w:fldChar w:fldCharType="separate"/>
      </w:r>
      <w:r w:rsidR="003F1735">
        <w:rPr>
          <w:rFonts w:asciiTheme="minorHAnsi" w:hAnsiTheme="minorHAnsi"/>
          <w:snapToGrid w:val="0"/>
          <w:lang w:val="en-GB"/>
        </w:rPr>
        <w:t>4.6</w:t>
      </w:r>
      <w:r>
        <w:rPr>
          <w:rFonts w:asciiTheme="minorHAnsi" w:hAnsiTheme="minorHAnsi"/>
          <w:snapToGrid w:val="0"/>
          <w:lang w:val="en-GB"/>
        </w:rPr>
        <w:fldChar w:fldCharType="end"/>
      </w:r>
      <w:r>
        <w:rPr>
          <w:rFonts w:asciiTheme="minorHAnsi" w:hAnsiTheme="minorHAnsi"/>
          <w:snapToGrid w:val="0"/>
          <w:lang w:val="en-GB"/>
        </w:rPr>
        <w:t xml:space="preserve">) and that the benefits in terms of ASCVD were not conclusive; </w:t>
      </w:r>
    </w:p>
    <w:p w14:paraId="3D9C4226" w14:textId="24C3BC3E" w:rsidR="00920FD5" w:rsidRDefault="00920FD5" w:rsidP="00980A59">
      <w:pPr>
        <w:widowControl w:val="0"/>
        <w:numPr>
          <w:ilvl w:val="1"/>
          <w:numId w:val="8"/>
        </w:numPr>
        <w:spacing w:after="120"/>
        <w:ind w:left="1080"/>
        <w:rPr>
          <w:rFonts w:asciiTheme="minorHAnsi" w:hAnsiTheme="minorHAnsi"/>
          <w:snapToGrid w:val="0"/>
          <w:lang w:val="en-GB"/>
        </w:rPr>
      </w:pPr>
      <w:r w:rsidRPr="00920FD5">
        <w:rPr>
          <w:rFonts w:asciiTheme="minorHAnsi" w:hAnsiTheme="minorHAnsi"/>
          <w:snapToGrid w:val="0"/>
          <w:lang w:val="en-GB"/>
        </w:rPr>
        <w:t xml:space="preserve">There was only modest support for icosapent ethyl in international treatment guidelines (see paragraph </w:t>
      </w:r>
      <w:r w:rsidRPr="00920FD5">
        <w:rPr>
          <w:rFonts w:asciiTheme="minorHAnsi" w:hAnsiTheme="minorHAnsi"/>
          <w:snapToGrid w:val="0"/>
          <w:lang w:val="en-GB"/>
        </w:rPr>
        <w:fldChar w:fldCharType="begin" w:fldLock="1"/>
      </w:r>
      <w:r w:rsidRPr="00920FD5">
        <w:rPr>
          <w:rFonts w:asciiTheme="minorHAnsi" w:hAnsiTheme="minorHAnsi"/>
          <w:snapToGrid w:val="0"/>
          <w:lang w:val="en-GB"/>
        </w:rPr>
        <w:instrText xml:space="preserve"> REF _Ref151017793 \r \h </w:instrText>
      </w:r>
      <w:r w:rsidRPr="00920FD5">
        <w:rPr>
          <w:rFonts w:asciiTheme="minorHAnsi" w:hAnsiTheme="minorHAnsi"/>
          <w:snapToGrid w:val="0"/>
          <w:lang w:val="en-GB"/>
        </w:rPr>
      </w:r>
      <w:r w:rsidRPr="00920FD5">
        <w:rPr>
          <w:rFonts w:asciiTheme="minorHAnsi" w:hAnsiTheme="minorHAnsi"/>
          <w:snapToGrid w:val="0"/>
          <w:lang w:val="en-GB"/>
        </w:rPr>
        <w:fldChar w:fldCharType="separate"/>
      </w:r>
      <w:r w:rsidR="003F1735">
        <w:rPr>
          <w:rFonts w:asciiTheme="minorHAnsi" w:hAnsiTheme="minorHAnsi"/>
          <w:snapToGrid w:val="0"/>
          <w:lang w:val="en-GB"/>
        </w:rPr>
        <w:t>4.7</w:t>
      </w:r>
      <w:r w:rsidRPr="00920FD5">
        <w:rPr>
          <w:rFonts w:asciiTheme="minorHAnsi" w:hAnsiTheme="minorHAnsi"/>
          <w:snapToGrid w:val="0"/>
          <w:lang w:val="en-GB"/>
        </w:rPr>
        <w:fldChar w:fldCharType="end"/>
      </w:r>
      <w:r w:rsidRPr="00920FD5">
        <w:rPr>
          <w:rFonts w:asciiTheme="minorHAnsi" w:hAnsiTheme="minorHAnsi"/>
          <w:snapToGrid w:val="0"/>
          <w:lang w:val="en-GB"/>
        </w:rPr>
        <w:t>)</w:t>
      </w:r>
      <w:bookmarkStart w:id="83" w:name="_Ref151019144"/>
      <w:r>
        <w:rPr>
          <w:rFonts w:asciiTheme="minorHAnsi" w:hAnsiTheme="minorHAnsi"/>
          <w:snapToGrid w:val="0"/>
          <w:lang w:val="en-GB"/>
        </w:rPr>
        <w:t xml:space="preserve">; and </w:t>
      </w:r>
    </w:p>
    <w:p w14:paraId="0261D271" w14:textId="3CAEADAD" w:rsidR="00920FD5" w:rsidRPr="00920FD5" w:rsidRDefault="00920FD5" w:rsidP="00980A59">
      <w:pPr>
        <w:widowControl w:val="0"/>
        <w:numPr>
          <w:ilvl w:val="1"/>
          <w:numId w:val="8"/>
        </w:numPr>
        <w:spacing w:after="120"/>
        <w:ind w:left="1080"/>
        <w:rPr>
          <w:rFonts w:asciiTheme="minorHAnsi" w:hAnsiTheme="minorHAnsi"/>
          <w:snapToGrid w:val="0"/>
          <w:lang w:val="en-GB"/>
        </w:rPr>
      </w:pPr>
      <w:r w:rsidRPr="00920FD5">
        <w:rPr>
          <w:rFonts w:asciiTheme="minorHAnsi" w:hAnsiTheme="minorHAnsi"/>
          <w:snapToGrid w:val="0"/>
          <w:lang w:val="en-GB"/>
        </w:rPr>
        <w:t xml:space="preserve">The mechanism of action of icosapent ethyl in reducing cardiovascular events was not completely understood, but it was thought to be largely independent of the triglyceride lowering effects (see paragraph </w:t>
      </w:r>
      <w:r w:rsidRPr="00920FD5">
        <w:rPr>
          <w:rFonts w:asciiTheme="minorHAnsi" w:hAnsiTheme="minorHAnsi"/>
          <w:snapToGrid w:val="0"/>
          <w:lang w:val="en-GB"/>
        </w:rPr>
        <w:fldChar w:fldCharType="begin" w:fldLock="1"/>
      </w:r>
      <w:r w:rsidRPr="00920FD5">
        <w:rPr>
          <w:rFonts w:asciiTheme="minorHAnsi" w:hAnsiTheme="minorHAnsi"/>
          <w:snapToGrid w:val="0"/>
          <w:lang w:val="en-GB"/>
        </w:rPr>
        <w:instrText xml:space="preserve"> REF _Ref151018985 \r \h </w:instrText>
      </w:r>
      <w:r w:rsidRPr="00920FD5">
        <w:rPr>
          <w:rFonts w:asciiTheme="minorHAnsi" w:hAnsiTheme="minorHAnsi"/>
          <w:snapToGrid w:val="0"/>
          <w:lang w:val="en-GB"/>
        </w:rPr>
      </w:r>
      <w:r w:rsidRPr="00920FD5">
        <w:rPr>
          <w:rFonts w:asciiTheme="minorHAnsi" w:hAnsiTheme="minorHAnsi"/>
          <w:snapToGrid w:val="0"/>
          <w:lang w:val="en-GB"/>
        </w:rPr>
        <w:fldChar w:fldCharType="separate"/>
      </w:r>
      <w:r w:rsidR="003F1735">
        <w:rPr>
          <w:rFonts w:asciiTheme="minorHAnsi" w:hAnsiTheme="minorHAnsi"/>
          <w:snapToGrid w:val="0"/>
          <w:lang w:val="en-GB"/>
        </w:rPr>
        <w:t>4.4</w:t>
      </w:r>
      <w:r w:rsidRPr="00920FD5">
        <w:rPr>
          <w:rFonts w:asciiTheme="minorHAnsi" w:hAnsiTheme="minorHAnsi"/>
          <w:snapToGrid w:val="0"/>
          <w:lang w:val="en-GB"/>
        </w:rPr>
        <w:fldChar w:fldCharType="end"/>
      </w:r>
      <w:r w:rsidR="00914F29">
        <w:rPr>
          <w:rFonts w:asciiTheme="minorHAnsi" w:hAnsiTheme="minorHAnsi"/>
          <w:snapToGrid w:val="0"/>
          <w:lang w:val="en-GB"/>
        </w:rPr>
        <w:t xml:space="preserve"> and </w:t>
      </w:r>
      <w:r w:rsidR="00914F29">
        <w:rPr>
          <w:rFonts w:asciiTheme="minorHAnsi" w:hAnsiTheme="minorHAnsi"/>
          <w:snapToGrid w:val="0"/>
          <w:lang w:val="en-GB"/>
        </w:rPr>
        <w:fldChar w:fldCharType="begin" w:fldLock="1"/>
      </w:r>
      <w:r w:rsidR="00914F29">
        <w:rPr>
          <w:rFonts w:asciiTheme="minorHAnsi" w:hAnsiTheme="minorHAnsi"/>
          <w:snapToGrid w:val="0"/>
          <w:lang w:val="en-GB"/>
        </w:rPr>
        <w:instrText xml:space="preserve"> REF _Ref151716762 \r \h </w:instrText>
      </w:r>
      <w:r w:rsidR="00914F29">
        <w:rPr>
          <w:rFonts w:asciiTheme="minorHAnsi" w:hAnsiTheme="minorHAnsi"/>
          <w:snapToGrid w:val="0"/>
          <w:lang w:val="en-GB"/>
        </w:rPr>
      </w:r>
      <w:r w:rsidR="00914F29">
        <w:rPr>
          <w:rFonts w:asciiTheme="minorHAnsi" w:hAnsiTheme="minorHAnsi"/>
          <w:snapToGrid w:val="0"/>
          <w:lang w:val="en-GB"/>
        </w:rPr>
        <w:fldChar w:fldCharType="separate"/>
      </w:r>
      <w:r w:rsidR="003F1735">
        <w:rPr>
          <w:rFonts w:asciiTheme="minorHAnsi" w:hAnsiTheme="minorHAnsi"/>
          <w:snapToGrid w:val="0"/>
          <w:lang w:val="en-GB"/>
        </w:rPr>
        <w:t>6.1</w:t>
      </w:r>
      <w:r w:rsidR="00914F29">
        <w:rPr>
          <w:rFonts w:asciiTheme="minorHAnsi" w:hAnsiTheme="minorHAnsi"/>
          <w:snapToGrid w:val="0"/>
          <w:lang w:val="en-GB"/>
        </w:rPr>
        <w:fldChar w:fldCharType="end"/>
      </w:r>
      <w:r w:rsidRPr="00920FD5">
        <w:rPr>
          <w:rFonts w:asciiTheme="minorHAnsi" w:hAnsiTheme="minorHAnsi"/>
          <w:snapToGrid w:val="0"/>
          <w:lang w:val="en-GB"/>
        </w:rPr>
        <w:t>).</w:t>
      </w:r>
      <w:bookmarkEnd w:id="83"/>
      <w:r w:rsidR="009034EA">
        <w:rPr>
          <w:rFonts w:asciiTheme="minorHAnsi" w:hAnsiTheme="minorHAnsi"/>
          <w:snapToGrid w:val="0"/>
          <w:lang w:val="en-GB"/>
        </w:rPr>
        <w:t xml:space="preserve"> The PBAC considered that the uncertainty over the mechanism of action meant that there was potential for overlap between the cardiovascular risk reduction associated with icosapent ethyl and other ASCVD treatments used to reduce cardiovascular risk.</w:t>
      </w:r>
    </w:p>
    <w:p w14:paraId="7BC86EBF" w14:textId="74F69685" w:rsidR="00920FD5" w:rsidRDefault="00920FD5" w:rsidP="00EF2C32">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Thus, the PBAC considered that although icosapent ethyl was likely to be superior to placebo, the relative magnitude of the benefit was uncertain.</w:t>
      </w:r>
    </w:p>
    <w:p w14:paraId="29FA7BC7" w14:textId="65580D70" w:rsidR="00920FD5" w:rsidRDefault="00920FD5" w:rsidP="00EF2C32">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In terms of safety, the PBAC noted that although icosapent ethyl was associated with similar rates of adverse events as placebo, it was associated with a higher incidence of bleeding-related disorders and atrial fibrillation</w:t>
      </w:r>
      <w:r w:rsidR="00541173">
        <w:rPr>
          <w:rFonts w:asciiTheme="minorHAnsi" w:hAnsiTheme="minorHAnsi"/>
          <w:snapToGrid w:val="0"/>
          <w:lang w:val="en-GB"/>
        </w:rPr>
        <w:t xml:space="preserve"> (see paragraph </w:t>
      </w:r>
      <w:r w:rsidR="00541173">
        <w:rPr>
          <w:rFonts w:asciiTheme="minorHAnsi" w:hAnsiTheme="minorHAnsi"/>
          <w:snapToGrid w:val="0"/>
          <w:lang w:val="en-GB"/>
        </w:rPr>
        <w:fldChar w:fldCharType="begin" w:fldLock="1"/>
      </w:r>
      <w:r w:rsidR="00541173">
        <w:rPr>
          <w:rFonts w:asciiTheme="minorHAnsi" w:hAnsiTheme="minorHAnsi"/>
          <w:snapToGrid w:val="0"/>
          <w:lang w:val="en-GB"/>
        </w:rPr>
        <w:instrText xml:space="preserve"> REF _Ref152226270 \r \h </w:instrText>
      </w:r>
      <w:r w:rsidR="00541173">
        <w:rPr>
          <w:rFonts w:asciiTheme="minorHAnsi" w:hAnsiTheme="minorHAnsi"/>
          <w:snapToGrid w:val="0"/>
          <w:lang w:val="en-GB"/>
        </w:rPr>
      </w:r>
      <w:r w:rsidR="00541173">
        <w:rPr>
          <w:rFonts w:asciiTheme="minorHAnsi" w:hAnsiTheme="minorHAnsi"/>
          <w:snapToGrid w:val="0"/>
          <w:lang w:val="en-GB"/>
        </w:rPr>
        <w:fldChar w:fldCharType="separate"/>
      </w:r>
      <w:r w:rsidR="003F1735">
        <w:rPr>
          <w:rFonts w:asciiTheme="minorHAnsi" w:hAnsiTheme="minorHAnsi"/>
          <w:snapToGrid w:val="0"/>
          <w:lang w:val="en-GB"/>
        </w:rPr>
        <w:t>6.25</w:t>
      </w:r>
      <w:r w:rsidR="00541173">
        <w:rPr>
          <w:rFonts w:asciiTheme="minorHAnsi" w:hAnsiTheme="minorHAnsi"/>
          <w:snapToGrid w:val="0"/>
          <w:lang w:val="en-GB"/>
        </w:rPr>
        <w:fldChar w:fldCharType="end"/>
      </w:r>
      <w:r w:rsidR="00541173">
        <w:rPr>
          <w:rFonts w:asciiTheme="minorHAnsi" w:hAnsiTheme="minorHAnsi"/>
          <w:snapToGrid w:val="0"/>
          <w:lang w:val="en-GB"/>
        </w:rPr>
        <w:t>)</w:t>
      </w:r>
      <w:r>
        <w:rPr>
          <w:rFonts w:asciiTheme="minorHAnsi" w:hAnsiTheme="minorHAnsi"/>
          <w:snapToGrid w:val="0"/>
          <w:lang w:val="en-GB"/>
        </w:rPr>
        <w:t xml:space="preserve">. Thus, the PBAC considered that the claim that icosapent ethyl had an inferior, yet manageable, safety profile compared to placebo was appropriate. </w:t>
      </w:r>
    </w:p>
    <w:p w14:paraId="023A9B82" w14:textId="30DD2FAF" w:rsidR="00920FD5" w:rsidRDefault="00920FD5" w:rsidP="00EF2C32">
      <w:pPr>
        <w:widowControl w:val="0"/>
        <w:numPr>
          <w:ilvl w:val="1"/>
          <w:numId w:val="1"/>
        </w:numPr>
        <w:spacing w:after="120"/>
        <w:ind w:left="720" w:hanging="720"/>
        <w:rPr>
          <w:rFonts w:asciiTheme="minorHAnsi" w:hAnsiTheme="minorHAnsi"/>
          <w:snapToGrid w:val="0"/>
          <w:lang w:val="en-GB"/>
        </w:rPr>
      </w:pPr>
      <w:bookmarkStart w:id="84" w:name="_Ref151032857"/>
      <w:r>
        <w:rPr>
          <w:rFonts w:asciiTheme="minorHAnsi" w:hAnsiTheme="minorHAnsi"/>
          <w:snapToGrid w:val="0"/>
          <w:lang w:val="en-GB"/>
        </w:rPr>
        <w:t>The PBAC considered that the base case ICER presented in the submission of $</w:t>
      </w:r>
      <w:r w:rsidR="00B67C49">
        <w:rPr>
          <w:rFonts w:asciiTheme="minorHAnsi" w:hAnsiTheme="minorHAnsi"/>
          <w:snapToGrid w:val="0"/>
          <w:lang w:val="en-GB"/>
        </w:rPr>
        <w:t>25,000</w:t>
      </w:r>
      <w:r w:rsidR="00E34A20">
        <w:rPr>
          <w:rFonts w:asciiTheme="minorHAnsi" w:hAnsiTheme="minorHAnsi"/>
          <w:snapToGrid w:val="0"/>
          <w:lang w:val="en-GB"/>
        </w:rPr>
        <w:t> </w:t>
      </w:r>
      <w:r w:rsidR="00B67C49">
        <w:rPr>
          <w:rFonts w:asciiTheme="minorHAnsi" w:hAnsiTheme="minorHAnsi"/>
          <w:snapToGrid w:val="0"/>
          <w:lang w:val="en-GB"/>
        </w:rPr>
        <w:t>to</w:t>
      </w:r>
      <w:r w:rsidR="008A76A6">
        <w:rPr>
          <w:rFonts w:asciiTheme="minorHAnsi" w:hAnsiTheme="minorHAnsi"/>
          <w:snapToGrid w:val="0"/>
          <w:lang w:val="en-GB"/>
        </w:rPr>
        <w:t> </w:t>
      </w:r>
      <w:r w:rsidR="00B67C49">
        <w:rPr>
          <w:rFonts w:asciiTheme="minorHAnsi" w:hAnsiTheme="minorHAnsi"/>
          <w:snapToGrid w:val="0"/>
          <w:lang w:val="en-GB"/>
        </w:rPr>
        <w:t>&lt;</w:t>
      </w:r>
      <w:r w:rsidR="008A76A6">
        <w:rPr>
          <w:rFonts w:asciiTheme="minorHAnsi" w:hAnsiTheme="minorHAnsi"/>
          <w:snapToGrid w:val="0"/>
          <w:lang w:val="en-GB"/>
        </w:rPr>
        <w:t> </w:t>
      </w:r>
      <w:r w:rsidR="00B67C49">
        <w:rPr>
          <w:rFonts w:asciiTheme="minorHAnsi" w:hAnsiTheme="minorHAnsi"/>
          <w:snapToGrid w:val="0"/>
          <w:lang w:val="en-GB"/>
        </w:rPr>
        <w:t>$35,000</w:t>
      </w:r>
      <w:r>
        <w:rPr>
          <w:rFonts w:asciiTheme="minorHAnsi" w:hAnsiTheme="minorHAnsi"/>
          <w:snapToGrid w:val="0"/>
          <w:lang w:val="en-GB"/>
        </w:rPr>
        <w:t xml:space="preserve"> per quality adjusted life year (QALY)</w:t>
      </w:r>
      <w:r w:rsidR="00497975">
        <w:rPr>
          <w:rFonts w:asciiTheme="minorHAnsi" w:hAnsiTheme="minorHAnsi"/>
          <w:snapToGrid w:val="0"/>
          <w:lang w:val="en-GB"/>
        </w:rPr>
        <w:t xml:space="preserve"> gained</w:t>
      </w:r>
      <w:r w:rsidR="00497975" w:rsidRPr="00497975">
        <w:rPr>
          <w:rFonts w:asciiTheme="minorHAnsi" w:hAnsiTheme="minorHAnsi"/>
          <w:snapToGrid w:val="0"/>
          <w:lang w:val="en-GB"/>
        </w:rPr>
        <w:t xml:space="preserve"> </w:t>
      </w:r>
      <w:r w:rsidR="00497975">
        <w:rPr>
          <w:rFonts w:asciiTheme="minorHAnsi" w:hAnsiTheme="minorHAnsi"/>
          <w:snapToGrid w:val="0"/>
          <w:lang w:val="en-GB"/>
        </w:rPr>
        <w:t>($</w:t>
      </w:r>
      <w:r w:rsidR="00B67C49">
        <w:rPr>
          <w:rFonts w:asciiTheme="minorHAnsi" w:hAnsiTheme="minorHAnsi"/>
          <w:snapToGrid w:val="0"/>
          <w:lang w:val="en-GB"/>
        </w:rPr>
        <w:t>25,000 to &lt;</w:t>
      </w:r>
      <w:r w:rsidR="00E34A20">
        <w:rPr>
          <w:rFonts w:asciiTheme="minorHAnsi" w:hAnsiTheme="minorHAnsi"/>
          <w:snapToGrid w:val="0"/>
          <w:lang w:val="en-GB"/>
        </w:rPr>
        <w:t> </w:t>
      </w:r>
      <w:r w:rsidR="00B67C49">
        <w:rPr>
          <w:rFonts w:asciiTheme="minorHAnsi" w:hAnsiTheme="minorHAnsi"/>
          <w:snapToGrid w:val="0"/>
          <w:lang w:val="en-GB"/>
        </w:rPr>
        <w:t>$35,000</w:t>
      </w:r>
      <w:r w:rsidR="00497975">
        <w:rPr>
          <w:rFonts w:asciiTheme="minorHAnsi" w:hAnsiTheme="minorHAnsi"/>
          <w:snapToGrid w:val="0"/>
          <w:lang w:val="en-GB"/>
        </w:rPr>
        <w:t xml:space="preserve"> in the pre-PBAC response)</w:t>
      </w:r>
      <w:r>
        <w:rPr>
          <w:rFonts w:asciiTheme="minorHAnsi" w:hAnsiTheme="minorHAnsi"/>
          <w:snapToGrid w:val="0"/>
          <w:lang w:val="en-GB"/>
        </w:rPr>
        <w:t xml:space="preserve"> was significantly underestimated</w:t>
      </w:r>
      <w:r w:rsidR="004821B9">
        <w:rPr>
          <w:rFonts w:asciiTheme="minorHAnsi" w:hAnsiTheme="minorHAnsi"/>
          <w:snapToGrid w:val="0"/>
          <w:lang w:val="en-GB"/>
        </w:rPr>
        <w:t xml:space="preserve"> and included a number of parameters</w:t>
      </w:r>
      <w:r w:rsidR="00E10B2B">
        <w:rPr>
          <w:rFonts w:asciiTheme="minorHAnsi" w:hAnsiTheme="minorHAnsi"/>
          <w:snapToGrid w:val="0"/>
          <w:lang w:val="en-GB"/>
        </w:rPr>
        <w:t xml:space="preserve"> favourable to icosapent ethyl</w:t>
      </w:r>
      <w:r>
        <w:rPr>
          <w:rFonts w:asciiTheme="minorHAnsi" w:hAnsiTheme="minorHAnsi"/>
          <w:snapToGrid w:val="0"/>
          <w:lang w:val="en-GB"/>
        </w:rPr>
        <w:t>. The PBAC noted that the base case:</w:t>
      </w:r>
      <w:bookmarkEnd w:id="84"/>
    </w:p>
    <w:p w14:paraId="79BC9BDE" w14:textId="1E144CE2" w:rsidR="00920FD5" w:rsidRDefault="00920FD5" w:rsidP="00980A59">
      <w:pPr>
        <w:widowControl w:val="0"/>
        <w:numPr>
          <w:ilvl w:val="1"/>
          <w:numId w:val="9"/>
        </w:numPr>
        <w:spacing w:after="120"/>
        <w:ind w:left="1080"/>
        <w:rPr>
          <w:rFonts w:asciiTheme="minorHAnsi" w:hAnsiTheme="minorHAnsi"/>
          <w:snapToGrid w:val="0"/>
          <w:lang w:val="en-GB"/>
        </w:rPr>
      </w:pPr>
      <w:r>
        <w:rPr>
          <w:rFonts w:asciiTheme="minorHAnsi" w:hAnsiTheme="minorHAnsi"/>
          <w:snapToGrid w:val="0"/>
          <w:lang w:val="en-GB"/>
        </w:rPr>
        <w:t>included a 3% adjustment to the cardiovascular events in the placebo arm to reflect the potential negative impact of the use of mineral oil. The PBAC noted that this was increased to 7% in the pre-PBAC response, based on the results of Doi et al 2021</w:t>
      </w:r>
      <w:r w:rsidR="009034EA">
        <w:rPr>
          <w:rFonts w:asciiTheme="minorHAnsi" w:hAnsiTheme="minorHAnsi"/>
          <w:snapToGrid w:val="0"/>
          <w:lang w:val="en-GB"/>
        </w:rPr>
        <w:t>,</w:t>
      </w:r>
      <w:r>
        <w:rPr>
          <w:rFonts w:asciiTheme="minorHAnsi" w:hAnsiTheme="minorHAnsi"/>
          <w:snapToGrid w:val="0"/>
          <w:lang w:val="en-GB"/>
        </w:rPr>
        <w:t xml:space="preserve"> and considered that </w:t>
      </w:r>
      <w:r w:rsidR="00240600">
        <w:rPr>
          <w:rFonts w:asciiTheme="minorHAnsi" w:hAnsiTheme="minorHAnsi"/>
          <w:snapToGrid w:val="0"/>
          <w:lang w:val="en-GB"/>
        </w:rPr>
        <w:t xml:space="preserve">the more conservative adjustment </w:t>
      </w:r>
      <w:r>
        <w:rPr>
          <w:rFonts w:asciiTheme="minorHAnsi" w:hAnsiTheme="minorHAnsi"/>
          <w:snapToGrid w:val="0"/>
          <w:lang w:val="en-GB"/>
        </w:rPr>
        <w:t>was appropriate;</w:t>
      </w:r>
    </w:p>
    <w:p w14:paraId="1D78B53F" w14:textId="2BC28A86" w:rsidR="00920FD5" w:rsidRDefault="00920FD5" w:rsidP="00980A59">
      <w:pPr>
        <w:widowControl w:val="0"/>
        <w:numPr>
          <w:ilvl w:val="1"/>
          <w:numId w:val="9"/>
        </w:numPr>
        <w:spacing w:after="120"/>
        <w:ind w:left="1080"/>
        <w:rPr>
          <w:rFonts w:asciiTheme="minorHAnsi" w:hAnsiTheme="minorHAnsi"/>
          <w:snapToGrid w:val="0"/>
          <w:lang w:val="en-GB"/>
        </w:rPr>
      </w:pPr>
      <w:r>
        <w:rPr>
          <w:rFonts w:asciiTheme="minorHAnsi" w:hAnsiTheme="minorHAnsi"/>
          <w:snapToGrid w:val="0"/>
          <w:lang w:val="en-GB"/>
        </w:rPr>
        <w:t xml:space="preserve">did not include costs of treatment in the ‘event free’ health state, although all patients had established ASCVD. The PBAC noted that a cost of $2,000 was arbitrarily applied in the pre-PBAC response but considered that the cost of $5,229 for patients ‘alive with CVD’ from </w:t>
      </w:r>
      <w:proofErr w:type="spellStart"/>
      <w:r>
        <w:rPr>
          <w:rFonts w:asciiTheme="minorHAnsi" w:hAnsiTheme="minorHAnsi"/>
          <w:snapToGrid w:val="0"/>
          <w:lang w:val="en-GB"/>
        </w:rPr>
        <w:t>Ademi</w:t>
      </w:r>
      <w:proofErr w:type="spellEnd"/>
      <w:r>
        <w:rPr>
          <w:rFonts w:asciiTheme="minorHAnsi" w:hAnsiTheme="minorHAnsi"/>
          <w:snapToGrid w:val="0"/>
          <w:lang w:val="en-GB"/>
        </w:rPr>
        <w:t xml:space="preserve"> et al, 2020 was more appropriate; and </w:t>
      </w:r>
    </w:p>
    <w:p w14:paraId="331A1AC0" w14:textId="0FCA3A1C" w:rsidR="00920FD5" w:rsidRDefault="00920FD5" w:rsidP="00980A59">
      <w:pPr>
        <w:widowControl w:val="0"/>
        <w:numPr>
          <w:ilvl w:val="1"/>
          <w:numId w:val="9"/>
        </w:numPr>
        <w:spacing w:after="120"/>
        <w:ind w:left="1080"/>
        <w:rPr>
          <w:rFonts w:asciiTheme="minorHAnsi" w:hAnsiTheme="minorHAnsi"/>
          <w:snapToGrid w:val="0"/>
          <w:lang w:val="en-GB"/>
        </w:rPr>
      </w:pPr>
      <w:r>
        <w:rPr>
          <w:rFonts w:asciiTheme="minorHAnsi" w:hAnsiTheme="minorHAnsi"/>
          <w:snapToGrid w:val="0"/>
          <w:lang w:val="en-GB"/>
        </w:rPr>
        <w:lastRenderedPageBreak/>
        <w:t xml:space="preserve">censored patients who discontinued icosapent ethyl treatment from the calculation of transition probabilities, which differed from the calculation in the placebo arm, which were derived with no censoring of patients who had discontinued placebo. The PBAC considered that the same approach should be applied in </w:t>
      </w:r>
      <w:r w:rsidR="009034EA">
        <w:rPr>
          <w:rFonts w:asciiTheme="minorHAnsi" w:hAnsiTheme="minorHAnsi"/>
          <w:snapToGrid w:val="0"/>
          <w:lang w:val="en-GB"/>
        </w:rPr>
        <w:t xml:space="preserve">both </w:t>
      </w:r>
      <w:r>
        <w:rPr>
          <w:rFonts w:asciiTheme="minorHAnsi" w:hAnsiTheme="minorHAnsi"/>
          <w:snapToGrid w:val="0"/>
          <w:lang w:val="en-GB"/>
        </w:rPr>
        <w:t>arm</w:t>
      </w:r>
      <w:r w:rsidR="009034EA">
        <w:rPr>
          <w:rFonts w:asciiTheme="minorHAnsi" w:hAnsiTheme="minorHAnsi"/>
          <w:snapToGrid w:val="0"/>
          <w:lang w:val="en-GB"/>
        </w:rPr>
        <w:t>s</w:t>
      </w:r>
      <w:r>
        <w:rPr>
          <w:rFonts w:asciiTheme="minorHAnsi" w:hAnsiTheme="minorHAnsi"/>
          <w:snapToGrid w:val="0"/>
          <w:lang w:val="en-GB"/>
        </w:rPr>
        <w:t xml:space="preserve"> and, noting that there may be underlying reasons for treatment discontinuation that </w:t>
      </w:r>
      <w:r w:rsidR="009034EA">
        <w:rPr>
          <w:rFonts w:asciiTheme="minorHAnsi" w:hAnsiTheme="minorHAnsi"/>
          <w:snapToGrid w:val="0"/>
          <w:lang w:val="en-GB"/>
        </w:rPr>
        <w:t>we</w:t>
      </w:r>
      <w:r>
        <w:rPr>
          <w:rFonts w:asciiTheme="minorHAnsi" w:hAnsiTheme="minorHAnsi"/>
          <w:snapToGrid w:val="0"/>
          <w:lang w:val="en-GB"/>
        </w:rPr>
        <w:t xml:space="preserve">re associated with efficacy outcomes, </w:t>
      </w:r>
      <w:r w:rsidR="00D30D15">
        <w:rPr>
          <w:rFonts w:asciiTheme="minorHAnsi" w:hAnsiTheme="minorHAnsi"/>
          <w:snapToGrid w:val="0"/>
          <w:lang w:val="en-GB"/>
        </w:rPr>
        <w:t xml:space="preserve">it would be </w:t>
      </w:r>
      <w:r w:rsidR="004821B9">
        <w:rPr>
          <w:rFonts w:asciiTheme="minorHAnsi" w:hAnsiTheme="minorHAnsi"/>
          <w:snapToGrid w:val="0"/>
          <w:lang w:val="en-GB"/>
        </w:rPr>
        <w:t>appropriate that</w:t>
      </w:r>
      <w:r>
        <w:rPr>
          <w:rFonts w:asciiTheme="minorHAnsi" w:hAnsiTheme="minorHAnsi"/>
          <w:snapToGrid w:val="0"/>
          <w:lang w:val="en-GB"/>
        </w:rPr>
        <w:t xml:space="preserve"> no censoring for discontinuation </w:t>
      </w:r>
      <w:r w:rsidR="004821B9">
        <w:rPr>
          <w:rFonts w:asciiTheme="minorHAnsi" w:hAnsiTheme="minorHAnsi"/>
          <w:snapToGrid w:val="0"/>
          <w:lang w:val="en-GB"/>
        </w:rPr>
        <w:t xml:space="preserve">was applied </w:t>
      </w:r>
      <w:r w:rsidR="009034EA">
        <w:rPr>
          <w:rFonts w:asciiTheme="minorHAnsi" w:hAnsiTheme="minorHAnsi"/>
          <w:snapToGrid w:val="0"/>
          <w:lang w:val="en-GB"/>
        </w:rPr>
        <w:t>in</w:t>
      </w:r>
      <w:r>
        <w:rPr>
          <w:rFonts w:asciiTheme="minorHAnsi" w:hAnsiTheme="minorHAnsi"/>
          <w:snapToGrid w:val="0"/>
          <w:lang w:val="en-GB"/>
        </w:rPr>
        <w:t xml:space="preserve"> either arm.</w:t>
      </w:r>
    </w:p>
    <w:p w14:paraId="1A51F33D" w14:textId="4D92133B" w:rsidR="00920FD5" w:rsidRDefault="00920FD5" w:rsidP="00EF2C32">
      <w:pPr>
        <w:widowControl w:val="0"/>
        <w:numPr>
          <w:ilvl w:val="1"/>
          <w:numId w:val="1"/>
        </w:numPr>
        <w:spacing w:after="120"/>
        <w:ind w:left="720" w:hanging="720"/>
        <w:rPr>
          <w:rFonts w:asciiTheme="minorHAnsi" w:hAnsiTheme="minorHAnsi"/>
          <w:snapToGrid w:val="0"/>
          <w:lang w:val="en-GB"/>
        </w:rPr>
      </w:pPr>
      <w:bookmarkStart w:id="85" w:name="_Ref151032865"/>
      <w:r>
        <w:rPr>
          <w:rFonts w:asciiTheme="minorHAnsi" w:hAnsiTheme="minorHAnsi"/>
          <w:snapToGrid w:val="0"/>
          <w:lang w:val="en-GB"/>
        </w:rPr>
        <w:t>The PBAC noted that if the changes above were applied to the economic model, the resultant ICER was $</w:t>
      </w:r>
      <w:r w:rsidR="00B67C49">
        <w:rPr>
          <w:rFonts w:asciiTheme="minorHAnsi" w:hAnsiTheme="minorHAnsi"/>
          <w:snapToGrid w:val="0"/>
          <w:lang w:val="en-GB"/>
        </w:rPr>
        <w:t>55,000 to &lt; $75,000</w:t>
      </w:r>
      <w:r>
        <w:rPr>
          <w:rFonts w:asciiTheme="minorHAnsi" w:hAnsiTheme="minorHAnsi"/>
          <w:snapToGrid w:val="0"/>
          <w:lang w:val="en-GB"/>
        </w:rPr>
        <w:t xml:space="preserve"> per QALY</w:t>
      </w:r>
      <w:r w:rsidR="00914F29">
        <w:rPr>
          <w:rFonts w:asciiTheme="minorHAnsi" w:hAnsiTheme="minorHAnsi"/>
          <w:snapToGrid w:val="0"/>
          <w:lang w:val="en-GB"/>
        </w:rPr>
        <w:t xml:space="preserve"> gained</w:t>
      </w:r>
      <w:r w:rsidR="004821B9">
        <w:rPr>
          <w:rFonts w:asciiTheme="minorHAnsi" w:hAnsiTheme="minorHAnsi"/>
          <w:snapToGrid w:val="0"/>
          <w:lang w:val="en-GB"/>
        </w:rPr>
        <w:t>, which is unacceptably high</w:t>
      </w:r>
      <w:r>
        <w:rPr>
          <w:rFonts w:asciiTheme="minorHAnsi" w:hAnsiTheme="minorHAnsi"/>
          <w:snapToGrid w:val="0"/>
          <w:lang w:val="en-GB"/>
        </w:rPr>
        <w:t>. To align with prior similar recommendations</w:t>
      </w:r>
      <w:r w:rsidR="00240600">
        <w:rPr>
          <w:rFonts w:asciiTheme="minorHAnsi" w:hAnsiTheme="minorHAnsi"/>
          <w:snapToGrid w:val="0"/>
          <w:lang w:val="en-GB"/>
        </w:rPr>
        <w:t xml:space="preserve"> and accounting for uncertain magnitude of benefit</w:t>
      </w:r>
      <w:r>
        <w:rPr>
          <w:rFonts w:asciiTheme="minorHAnsi" w:hAnsiTheme="minorHAnsi"/>
          <w:snapToGrid w:val="0"/>
          <w:lang w:val="en-GB"/>
        </w:rPr>
        <w:t xml:space="preserve">, the PBAC considered that an acceptable ICER for icosapent ethyl would be $20,000 per QALY </w:t>
      </w:r>
      <w:r w:rsidR="00240600">
        <w:rPr>
          <w:rFonts w:asciiTheme="minorHAnsi" w:hAnsiTheme="minorHAnsi"/>
          <w:snapToGrid w:val="0"/>
          <w:lang w:val="en-GB"/>
        </w:rPr>
        <w:t xml:space="preserve">gained </w:t>
      </w:r>
      <w:r>
        <w:rPr>
          <w:rFonts w:asciiTheme="minorHAnsi" w:hAnsiTheme="minorHAnsi"/>
          <w:snapToGrid w:val="0"/>
          <w:lang w:val="en-GB"/>
        </w:rPr>
        <w:t xml:space="preserve">and advised that a </w:t>
      </w:r>
      <w:r w:rsidR="009034EA">
        <w:rPr>
          <w:rFonts w:asciiTheme="minorHAnsi" w:hAnsiTheme="minorHAnsi"/>
          <w:snapToGrid w:val="0"/>
          <w:lang w:val="en-GB"/>
        </w:rPr>
        <w:t xml:space="preserve">significant </w:t>
      </w:r>
      <w:r>
        <w:rPr>
          <w:rFonts w:asciiTheme="minorHAnsi" w:hAnsiTheme="minorHAnsi"/>
          <w:snapToGrid w:val="0"/>
          <w:lang w:val="en-GB"/>
        </w:rPr>
        <w:t>price reduction would be required.</w:t>
      </w:r>
      <w:bookmarkEnd w:id="85"/>
    </w:p>
    <w:p w14:paraId="5B3A05B0" w14:textId="5FA282C7" w:rsidR="00920FD5" w:rsidRDefault="001E29F2" w:rsidP="00EF2C32">
      <w:pPr>
        <w:widowControl w:val="0"/>
        <w:numPr>
          <w:ilvl w:val="1"/>
          <w:numId w:val="1"/>
        </w:numPr>
        <w:spacing w:after="120"/>
        <w:ind w:left="720" w:hanging="720"/>
        <w:rPr>
          <w:rFonts w:asciiTheme="minorHAnsi" w:hAnsiTheme="minorHAnsi"/>
          <w:snapToGrid w:val="0"/>
          <w:lang w:val="en-GB"/>
        </w:rPr>
      </w:pPr>
      <w:bookmarkStart w:id="86" w:name="_Ref151032974"/>
      <w:r>
        <w:rPr>
          <w:rFonts w:asciiTheme="minorHAnsi" w:hAnsiTheme="minorHAnsi"/>
          <w:snapToGrid w:val="0"/>
          <w:lang w:val="en-GB"/>
        </w:rPr>
        <w:t xml:space="preserve">The PBAC noted DUSC advice that uptake rates were potentially underestimated (see </w:t>
      </w:r>
      <w:r>
        <w:rPr>
          <w:rFonts w:asciiTheme="minorHAnsi" w:hAnsiTheme="minorHAnsi"/>
          <w:snapToGrid w:val="0"/>
          <w:lang w:val="en-GB"/>
        </w:rPr>
        <w:fldChar w:fldCharType="begin" w:fldLock="1"/>
      </w:r>
      <w:r>
        <w:rPr>
          <w:rFonts w:asciiTheme="minorHAnsi" w:hAnsiTheme="minorHAnsi"/>
          <w:snapToGrid w:val="0"/>
          <w:lang w:val="en-GB"/>
        </w:rPr>
        <w:instrText xml:space="preserve"> REF _Ref104805262 \h </w:instrText>
      </w:r>
      <w:r>
        <w:rPr>
          <w:rFonts w:asciiTheme="minorHAnsi" w:hAnsiTheme="minorHAnsi"/>
          <w:snapToGrid w:val="0"/>
          <w:lang w:val="en-GB"/>
        </w:rPr>
      </w:r>
      <w:r>
        <w:rPr>
          <w:rFonts w:asciiTheme="minorHAnsi" w:hAnsiTheme="minorHAnsi"/>
          <w:snapToGrid w:val="0"/>
          <w:lang w:val="en-GB"/>
        </w:rPr>
        <w:fldChar w:fldCharType="separate"/>
      </w:r>
      <w:r w:rsidR="003F1735" w:rsidRPr="00C802B9">
        <w:t xml:space="preserve">Table </w:t>
      </w:r>
      <w:r w:rsidR="003F1735">
        <w:rPr>
          <w:noProof/>
        </w:rPr>
        <w:t>15</w:t>
      </w:r>
      <w:r>
        <w:rPr>
          <w:rFonts w:asciiTheme="minorHAnsi" w:hAnsiTheme="minorHAnsi"/>
          <w:snapToGrid w:val="0"/>
          <w:lang w:val="en-GB"/>
        </w:rPr>
        <w:fldChar w:fldCharType="end"/>
      </w:r>
      <w:r>
        <w:rPr>
          <w:rFonts w:asciiTheme="minorHAnsi" w:hAnsiTheme="minorHAnsi"/>
          <w:snapToGrid w:val="0"/>
          <w:lang w:val="en-GB"/>
        </w:rPr>
        <w:t xml:space="preserve">). However, the PBAC considered in the context of the low need and uncertain value, </w:t>
      </w:r>
      <w:r w:rsidR="007039FE">
        <w:rPr>
          <w:rFonts w:asciiTheme="minorHAnsi" w:hAnsiTheme="minorHAnsi"/>
          <w:snapToGrid w:val="0"/>
          <w:lang w:val="en-GB"/>
        </w:rPr>
        <w:t>that the utilisation and financial impact estimates were uncertain and were more likely to be overestimated.</w:t>
      </w:r>
      <w:r>
        <w:rPr>
          <w:rFonts w:asciiTheme="minorHAnsi" w:hAnsiTheme="minorHAnsi"/>
          <w:snapToGrid w:val="0"/>
          <w:lang w:val="en-GB"/>
        </w:rPr>
        <w:t xml:space="preserve"> In this context, and based on further reasoning described below, it was considered a reduction in uptake was appropriate. Overall, t</w:t>
      </w:r>
      <w:r w:rsidR="009034EA">
        <w:rPr>
          <w:rFonts w:asciiTheme="minorHAnsi" w:hAnsiTheme="minorHAnsi"/>
          <w:snapToGrid w:val="0"/>
          <w:lang w:val="en-GB"/>
        </w:rPr>
        <w:t>he PBAC considered that revised estimates should:</w:t>
      </w:r>
      <w:bookmarkEnd w:id="86"/>
    </w:p>
    <w:p w14:paraId="798834DA" w14:textId="66D7B76D" w:rsidR="009034EA" w:rsidRDefault="009034EA" w:rsidP="00980A59">
      <w:pPr>
        <w:widowControl w:val="0"/>
        <w:numPr>
          <w:ilvl w:val="1"/>
          <w:numId w:val="10"/>
        </w:numPr>
        <w:spacing w:after="120"/>
        <w:ind w:left="1080"/>
        <w:rPr>
          <w:rFonts w:asciiTheme="minorHAnsi" w:hAnsiTheme="minorHAnsi"/>
          <w:snapToGrid w:val="0"/>
          <w:lang w:val="en-GB"/>
        </w:rPr>
      </w:pPr>
      <w:r>
        <w:rPr>
          <w:rFonts w:asciiTheme="minorHAnsi" w:hAnsiTheme="minorHAnsi"/>
          <w:snapToGrid w:val="0"/>
          <w:lang w:val="en-GB"/>
        </w:rPr>
        <w:t xml:space="preserve">reduce the prevalence of ASCVD by 10% across all age groups for both males and females. The PBAC considered that this would account for the prevalence estimates used </w:t>
      </w:r>
      <w:r w:rsidR="00BC654C">
        <w:rPr>
          <w:rFonts w:asciiTheme="minorHAnsi" w:hAnsiTheme="minorHAnsi"/>
          <w:snapToGrid w:val="0"/>
          <w:lang w:val="en-GB"/>
        </w:rPr>
        <w:t xml:space="preserve">which included </w:t>
      </w:r>
      <w:r>
        <w:rPr>
          <w:rFonts w:asciiTheme="minorHAnsi" w:hAnsiTheme="minorHAnsi"/>
          <w:snapToGrid w:val="0"/>
          <w:lang w:val="en-GB"/>
        </w:rPr>
        <w:t>a broader range of conditions, such as oedema and heart failure, as compared to the proposed restriction;</w:t>
      </w:r>
    </w:p>
    <w:p w14:paraId="3E6762C4" w14:textId="5C98DD9A" w:rsidR="009034EA" w:rsidRDefault="009034EA" w:rsidP="00980A59">
      <w:pPr>
        <w:widowControl w:val="0"/>
        <w:numPr>
          <w:ilvl w:val="1"/>
          <w:numId w:val="10"/>
        </w:numPr>
        <w:spacing w:after="120"/>
        <w:ind w:left="1080"/>
        <w:rPr>
          <w:rFonts w:asciiTheme="minorHAnsi" w:hAnsiTheme="minorHAnsi"/>
          <w:snapToGrid w:val="0"/>
          <w:lang w:val="en-GB"/>
        </w:rPr>
      </w:pPr>
      <w:r>
        <w:rPr>
          <w:rFonts w:asciiTheme="minorHAnsi" w:hAnsiTheme="minorHAnsi"/>
          <w:snapToGrid w:val="0"/>
          <w:lang w:val="en-GB"/>
        </w:rPr>
        <w:t>lower the proportion of patients with triglyceride levels of between 1.7</w:t>
      </w:r>
      <w:r w:rsidR="004E40F4">
        <w:rPr>
          <w:rFonts w:asciiTheme="minorHAnsi" w:hAnsiTheme="minorHAnsi"/>
          <w:snapToGrid w:val="0"/>
          <w:lang w:val="en-GB"/>
        </w:rPr>
        <w:t> </w:t>
      </w:r>
      <w:r>
        <w:rPr>
          <w:rFonts w:asciiTheme="minorHAnsi" w:hAnsiTheme="minorHAnsi"/>
          <w:snapToGrid w:val="0"/>
          <w:lang w:val="en-GB"/>
        </w:rPr>
        <w:t>to</w:t>
      </w:r>
      <w:r w:rsidR="004E40F4">
        <w:rPr>
          <w:rFonts w:asciiTheme="minorHAnsi" w:hAnsiTheme="minorHAnsi"/>
          <w:snapToGrid w:val="0"/>
          <w:lang w:val="en-GB"/>
        </w:rPr>
        <w:t> </w:t>
      </w:r>
      <w:r>
        <w:rPr>
          <w:rFonts w:asciiTheme="minorHAnsi" w:hAnsiTheme="minorHAnsi"/>
          <w:snapToGrid w:val="0"/>
          <w:lang w:val="en-GB"/>
        </w:rPr>
        <w:t>5.6</w:t>
      </w:r>
      <w:r w:rsidR="004E40F4">
        <w:rPr>
          <w:rFonts w:asciiTheme="minorHAnsi" w:hAnsiTheme="minorHAnsi"/>
          <w:snapToGrid w:val="0"/>
          <w:lang w:val="en-GB"/>
        </w:rPr>
        <w:t> </w:t>
      </w:r>
      <w:r>
        <w:rPr>
          <w:rFonts w:asciiTheme="minorHAnsi" w:hAnsiTheme="minorHAnsi"/>
          <w:snapToGrid w:val="0"/>
          <w:lang w:val="en-GB"/>
        </w:rPr>
        <w:t xml:space="preserve">mmol/L from 27.6% to 10%. The PBAC considered that the study that this assumption was based on was not applicable to the Australian population as it was based on older data (from 2007-2014) from a US population, had a small sample size, </w:t>
      </w:r>
      <w:r w:rsidR="00813081">
        <w:rPr>
          <w:rFonts w:asciiTheme="minorHAnsi" w:hAnsiTheme="minorHAnsi"/>
          <w:snapToGrid w:val="0"/>
          <w:lang w:val="en-GB"/>
        </w:rPr>
        <w:t xml:space="preserve">and </w:t>
      </w:r>
      <w:r>
        <w:rPr>
          <w:rFonts w:asciiTheme="minorHAnsi" w:hAnsiTheme="minorHAnsi"/>
          <w:snapToGrid w:val="0"/>
          <w:lang w:val="en-GB"/>
        </w:rPr>
        <w:t>included patients with and without ASCVD</w:t>
      </w:r>
      <w:r w:rsidR="00BC654C">
        <w:rPr>
          <w:rFonts w:asciiTheme="minorHAnsi" w:hAnsiTheme="minorHAnsi"/>
          <w:snapToGrid w:val="0"/>
          <w:lang w:val="en-GB"/>
        </w:rPr>
        <w:t>. The PBAC also noted that elevated triglyceride levels could also be significantly reduced with appropriate dietary advice (such as reduction in alcohol intake and adoption of proven dietary interventions such as the Mediterranean diet)</w:t>
      </w:r>
      <w:r>
        <w:rPr>
          <w:rFonts w:asciiTheme="minorHAnsi" w:hAnsiTheme="minorHAnsi"/>
          <w:snapToGrid w:val="0"/>
          <w:lang w:val="en-GB"/>
        </w:rPr>
        <w:t>;</w:t>
      </w:r>
      <w:r w:rsidR="00081240" w:rsidRPr="00081240">
        <w:rPr>
          <w:rFonts w:asciiTheme="minorHAnsi" w:hAnsiTheme="minorHAnsi"/>
          <w:snapToGrid w:val="0"/>
          <w:lang w:val="en-GB"/>
        </w:rPr>
        <w:t xml:space="preserve"> </w:t>
      </w:r>
    </w:p>
    <w:p w14:paraId="47988152" w14:textId="6E2E7691" w:rsidR="009034EA" w:rsidRDefault="009034EA" w:rsidP="00980A59">
      <w:pPr>
        <w:widowControl w:val="0"/>
        <w:numPr>
          <w:ilvl w:val="1"/>
          <w:numId w:val="10"/>
        </w:numPr>
        <w:spacing w:after="120"/>
        <w:ind w:left="1080"/>
        <w:rPr>
          <w:rFonts w:asciiTheme="minorHAnsi" w:hAnsiTheme="minorHAnsi"/>
          <w:snapToGrid w:val="0"/>
          <w:lang w:val="en-GB"/>
        </w:rPr>
      </w:pPr>
      <w:r>
        <w:rPr>
          <w:rFonts w:asciiTheme="minorHAnsi" w:hAnsiTheme="minorHAnsi"/>
          <w:snapToGrid w:val="0"/>
          <w:lang w:val="en-GB"/>
        </w:rPr>
        <w:t xml:space="preserve">reduce the uptake rates by 25% across the 6 years of estimates </w:t>
      </w:r>
      <w:r w:rsidR="001E29F2">
        <w:rPr>
          <w:rFonts w:asciiTheme="minorHAnsi" w:hAnsiTheme="minorHAnsi"/>
          <w:snapToGrid w:val="0"/>
          <w:lang w:val="en-GB"/>
        </w:rPr>
        <w:t>which would better reflect</w:t>
      </w:r>
      <w:r>
        <w:rPr>
          <w:rFonts w:asciiTheme="minorHAnsi" w:hAnsiTheme="minorHAnsi"/>
          <w:snapToGrid w:val="0"/>
          <w:lang w:val="en-GB"/>
        </w:rPr>
        <w:t xml:space="preserve"> prescribing fatigue and concerns regarding side effects</w:t>
      </w:r>
      <w:r w:rsidR="004E2047">
        <w:rPr>
          <w:rFonts w:asciiTheme="minorHAnsi" w:hAnsiTheme="minorHAnsi"/>
          <w:snapToGrid w:val="0"/>
          <w:lang w:val="en-GB"/>
        </w:rPr>
        <w:t xml:space="preserve"> (i.e.</w:t>
      </w:r>
      <w:r w:rsidR="00502356">
        <w:rPr>
          <w:rFonts w:asciiTheme="minorHAnsi" w:hAnsiTheme="minorHAnsi"/>
          <w:snapToGrid w:val="0"/>
          <w:lang w:val="en-GB"/>
        </w:rPr>
        <w:t>,</w:t>
      </w:r>
      <w:r w:rsidR="004E2047">
        <w:rPr>
          <w:rFonts w:asciiTheme="minorHAnsi" w:hAnsiTheme="minorHAnsi"/>
          <w:snapToGrid w:val="0"/>
          <w:lang w:val="en-GB"/>
        </w:rPr>
        <w:t xml:space="preserve"> reduce</w:t>
      </w:r>
      <w:r w:rsidR="00FC3428">
        <w:rPr>
          <w:rFonts w:asciiTheme="minorHAnsi" w:hAnsiTheme="minorHAnsi"/>
          <w:snapToGrid w:val="0"/>
          <w:lang w:val="en-GB"/>
        </w:rPr>
        <w:t>d</w:t>
      </w:r>
      <w:r w:rsidR="004E2047">
        <w:rPr>
          <w:rFonts w:asciiTheme="minorHAnsi" w:hAnsiTheme="minorHAnsi"/>
          <w:snapToGrid w:val="0"/>
          <w:lang w:val="en-GB"/>
        </w:rPr>
        <w:t xml:space="preserve"> from</w:t>
      </w:r>
      <w:r w:rsidR="004671F3">
        <w:rPr>
          <w:rFonts w:asciiTheme="minorHAnsi" w:hAnsiTheme="minorHAnsi"/>
          <w:snapToGrid w:val="0"/>
          <w:lang w:val="en-GB"/>
        </w:rPr>
        <w:t xml:space="preserve"> </w:t>
      </w:r>
      <w:r w:rsidR="0036355B" w:rsidRPr="00502356">
        <w:rPr>
          <w:rFonts w:asciiTheme="minorHAnsi" w:hAnsiTheme="minorHAnsi"/>
          <w:snapToGrid w:val="0"/>
          <w:color w:val="000000"/>
          <w:spacing w:val="15"/>
          <w:w w:val="15"/>
          <w:shd w:val="solid" w:color="000000" w:fill="000000"/>
          <w:fitText w:val="40" w:id="-1032109816"/>
          <w:lang w:val="en-GB"/>
          <w14:textFill>
            <w14:solidFill>
              <w14:srgbClr w14:val="000000">
                <w14:alpha w14:val="100000"/>
              </w14:srgbClr>
            </w14:solidFill>
          </w14:textFill>
        </w:rPr>
        <w:t>|</w:t>
      </w:r>
      <w:r w:rsidR="004671F3" w:rsidRPr="00502356">
        <w:rPr>
          <w:rFonts w:asciiTheme="minorHAnsi" w:hAnsiTheme="minorHAnsi"/>
          <w:snapToGrid w:val="0"/>
          <w:color w:val="000000"/>
          <w:spacing w:val="1"/>
          <w:w w:val="15"/>
          <w:shd w:val="solid" w:color="000000" w:fill="000000"/>
          <w:fitText w:val="40" w:id="-1032109816"/>
          <w:lang w:val="en-GB"/>
          <w14:textFill>
            <w14:solidFill>
              <w14:srgbClr w14:val="000000">
                <w14:alpha w14:val="100000"/>
              </w14:srgbClr>
            </w14:solidFill>
          </w14:textFill>
        </w:rPr>
        <w:t xml:space="preserve"> </w:t>
      </w:r>
      <w:r w:rsidR="0036355B" w:rsidRPr="00502356">
        <w:rPr>
          <w:rFonts w:asciiTheme="minorHAnsi" w:hAnsiTheme="minorHAnsi"/>
          <w:snapToGrid w:val="0"/>
          <w:color w:val="000000"/>
          <w:spacing w:val="5"/>
          <w:w w:val="18"/>
          <w:shd w:val="solid" w:color="000000" w:fill="000000"/>
          <w:fitText w:val="60" w:id="-1032109815"/>
          <w:lang w:val="en-GB"/>
          <w14:textFill>
            <w14:solidFill>
              <w14:srgbClr w14:val="000000">
                <w14:alpha w14:val="100000"/>
              </w14:srgbClr>
            </w14:solidFill>
          </w14:textFill>
        </w:rPr>
        <w:t>|</w:t>
      </w:r>
      <w:r w:rsidR="004671F3" w:rsidRPr="00502356">
        <w:rPr>
          <w:rFonts w:asciiTheme="minorHAnsi" w:hAnsiTheme="minorHAnsi"/>
          <w:snapToGrid w:val="0"/>
          <w:color w:val="000000"/>
          <w:w w:val="18"/>
          <w:shd w:val="solid" w:color="000000" w:fill="000000"/>
          <w:fitText w:val="60" w:id="-1032109815"/>
          <w:lang w:val="en-GB"/>
          <w14:textFill>
            <w14:solidFill>
              <w14:srgbClr w14:val="000000">
                <w14:alpha w14:val="100000"/>
              </w14:srgbClr>
            </w14:solidFill>
          </w14:textFill>
        </w:rPr>
        <w:t xml:space="preserve"> </w:t>
      </w:r>
      <w:r w:rsidR="0036355B" w:rsidRPr="00502356">
        <w:rPr>
          <w:rFonts w:asciiTheme="minorHAnsi" w:hAnsiTheme="minorHAnsi"/>
          <w:snapToGrid w:val="0"/>
          <w:color w:val="000000"/>
          <w:w w:val="18"/>
          <w:shd w:val="solid" w:color="000000" w:fill="000000"/>
          <w:fitText w:val="60" w:id="-1032109815"/>
          <w:lang w:val="en-GB"/>
          <w14:textFill>
            <w14:solidFill>
              <w14:srgbClr w14:val="000000">
                <w14:alpha w14:val="100000"/>
              </w14:srgbClr>
            </w14:solidFill>
          </w14:textFill>
        </w:rPr>
        <w:t>|</w:t>
      </w:r>
      <w:r w:rsidR="004E2047">
        <w:rPr>
          <w:rFonts w:asciiTheme="minorHAnsi" w:hAnsiTheme="minorHAnsi"/>
          <w:snapToGrid w:val="0"/>
          <w:lang w:val="en-GB"/>
        </w:rPr>
        <w:t>% in Year 1 and</w:t>
      </w:r>
      <w:r w:rsidR="004671F3">
        <w:rPr>
          <w:rFonts w:asciiTheme="minorHAnsi" w:hAnsiTheme="minorHAnsi"/>
          <w:snapToGrid w:val="0"/>
          <w:lang w:val="en-GB"/>
        </w:rPr>
        <w:t xml:space="preserve"> </w:t>
      </w:r>
      <w:r w:rsidR="0036355B" w:rsidRPr="008A76A6">
        <w:rPr>
          <w:rFonts w:asciiTheme="minorHAnsi" w:hAnsiTheme="minorHAnsi"/>
          <w:snapToGrid w:val="0"/>
          <w:color w:val="000000"/>
          <w:w w:val="15"/>
          <w:shd w:val="solid" w:color="000000" w:fill="000000"/>
          <w:fitText w:val="-20" w:id="-1032109812"/>
          <w:lang w:val="en-GB"/>
          <w14:textFill>
            <w14:solidFill>
              <w14:srgbClr w14:val="000000">
                <w14:alpha w14:val="100000"/>
              </w14:srgbClr>
            </w14:solidFill>
          </w14:textFill>
        </w:rPr>
        <w:t>|</w:t>
      </w:r>
      <w:r w:rsidR="004671F3" w:rsidRPr="008A76A6">
        <w:rPr>
          <w:rFonts w:asciiTheme="minorHAnsi" w:hAnsiTheme="minorHAnsi"/>
          <w:snapToGrid w:val="0"/>
          <w:color w:val="000000"/>
          <w:w w:val="15"/>
          <w:shd w:val="solid" w:color="000000" w:fill="000000"/>
          <w:fitText w:val="-20" w:id="-1032109812"/>
          <w:lang w:val="en-GB"/>
          <w14:textFill>
            <w14:solidFill>
              <w14:srgbClr w14:val="000000">
                <w14:alpha w14:val="100000"/>
              </w14:srgbClr>
            </w14:solidFill>
          </w14:textFill>
        </w:rPr>
        <w:t xml:space="preserve"> </w:t>
      </w:r>
      <w:r w:rsidR="0036355B" w:rsidRPr="008A76A6">
        <w:rPr>
          <w:rFonts w:asciiTheme="minorHAnsi" w:hAnsiTheme="minorHAnsi"/>
          <w:snapToGrid w:val="0"/>
          <w:color w:val="000000"/>
          <w:spacing w:val="-61"/>
          <w:w w:val="15"/>
          <w:shd w:val="solid" w:color="000000" w:fill="000000"/>
          <w:fitText w:val="-20" w:id="-1032109812"/>
          <w:lang w:val="en-GB"/>
          <w14:textFill>
            <w14:solidFill>
              <w14:srgbClr w14:val="000000">
                <w14:alpha w14:val="100000"/>
              </w14:srgbClr>
            </w14:solidFill>
          </w14:textFill>
        </w:rPr>
        <w:t>|</w:t>
      </w:r>
      <w:r w:rsidR="004E2047">
        <w:rPr>
          <w:rFonts w:asciiTheme="minorHAnsi" w:hAnsiTheme="minorHAnsi"/>
          <w:snapToGrid w:val="0"/>
          <w:lang w:val="en-GB"/>
        </w:rPr>
        <w:t>% in Year 6 to</w:t>
      </w:r>
      <w:r w:rsidR="004671F3">
        <w:rPr>
          <w:rFonts w:asciiTheme="minorHAnsi" w:hAnsiTheme="minorHAnsi"/>
          <w:snapToGrid w:val="0"/>
          <w:lang w:val="en-GB"/>
        </w:rPr>
        <w:t xml:space="preserve"> </w:t>
      </w:r>
      <w:r w:rsidR="0036355B" w:rsidRPr="008A76A6">
        <w:rPr>
          <w:rFonts w:asciiTheme="minorHAnsi" w:hAnsiTheme="minorHAnsi"/>
          <w:snapToGrid w:val="0"/>
          <w:color w:val="000000"/>
          <w:w w:val="15"/>
          <w:shd w:val="solid" w:color="000000" w:fill="000000"/>
          <w:fitText w:val="-20" w:id="-1032109809"/>
          <w:lang w:val="en-GB"/>
          <w14:textFill>
            <w14:solidFill>
              <w14:srgbClr w14:val="000000">
                <w14:alpha w14:val="100000"/>
              </w14:srgbClr>
            </w14:solidFill>
          </w14:textFill>
        </w:rPr>
        <w:t>|</w:t>
      </w:r>
      <w:r w:rsidR="004671F3" w:rsidRPr="008A76A6">
        <w:rPr>
          <w:rFonts w:asciiTheme="minorHAnsi" w:hAnsiTheme="minorHAnsi"/>
          <w:snapToGrid w:val="0"/>
          <w:color w:val="000000"/>
          <w:w w:val="15"/>
          <w:shd w:val="solid" w:color="000000" w:fill="000000"/>
          <w:fitText w:val="-20" w:id="-1032109809"/>
          <w:lang w:val="en-GB"/>
          <w14:textFill>
            <w14:solidFill>
              <w14:srgbClr w14:val="000000">
                <w14:alpha w14:val="100000"/>
              </w14:srgbClr>
            </w14:solidFill>
          </w14:textFill>
        </w:rPr>
        <w:t xml:space="preserve"> </w:t>
      </w:r>
      <w:r w:rsidR="0036355B" w:rsidRPr="008A76A6">
        <w:rPr>
          <w:rFonts w:asciiTheme="minorHAnsi" w:hAnsiTheme="minorHAnsi"/>
          <w:snapToGrid w:val="0"/>
          <w:color w:val="000000"/>
          <w:spacing w:val="-61"/>
          <w:w w:val="15"/>
          <w:shd w:val="solid" w:color="000000" w:fill="000000"/>
          <w:fitText w:val="-20" w:id="-1032109809"/>
          <w:lang w:val="en-GB"/>
          <w14:textFill>
            <w14:solidFill>
              <w14:srgbClr w14:val="000000">
                <w14:alpha w14:val="100000"/>
              </w14:srgbClr>
            </w14:solidFill>
          </w14:textFill>
        </w:rPr>
        <w:t>|</w:t>
      </w:r>
      <w:r w:rsidR="004E2047">
        <w:rPr>
          <w:rFonts w:asciiTheme="minorHAnsi" w:hAnsiTheme="minorHAnsi"/>
          <w:snapToGrid w:val="0"/>
          <w:lang w:val="en-GB"/>
        </w:rPr>
        <w:t>% in Year 1 to</w:t>
      </w:r>
      <w:r w:rsidR="004671F3">
        <w:rPr>
          <w:rFonts w:asciiTheme="minorHAnsi" w:hAnsiTheme="minorHAnsi"/>
          <w:snapToGrid w:val="0"/>
          <w:lang w:val="en-GB"/>
        </w:rPr>
        <w:t xml:space="preserve"> </w:t>
      </w:r>
      <w:r w:rsidR="0036355B" w:rsidRPr="008A76A6">
        <w:rPr>
          <w:rFonts w:asciiTheme="minorHAnsi" w:hAnsiTheme="minorHAnsi"/>
          <w:snapToGrid w:val="0"/>
          <w:color w:val="000000"/>
          <w:w w:val="15"/>
          <w:shd w:val="solid" w:color="000000" w:fill="000000"/>
          <w:fitText w:val="-20" w:id="-1032109823"/>
          <w:lang w:val="en-GB"/>
          <w14:textFill>
            <w14:solidFill>
              <w14:srgbClr w14:val="000000">
                <w14:alpha w14:val="100000"/>
              </w14:srgbClr>
            </w14:solidFill>
          </w14:textFill>
        </w:rPr>
        <w:t>|</w:t>
      </w:r>
      <w:r w:rsidR="004671F3" w:rsidRPr="008A76A6">
        <w:rPr>
          <w:rFonts w:asciiTheme="minorHAnsi" w:hAnsiTheme="minorHAnsi"/>
          <w:snapToGrid w:val="0"/>
          <w:color w:val="000000"/>
          <w:w w:val="15"/>
          <w:shd w:val="solid" w:color="000000" w:fill="000000"/>
          <w:fitText w:val="-20" w:id="-1032109823"/>
          <w:lang w:val="en-GB"/>
          <w14:textFill>
            <w14:solidFill>
              <w14:srgbClr w14:val="000000">
                <w14:alpha w14:val="100000"/>
              </w14:srgbClr>
            </w14:solidFill>
          </w14:textFill>
        </w:rPr>
        <w:t xml:space="preserve"> </w:t>
      </w:r>
      <w:r w:rsidR="0036355B" w:rsidRPr="008A76A6">
        <w:rPr>
          <w:rFonts w:asciiTheme="minorHAnsi" w:hAnsiTheme="minorHAnsi"/>
          <w:snapToGrid w:val="0"/>
          <w:color w:val="000000"/>
          <w:spacing w:val="-61"/>
          <w:w w:val="15"/>
          <w:shd w:val="solid" w:color="000000" w:fill="000000"/>
          <w:fitText w:val="-20" w:id="-1032109823"/>
          <w:lang w:val="en-GB"/>
          <w14:textFill>
            <w14:solidFill>
              <w14:srgbClr w14:val="000000">
                <w14:alpha w14:val="100000"/>
              </w14:srgbClr>
            </w14:solidFill>
          </w14:textFill>
        </w:rPr>
        <w:t>|</w:t>
      </w:r>
      <w:r w:rsidR="004E2047">
        <w:rPr>
          <w:rFonts w:asciiTheme="minorHAnsi" w:hAnsiTheme="minorHAnsi"/>
          <w:snapToGrid w:val="0"/>
          <w:lang w:val="en-GB"/>
        </w:rPr>
        <w:t>% in Year 6)</w:t>
      </w:r>
      <w:r>
        <w:rPr>
          <w:rFonts w:asciiTheme="minorHAnsi" w:hAnsiTheme="minorHAnsi"/>
          <w:snapToGrid w:val="0"/>
          <w:lang w:val="en-GB"/>
        </w:rPr>
        <w:t>; and</w:t>
      </w:r>
    </w:p>
    <w:p w14:paraId="3DBF352F" w14:textId="26C3F34B" w:rsidR="009034EA" w:rsidRDefault="009034EA" w:rsidP="00980A59">
      <w:pPr>
        <w:widowControl w:val="0"/>
        <w:numPr>
          <w:ilvl w:val="1"/>
          <w:numId w:val="10"/>
        </w:numPr>
        <w:spacing w:after="120"/>
        <w:ind w:left="1080"/>
        <w:rPr>
          <w:rFonts w:asciiTheme="minorHAnsi" w:hAnsiTheme="minorHAnsi"/>
          <w:snapToGrid w:val="0"/>
          <w:lang w:val="en-GB"/>
        </w:rPr>
      </w:pPr>
      <w:r>
        <w:rPr>
          <w:rFonts w:asciiTheme="minorHAnsi" w:hAnsiTheme="minorHAnsi"/>
          <w:snapToGrid w:val="0"/>
          <w:lang w:val="en-GB"/>
        </w:rPr>
        <w:t>reduce the adherence rate from 97.5% to 80%, based on the known poor compliance with statin treatments and the high pill burden for icosapent ethyl (4</w:t>
      </w:r>
      <w:r w:rsidR="00E34A20">
        <w:rPr>
          <w:rFonts w:asciiTheme="minorHAnsi" w:hAnsiTheme="minorHAnsi"/>
          <w:snapToGrid w:val="0"/>
          <w:lang w:val="en-GB"/>
        </w:rPr>
        <w:t> </w:t>
      </w:r>
      <w:r>
        <w:rPr>
          <w:rFonts w:asciiTheme="minorHAnsi" w:hAnsiTheme="minorHAnsi"/>
          <w:snapToGrid w:val="0"/>
          <w:lang w:val="en-GB"/>
        </w:rPr>
        <w:t>capsules per day).</w:t>
      </w:r>
    </w:p>
    <w:p w14:paraId="50BADDA2" w14:textId="767E453E" w:rsidR="009034EA" w:rsidRDefault="009034EA" w:rsidP="00EF2C32">
      <w:pPr>
        <w:widowControl w:val="0"/>
        <w:numPr>
          <w:ilvl w:val="1"/>
          <w:numId w:val="1"/>
        </w:numPr>
        <w:spacing w:after="120"/>
        <w:ind w:left="720" w:hanging="720"/>
        <w:rPr>
          <w:rFonts w:asciiTheme="minorHAnsi" w:hAnsiTheme="minorHAnsi"/>
          <w:snapToGrid w:val="0"/>
          <w:lang w:val="en-GB"/>
        </w:rPr>
      </w:pPr>
      <w:bookmarkStart w:id="87" w:name="_Ref151033014"/>
      <w:r>
        <w:rPr>
          <w:rFonts w:asciiTheme="minorHAnsi" w:hAnsiTheme="minorHAnsi"/>
          <w:snapToGrid w:val="0"/>
          <w:lang w:val="en-GB"/>
        </w:rPr>
        <w:t>The PBAC also advised that a RSA would be required which consisted of expenditure caps based on the revised financial estimates,</w:t>
      </w:r>
      <w:r w:rsidR="00813081">
        <w:rPr>
          <w:rFonts w:asciiTheme="minorHAnsi" w:hAnsiTheme="minorHAnsi"/>
          <w:snapToGrid w:val="0"/>
          <w:lang w:val="en-GB"/>
        </w:rPr>
        <w:t xml:space="preserve"> including a lower price,</w:t>
      </w:r>
      <w:r>
        <w:rPr>
          <w:rFonts w:asciiTheme="minorHAnsi" w:hAnsiTheme="minorHAnsi"/>
          <w:snapToGrid w:val="0"/>
          <w:lang w:val="en-GB"/>
        </w:rPr>
        <w:t xml:space="preserve"> beyond which 100% rebates would apply.</w:t>
      </w:r>
      <w:bookmarkEnd w:id="87"/>
    </w:p>
    <w:p w14:paraId="22372B5D" w14:textId="1B32B831" w:rsidR="009034EA" w:rsidRPr="00A23313" w:rsidRDefault="00920FD5" w:rsidP="00A23313">
      <w:pPr>
        <w:widowControl w:val="0"/>
        <w:numPr>
          <w:ilvl w:val="1"/>
          <w:numId w:val="1"/>
        </w:numPr>
        <w:spacing w:after="120"/>
        <w:ind w:left="720" w:hanging="720"/>
        <w:rPr>
          <w:rFonts w:asciiTheme="minorHAnsi" w:hAnsiTheme="minorHAnsi"/>
          <w:snapToGrid w:val="0"/>
          <w:lang w:val="en-GB"/>
        </w:rPr>
      </w:pPr>
      <w:bookmarkStart w:id="88" w:name="_Ref151033052"/>
      <w:r w:rsidRPr="00A23313">
        <w:rPr>
          <w:rFonts w:asciiTheme="minorHAnsi" w:hAnsiTheme="minorHAnsi"/>
          <w:snapToGrid w:val="0"/>
          <w:lang w:val="en-GB"/>
        </w:rPr>
        <w:lastRenderedPageBreak/>
        <w:t>In terms of the proposed restriction, the PBAC noted that although the initial supply restriction required patients to have at least one of coronary heart disease, cerebrovascular disease or peripheral vascular disease, no diagnostic criteria for these conditions were included. The PBAC considered that it would be appropriate for the restriction to include specific diagnostic criteria for these conditions that aligned with the criteria outlined in the REDUCE-IT trial.</w:t>
      </w:r>
      <w:bookmarkEnd w:id="80"/>
      <w:bookmarkEnd w:id="88"/>
      <w:r w:rsidR="009034EA" w:rsidRPr="00A23313">
        <w:rPr>
          <w:rFonts w:asciiTheme="minorHAnsi" w:hAnsiTheme="minorHAnsi"/>
          <w:snapToGrid w:val="0"/>
          <w:lang w:val="en-GB"/>
        </w:rPr>
        <w:t xml:space="preserve"> </w:t>
      </w:r>
      <w:r w:rsidR="00A23313" w:rsidRPr="00A23313">
        <w:rPr>
          <w:rFonts w:asciiTheme="minorHAnsi" w:hAnsiTheme="minorHAnsi"/>
          <w:snapToGrid w:val="0"/>
          <w:lang w:val="en-GB"/>
        </w:rPr>
        <w:t xml:space="preserve">Also, the </w:t>
      </w:r>
      <w:r w:rsidR="007C14AB">
        <w:rPr>
          <w:rFonts w:asciiTheme="minorHAnsi" w:hAnsiTheme="minorHAnsi"/>
          <w:snapToGrid w:val="0"/>
          <w:lang w:val="en-GB"/>
        </w:rPr>
        <w:t xml:space="preserve">PBAC considered that the </w:t>
      </w:r>
      <w:r w:rsidR="00A23313" w:rsidRPr="00A23313">
        <w:rPr>
          <w:rFonts w:asciiTheme="minorHAnsi" w:hAnsiTheme="minorHAnsi"/>
          <w:snapToGrid w:val="0"/>
          <w:lang w:val="en-GB"/>
        </w:rPr>
        <w:t xml:space="preserve">requirement for treatment with a maximum tolerated dose of a high intensity statin was not necessary, given the mechanism of action for EPA is not consistent with statins and subgroup analyses from the REDUCE-IT trial </w:t>
      </w:r>
      <w:r w:rsidR="00A23313" w:rsidRPr="00A23313">
        <w:rPr>
          <w:rFonts w:eastAsia="Calibri" w:cs="Calibri"/>
          <w:lang w:eastAsia="en-US"/>
        </w:rPr>
        <w:t xml:space="preserve">demonstrated that background statin dose was not likely to be an effect modifier (see paragraph </w:t>
      </w:r>
      <w:r w:rsidR="00A23313" w:rsidRPr="00A23313">
        <w:rPr>
          <w:rFonts w:eastAsia="Calibri" w:cs="Calibri"/>
          <w:lang w:eastAsia="en-US"/>
        </w:rPr>
        <w:fldChar w:fldCharType="begin" w:fldLock="1"/>
      </w:r>
      <w:r w:rsidR="00A23313" w:rsidRPr="00A23313">
        <w:rPr>
          <w:rFonts w:eastAsia="Calibri" w:cs="Calibri"/>
          <w:lang w:eastAsia="en-US"/>
        </w:rPr>
        <w:instrText xml:space="preserve"> REF _Ref151649342 \r \h </w:instrText>
      </w:r>
      <w:r w:rsidR="00A23313" w:rsidRPr="00A23313">
        <w:rPr>
          <w:rFonts w:eastAsia="Calibri" w:cs="Calibri"/>
          <w:lang w:eastAsia="en-US"/>
        </w:rPr>
      </w:r>
      <w:r w:rsidR="00A23313" w:rsidRPr="00A23313">
        <w:rPr>
          <w:rFonts w:eastAsia="Calibri" w:cs="Calibri"/>
          <w:lang w:eastAsia="en-US"/>
        </w:rPr>
        <w:fldChar w:fldCharType="separate"/>
      </w:r>
      <w:r w:rsidR="003F1735">
        <w:rPr>
          <w:rFonts w:eastAsia="Calibri" w:cs="Calibri"/>
          <w:lang w:eastAsia="en-US"/>
        </w:rPr>
        <w:t>6.10</w:t>
      </w:r>
      <w:r w:rsidR="00A23313" w:rsidRPr="00A23313">
        <w:rPr>
          <w:rFonts w:eastAsia="Calibri" w:cs="Calibri"/>
          <w:lang w:eastAsia="en-US"/>
        </w:rPr>
        <w:fldChar w:fldCharType="end"/>
      </w:r>
      <w:r w:rsidR="00A23313" w:rsidRPr="00A23313">
        <w:rPr>
          <w:rFonts w:eastAsia="Calibri" w:cs="Calibri"/>
          <w:lang w:eastAsia="en-US"/>
        </w:rPr>
        <w:t>); subgroup analyses demonstrated a</w:t>
      </w:r>
      <w:r w:rsidR="00A23313" w:rsidRPr="00A23313">
        <w:rPr>
          <w:rFonts w:asciiTheme="minorHAnsi" w:hAnsiTheme="minorHAnsi"/>
          <w:snapToGrid w:val="0"/>
          <w:lang w:val="en-GB"/>
        </w:rPr>
        <w:t xml:space="preserve"> </w:t>
      </w:r>
      <w:r w:rsidR="00A23313" w:rsidRPr="00A23313">
        <w:rPr>
          <w:rFonts w:asciiTheme="minorHAnsi" w:hAnsiTheme="minorHAnsi"/>
          <w:bCs/>
          <w:snapToGrid w:val="0"/>
        </w:rPr>
        <w:t xml:space="preserve">consistent effect of icosapent ethyl across all </w:t>
      </w:r>
      <w:proofErr w:type="spellStart"/>
      <w:r w:rsidR="00A23313" w:rsidRPr="00A23313">
        <w:rPr>
          <w:rFonts w:asciiTheme="minorHAnsi" w:hAnsiTheme="minorHAnsi"/>
          <w:bCs/>
          <w:snapToGrid w:val="0"/>
        </w:rPr>
        <w:t>tertiles</w:t>
      </w:r>
      <w:proofErr w:type="spellEnd"/>
      <w:r w:rsidR="00A23313" w:rsidRPr="00A23313">
        <w:rPr>
          <w:rFonts w:asciiTheme="minorHAnsi" w:hAnsiTheme="minorHAnsi"/>
          <w:bCs/>
          <w:snapToGrid w:val="0"/>
        </w:rPr>
        <w:t xml:space="preserve"> of LDL cholesterol (≤</w:t>
      </w:r>
      <w:r w:rsidR="008A76A6">
        <w:rPr>
          <w:rFonts w:asciiTheme="minorHAnsi" w:hAnsiTheme="minorHAnsi"/>
          <w:bCs/>
          <w:snapToGrid w:val="0"/>
        </w:rPr>
        <w:t> </w:t>
      </w:r>
      <w:r w:rsidR="00A23313" w:rsidRPr="00A23313">
        <w:rPr>
          <w:rFonts w:asciiTheme="minorHAnsi" w:hAnsiTheme="minorHAnsi"/>
          <w:bCs/>
          <w:snapToGrid w:val="0"/>
        </w:rPr>
        <w:t>1.7</w:t>
      </w:r>
      <w:r w:rsidR="008A76A6">
        <w:rPr>
          <w:rFonts w:asciiTheme="minorHAnsi" w:hAnsiTheme="minorHAnsi"/>
          <w:bCs/>
          <w:snapToGrid w:val="0"/>
        </w:rPr>
        <w:t> </w:t>
      </w:r>
      <w:r w:rsidR="00A23313" w:rsidRPr="00A23313">
        <w:rPr>
          <w:rFonts w:asciiTheme="minorHAnsi" w:hAnsiTheme="minorHAnsi"/>
          <w:bCs/>
          <w:snapToGrid w:val="0"/>
        </w:rPr>
        <w:t>mg/dL vs. &gt;</w:t>
      </w:r>
      <w:r w:rsidR="008A76A6">
        <w:rPr>
          <w:rFonts w:asciiTheme="minorHAnsi" w:hAnsiTheme="minorHAnsi"/>
          <w:bCs/>
          <w:snapToGrid w:val="0"/>
        </w:rPr>
        <w:t> </w:t>
      </w:r>
      <w:r w:rsidR="00A23313" w:rsidRPr="00A23313">
        <w:rPr>
          <w:rFonts w:asciiTheme="minorHAnsi" w:hAnsiTheme="minorHAnsi"/>
          <w:bCs/>
          <w:snapToGrid w:val="0"/>
        </w:rPr>
        <w:t>1.7 to ≤</w:t>
      </w:r>
      <w:r w:rsidR="008A76A6">
        <w:rPr>
          <w:rFonts w:asciiTheme="minorHAnsi" w:hAnsiTheme="minorHAnsi"/>
          <w:bCs/>
          <w:snapToGrid w:val="0"/>
        </w:rPr>
        <w:t> </w:t>
      </w:r>
      <w:r w:rsidR="00A23313" w:rsidRPr="00A23313">
        <w:rPr>
          <w:rFonts w:asciiTheme="minorHAnsi" w:hAnsiTheme="minorHAnsi"/>
          <w:bCs/>
          <w:snapToGrid w:val="0"/>
        </w:rPr>
        <w:t>2.2</w:t>
      </w:r>
      <w:r w:rsidR="008A76A6">
        <w:rPr>
          <w:rFonts w:asciiTheme="minorHAnsi" w:hAnsiTheme="minorHAnsi"/>
          <w:bCs/>
          <w:snapToGrid w:val="0"/>
        </w:rPr>
        <w:t> </w:t>
      </w:r>
      <w:r w:rsidR="00A23313" w:rsidRPr="00A23313">
        <w:rPr>
          <w:rFonts w:asciiTheme="minorHAnsi" w:hAnsiTheme="minorHAnsi"/>
          <w:bCs/>
          <w:snapToGrid w:val="0"/>
        </w:rPr>
        <w:t>mg/dL vs. &gt;</w:t>
      </w:r>
      <w:r w:rsidR="008A76A6">
        <w:rPr>
          <w:rFonts w:asciiTheme="minorHAnsi" w:hAnsiTheme="minorHAnsi"/>
          <w:bCs/>
          <w:snapToGrid w:val="0"/>
        </w:rPr>
        <w:t> </w:t>
      </w:r>
      <w:r w:rsidR="00A23313" w:rsidRPr="00A23313">
        <w:rPr>
          <w:rFonts w:asciiTheme="minorHAnsi" w:hAnsiTheme="minorHAnsi"/>
          <w:bCs/>
          <w:snapToGrid w:val="0"/>
        </w:rPr>
        <w:t>2.2</w:t>
      </w:r>
      <w:r w:rsidR="008A76A6">
        <w:rPr>
          <w:rFonts w:asciiTheme="minorHAnsi" w:hAnsiTheme="minorHAnsi"/>
          <w:bCs/>
          <w:snapToGrid w:val="0"/>
        </w:rPr>
        <w:t> </w:t>
      </w:r>
      <w:r w:rsidR="00A23313" w:rsidRPr="00A23313">
        <w:rPr>
          <w:rFonts w:asciiTheme="minorHAnsi" w:hAnsiTheme="minorHAnsi"/>
          <w:bCs/>
          <w:snapToGrid w:val="0"/>
        </w:rPr>
        <w:t xml:space="preserve">mg/dL; interaction p=0.1645) (see paragraph </w:t>
      </w:r>
      <w:r w:rsidR="00A23313" w:rsidRPr="00A23313">
        <w:rPr>
          <w:rFonts w:asciiTheme="minorHAnsi" w:hAnsiTheme="minorHAnsi"/>
          <w:bCs/>
          <w:snapToGrid w:val="0"/>
        </w:rPr>
        <w:fldChar w:fldCharType="begin" w:fldLock="1"/>
      </w:r>
      <w:r w:rsidR="00A23313" w:rsidRPr="00A23313">
        <w:rPr>
          <w:rFonts w:asciiTheme="minorHAnsi" w:hAnsiTheme="minorHAnsi"/>
          <w:bCs/>
          <w:snapToGrid w:val="0"/>
        </w:rPr>
        <w:instrText xml:space="preserve"> REF _Ref151649412 \r \h </w:instrText>
      </w:r>
      <w:r w:rsidR="00A23313" w:rsidRPr="00A23313">
        <w:rPr>
          <w:rFonts w:asciiTheme="minorHAnsi" w:hAnsiTheme="minorHAnsi"/>
          <w:bCs/>
          <w:snapToGrid w:val="0"/>
        </w:rPr>
      </w:r>
      <w:r w:rsidR="00A23313" w:rsidRPr="00A23313">
        <w:rPr>
          <w:rFonts w:asciiTheme="minorHAnsi" w:hAnsiTheme="minorHAnsi"/>
          <w:bCs/>
          <w:snapToGrid w:val="0"/>
        </w:rPr>
        <w:fldChar w:fldCharType="separate"/>
      </w:r>
      <w:r w:rsidR="003F1735">
        <w:rPr>
          <w:rFonts w:asciiTheme="minorHAnsi" w:hAnsiTheme="minorHAnsi"/>
          <w:bCs/>
          <w:snapToGrid w:val="0"/>
        </w:rPr>
        <w:t>6.11</w:t>
      </w:r>
      <w:r w:rsidR="00A23313" w:rsidRPr="00A23313">
        <w:rPr>
          <w:rFonts w:asciiTheme="minorHAnsi" w:hAnsiTheme="minorHAnsi"/>
          <w:bCs/>
          <w:snapToGrid w:val="0"/>
        </w:rPr>
        <w:fldChar w:fldCharType="end"/>
      </w:r>
      <w:r w:rsidR="00A23313" w:rsidRPr="00A23313">
        <w:rPr>
          <w:rFonts w:asciiTheme="minorHAnsi" w:hAnsiTheme="minorHAnsi"/>
          <w:bCs/>
          <w:snapToGrid w:val="0"/>
        </w:rPr>
        <w:t>)</w:t>
      </w:r>
      <w:r w:rsidR="00A23313" w:rsidRPr="00A23313">
        <w:rPr>
          <w:rFonts w:asciiTheme="minorHAnsi" w:hAnsiTheme="minorHAnsi"/>
          <w:snapToGrid w:val="0"/>
          <w:lang w:val="en-GB"/>
        </w:rPr>
        <w:t xml:space="preserve">. </w:t>
      </w:r>
      <w:r w:rsidR="00541173">
        <w:rPr>
          <w:rFonts w:asciiTheme="minorHAnsi" w:hAnsiTheme="minorHAnsi"/>
          <w:snapToGrid w:val="0"/>
          <w:lang w:val="en-GB"/>
        </w:rPr>
        <w:t xml:space="preserve">However, the PBAC considered that the continuing restriction should state that patients must remain on statin therapy whilst receiving icosapent ethyl. </w:t>
      </w:r>
      <w:r w:rsidR="00A23313" w:rsidRPr="00A23313">
        <w:rPr>
          <w:rFonts w:asciiTheme="minorHAnsi" w:hAnsiTheme="minorHAnsi"/>
          <w:snapToGrid w:val="0"/>
          <w:lang w:val="en-GB"/>
        </w:rPr>
        <w:t>The restriction should align with the clinical trial which required patients be o</w:t>
      </w:r>
      <w:r w:rsidR="00A23313" w:rsidRPr="00A23313">
        <w:rPr>
          <w:lang w:val="en-US"/>
        </w:rPr>
        <w:t xml:space="preserve">n stable therapy with a statin (with or without ezetimibe). </w:t>
      </w:r>
      <w:r w:rsidR="009034EA" w:rsidRPr="00A23313">
        <w:rPr>
          <w:rFonts w:asciiTheme="minorHAnsi" w:hAnsiTheme="minorHAnsi"/>
          <w:snapToGrid w:val="0"/>
          <w:lang w:val="en-GB"/>
        </w:rPr>
        <w:t>The PBAC advised that the other revisions outlined in Section 3 would also be required.</w:t>
      </w:r>
    </w:p>
    <w:p w14:paraId="3D386800" w14:textId="694234B4" w:rsidR="009034EA" w:rsidRDefault="00E211D2" w:rsidP="009034EA">
      <w:pPr>
        <w:widowControl w:val="0"/>
        <w:numPr>
          <w:ilvl w:val="1"/>
          <w:numId w:val="1"/>
        </w:numPr>
        <w:spacing w:after="120"/>
        <w:ind w:left="720" w:hanging="720"/>
        <w:rPr>
          <w:rFonts w:asciiTheme="minorHAnsi" w:hAnsiTheme="minorHAnsi"/>
          <w:snapToGrid w:val="0"/>
          <w:lang w:val="en-GB"/>
        </w:rPr>
      </w:pPr>
      <w:r w:rsidRPr="009034EA">
        <w:rPr>
          <w:rFonts w:asciiTheme="minorHAnsi" w:hAnsiTheme="minorHAnsi"/>
          <w:snapToGrid w:val="0"/>
          <w:lang w:val="en-GB"/>
        </w:rPr>
        <w:t xml:space="preserve">The PBAC considered the outstanding issues could be resolved in a simple resubmission for </w:t>
      </w:r>
      <w:r w:rsidR="009034EA">
        <w:rPr>
          <w:rFonts w:asciiTheme="minorHAnsi" w:hAnsiTheme="minorHAnsi"/>
          <w:snapToGrid w:val="0"/>
          <w:lang w:val="en-GB"/>
        </w:rPr>
        <w:t xml:space="preserve">icosapent ethyl </w:t>
      </w:r>
      <w:r w:rsidRPr="009034EA">
        <w:rPr>
          <w:rFonts w:asciiTheme="minorHAnsi" w:hAnsiTheme="minorHAnsi"/>
          <w:snapToGrid w:val="0"/>
          <w:lang w:val="en-GB"/>
        </w:rPr>
        <w:t xml:space="preserve">using the early re-entry pathway. If the sponsor accepts this pathway, the following changes </w:t>
      </w:r>
      <w:r w:rsidR="009034EA">
        <w:rPr>
          <w:rFonts w:asciiTheme="minorHAnsi" w:hAnsiTheme="minorHAnsi"/>
          <w:snapToGrid w:val="0"/>
          <w:lang w:val="en-GB"/>
        </w:rPr>
        <w:t xml:space="preserve">would </w:t>
      </w:r>
      <w:r w:rsidR="00BC654C">
        <w:rPr>
          <w:rFonts w:asciiTheme="minorHAnsi" w:hAnsiTheme="minorHAnsi"/>
          <w:snapToGrid w:val="0"/>
          <w:lang w:val="en-GB"/>
        </w:rPr>
        <w:t xml:space="preserve">all </w:t>
      </w:r>
      <w:r w:rsidR="009034EA">
        <w:rPr>
          <w:rFonts w:asciiTheme="minorHAnsi" w:hAnsiTheme="minorHAnsi"/>
          <w:snapToGrid w:val="0"/>
          <w:lang w:val="en-GB"/>
        </w:rPr>
        <w:t>be required to</w:t>
      </w:r>
      <w:r w:rsidR="009034EA" w:rsidRPr="009034EA">
        <w:rPr>
          <w:rFonts w:asciiTheme="minorHAnsi" w:hAnsiTheme="minorHAnsi"/>
          <w:snapToGrid w:val="0"/>
          <w:lang w:val="en-GB"/>
        </w:rPr>
        <w:t xml:space="preserve"> </w:t>
      </w:r>
      <w:r w:rsidRPr="009034EA">
        <w:rPr>
          <w:rFonts w:asciiTheme="minorHAnsi" w:hAnsiTheme="minorHAnsi"/>
          <w:snapToGrid w:val="0"/>
          <w:lang w:val="en-GB"/>
        </w:rPr>
        <w:t>address these outstanding issues without requiring further re-evaluation</w:t>
      </w:r>
      <w:r w:rsidR="009034EA">
        <w:rPr>
          <w:rFonts w:asciiTheme="minorHAnsi" w:hAnsiTheme="minorHAnsi"/>
          <w:snapToGrid w:val="0"/>
          <w:lang w:val="en-GB"/>
        </w:rPr>
        <w:t>:</w:t>
      </w:r>
    </w:p>
    <w:p w14:paraId="4074596C" w14:textId="726B14B6" w:rsidR="009034EA" w:rsidRDefault="009034EA" w:rsidP="00980A59">
      <w:pPr>
        <w:pStyle w:val="COMexecsumnumberedpara"/>
        <w:numPr>
          <w:ilvl w:val="1"/>
          <w:numId w:val="11"/>
        </w:numPr>
        <w:ind w:left="1080"/>
        <w:rPr>
          <w:lang w:val="en-GB"/>
        </w:rPr>
      </w:pPr>
      <w:r>
        <w:rPr>
          <w:lang w:val="en-GB"/>
        </w:rPr>
        <w:t xml:space="preserve">Revisions to the economic model as outlined in paragraphs </w:t>
      </w:r>
      <w:r>
        <w:rPr>
          <w:lang w:val="en-GB"/>
        </w:rPr>
        <w:fldChar w:fldCharType="begin" w:fldLock="1"/>
      </w:r>
      <w:r>
        <w:rPr>
          <w:lang w:val="en-GB"/>
        </w:rPr>
        <w:instrText xml:space="preserve"> REF _Ref151032857 \r \h </w:instrText>
      </w:r>
      <w:r>
        <w:rPr>
          <w:lang w:val="en-GB"/>
        </w:rPr>
      </w:r>
      <w:r>
        <w:rPr>
          <w:lang w:val="en-GB"/>
        </w:rPr>
        <w:fldChar w:fldCharType="separate"/>
      </w:r>
      <w:r w:rsidR="003F1735">
        <w:rPr>
          <w:lang w:val="en-GB"/>
        </w:rPr>
        <w:t>7.12</w:t>
      </w:r>
      <w:r>
        <w:rPr>
          <w:lang w:val="en-GB"/>
        </w:rPr>
        <w:fldChar w:fldCharType="end"/>
      </w:r>
      <w:r>
        <w:rPr>
          <w:lang w:val="en-GB"/>
        </w:rPr>
        <w:t xml:space="preserve"> and </w:t>
      </w:r>
      <w:r>
        <w:rPr>
          <w:lang w:val="en-GB"/>
        </w:rPr>
        <w:fldChar w:fldCharType="begin" w:fldLock="1"/>
      </w:r>
      <w:r>
        <w:rPr>
          <w:lang w:val="en-GB"/>
        </w:rPr>
        <w:instrText xml:space="preserve"> REF _Ref151032865 \r \h </w:instrText>
      </w:r>
      <w:r>
        <w:rPr>
          <w:lang w:val="en-GB"/>
        </w:rPr>
      </w:r>
      <w:r>
        <w:rPr>
          <w:lang w:val="en-GB"/>
        </w:rPr>
        <w:fldChar w:fldCharType="separate"/>
      </w:r>
      <w:r w:rsidR="003F1735">
        <w:rPr>
          <w:lang w:val="en-GB"/>
        </w:rPr>
        <w:t>7.13</w:t>
      </w:r>
      <w:r>
        <w:rPr>
          <w:lang w:val="en-GB"/>
        </w:rPr>
        <w:fldChar w:fldCharType="end"/>
      </w:r>
      <w:r>
        <w:rPr>
          <w:lang w:val="en-GB"/>
        </w:rPr>
        <w:t>;</w:t>
      </w:r>
    </w:p>
    <w:p w14:paraId="4A9753BC" w14:textId="427F62EA" w:rsidR="009034EA" w:rsidRDefault="009034EA" w:rsidP="00980A59">
      <w:pPr>
        <w:pStyle w:val="COMexecsumnumberedpara"/>
        <w:numPr>
          <w:ilvl w:val="1"/>
          <w:numId w:val="11"/>
        </w:numPr>
        <w:ind w:left="1080"/>
        <w:rPr>
          <w:lang w:val="en-GB"/>
        </w:rPr>
      </w:pPr>
      <w:r>
        <w:rPr>
          <w:lang w:val="en-GB"/>
        </w:rPr>
        <w:t xml:space="preserve">Revision to the utilisation and financial impact estimates as outlined in paragraph </w:t>
      </w:r>
      <w:r>
        <w:rPr>
          <w:lang w:val="en-GB"/>
        </w:rPr>
        <w:fldChar w:fldCharType="begin" w:fldLock="1"/>
      </w:r>
      <w:r>
        <w:rPr>
          <w:lang w:val="en-GB"/>
        </w:rPr>
        <w:instrText xml:space="preserve"> REF _Ref151032974 \r \h </w:instrText>
      </w:r>
      <w:r>
        <w:rPr>
          <w:lang w:val="en-GB"/>
        </w:rPr>
      </w:r>
      <w:r>
        <w:rPr>
          <w:lang w:val="en-GB"/>
        </w:rPr>
        <w:fldChar w:fldCharType="separate"/>
      </w:r>
      <w:r w:rsidR="003F1735">
        <w:rPr>
          <w:lang w:val="en-GB"/>
        </w:rPr>
        <w:t>7.14</w:t>
      </w:r>
      <w:r>
        <w:rPr>
          <w:lang w:val="en-GB"/>
        </w:rPr>
        <w:fldChar w:fldCharType="end"/>
      </w:r>
      <w:r>
        <w:rPr>
          <w:lang w:val="en-GB"/>
        </w:rPr>
        <w:t>;</w:t>
      </w:r>
    </w:p>
    <w:p w14:paraId="2A74226C" w14:textId="7647FAAB" w:rsidR="009034EA" w:rsidRDefault="009034EA" w:rsidP="00980A59">
      <w:pPr>
        <w:pStyle w:val="COMexecsumnumberedpara"/>
        <w:numPr>
          <w:ilvl w:val="1"/>
          <w:numId w:val="11"/>
        </w:numPr>
        <w:ind w:left="1080"/>
        <w:rPr>
          <w:lang w:val="en-GB"/>
        </w:rPr>
      </w:pPr>
      <w:r>
        <w:rPr>
          <w:lang w:val="en-GB"/>
        </w:rPr>
        <w:t xml:space="preserve">Present a RSA as per paragraph </w:t>
      </w:r>
      <w:r>
        <w:rPr>
          <w:lang w:val="en-GB"/>
        </w:rPr>
        <w:fldChar w:fldCharType="begin" w:fldLock="1"/>
      </w:r>
      <w:r>
        <w:rPr>
          <w:lang w:val="en-GB"/>
        </w:rPr>
        <w:instrText xml:space="preserve"> REF _Ref151033014 \r \h </w:instrText>
      </w:r>
      <w:r>
        <w:rPr>
          <w:lang w:val="en-GB"/>
        </w:rPr>
      </w:r>
      <w:r>
        <w:rPr>
          <w:lang w:val="en-GB"/>
        </w:rPr>
        <w:fldChar w:fldCharType="separate"/>
      </w:r>
      <w:r w:rsidR="003F1735">
        <w:rPr>
          <w:lang w:val="en-GB"/>
        </w:rPr>
        <w:t>7.15</w:t>
      </w:r>
      <w:r>
        <w:rPr>
          <w:lang w:val="en-GB"/>
        </w:rPr>
        <w:fldChar w:fldCharType="end"/>
      </w:r>
      <w:r>
        <w:rPr>
          <w:lang w:val="en-GB"/>
        </w:rPr>
        <w:t xml:space="preserve">; and </w:t>
      </w:r>
    </w:p>
    <w:p w14:paraId="44595BE1" w14:textId="389B327E" w:rsidR="009034EA" w:rsidRPr="009034EA" w:rsidRDefault="001E29F2" w:rsidP="00980A59">
      <w:pPr>
        <w:pStyle w:val="COMexecsumnumberedpara"/>
        <w:numPr>
          <w:ilvl w:val="1"/>
          <w:numId w:val="11"/>
        </w:numPr>
        <w:ind w:left="1080"/>
        <w:rPr>
          <w:lang w:val="en-GB"/>
        </w:rPr>
      </w:pPr>
      <w:r>
        <w:rPr>
          <w:lang w:val="en-GB"/>
        </w:rPr>
        <w:t>A r</w:t>
      </w:r>
      <w:r w:rsidR="009034EA">
        <w:rPr>
          <w:lang w:val="en-GB"/>
        </w:rPr>
        <w:t xml:space="preserve">evised restriction as per paragraph </w:t>
      </w:r>
      <w:r w:rsidR="009034EA">
        <w:rPr>
          <w:lang w:val="en-GB"/>
        </w:rPr>
        <w:fldChar w:fldCharType="begin" w:fldLock="1"/>
      </w:r>
      <w:r w:rsidR="009034EA">
        <w:rPr>
          <w:lang w:val="en-GB"/>
        </w:rPr>
        <w:instrText xml:space="preserve"> REF _Ref151033052 \r \h </w:instrText>
      </w:r>
      <w:r w:rsidR="009034EA">
        <w:rPr>
          <w:lang w:val="en-GB"/>
        </w:rPr>
      </w:r>
      <w:r w:rsidR="009034EA">
        <w:rPr>
          <w:lang w:val="en-GB"/>
        </w:rPr>
        <w:fldChar w:fldCharType="separate"/>
      </w:r>
      <w:r w:rsidR="003F1735">
        <w:rPr>
          <w:lang w:val="en-GB"/>
        </w:rPr>
        <w:t>7.16</w:t>
      </w:r>
      <w:r w:rsidR="009034EA">
        <w:rPr>
          <w:lang w:val="en-GB"/>
        </w:rPr>
        <w:fldChar w:fldCharType="end"/>
      </w:r>
      <w:r w:rsidR="009034EA">
        <w:rPr>
          <w:lang w:val="en-GB"/>
        </w:rPr>
        <w:t>.</w:t>
      </w:r>
    </w:p>
    <w:p w14:paraId="3326ADFE" w14:textId="1527AC3A" w:rsidR="009034EA" w:rsidRDefault="009034EA" w:rsidP="009034EA">
      <w:pPr>
        <w:widowControl w:val="0"/>
        <w:spacing w:after="120"/>
        <w:ind w:left="720"/>
        <w:rPr>
          <w:rFonts w:asciiTheme="minorHAnsi" w:hAnsiTheme="minorHAnsi"/>
          <w:snapToGrid w:val="0"/>
          <w:lang w:val="en-GB"/>
        </w:rPr>
      </w:pPr>
      <w:r w:rsidRPr="00783D74">
        <w:rPr>
          <w:rFonts w:asciiTheme="minorHAnsi" w:hAnsiTheme="minorHAnsi"/>
          <w:snapToGrid w:val="0"/>
          <w:lang w:val="en-GB"/>
        </w:rPr>
        <w:t xml:space="preserve">The early re-entry resubmission must be lodged by week 7 of the current PBAC cycle or the next cycle. If </w:t>
      </w:r>
      <w:r w:rsidR="00EC456E">
        <w:rPr>
          <w:rFonts w:asciiTheme="minorHAnsi" w:hAnsiTheme="minorHAnsi"/>
          <w:snapToGrid w:val="0"/>
          <w:lang w:val="en-GB"/>
        </w:rPr>
        <w:t xml:space="preserve">the sponsor cannot address the issues </w:t>
      </w:r>
      <w:r>
        <w:rPr>
          <w:rFonts w:asciiTheme="minorHAnsi" w:hAnsiTheme="minorHAnsi"/>
          <w:snapToGrid w:val="0"/>
          <w:lang w:val="en-GB"/>
        </w:rPr>
        <w:t xml:space="preserve">as outlined above </w:t>
      </w:r>
      <w:r w:rsidRPr="00783D74">
        <w:rPr>
          <w:rFonts w:asciiTheme="minorHAnsi" w:hAnsiTheme="minorHAnsi"/>
          <w:snapToGrid w:val="0"/>
          <w:lang w:val="en-GB"/>
        </w:rPr>
        <w:t>in a simple resubmission and the early re-entry timing is not acceptable, a standard re-entry pathway is available.</w:t>
      </w:r>
    </w:p>
    <w:p w14:paraId="1A9094C0" w14:textId="1B418FDA" w:rsidR="009034EA" w:rsidRPr="009034EA" w:rsidRDefault="009034EA" w:rsidP="009034EA">
      <w:pPr>
        <w:widowControl w:val="0"/>
        <w:numPr>
          <w:ilvl w:val="1"/>
          <w:numId w:val="1"/>
        </w:numPr>
        <w:spacing w:after="120"/>
        <w:ind w:left="720" w:hanging="720"/>
        <w:rPr>
          <w:rFonts w:asciiTheme="minorHAnsi" w:hAnsiTheme="minorHAnsi"/>
          <w:snapToGrid w:val="0"/>
          <w:lang w:val="en-GB"/>
        </w:rPr>
      </w:pPr>
      <w:r w:rsidRPr="009034EA">
        <w:rPr>
          <w:snapToGrid w:val="0"/>
          <w:lang w:val="en-GB"/>
        </w:rPr>
        <w:t xml:space="preserve">The PBAC noted that this submission is eligible for an Independent Review. </w:t>
      </w:r>
    </w:p>
    <w:p w14:paraId="21896617" w14:textId="77777777" w:rsidR="00E211D2" w:rsidRPr="00525B39" w:rsidRDefault="00E211D2" w:rsidP="00E211D2">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382A5E48" w14:textId="672AEBF4" w:rsidR="00980A59" w:rsidRDefault="00E211D2" w:rsidP="00E211D2">
      <w:pPr>
        <w:rPr>
          <w:rFonts w:asciiTheme="minorHAnsi" w:hAnsiTheme="minorHAnsi"/>
          <w:bCs/>
          <w:snapToGrid w:val="0"/>
          <w:lang w:val="en-GB"/>
        </w:rPr>
      </w:pPr>
      <w:r>
        <w:rPr>
          <w:rFonts w:asciiTheme="minorHAnsi" w:hAnsiTheme="minorHAnsi"/>
          <w:bCs/>
          <w:snapToGrid w:val="0"/>
          <w:lang w:val="en-GB"/>
        </w:rPr>
        <w:t>Not recommended</w:t>
      </w:r>
      <w:r w:rsidRPr="00525B39">
        <w:rPr>
          <w:rFonts w:asciiTheme="minorHAnsi" w:hAnsiTheme="minorHAnsi"/>
          <w:bCs/>
          <w:snapToGrid w:val="0"/>
          <w:lang w:val="en-GB"/>
        </w:rPr>
        <w:t xml:space="preserve"> </w:t>
      </w:r>
    </w:p>
    <w:p w14:paraId="2BF7BF65" w14:textId="7EA52401" w:rsidR="00980A59" w:rsidRPr="00980A59" w:rsidRDefault="00980A59" w:rsidP="00980A59">
      <w:pPr>
        <w:pStyle w:val="COMH1numbered"/>
      </w:pPr>
      <w:r w:rsidRPr="00C07617">
        <w:t>Context for Decision</w:t>
      </w:r>
    </w:p>
    <w:p w14:paraId="5A765A5C" w14:textId="77777777" w:rsidR="00980A59" w:rsidRPr="00311EEF" w:rsidRDefault="00980A59" w:rsidP="00980A59">
      <w:pPr>
        <w:spacing w:after="120"/>
        <w:ind w:left="720"/>
        <w:rPr>
          <w:rFonts w:asciiTheme="minorHAnsi" w:hAnsiTheme="minorHAnsi"/>
          <w:bCs/>
          <w:lang w:val="en-GB"/>
        </w:rPr>
      </w:pPr>
      <w:r w:rsidRPr="00311EEF">
        <w:rPr>
          <w:rFonts w:asciiTheme="minorHAnsi" w:hAnsiTheme="minorHAnsi"/>
          <w:bCs/>
          <w:lang w:val="en-GB"/>
        </w:rPr>
        <w:t xml:space="preserve">The PBAC helps decide whether and, if so, how medicines should be subsidised through the Pharmaceutical Benefits Scheme (PBS) in Australia. It considers </w:t>
      </w:r>
      <w:r w:rsidRPr="00311EEF">
        <w:rPr>
          <w:rFonts w:asciiTheme="minorHAnsi" w:hAnsiTheme="minorHAnsi"/>
          <w:bCs/>
          <w:lang w:val="en-GB"/>
        </w:rPr>
        <w:lastRenderedPageBreak/>
        <w:t>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9755F01" w14:textId="2E454A62" w:rsidR="00980A59" w:rsidRPr="00311EEF" w:rsidRDefault="00980A59" w:rsidP="00980A59">
      <w:pPr>
        <w:pStyle w:val="COMH1numbered"/>
      </w:pPr>
      <w:r w:rsidRPr="00311EEF">
        <w:t>Sponsor’s Comment</w:t>
      </w:r>
    </w:p>
    <w:p w14:paraId="344F3ECD" w14:textId="39F8EA00" w:rsidR="00980A59" w:rsidRPr="00E34A20" w:rsidRDefault="00623219" w:rsidP="00E34A20">
      <w:pPr>
        <w:spacing w:after="120"/>
        <w:ind w:left="720"/>
        <w:rPr>
          <w:rFonts w:asciiTheme="minorHAnsi" w:hAnsiTheme="minorHAnsi"/>
          <w:bCs/>
          <w:lang w:val="en-GB"/>
        </w:rPr>
      </w:pPr>
      <w:r w:rsidRPr="00121ECC">
        <w:rPr>
          <w:rFonts w:asciiTheme="minorHAnsi" w:hAnsiTheme="minorHAnsi"/>
          <w:bCs/>
          <w:lang w:val="en-GB"/>
        </w:rPr>
        <w:t>CSL Seqirus is disappointed by this decision, however we will work with the PBAC to ensure timely access for patients with</w:t>
      </w:r>
      <w:r>
        <w:rPr>
          <w:rFonts w:asciiTheme="minorHAnsi" w:hAnsiTheme="minorHAnsi"/>
          <w:bCs/>
          <w:lang w:val="en-GB"/>
        </w:rPr>
        <w:t xml:space="preserve"> elevated triglycerides and</w:t>
      </w:r>
      <w:r w:rsidRPr="00121ECC">
        <w:rPr>
          <w:rFonts w:asciiTheme="minorHAnsi" w:hAnsiTheme="minorHAnsi"/>
          <w:bCs/>
          <w:lang w:val="en-GB"/>
        </w:rPr>
        <w:t xml:space="preserve"> </w:t>
      </w:r>
      <w:r w:rsidRPr="00020358">
        <w:rPr>
          <w:rFonts w:cstheme="minorHAnsi"/>
          <w:iCs/>
        </w:rPr>
        <w:t>atherosclerotic cardiovascular disease (ASCVD) to reduce the risk of further CV outcomes.</w:t>
      </w:r>
      <w:r w:rsidR="004671F3">
        <w:rPr>
          <w:rFonts w:cstheme="minorHAnsi"/>
          <w:iCs/>
        </w:rPr>
        <w:t xml:space="preserve"> </w:t>
      </w:r>
      <w:bookmarkEnd w:id="78"/>
      <w:bookmarkEnd w:id="79"/>
    </w:p>
    <w:sectPr w:rsidR="00980A59" w:rsidRPr="00E34A20" w:rsidSect="00835F52">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36C95" w14:textId="77777777" w:rsidR="00F1747D" w:rsidRDefault="00F1747D" w:rsidP="00124A51">
      <w:r>
        <w:separator/>
      </w:r>
    </w:p>
    <w:p w14:paraId="098964E0" w14:textId="77777777" w:rsidR="00F1747D" w:rsidRDefault="00F1747D"/>
    <w:p w14:paraId="76EFA98F" w14:textId="77777777" w:rsidR="00F1747D" w:rsidRDefault="00F1747D"/>
  </w:endnote>
  <w:endnote w:type="continuationSeparator" w:id="0">
    <w:p w14:paraId="77C8BFBA" w14:textId="77777777" w:rsidR="00F1747D" w:rsidRDefault="00F1747D" w:rsidP="00124A51">
      <w:r>
        <w:continuationSeparator/>
      </w:r>
    </w:p>
    <w:p w14:paraId="6B7044F1" w14:textId="77777777" w:rsidR="00F1747D" w:rsidRDefault="00F1747D"/>
    <w:p w14:paraId="4D11D3DA" w14:textId="77777777" w:rsidR="00F1747D" w:rsidRDefault="00F174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8B14F" w14:textId="77777777" w:rsidR="00E34A20" w:rsidRDefault="00E34A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67DAD566" w:rsidR="00D843F2" w:rsidRDefault="00D843F2" w:rsidP="00753B29">
    <w:pPr>
      <w:jc w:val="center"/>
    </w:pPr>
  </w:p>
  <w:p w14:paraId="37484CD3" w14:textId="2814A2B1" w:rsidR="00D843F2" w:rsidRPr="00E211D2" w:rsidRDefault="008A76A6" w:rsidP="00753B29">
    <w:pPr>
      <w:jc w:val="center"/>
      <w:rPr>
        <w:b/>
        <w:bCs/>
      </w:rPr>
    </w:pPr>
    <w:sdt>
      <w:sdtPr>
        <w:id w:val="1036156457"/>
        <w:docPartObj>
          <w:docPartGallery w:val="Page Numbers (Bottom of Page)"/>
          <w:docPartUnique/>
        </w:docPartObj>
      </w:sdtPr>
      <w:sdtEndPr>
        <w:rPr>
          <w:b/>
          <w:bCs/>
          <w:noProof/>
        </w:rPr>
      </w:sdtEndPr>
      <w:sdtContent>
        <w:r w:rsidR="00D843F2" w:rsidRPr="00E211D2">
          <w:rPr>
            <w:b/>
            <w:bCs/>
          </w:rPr>
          <w:fldChar w:fldCharType="begin"/>
        </w:r>
        <w:r w:rsidR="00D843F2" w:rsidRPr="00E211D2">
          <w:rPr>
            <w:b/>
            <w:bCs/>
          </w:rPr>
          <w:instrText xml:space="preserve"> PAGE   \* MERGEFORMAT </w:instrText>
        </w:r>
        <w:r w:rsidR="00D843F2" w:rsidRPr="00E211D2">
          <w:rPr>
            <w:b/>
            <w:bCs/>
          </w:rPr>
          <w:fldChar w:fldCharType="separate"/>
        </w:r>
        <w:r w:rsidR="00D843F2" w:rsidRPr="00E211D2">
          <w:rPr>
            <w:b/>
            <w:bCs/>
            <w:noProof/>
          </w:rPr>
          <w:t>2</w:t>
        </w:r>
        <w:r w:rsidR="00D843F2" w:rsidRPr="00E211D2">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86174" w14:textId="77777777" w:rsidR="00E34A20" w:rsidRDefault="00E34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C6506" w14:textId="77777777" w:rsidR="00F1747D" w:rsidRDefault="00F1747D" w:rsidP="00124A51">
      <w:r>
        <w:separator/>
      </w:r>
    </w:p>
    <w:p w14:paraId="256C6688" w14:textId="77777777" w:rsidR="00F1747D" w:rsidRDefault="00F1747D"/>
    <w:p w14:paraId="4AA63098" w14:textId="77777777" w:rsidR="00F1747D" w:rsidRDefault="00F1747D"/>
  </w:footnote>
  <w:footnote w:type="continuationSeparator" w:id="0">
    <w:p w14:paraId="5EFA7C4F" w14:textId="77777777" w:rsidR="00F1747D" w:rsidRDefault="00F1747D" w:rsidP="00124A51">
      <w:r>
        <w:continuationSeparator/>
      </w:r>
    </w:p>
    <w:p w14:paraId="4A7FCF1F" w14:textId="77777777" w:rsidR="00F1747D" w:rsidRDefault="00F1747D"/>
    <w:p w14:paraId="2439ABBC" w14:textId="77777777" w:rsidR="00F1747D" w:rsidRDefault="00F1747D"/>
  </w:footnote>
  <w:footnote w:id="1">
    <w:p w14:paraId="03252BBF" w14:textId="6662B497" w:rsidR="00F60C8D" w:rsidRPr="00F60C8D" w:rsidRDefault="00F60C8D">
      <w:pPr>
        <w:pStyle w:val="FootnoteText"/>
        <w:rPr>
          <w:rFonts w:asciiTheme="minorHAnsi" w:hAnsiTheme="minorHAnsi" w:cstheme="minorHAnsi"/>
        </w:rPr>
      </w:pPr>
      <w:r>
        <w:rPr>
          <w:rStyle w:val="FootnoteReference"/>
        </w:rPr>
        <w:footnoteRef/>
      </w:r>
      <w:r>
        <w:t xml:space="preserve"> </w:t>
      </w:r>
      <w:r w:rsidRPr="00F60C8D">
        <w:rPr>
          <w:rStyle w:val="Emphasis"/>
          <w:rFonts w:asciiTheme="minorHAnsi" w:hAnsiTheme="minorHAnsi" w:cstheme="minorHAnsi"/>
          <w:color w:val="2A2A2A"/>
          <w:bdr w:val="none" w:sz="0" w:space="0" w:color="auto" w:frame="1"/>
          <w:shd w:val="clear" w:color="auto" w:fill="FFFFFF"/>
        </w:rPr>
        <w:t>European Heart Journal</w:t>
      </w:r>
      <w:r w:rsidRPr="00F60C8D">
        <w:rPr>
          <w:rFonts w:asciiTheme="minorHAnsi" w:hAnsiTheme="minorHAnsi" w:cstheme="minorHAnsi"/>
          <w:color w:val="2A2A2A"/>
          <w:shd w:val="clear" w:color="auto" w:fill="FFFFFF"/>
        </w:rPr>
        <w:t>, Volume 42, Issue 34, 7 September 2021, Pages 3227–3337, </w:t>
      </w:r>
      <w:hyperlink r:id="rId1" w:history="1">
        <w:r w:rsidRPr="00F60C8D">
          <w:rPr>
            <w:rStyle w:val="Hyperlink"/>
            <w:rFonts w:asciiTheme="minorHAnsi" w:hAnsiTheme="minorHAnsi" w:cstheme="minorHAnsi"/>
            <w:color w:val="006FB7"/>
            <w:bdr w:val="none" w:sz="0" w:space="0" w:color="auto" w:frame="1"/>
            <w:shd w:val="clear" w:color="auto" w:fill="FFFFFF"/>
          </w:rPr>
          <w:t>https://doi.org/10.1093/eurheartj/ehab484</w:t>
        </w:r>
      </w:hyperlink>
    </w:p>
  </w:footnote>
  <w:footnote w:id="2">
    <w:p w14:paraId="1605A222" w14:textId="7F8FD941" w:rsidR="00F60C8D" w:rsidRDefault="00F60C8D">
      <w:pPr>
        <w:pStyle w:val="FootnoteText"/>
      </w:pPr>
      <w:r>
        <w:rPr>
          <w:rStyle w:val="FootnoteReference"/>
        </w:rPr>
        <w:footnoteRef/>
      </w:r>
      <w:r>
        <w:t xml:space="preserve"> Virani SS, Newby LK, Arnold SV, et al. 2023 AHA/ACC/ACCP/ASPC/NLA/PCNA guideline for the management of patients with chronic coronary disease: a report of the American Heart Association/American College of Cardiology Joint Committee on Clinical Practice Guidelines. Circulation. 2023;148:e9–e119. doi: 10.1161/CIR.0000000000001168</w:t>
      </w:r>
    </w:p>
  </w:footnote>
  <w:footnote w:id="3">
    <w:p w14:paraId="2495F25E" w14:textId="3A03CDF7" w:rsidR="00541173" w:rsidRDefault="00541173">
      <w:pPr>
        <w:pStyle w:val="FootnoteText"/>
      </w:pPr>
      <w:r>
        <w:rPr>
          <w:rStyle w:val="FootnoteReference"/>
        </w:rPr>
        <w:footnoteRef/>
      </w:r>
      <w:r>
        <w:t xml:space="preserve"> European Medicines Agency. Meeting highlights from the Pharmacovigilance Risk Assessment Committee (PRAC) 25-28 September 2023: New safety information for Omega-3-acid ethyl esters. Available at: </w:t>
      </w:r>
      <w:r w:rsidRPr="00541173">
        <w:t>https://www.ema.europa.eu/en/news/meeting-highlights-pharmacovigilance-risk-assessment-committee-prac-25-28-september-2023</w:t>
      </w:r>
    </w:p>
  </w:footnote>
  <w:footnote w:id="4">
    <w:p w14:paraId="468F1907" w14:textId="603D05F7" w:rsidR="001518B9" w:rsidRDefault="001518B9">
      <w:pPr>
        <w:pStyle w:val="FootnoteText"/>
      </w:pPr>
      <w:r>
        <w:rPr>
          <w:rStyle w:val="FootnoteReference"/>
        </w:rPr>
        <w:footnoteRef/>
      </w:r>
      <w:r>
        <w:t xml:space="preserve"> Ademi Z, Ofori-Asenso R, Liew D, et al. The cost-effectiveness of i</w:t>
      </w:r>
      <w:r w:rsidR="00760A2B">
        <w:t>c</w:t>
      </w:r>
      <w:r>
        <w:t>o</w:t>
      </w:r>
      <w:r w:rsidR="00760A2B">
        <w:t>s</w:t>
      </w:r>
      <w:r>
        <w:t xml:space="preserve">apent ethyl in combination with statin therapy compared with statin alone for cardiovascular risk reduction. </w:t>
      </w:r>
      <w:r w:rsidRPr="00F22B32">
        <w:rPr>
          <w:rFonts w:asciiTheme="minorHAnsi" w:hAnsiTheme="minorHAnsi" w:cstheme="minorHAnsi"/>
          <w:i/>
          <w:iCs/>
          <w:color w:val="333333"/>
          <w:shd w:val="clear" w:color="auto" w:fill="FFFFFF"/>
        </w:rPr>
        <w:t>European Journal of Preventive Cardiology</w:t>
      </w:r>
      <w:r w:rsidRPr="00F22B32">
        <w:rPr>
          <w:rFonts w:asciiTheme="minorHAnsi" w:hAnsiTheme="minorHAnsi" w:cstheme="minorHAnsi"/>
          <w:color w:val="333333"/>
          <w:shd w:val="clear" w:color="auto" w:fill="FFFFFF"/>
        </w:rPr>
        <w:t>. 2020;0(0). doi:</w:t>
      </w:r>
      <w:hyperlink r:id="rId2" w:history="1">
        <w:r w:rsidRPr="00F22B32">
          <w:rPr>
            <w:rStyle w:val="Hyperlink"/>
            <w:rFonts w:asciiTheme="minorHAnsi" w:hAnsiTheme="minorHAnsi" w:cstheme="minorHAnsi"/>
            <w:color w:val="006ACC"/>
            <w:shd w:val="clear" w:color="auto" w:fill="FFFFFF"/>
          </w:rPr>
          <w:t>10.1177/2047487319896648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6F4B" w14:textId="77777777" w:rsidR="00E34A20" w:rsidRDefault="00E34A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E204" w14:textId="31CC3BA2" w:rsidR="00D843F2" w:rsidRPr="00195452" w:rsidRDefault="00980A59" w:rsidP="003C2DE2">
    <w:pPr>
      <w:jc w:val="center"/>
      <w:rPr>
        <w:rFonts w:asciiTheme="minorHAnsi" w:hAnsiTheme="minorHAnsi"/>
        <w:i/>
        <w:color w:val="808080"/>
      </w:rPr>
    </w:pPr>
    <w:r>
      <w:rPr>
        <w:rFonts w:asciiTheme="minorHAnsi" w:hAnsiTheme="minorHAnsi"/>
        <w:i/>
        <w:color w:val="808080"/>
      </w:rPr>
      <w:t>Public Summary Document</w:t>
    </w:r>
    <w:r w:rsidR="00E211D2">
      <w:rPr>
        <w:rFonts w:asciiTheme="minorHAnsi" w:hAnsiTheme="minorHAnsi"/>
        <w:i/>
        <w:color w:val="808080"/>
      </w:rPr>
      <w:t xml:space="preserve"> - </w:t>
    </w:r>
    <w:r w:rsidR="001B415C">
      <w:rPr>
        <w:rFonts w:asciiTheme="minorHAnsi" w:hAnsiTheme="minorHAnsi"/>
        <w:i/>
        <w:color w:val="808080"/>
      </w:rPr>
      <w:t xml:space="preserve">November </w:t>
    </w:r>
    <w:r w:rsidR="00D843F2">
      <w:rPr>
        <w:rFonts w:asciiTheme="minorHAnsi" w:hAnsiTheme="minorHAnsi"/>
        <w:i/>
        <w:color w:val="808080"/>
      </w:rPr>
      <w:t>202</w:t>
    </w:r>
    <w:r w:rsidR="009C5941">
      <w:rPr>
        <w:rFonts w:asciiTheme="minorHAnsi" w:hAnsiTheme="minorHAnsi"/>
        <w:i/>
        <w:color w:val="808080"/>
      </w:rPr>
      <w:t>3</w:t>
    </w:r>
    <w:r w:rsidR="001B415C">
      <w:rPr>
        <w:rFonts w:asciiTheme="minorHAnsi" w:hAnsiTheme="minorHAnsi"/>
        <w:i/>
        <w:color w:val="808080"/>
      </w:rPr>
      <w:t xml:space="preserve"> </w:t>
    </w:r>
    <w:r w:rsidR="00D843F2" w:rsidRPr="00195452">
      <w:rPr>
        <w:rFonts w:asciiTheme="minorHAnsi" w:hAnsiTheme="minorHAnsi"/>
        <w:i/>
        <w:color w:val="808080"/>
      </w:rPr>
      <w:t>PBAC Meeting</w:t>
    </w:r>
  </w:p>
  <w:p w14:paraId="03AF943B" w14:textId="77777777" w:rsidR="00D843F2" w:rsidRPr="008C7ECB" w:rsidRDefault="00D843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84489" w14:textId="77777777" w:rsidR="00E34A20" w:rsidRDefault="00E34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A72C236"/>
    <w:lvl w:ilvl="0">
      <w:start w:val="1"/>
      <w:numFmt w:val="bullet"/>
      <w:pStyle w:val="ListBullet"/>
      <w:lvlText w:val=""/>
      <w:lvlJc w:val="left"/>
      <w:pPr>
        <w:tabs>
          <w:tab w:val="num" w:pos="1434"/>
        </w:tabs>
        <w:ind w:left="1434" w:hanging="360"/>
      </w:pPr>
      <w:rPr>
        <w:rFonts w:ascii="Symbol" w:hAnsi="Symbol" w:hint="default"/>
      </w:rPr>
    </w:lvl>
  </w:abstractNum>
  <w:abstractNum w:abstractNumId="1" w15:restartNumberingAfterBreak="0">
    <w:nsid w:val="10053F11"/>
    <w:multiLevelType w:val="multilevel"/>
    <w:tmpl w:val="575CEDBE"/>
    <w:styleLink w:val="NumberBullet"/>
    <w:lvl w:ilvl="0">
      <w:start w:val="1"/>
      <w:numFmt w:val="decimal"/>
      <w:pStyle w:val="ListBullet2"/>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2" w15:restartNumberingAfterBreak="0">
    <w:nsid w:val="1CE06D4F"/>
    <w:multiLevelType w:val="multilevel"/>
    <w:tmpl w:val="476ED4A4"/>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B219F8"/>
    <w:multiLevelType w:val="hybridMultilevel"/>
    <w:tmpl w:val="6CA0CEB4"/>
    <w:lvl w:ilvl="0" w:tplc="4F38898A">
      <w:start w:val="1"/>
      <w:numFmt w:val="bullet"/>
      <w:pStyle w:val="COMexecsummmainissue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0C2ECA"/>
    <w:multiLevelType w:val="multilevel"/>
    <w:tmpl w:val="476ED4A4"/>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0B77DA7"/>
    <w:multiLevelType w:val="multilevel"/>
    <w:tmpl w:val="476ED4A4"/>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4442297"/>
    <w:multiLevelType w:val="hybridMultilevel"/>
    <w:tmpl w:val="E6FE4E00"/>
    <w:lvl w:ilvl="0" w:tplc="C324F4FC">
      <w:start w:val="1"/>
      <w:numFmt w:val="bullet"/>
      <w:pStyle w:val="zz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D67A6"/>
    <w:multiLevelType w:val="hybridMultilevel"/>
    <w:tmpl w:val="60921D8A"/>
    <w:lvl w:ilvl="0" w:tplc="7F486B5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3F38F9"/>
    <w:multiLevelType w:val="hybridMultilevel"/>
    <w:tmpl w:val="B1CC629C"/>
    <w:lvl w:ilvl="0" w:tplc="926246F6">
      <w:start w:val="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29F07EE"/>
    <w:multiLevelType w:val="multilevel"/>
    <w:tmpl w:val="476ED4A4"/>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84D033C"/>
    <w:multiLevelType w:val="multilevel"/>
    <w:tmpl w:val="45FC285E"/>
    <w:lvl w:ilvl="0">
      <w:start w:val="1"/>
      <w:numFmt w:val="decimal"/>
      <w:pStyle w:val="COMH1numbered"/>
      <w:lvlText w:val="%1"/>
      <w:lvlJc w:val="left"/>
      <w:pPr>
        <w:ind w:left="720" w:hanging="720"/>
      </w:pPr>
      <w:rPr>
        <w:rFonts w:hint="default"/>
        <w:b/>
      </w:rPr>
    </w:lvl>
    <w:lvl w:ilvl="1">
      <w:start w:val="1"/>
      <w:numFmt w:val="decimal"/>
      <w:pStyle w:val="COMexecsumnumberedpara"/>
      <w:lvlText w:val="%1.%2"/>
      <w:lvlJc w:val="left"/>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16869416">
    <w:abstractNumId w:val="10"/>
  </w:num>
  <w:num w:numId="2" w16cid:durableId="1740515427">
    <w:abstractNumId w:val="6"/>
  </w:num>
  <w:num w:numId="3" w16cid:durableId="1215312277">
    <w:abstractNumId w:val="7"/>
  </w:num>
  <w:num w:numId="4" w16cid:durableId="1123233462">
    <w:abstractNumId w:val="0"/>
  </w:num>
  <w:num w:numId="5" w16cid:durableId="712847743">
    <w:abstractNumId w:val="10"/>
  </w:num>
  <w:num w:numId="6" w16cid:durableId="1956599140">
    <w:abstractNumId w:val="3"/>
  </w:num>
  <w:num w:numId="7" w16cid:durableId="1864587821">
    <w:abstractNumId w:val="8"/>
  </w:num>
  <w:num w:numId="8" w16cid:durableId="1893879203">
    <w:abstractNumId w:val="9"/>
  </w:num>
  <w:num w:numId="9" w16cid:durableId="1096635084">
    <w:abstractNumId w:val="2"/>
  </w:num>
  <w:num w:numId="10" w16cid:durableId="797530372">
    <w:abstractNumId w:val="5"/>
  </w:num>
  <w:num w:numId="11" w16cid:durableId="75367191">
    <w:abstractNumId w:val="4"/>
  </w:num>
  <w:num w:numId="12" w16cid:durableId="876817521">
    <w:abstractNumId w:val="1"/>
  </w:num>
  <w:num w:numId="13" w16cid:durableId="942036551">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79"/>
    <w:rsid w:val="000004CA"/>
    <w:rsid w:val="00000790"/>
    <w:rsid w:val="00000D8E"/>
    <w:rsid w:val="00000D9C"/>
    <w:rsid w:val="0000110B"/>
    <w:rsid w:val="000013F5"/>
    <w:rsid w:val="0000197B"/>
    <w:rsid w:val="00002742"/>
    <w:rsid w:val="000029C7"/>
    <w:rsid w:val="000030DD"/>
    <w:rsid w:val="00003243"/>
    <w:rsid w:val="00003499"/>
    <w:rsid w:val="0000356E"/>
    <w:rsid w:val="000039B7"/>
    <w:rsid w:val="000044F3"/>
    <w:rsid w:val="000044FC"/>
    <w:rsid w:val="00004934"/>
    <w:rsid w:val="00005057"/>
    <w:rsid w:val="000056B9"/>
    <w:rsid w:val="000062F8"/>
    <w:rsid w:val="0000639A"/>
    <w:rsid w:val="00006D71"/>
    <w:rsid w:val="00007171"/>
    <w:rsid w:val="00007854"/>
    <w:rsid w:val="00010E15"/>
    <w:rsid w:val="00010F09"/>
    <w:rsid w:val="00011743"/>
    <w:rsid w:val="000119EC"/>
    <w:rsid w:val="0001275D"/>
    <w:rsid w:val="00013247"/>
    <w:rsid w:val="00013783"/>
    <w:rsid w:val="00013791"/>
    <w:rsid w:val="000137BE"/>
    <w:rsid w:val="00013F33"/>
    <w:rsid w:val="0001443F"/>
    <w:rsid w:val="000149A5"/>
    <w:rsid w:val="00015886"/>
    <w:rsid w:val="00015F3D"/>
    <w:rsid w:val="000162EF"/>
    <w:rsid w:val="0001666A"/>
    <w:rsid w:val="00016DC7"/>
    <w:rsid w:val="00016E65"/>
    <w:rsid w:val="000207C9"/>
    <w:rsid w:val="000210B5"/>
    <w:rsid w:val="0002168C"/>
    <w:rsid w:val="00021B3F"/>
    <w:rsid w:val="0002225F"/>
    <w:rsid w:val="00022AE7"/>
    <w:rsid w:val="00022C0E"/>
    <w:rsid w:val="000233B7"/>
    <w:rsid w:val="000235EF"/>
    <w:rsid w:val="00023763"/>
    <w:rsid w:val="00023A58"/>
    <w:rsid w:val="00023AB6"/>
    <w:rsid w:val="00023DB1"/>
    <w:rsid w:val="00024667"/>
    <w:rsid w:val="00024CFC"/>
    <w:rsid w:val="00024EB5"/>
    <w:rsid w:val="00025664"/>
    <w:rsid w:val="000261F3"/>
    <w:rsid w:val="00026D26"/>
    <w:rsid w:val="000274B8"/>
    <w:rsid w:val="000279C2"/>
    <w:rsid w:val="000300E9"/>
    <w:rsid w:val="0003170B"/>
    <w:rsid w:val="00032477"/>
    <w:rsid w:val="00033863"/>
    <w:rsid w:val="000342EA"/>
    <w:rsid w:val="00034F13"/>
    <w:rsid w:val="00035DC0"/>
    <w:rsid w:val="00036330"/>
    <w:rsid w:val="00036829"/>
    <w:rsid w:val="000368A0"/>
    <w:rsid w:val="0004025C"/>
    <w:rsid w:val="00040895"/>
    <w:rsid w:val="000410A0"/>
    <w:rsid w:val="0004120E"/>
    <w:rsid w:val="00041258"/>
    <w:rsid w:val="00041E64"/>
    <w:rsid w:val="00042434"/>
    <w:rsid w:val="00042A83"/>
    <w:rsid w:val="00042AC5"/>
    <w:rsid w:val="000435EE"/>
    <w:rsid w:val="00043C37"/>
    <w:rsid w:val="00044DD6"/>
    <w:rsid w:val="00045017"/>
    <w:rsid w:val="000454A5"/>
    <w:rsid w:val="00045A2B"/>
    <w:rsid w:val="0004654A"/>
    <w:rsid w:val="0004697C"/>
    <w:rsid w:val="0004698F"/>
    <w:rsid w:val="00046C73"/>
    <w:rsid w:val="00046D64"/>
    <w:rsid w:val="0005035D"/>
    <w:rsid w:val="000508C2"/>
    <w:rsid w:val="00050D60"/>
    <w:rsid w:val="00051C9A"/>
    <w:rsid w:val="0005399D"/>
    <w:rsid w:val="000539D0"/>
    <w:rsid w:val="000543E2"/>
    <w:rsid w:val="00054478"/>
    <w:rsid w:val="00054621"/>
    <w:rsid w:val="000546D7"/>
    <w:rsid w:val="00054774"/>
    <w:rsid w:val="00054A8D"/>
    <w:rsid w:val="00055109"/>
    <w:rsid w:val="0005568B"/>
    <w:rsid w:val="00056D7E"/>
    <w:rsid w:val="00056ECF"/>
    <w:rsid w:val="000573AE"/>
    <w:rsid w:val="000576A3"/>
    <w:rsid w:val="00057D76"/>
    <w:rsid w:val="000604DF"/>
    <w:rsid w:val="000604F3"/>
    <w:rsid w:val="00062324"/>
    <w:rsid w:val="00062DBD"/>
    <w:rsid w:val="00063410"/>
    <w:rsid w:val="00064072"/>
    <w:rsid w:val="00064939"/>
    <w:rsid w:val="00064BD7"/>
    <w:rsid w:val="000653B5"/>
    <w:rsid w:val="00065F07"/>
    <w:rsid w:val="00066360"/>
    <w:rsid w:val="000668FE"/>
    <w:rsid w:val="00066AF8"/>
    <w:rsid w:val="00066E2E"/>
    <w:rsid w:val="00066FA3"/>
    <w:rsid w:val="00070419"/>
    <w:rsid w:val="000704F8"/>
    <w:rsid w:val="0007082E"/>
    <w:rsid w:val="00071248"/>
    <w:rsid w:val="0007183C"/>
    <w:rsid w:val="0007194C"/>
    <w:rsid w:val="000720B9"/>
    <w:rsid w:val="00073386"/>
    <w:rsid w:val="000737F7"/>
    <w:rsid w:val="000742D7"/>
    <w:rsid w:val="00074620"/>
    <w:rsid w:val="00074E34"/>
    <w:rsid w:val="00074FCE"/>
    <w:rsid w:val="000762A1"/>
    <w:rsid w:val="0007672F"/>
    <w:rsid w:val="00076B54"/>
    <w:rsid w:val="000774F0"/>
    <w:rsid w:val="00077BF6"/>
    <w:rsid w:val="00080909"/>
    <w:rsid w:val="0008099A"/>
    <w:rsid w:val="00081240"/>
    <w:rsid w:val="000812CA"/>
    <w:rsid w:val="00081391"/>
    <w:rsid w:val="00081E63"/>
    <w:rsid w:val="0008226E"/>
    <w:rsid w:val="0008258D"/>
    <w:rsid w:val="00082A9C"/>
    <w:rsid w:val="00082BBA"/>
    <w:rsid w:val="00082F41"/>
    <w:rsid w:val="00083611"/>
    <w:rsid w:val="00083AC8"/>
    <w:rsid w:val="00083E99"/>
    <w:rsid w:val="0008456E"/>
    <w:rsid w:val="0008470A"/>
    <w:rsid w:val="00084FA8"/>
    <w:rsid w:val="000856C5"/>
    <w:rsid w:val="00085C31"/>
    <w:rsid w:val="00086D48"/>
    <w:rsid w:val="00087005"/>
    <w:rsid w:val="00087953"/>
    <w:rsid w:val="00087AB6"/>
    <w:rsid w:val="000902D9"/>
    <w:rsid w:val="00090379"/>
    <w:rsid w:val="00090C7E"/>
    <w:rsid w:val="00090F4D"/>
    <w:rsid w:val="00090FE1"/>
    <w:rsid w:val="000911AC"/>
    <w:rsid w:val="00091204"/>
    <w:rsid w:val="00091324"/>
    <w:rsid w:val="00091E7B"/>
    <w:rsid w:val="000924E4"/>
    <w:rsid w:val="00092600"/>
    <w:rsid w:val="0009262B"/>
    <w:rsid w:val="000926A9"/>
    <w:rsid w:val="00093310"/>
    <w:rsid w:val="0009445C"/>
    <w:rsid w:val="000945A0"/>
    <w:rsid w:val="00094F0C"/>
    <w:rsid w:val="00095200"/>
    <w:rsid w:val="00095FE5"/>
    <w:rsid w:val="00096284"/>
    <w:rsid w:val="00096856"/>
    <w:rsid w:val="0009722D"/>
    <w:rsid w:val="000974C3"/>
    <w:rsid w:val="000A1A13"/>
    <w:rsid w:val="000A1BC0"/>
    <w:rsid w:val="000A2744"/>
    <w:rsid w:val="000A2F9E"/>
    <w:rsid w:val="000A2FC9"/>
    <w:rsid w:val="000A31AD"/>
    <w:rsid w:val="000A374F"/>
    <w:rsid w:val="000A3E47"/>
    <w:rsid w:val="000A45F1"/>
    <w:rsid w:val="000A4882"/>
    <w:rsid w:val="000A5142"/>
    <w:rsid w:val="000A522B"/>
    <w:rsid w:val="000A52AE"/>
    <w:rsid w:val="000A534F"/>
    <w:rsid w:val="000A5820"/>
    <w:rsid w:val="000A6039"/>
    <w:rsid w:val="000A62A5"/>
    <w:rsid w:val="000A638A"/>
    <w:rsid w:val="000A6EC9"/>
    <w:rsid w:val="000A6EE0"/>
    <w:rsid w:val="000A7453"/>
    <w:rsid w:val="000A79C4"/>
    <w:rsid w:val="000A7D08"/>
    <w:rsid w:val="000A7FFC"/>
    <w:rsid w:val="000B0121"/>
    <w:rsid w:val="000B0670"/>
    <w:rsid w:val="000B0E1D"/>
    <w:rsid w:val="000B0E75"/>
    <w:rsid w:val="000B128F"/>
    <w:rsid w:val="000B2DCB"/>
    <w:rsid w:val="000B35C8"/>
    <w:rsid w:val="000B3977"/>
    <w:rsid w:val="000B3B9E"/>
    <w:rsid w:val="000B3EA1"/>
    <w:rsid w:val="000B3FA1"/>
    <w:rsid w:val="000B5130"/>
    <w:rsid w:val="000B5269"/>
    <w:rsid w:val="000B53C0"/>
    <w:rsid w:val="000B5AFF"/>
    <w:rsid w:val="000B5CE0"/>
    <w:rsid w:val="000B6B9C"/>
    <w:rsid w:val="000B6CAC"/>
    <w:rsid w:val="000B7305"/>
    <w:rsid w:val="000B738A"/>
    <w:rsid w:val="000B7612"/>
    <w:rsid w:val="000B78AE"/>
    <w:rsid w:val="000C0187"/>
    <w:rsid w:val="000C08E8"/>
    <w:rsid w:val="000C1CAC"/>
    <w:rsid w:val="000C2EF7"/>
    <w:rsid w:val="000C328B"/>
    <w:rsid w:val="000C3DF9"/>
    <w:rsid w:val="000C43DB"/>
    <w:rsid w:val="000C4CF2"/>
    <w:rsid w:val="000C51B4"/>
    <w:rsid w:val="000C57AF"/>
    <w:rsid w:val="000C6713"/>
    <w:rsid w:val="000C6836"/>
    <w:rsid w:val="000C6B17"/>
    <w:rsid w:val="000C7454"/>
    <w:rsid w:val="000D0813"/>
    <w:rsid w:val="000D102C"/>
    <w:rsid w:val="000D1BFC"/>
    <w:rsid w:val="000D1D5D"/>
    <w:rsid w:val="000D281A"/>
    <w:rsid w:val="000D2848"/>
    <w:rsid w:val="000D2A3E"/>
    <w:rsid w:val="000D326A"/>
    <w:rsid w:val="000D3C7C"/>
    <w:rsid w:val="000D422A"/>
    <w:rsid w:val="000D4276"/>
    <w:rsid w:val="000D48F5"/>
    <w:rsid w:val="000D4ACD"/>
    <w:rsid w:val="000D500C"/>
    <w:rsid w:val="000D51FB"/>
    <w:rsid w:val="000D5373"/>
    <w:rsid w:val="000D5961"/>
    <w:rsid w:val="000D64C7"/>
    <w:rsid w:val="000E0640"/>
    <w:rsid w:val="000E0C27"/>
    <w:rsid w:val="000E10AD"/>
    <w:rsid w:val="000E135D"/>
    <w:rsid w:val="000E249A"/>
    <w:rsid w:val="000E2BDD"/>
    <w:rsid w:val="000E32C8"/>
    <w:rsid w:val="000E4776"/>
    <w:rsid w:val="000E48FF"/>
    <w:rsid w:val="000E4E68"/>
    <w:rsid w:val="000E523A"/>
    <w:rsid w:val="000E57D6"/>
    <w:rsid w:val="000E63B0"/>
    <w:rsid w:val="000F00BA"/>
    <w:rsid w:val="000F1501"/>
    <w:rsid w:val="000F316A"/>
    <w:rsid w:val="000F3B53"/>
    <w:rsid w:val="000F3C74"/>
    <w:rsid w:val="000F4BB8"/>
    <w:rsid w:val="000F4CEB"/>
    <w:rsid w:val="000F4FA9"/>
    <w:rsid w:val="000F53FB"/>
    <w:rsid w:val="000F582E"/>
    <w:rsid w:val="000F58C8"/>
    <w:rsid w:val="000F598C"/>
    <w:rsid w:val="000F5D7B"/>
    <w:rsid w:val="000F668D"/>
    <w:rsid w:val="000F6C6E"/>
    <w:rsid w:val="000F7127"/>
    <w:rsid w:val="000F71B2"/>
    <w:rsid w:val="000F7A09"/>
    <w:rsid w:val="000F7B54"/>
    <w:rsid w:val="001000B3"/>
    <w:rsid w:val="00100739"/>
    <w:rsid w:val="00100914"/>
    <w:rsid w:val="00100F8A"/>
    <w:rsid w:val="00101675"/>
    <w:rsid w:val="0010192E"/>
    <w:rsid w:val="00102DE4"/>
    <w:rsid w:val="00103877"/>
    <w:rsid w:val="0010389E"/>
    <w:rsid w:val="00103A6F"/>
    <w:rsid w:val="00103DF9"/>
    <w:rsid w:val="00103E81"/>
    <w:rsid w:val="0010452E"/>
    <w:rsid w:val="00105AE2"/>
    <w:rsid w:val="00105B0F"/>
    <w:rsid w:val="001060C6"/>
    <w:rsid w:val="001064D0"/>
    <w:rsid w:val="0010670A"/>
    <w:rsid w:val="00106B80"/>
    <w:rsid w:val="001071A1"/>
    <w:rsid w:val="0011032E"/>
    <w:rsid w:val="001104C7"/>
    <w:rsid w:val="001108AB"/>
    <w:rsid w:val="001112E9"/>
    <w:rsid w:val="00111848"/>
    <w:rsid w:val="00111950"/>
    <w:rsid w:val="00111AFD"/>
    <w:rsid w:val="00111C73"/>
    <w:rsid w:val="00112E1C"/>
    <w:rsid w:val="0011348B"/>
    <w:rsid w:val="00113A56"/>
    <w:rsid w:val="001145A1"/>
    <w:rsid w:val="00115982"/>
    <w:rsid w:val="001167AD"/>
    <w:rsid w:val="00116C53"/>
    <w:rsid w:val="0011718F"/>
    <w:rsid w:val="00117942"/>
    <w:rsid w:val="001209E6"/>
    <w:rsid w:val="00121799"/>
    <w:rsid w:val="001222FC"/>
    <w:rsid w:val="001232AF"/>
    <w:rsid w:val="0012345B"/>
    <w:rsid w:val="00123902"/>
    <w:rsid w:val="001247E1"/>
    <w:rsid w:val="00124A51"/>
    <w:rsid w:val="00124F57"/>
    <w:rsid w:val="00125382"/>
    <w:rsid w:val="00125680"/>
    <w:rsid w:val="001265F8"/>
    <w:rsid w:val="00126621"/>
    <w:rsid w:val="00126B1D"/>
    <w:rsid w:val="00126E61"/>
    <w:rsid w:val="001273CB"/>
    <w:rsid w:val="00127ABD"/>
    <w:rsid w:val="001301E9"/>
    <w:rsid w:val="001307D4"/>
    <w:rsid w:val="001315FF"/>
    <w:rsid w:val="00131D25"/>
    <w:rsid w:val="00131D82"/>
    <w:rsid w:val="0013200C"/>
    <w:rsid w:val="0013288B"/>
    <w:rsid w:val="00132B22"/>
    <w:rsid w:val="00133CA8"/>
    <w:rsid w:val="00133D36"/>
    <w:rsid w:val="0013422C"/>
    <w:rsid w:val="001346AB"/>
    <w:rsid w:val="00135462"/>
    <w:rsid w:val="00135641"/>
    <w:rsid w:val="00135891"/>
    <w:rsid w:val="001373B5"/>
    <w:rsid w:val="00137645"/>
    <w:rsid w:val="00137AFA"/>
    <w:rsid w:val="00137E74"/>
    <w:rsid w:val="0014015A"/>
    <w:rsid w:val="00140555"/>
    <w:rsid w:val="00140876"/>
    <w:rsid w:val="00140E99"/>
    <w:rsid w:val="001422DD"/>
    <w:rsid w:val="00142313"/>
    <w:rsid w:val="001431D8"/>
    <w:rsid w:val="001432E2"/>
    <w:rsid w:val="001433B0"/>
    <w:rsid w:val="00143F67"/>
    <w:rsid w:val="0014415F"/>
    <w:rsid w:val="00145234"/>
    <w:rsid w:val="00145540"/>
    <w:rsid w:val="001456B0"/>
    <w:rsid w:val="00145F09"/>
    <w:rsid w:val="001467E2"/>
    <w:rsid w:val="00146DE3"/>
    <w:rsid w:val="0014749D"/>
    <w:rsid w:val="00147F03"/>
    <w:rsid w:val="00150504"/>
    <w:rsid w:val="001518B9"/>
    <w:rsid w:val="001530BE"/>
    <w:rsid w:val="00153D33"/>
    <w:rsid w:val="001547AB"/>
    <w:rsid w:val="0015619C"/>
    <w:rsid w:val="00156F8F"/>
    <w:rsid w:val="00157130"/>
    <w:rsid w:val="00157401"/>
    <w:rsid w:val="0015746E"/>
    <w:rsid w:val="001576B1"/>
    <w:rsid w:val="0016047B"/>
    <w:rsid w:val="00160A4C"/>
    <w:rsid w:val="00160BC9"/>
    <w:rsid w:val="00161053"/>
    <w:rsid w:val="00161AF5"/>
    <w:rsid w:val="00162913"/>
    <w:rsid w:val="00163064"/>
    <w:rsid w:val="00163E81"/>
    <w:rsid w:val="00163EFF"/>
    <w:rsid w:val="00163F66"/>
    <w:rsid w:val="0016478E"/>
    <w:rsid w:val="00164FDB"/>
    <w:rsid w:val="001654B8"/>
    <w:rsid w:val="00165EC4"/>
    <w:rsid w:val="00165F1A"/>
    <w:rsid w:val="001661FB"/>
    <w:rsid w:val="0016625A"/>
    <w:rsid w:val="001671A0"/>
    <w:rsid w:val="0016767F"/>
    <w:rsid w:val="001678DD"/>
    <w:rsid w:val="00172841"/>
    <w:rsid w:val="00172B4F"/>
    <w:rsid w:val="00173565"/>
    <w:rsid w:val="00173673"/>
    <w:rsid w:val="00173802"/>
    <w:rsid w:val="00173B07"/>
    <w:rsid w:val="0017463B"/>
    <w:rsid w:val="001751FA"/>
    <w:rsid w:val="00175231"/>
    <w:rsid w:val="001776E7"/>
    <w:rsid w:val="001803D2"/>
    <w:rsid w:val="00180DA0"/>
    <w:rsid w:val="00181C10"/>
    <w:rsid w:val="00181D9C"/>
    <w:rsid w:val="00181DBA"/>
    <w:rsid w:val="00181F72"/>
    <w:rsid w:val="0018319B"/>
    <w:rsid w:val="00183636"/>
    <w:rsid w:val="001837FF"/>
    <w:rsid w:val="00183DE0"/>
    <w:rsid w:val="00184829"/>
    <w:rsid w:val="00184B0E"/>
    <w:rsid w:val="00185A15"/>
    <w:rsid w:val="00185FE1"/>
    <w:rsid w:val="00186634"/>
    <w:rsid w:val="0018752F"/>
    <w:rsid w:val="0019058F"/>
    <w:rsid w:val="00191C3F"/>
    <w:rsid w:val="00192C36"/>
    <w:rsid w:val="00192C48"/>
    <w:rsid w:val="00192EFB"/>
    <w:rsid w:val="00193838"/>
    <w:rsid w:val="00193CBE"/>
    <w:rsid w:val="00194221"/>
    <w:rsid w:val="00194243"/>
    <w:rsid w:val="001948D5"/>
    <w:rsid w:val="00194AD8"/>
    <w:rsid w:val="00195222"/>
    <w:rsid w:val="00195452"/>
    <w:rsid w:val="00195C13"/>
    <w:rsid w:val="00196032"/>
    <w:rsid w:val="00196DB9"/>
    <w:rsid w:val="00196FA4"/>
    <w:rsid w:val="001975D8"/>
    <w:rsid w:val="001978A7"/>
    <w:rsid w:val="001A1475"/>
    <w:rsid w:val="001A178E"/>
    <w:rsid w:val="001A1D1A"/>
    <w:rsid w:val="001A21BB"/>
    <w:rsid w:val="001A23A4"/>
    <w:rsid w:val="001A2BBE"/>
    <w:rsid w:val="001A2DE4"/>
    <w:rsid w:val="001A359A"/>
    <w:rsid w:val="001A3893"/>
    <w:rsid w:val="001A43FA"/>
    <w:rsid w:val="001A47C5"/>
    <w:rsid w:val="001A4A7F"/>
    <w:rsid w:val="001A4D46"/>
    <w:rsid w:val="001A52DE"/>
    <w:rsid w:val="001A5507"/>
    <w:rsid w:val="001A59FB"/>
    <w:rsid w:val="001A5B85"/>
    <w:rsid w:val="001A5BE7"/>
    <w:rsid w:val="001A5E2F"/>
    <w:rsid w:val="001A5E9E"/>
    <w:rsid w:val="001A622D"/>
    <w:rsid w:val="001A6354"/>
    <w:rsid w:val="001A6366"/>
    <w:rsid w:val="001A73F9"/>
    <w:rsid w:val="001A786E"/>
    <w:rsid w:val="001A7AE8"/>
    <w:rsid w:val="001B0311"/>
    <w:rsid w:val="001B1215"/>
    <w:rsid w:val="001B1B91"/>
    <w:rsid w:val="001B204E"/>
    <w:rsid w:val="001B2200"/>
    <w:rsid w:val="001B2372"/>
    <w:rsid w:val="001B2C78"/>
    <w:rsid w:val="001B2C93"/>
    <w:rsid w:val="001B3443"/>
    <w:rsid w:val="001B35F9"/>
    <w:rsid w:val="001B415C"/>
    <w:rsid w:val="001B4D20"/>
    <w:rsid w:val="001B5930"/>
    <w:rsid w:val="001B5AAC"/>
    <w:rsid w:val="001B627E"/>
    <w:rsid w:val="001B6A0F"/>
    <w:rsid w:val="001B76BE"/>
    <w:rsid w:val="001B7F84"/>
    <w:rsid w:val="001C1685"/>
    <w:rsid w:val="001C1E3B"/>
    <w:rsid w:val="001C215F"/>
    <w:rsid w:val="001C2A9B"/>
    <w:rsid w:val="001C2FC7"/>
    <w:rsid w:val="001C3526"/>
    <w:rsid w:val="001C3527"/>
    <w:rsid w:val="001C3963"/>
    <w:rsid w:val="001C3DD6"/>
    <w:rsid w:val="001C41D4"/>
    <w:rsid w:val="001C4299"/>
    <w:rsid w:val="001C43E3"/>
    <w:rsid w:val="001C4654"/>
    <w:rsid w:val="001C4874"/>
    <w:rsid w:val="001C4957"/>
    <w:rsid w:val="001C52EF"/>
    <w:rsid w:val="001C55F1"/>
    <w:rsid w:val="001C561E"/>
    <w:rsid w:val="001C57AB"/>
    <w:rsid w:val="001C5F94"/>
    <w:rsid w:val="001C663D"/>
    <w:rsid w:val="001C6E66"/>
    <w:rsid w:val="001C7391"/>
    <w:rsid w:val="001D07C9"/>
    <w:rsid w:val="001D0DA9"/>
    <w:rsid w:val="001D0EEC"/>
    <w:rsid w:val="001D100D"/>
    <w:rsid w:val="001D1100"/>
    <w:rsid w:val="001D1391"/>
    <w:rsid w:val="001D1B13"/>
    <w:rsid w:val="001D232E"/>
    <w:rsid w:val="001D25D7"/>
    <w:rsid w:val="001D2A23"/>
    <w:rsid w:val="001D2BB5"/>
    <w:rsid w:val="001D48DB"/>
    <w:rsid w:val="001D4BE9"/>
    <w:rsid w:val="001D4CF7"/>
    <w:rsid w:val="001D50B2"/>
    <w:rsid w:val="001D514A"/>
    <w:rsid w:val="001D59F0"/>
    <w:rsid w:val="001D5EEB"/>
    <w:rsid w:val="001D6067"/>
    <w:rsid w:val="001D682E"/>
    <w:rsid w:val="001D6EA2"/>
    <w:rsid w:val="001D71F4"/>
    <w:rsid w:val="001D7645"/>
    <w:rsid w:val="001D7913"/>
    <w:rsid w:val="001E0128"/>
    <w:rsid w:val="001E0D2D"/>
    <w:rsid w:val="001E12F2"/>
    <w:rsid w:val="001E1E86"/>
    <w:rsid w:val="001E238E"/>
    <w:rsid w:val="001E2483"/>
    <w:rsid w:val="001E29F2"/>
    <w:rsid w:val="001E2B1E"/>
    <w:rsid w:val="001E2CFF"/>
    <w:rsid w:val="001E2F24"/>
    <w:rsid w:val="001E30D4"/>
    <w:rsid w:val="001E34DF"/>
    <w:rsid w:val="001E3720"/>
    <w:rsid w:val="001E4452"/>
    <w:rsid w:val="001E4A09"/>
    <w:rsid w:val="001E52EB"/>
    <w:rsid w:val="001E55DD"/>
    <w:rsid w:val="001E61D2"/>
    <w:rsid w:val="001E6B95"/>
    <w:rsid w:val="001E740C"/>
    <w:rsid w:val="001E7517"/>
    <w:rsid w:val="001E7D29"/>
    <w:rsid w:val="001F0228"/>
    <w:rsid w:val="001F1235"/>
    <w:rsid w:val="001F17EE"/>
    <w:rsid w:val="001F1CB3"/>
    <w:rsid w:val="001F23B8"/>
    <w:rsid w:val="001F38B5"/>
    <w:rsid w:val="001F3FF8"/>
    <w:rsid w:val="001F4081"/>
    <w:rsid w:val="001F488C"/>
    <w:rsid w:val="001F49EB"/>
    <w:rsid w:val="001F699E"/>
    <w:rsid w:val="001F6A0B"/>
    <w:rsid w:val="001F6AE3"/>
    <w:rsid w:val="001F7361"/>
    <w:rsid w:val="00200103"/>
    <w:rsid w:val="0020040B"/>
    <w:rsid w:val="002011B0"/>
    <w:rsid w:val="002012CA"/>
    <w:rsid w:val="0020130F"/>
    <w:rsid w:val="002015A3"/>
    <w:rsid w:val="002018D7"/>
    <w:rsid w:val="00202860"/>
    <w:rsid w:val="00202895"/>
    <w:rsid w:val="00203181"/>
    <w:rsid w:val="00203783"/>
    <w:rsid w:val="0020385F"/>
    <w:rsid w:val="00204510"/>
    <w:rsid w:val="0020488E"/>
    <w:rsid w:val="002055AB"/>
    <w:rsid w:val="0020576D"/>
    <w:rsid w:val="00205832"/>
    <w:rsid w:val="00206091"/>
    <w:rsid w:val="002068A0"/>
    <w:rsid w:val="002069D7"/>
    <w:rsid w:val="00206A01"/>
    <w:rsid w:val="00207021"/>
    <w:rsid w:val="0020732F"/>
    <w:rsid w:val="00207D00"/>
    <w:rsid w:val="002105C1"/>
    <w:rsid w:val="00210A0A"/>
    <w:rsid w:val="00210A4C"/>
    <w:rsid w:val="002116FD"/>
    <w:rsid w:val="0021223C"/>
    <w:rsid w:val="002124C3"/>
    <w:rsid w:val="002125EE"/>
    <w:rsid w:val="0021393F"/>
    <w:rsid w:val="00213EF5"/>
    <w:rsid w:val="00215194"/>
    <w:rsid w:val="00216BF5"/>
    <w:rsid w:val="00217378"/>
    <w:rsid w:val="00217BD7"/>
    <w:rsid w:val="00217C50"/>
    <w:rsid w:val="0022021B"/>
    <w:rsid w:val="00220A4E"/>
    <w:rsid w:val="00220FCE"/>
    <w:rsid w:val="00222C1C"/>
    <w:rsid w:val="00223100"/>
    <w:rsid w:val="00223B49"/>
    <w:rsid w:val="00223D5A"/>
    <w:rsid w:val="00223E12"/>
    <w:rsid w:val="00223E56"/>
    <w:rsid w:val="00224DD4"/>
    <w:rsid w:val="00224EF4"/>
    <w:rsid w:val="00225669"/>
    <w:rsid w:val="0022750E"/>
    <w:rsid w:val="002278A0"/>
    <w:rsid w:val="002279FD"/>
    <w:rsid w:val="00227CE0"/>
    <w:rsid w:val="002309CC"/>
    <w:rsid w:val="0023107B"/>
    <w:rsid w:val="002317C4"/>
    <w:rsid w:val="00231BA9"/>
    <w:rsid w:val="0023209F"/>
    <w:rsid w:val="002322B6"/>
    <w:rsid w:val="00232D03"/>
    <w:rsid w:val="00233C01"/>
    <w:rsid w:val="0023413C"/>
    <w:rsid w:val="002342A1"/>
    <w:rsid w:val="002346F0"/>
    <w:rsid w:val="0023492E"/>
    <w:rsid w:val="00235113"/>
    <w:rsid w:val="00235284"/>
    <w:rsid w:val="002359CF"/>
    <w:rsid w:val="00235C3F"/>
    <w:rsid w:val="0023629D"/>
    <w:rsid w:val="00236F6B"/>
    <w:rsid w:val="00237255"/>
    <w:rsid w:val="002376D4"/>
    <w:rsid w:val="00237809"/>
    <w:rsid w:val="00240600"/>
    <w:rsid w:val="0024183C"/>
    <w:rsid w:val="00241D7D"/>
    <w:rsid w:val="002424AF"/>
    <w:rsid w:val="002439DC"/>
    <w:rsid w:val="002441D2"/>
    <w:rsid w:val="00244611"/>
    <w:rsid w:val="00244C04"/>
    <w:rsid w:val="00244DC8"/>
    <w:rsid w:val="002458BA"/>
    <w:rsid w:val="00245CE9"/>
    <w:rsid w:val="0024636C"/>
    <w:rsid w:val="0024679C"/>
    <w:rsid w:val="00246930"/>
    <w:rsid w:val="002470C3"/>
    <w:rsid w:val="00247600"/>
    <w:rsid w:val="00247925"/>
    <w:rsid w:val="00250448"/>
    <w:rsid w:val="00251006"/>
    <w:rsid w:val="00251AE6"/>
    <w:rsid w:val="002520A0"/>
    <w:rsid w:val="002524D5"/>
    <w:rsid w:val="0025288B"/>
    <w:rsid w:val="00252BC9"/>
    <w:rsid w:val="00253B1D"/>
    <w:rsid w:val="00254047"/>
    <w:rsid w:val="00254DCF"/>
    <w:rsid w:val="0025534B"/>
    <w:rsid w:val="00255805"/>
    <w:rsid w:val="0025587E"/>
    <w:rsid w:val="002559A6"/>
    <w:rsid w:val="00255BB7"/>
    <w:rsid w:val="00255E1E"/>
    <w:rsid w:val="00257541"/>
    <w:rsid w:val="00257A39"/>
    <w:rsid w:val="00257AC4"/>
    <w:rsid w:val="00257BBE"/>
    <w:rsid w:val="00261C71"/>
    <w:rsid w:val="00261E97"/>
    <w:rsid w:val="00261EEF"/>
    <w:rsid w:val="00262A1A"/>
    <w:rsid w:val="00262A87"/>
    <w:rsid w:val="0026348C"/>
    <w:rsid w:val="002636ED"/>
    <w:rsid w:val="0026478F"/>
    <w:rsid w:val="00264C96"/>
    <w:rsid w:val="00264D26"/>
    <w:rsid w:val="00264FE4"/>
    <w:rsid w:val="00266033"/>
    <w:rsid w:val="0026718C"/>
    <w:rsid w:val="00267642"/>
    <w:rsid w:val="00267AEA"/>
    <w:rsid w:val="002700E6"/>
    <w:rsid w:val="00270228"/>
    <w:rsid w:val="002710BA"/>
    <w:rsid w:val="002712F2"/>
    <w:rsid w:val="00271F26"/>
    <w:rsid w:val="0027241A"/>
    <w:rsid w:val="00272579"/>
    <w:rsid w:val="002727D2"/>
    <w:rsid w:val="0027294B"/>
    <w:rsid w:val="00272AA0"/>
    <w:rsid w:val="002736B8"/>
    <w:rsid w:val="00273EB4"/>
    <w:rsid w:val="002745BC"/>
    <w:rsid w:val="00274682"/>
    <w:rsid w:val="00275158"/>
    <w:rsid w:val="002759D9"/>
    <w:rsid w:val="00275C5A"/>
    <w:rsid w:val="00275DFA"/>
    <w:rsid w:val="002762A6"/>
    <w:rsid w:val="0027716D"/>
    <w:rsid w:val="00277A9C"/>
    <w:rsid w:val="00277AC6"/>
    <w:rsid w:val="00277B8D"/>
    <w:rsid w:val="00277BCB"/>
    <w:rsid w:val="002807AF"/>
    <w:rsid w:val="00280975"/>
    <w:rsid w:val="00281014"/>
    <w:rsid w:val="00282255"/>
    <w:rsid w:val="0028299D"/>
    <w:rsid w:val="00282AEA"/>
    <w:rsid w:val="00284218"/>
    <w:rsid w:val="00284747"/>
    <w:rsid w:val="002857A0"/>
    <w:rsid w:val="00285BCE"/>
    <w:rsid w:val="00286435"/>
    <w:rsid w:val="0028665D"/>
    <w:rsid w:val="002870F2"/>
    <w:rsid w:val="0028795C"/>
    <w:rsid w:val="00290AE7"/>
    <w:rsid w:val="00291487"/>
    <w:rsid w:val="002915B8"/>
    <w:rsid w:val="002916B5"/>
    <w:rsid w:val="00293330"/>
    <w:rsid w:val="0029333C"/>
    <w:rsid w:val="0029358F"/>
    <w:rsid w:val="00293A7E"/>
    <w:rsid w:val="00294F61"/>
    <w:rsid w:val="0029534A"/>
    <w:rsid w:val="002955C3"/>
    <w:rsid w:val="00295601"/>
    <w:rsid w:val="00295645"/>
    <w:rsid w:val="002956EE"/>
    <w:rsid w:val="002959F7"/>
    <w:rsid w:val="002963E7"/>
    <w:rsid w:val="00296FCD"/>
    <w:rsid w:val="0029743F"/>
    <w:rsid w:val="00297B78"/>
    <w:rsid w:val="002A00CE"/>
    <w:rsid w:val="002A0822"/>
    <w:rsid w:val="002A1072"/>
    <w:rsid w:val="002A14AB"/>
    <w:rsid w:val="002A1550"/>
    <w:rsid w:val="002A26DB"/>
    <w:rsid w:val="002A29B1"/>
    <w:rsid w:val="002A2ADE"/>
    <w:rsid w:val="002A2D27"/>
    <w:rsid w:val="002A2F50"/>
    <w:rsid w:val="002A43BA"/>
    <w:rsid w:val="002A491B"/>
    <w:rsid w:val="002A4FBC"/>
    <w:rsid w:val="002A52E9"/>
    <w:rsid w:val="002A568E"/>
    <w:rsid w:val="002A5B09"/>
    <w:rsid w:val="002A71D0"/>
    <w:rsid w:val="002A730B"/>
    <w:rsid w:val="002A7437"/>
    <w:rsid w:val="002A7943"/>
    <w:rsid w:val="002B05A1"/>
    <w:rsid w:val="002B09A4"/>
    <w:rsid w:val="002B0EC6"/>
    <w:rsid w:val="002B1C1F"/>
    <w:rsid w:val="002B208B"/>
    <w:rsid w:val="002B3117"/>
    <w:rsid w:val="002B3D66"/>
    <w:rsid w:val="002B3F30"/>
    <w:rsid w:val="002B41E4"/>
    <w:rsid w:val="002B432F"/>
    <w:rsid w:val="002B5350"/>
    <w:rsid w:val="002B6179"/>
    <w:rsid w:val="002B62B3"/>
    <w:rsid w:val="002B6606"/>
    <w:rsid w:val="002B6754"/>
    <w:rsid w:val="002B6CCE"/>
    <w:rsid w:val="002C1E65"/>
    <w:rsid w:val="002C1F10"/>
    <w:rsid w:val="002C1FBF"/>
    <w:rsid w:val="002C2510"/>
    <w:rsid w:val="002C2775"/>
    <w:rsid w:val="002C27C1"/>
    <w:rsid w:val="002C2967"/>
    <w:rsid w:val="002C2FC2"/>
    <w:rsid w:val="002C2FF1"/>
    <w:rsid w:val="002C36E3"/>
    <w:rsid w:val="002C3A6E"/>
    <w:rsid w:val="002C3D59"/>
    <w:rsid w:val="002C4BF7"/>
    <w:rsid w:val="002C5099"/>
    <w:rsid w:val="002C5889"/>
    <w:rsid w:val="002C58C1"/>
    <w:rsid w:val="002C5F3A"/>
    <w:rsid w:val="002C6037"/>
    <w:rsid w:val="002C67F0"/>
    <w:rsid w:val="002C687A"/>
    <w:rsid w:val="002C6918"/>
    <w:rsid w:val="002C71CE"/>
    <w:rsid w:val="002C7A4C"/>
    <w:rsid w:val="002D0328"/>
    <w:rsid w:val="002D08F8"/>
    <w:rsid w:val="002D1660"/>
    <w:rsid w:val="002D2875"/>
    <w:rsid w:val="002D2DEB"/>
    <w:rsid w:val="002D3332"/>
    <w:rsid w:val="002D3CB7"/>
    <w:rsid w:val="002D577C"/>
    <w:rsid w:val="002D62DA"/>
    <w:rsid w:val="002D7026"/>
    <w:rsid w:val="002D7832"/>
    <w:rsid w:val="002D78F5"/>
    <w:rsid w:val="002E0211"/>
    <w:rsid w:val="002E032C"/>
    <w:rsid w:val="002E1071"/>
    <w:rsid w:val="002E15B9"/>
    <w:rsid w:val="002E1746"/>
    <w:rsid w:val="002E2158"/>
    <w:rsid w:val="002E2AB7"/>
    <w:rsid w:val="002E3753"/>
    <w:rsid w:val="002E3800"/>
    <w:rsid w:val="002E42ED"/>
    <w:rsid w:val="002E4F02"/>
    <w:rsid w:val="002E50BC"/>
    <w:rsid w:val="002E5BF0"/>
    <w:rsid w:val="002E5F12"/>
    <w:rsid w:val="002E62A8"/>
    <w:rsid w:val="002E67B5"/>
    <w:rsid w:val="002E6A2C"/>
    <w:rsid w:val="002E6BAA"/>
    <w:rsid w:val="002E6DE9"/>
    <w:rsid w:val="002E7722"/>
    <w:rsid w:val="002E7852"/>
    <w:rsid w:val="002E791D"/>
    <w:rsid w:val="002F07A8"/>
    <w:rsid w:val="002F07BA"/>
    <w:rsid w:val="002F0D28"/>
    <w:rsid w:val="002F0DA9"/>
    <w:rsid w:val="002F1014"/>
    <w:rsid w:val="002F1E3B"/>
    <w:rsid w:val="002F20CD"/>
    <w:rsid w:val="002F2CB1"/>
    <w:rsid w:val="002F2DC3"/>
    <w:rsid w:val="002F3BE3"/>
    <w:rsid w:val="002F4014"/>
    <w:rsid w:val="002F4519"/>
    <w:rsid w:val="002F5F17"/>
    <w:rsid w:val="002F643C"/>
    <w:rsid w:val="002F71C0"/>
    <w:rsid w:val="002F74A3"/>
    <w:rsid w:val="002F74F1"/>
    <w:rsid w:val="002F7702"/>
    <w:rsid w:val="002F77A3"/>
    <w:rsid w:val="002F79AE"/>
    <w:rsid w:val="003005D2"/>
    <w:rsid w:val="00301017"/>
    <w:rsid w:val="00301364"/>
    <w:rsid w:val="0030155F"/>
    <w:rsid w:val="00301578"/>
    <w:rsid w:val="00302189"/>
    <w:rsid w:val="00303300"/>
    <w:rsid w:val="00303FF1"/>
    <w:rsid w:val="00304707"/>
    <w:rsid w:val="00304737"/>
    <w:rsid w:val="003049EE"/>
    <w:rsid w:val="00305619"/>
    <w:rsid w:val="0030587B"/>
    <w:rsid w:val="00305D45"/>
    <w:rsid w:val="00306029"/>
    <w:rsid w:val="00306972"/>
    <w:rsid w:val="00306D98"/>
    <w:rsid w:val="00307759"/>
    <w:rsid w:val="0030786C"/>
    <w:rsid w:val="00307887"/>
    <w:rsid w:val="00307D2E"/>
    <w:rsid w:val="0031031A"/>
    <w:rsid w:val="00310981"/>
    <w:rsid w:val="00311D9B"/>
    <w:rsid w:val="00311DB5"/>
    <w:rsid w:val="003124D0"/>
    <w:rsid w:val="003124D9"/>
    <w:rsid w:val="00312594"/>
    <w:rsid w:val="003125A4"/>
    <w:rsid w:val="00312742"/>
    <w:rsid w:val="00312FB5"/>
    <w:rsid w:val="003135E0"/>
    <w:rsid w:val="00313907"/>
    <w:rsid w:val="003144D9"/>
    <w:rsid w:val="003150C0"/>
    <w:rsid w:val="00315498"/>
    <w:rsid w:val="00315804"/>
    <w:rsid w:val="00316474"/>
    <w:rsid w:val="00317187"/>
    <w:rsid w:val="003173F5"/>
    <w:rsid w:val="00317768"/>
    <w:rsid w:val="00317A2C"/>
    <w:rsid w:val="00317B48"/>
    <w:rsid w:val="003205C8"/>
    <w:rsid w:val="00320C22"/>
    <w:rsid w:val="0032120A"/>
    <w:rsid w:val="00321BC6"/>
    <w:rsid w:val="00322107"/>
    <w:rsid w:val="00322355"/>
    <w:rsid w:val="00322463"/>
    <w:rsid w:val="0032274C"/>
    <w:rsid w:val="00322846"/>
    <w:rsid w:val="00323918"/>
    <w:rsid w:val="00324845"/>
    <w:rsid w:val="003260D3"/>
    <w:rsid w:val="00326DA7"/>
    <w:rsid w:val="003270E4"/>
    <w:rsid w:val="003303D0"/>
    <w:rsid w:val="00330B56"/>
    <w:rsid w:val="00330DAA"/>
    <w:rsid w:val="00330EBE"/>
    <w:rsid w:val="00330F5C"/>
    <w:rsid w:val="003315F2"/>
    <w:rsid w:val="00332C97"/>
    <w:rsid w:val="003332D9"/>
    <w:rsid w:val="00334D9D"/>
    <w:rsid w:val="003352DB"/>
    <w:rsid w:val="00335EED"/>
    <w:rsid w:val="00335F88"/>
    <w:rsid w:val="00336500"/>
    <w:rsid w:val="003366C9"/>
    <w:rsid w:val="00336706"/>
    <w:rsid w:val="003369F2"/>
    <w:rsid w:val="00336DB1"/>
    <w:rsid w:val="0033703B"/>
    <w:rsid w:val="003371B0"/>
    <w:rsid w:val="00337D1B"/>
    <w:rsid w:val="00337DBB"/>
    <w:rsid w:val="003402B9"/>
    <w:rsid w:val="00340DF1"/>
    <w:rsid w:val="00341537"/>
    <w:rsid w:val="00341855"/>
    <w:rsid w:val="00341EF0"/>
    <w:rsid w:val="003422FB"/>
    <w:rsid w:val="00343113"/>
    <w:rsid w:val="00343831"/>
    <w:rsid w:val="00344008"/>
    <w:rsid w:val="00344227"/>
    <w:rsid w:val="0034479A"/>
    <w:rsid w:val="003450B5"/>
    <w:rsid w:val="00346F60"/>
    <w:rsid w:val="00346FF8"/>
    <w:rsid w:val="0035129B"/>
    <w:rsid w:val="00351636"/>
    <w:rsid w:val="003517F9"/>
    <w:rsid w:val="00351BA9"/>
    <w:rsid w:val="00351DBD"/>
    <w:rsid w:val="0035201A"/>
    <w:rsid w:val="0035246B"/>
    <w:rsid w:val="0035265E"/>
    <w:rsid w:val="003527DF"/>
    <w:rsid w:val="00353749"/>
    <w:rsid w:val="00354615"/>
    <w:rsid w:val="00354F64"/>
    <w:rsid w:val="00355986"/>
    <w:rsid w:val="00355FA3"/>
    <w:rsid w:val="0035603E"/>
    <w:rsid w:val="0035620E"/>
    <w:rsid w:val="00357315"/>
    <w:rsid w:val="003575BE"/>
    <w:rsid w:val="00357B16"/>
    <w:rsid w:val="00360345"/>
    <w:rsid w:val="00360AE1"/>
    <w:rsid w:val="00360EC5"/>
    <w:rsid w:val="00361351"/>
    <w:rsid w:val="003616D2"/>
    <w:rsid w:val="00361A05"/>
    <w:rsid w:val="00362138"/>
    <w:rsid w:val="003621CD"/>
    <w:rsid w:val="003624C4"/>
    <w:rsid w:val="003625CC"/>
    <w:rsid w:val="00362A17"/>
    <w:rsid w:val="00362D30"/>
    <w:rsid w:val="0036355B"/>
    <w:rsid w:val="003635CB"/>
    <w:rsid w:val="003637C0"/>
    <w:rsid w:val="00363B00"/>
    <w:rsid w:val="00364404"/>
    <w:rsid w:val="003654AC"/>
    <w:rsid w:val="00365C41"/>
    <w:rsid w:val="00366485"/>
    <w:rsid w:val="00367043"/>
    <w:rsid w:val="00370F71"/>
    <w:rsid w:val="003710CF"/>
    <w:rsid w:val="0037177F"/>
    <w:rsid w:val="0037189C"/>
    <w:rsid w:val="00372581"/>
    <w:rsid w:val="003726FC"/>
    <w:rsid w:val="00372701"/>
    <w:rsid w:val="003731E8"/>
    <w:rsid w:val="0037358A"/>
    <w:rsid w:val="0037365D"/>
    <w:rsid w:val="003741EC"/>
    <w:rsid w:val="00374D3A"/>
    <w:rsid w:val="003750F6"/>
    <w:rsid w:val="003760FC"/>
    <w:rsid w:val="003770DA"/>
    <w:rsid w:val="00380A23"/>
    <w:rsid w:val="00380AFE"/>
    <w:rsid w:val="00380B9B"/>
    <w:rsid w:val="003813B1"/>
    <w:rsid w:val="00381710"/>
    <w:rsid w:val="00382155"/>
    <w:rsid w:val="003827B9"/>
    <w:rsid w:val="00382B8E"/>
    <w:rsid w:val="003832BD"/>
    <w:rsid w:val="0038365C"/>
    <w:rsid w:val="0038369B"/>
    <w:rsid w:val="00383B78"/>
    <w:rsid w:val="00384D93"/>
    <w:rsid w:val="00385A9D"/>
    <w:rsid w:val="00386B72"/>
    <w:rsid w:val="00387121"/>
    <w:rsid w:val="003874B1"/>
    <w:rsid w:val="00387532"/>
    <w:rsid w:val="00390199"/>
    <w:rsid w:val="003902B1"/>
    <w:rsid w:val="0039150E"/>
    <w:rsid w:val="0039179C"/>
    <w:rsid w:val="00391918"/>
    <w:rsid w:val="00391958"/>
    <w:rsid w:val="00391B24"/>
    <w:rsid w:val="00393168"/>
    <w:rsid w:val="0039376E"/>
    <w:rsid w:val="00395C11"/>
    <w:rsid w:val="00395FBD"/>
    <w:rsid w:val="00396896"/>
    <w:rsid w:val="00396FD0"/>
    <w:rsid w:val="003A0160"/>
    <w:rsid w:val="003A1389"/>
    <w:rsid w:val="003A13F5"/>
    <w:rsid w:val="003A1A7A"/>
    <w:rsid w:val="003A1B47"/>
    <w:rsid w:val="003A1C31"/>
    <w:rsid w:val="003A2392"/>
    <w:rsid w:val="003A24B7"/>
    <w:rsid w:val="003A2831"/>
    <w:rsid w:val="003A29DC"/>
    <w:rsid w:val="003A2F58"/>
    <w:rsid w:val="003A37A6"/>
    <w:rsid w:val="003A3CB6"/>
    <w:rsid w:val="003A3D40"/>
    <w:rsid w:val="003A3ED1"/>
    <w:rsid w:val="003A4394"/>
    <w:rsid w:val="003A43A0"/>
    <w:rsid w:val="003A44DB"/>
    <w:rsid w:val="003A4553"/>
    <w:rsid w:val="003A4C14"/>
    <w:rsid w:val="003A6426"/>
    <w:rsid w:val="003A68D7"/>
    <w:rsid w:val="003A6A00"/>
    <w:rsid w:val="003A6D82"/>
    <w:rsid w:val="003A7DD9"/>
    <w:rsid w:val="003B06E6"/>
    <w:rsid w:val="003B225A"/>
    <w:rsid w:val="003B3971"/>
    <w:rsid w:val="003B3C8F"/>
    <w:rsid w:val="003B4A1A"/>
    <w:rsid w:val="003B55D1"/>
    <w:rsid w:val="003B5B61"/>
    <w:rsid w:val="003B6CF5"/>
    <w:rsid w:val="003B7A38"/>
    <w:rsid w:val="003C0A62"/>
    <w:rsid w:val="003C1654"/>
    <w:rsid w:val="003C21C4"/>
    <w:rsid w:val="003C2DE2"/>
    <w:rsid w:val="003C3400"/>
    <w:rsid w:val="003C497A"/>
    <w:rsid w:val="003C5542"/>
    <w:rsid w:val="003C5E15"/>
    <w:rsid w:val="003C6338"/>
    <w:rsid w:val="003C6C2A"/>
    <w:rsid w:val="003C6EBA"/>
    <w:rsid w:val="003C7038"/>
    <w:rsid w:val="003C7090"/>
    <w:rsid w:val="003C70AF"/>
    <w:rsid w:val="003C70F5"/>
    <w:rsid w:val="003C7C15"/>
    <w:rsid w:val="003C7D19"/>
    <w:rsid w:val="003C7D2F"/>
    <w:rsid w:val="003D0158"/>
    <w:rsid w:val="003D0C5A"/>
    <w:rsid w:val="003D14E4"/>
    <w:rsid w:val="003D153C"/>
    <w:rsid w:val="003D1828"/>
    <w:rsid w:val="003D1D6E"/>
    <w:rsid w:val="003D1DE4"/>
    <w:rsid w:val="003D1E9A"/>
    <w:rsid w:val="003D2422"/>
    <w:rsid w:val="003D27D9"/>
    <w:rsid w:val="003D39A1"/>
    <w:rsid w:val="003D3FBF"/>
    <w:rsid w:val="003D4A30"/>
    <w:rsid w:val="003D54E8"/>
    <w:rsid w:val="003D59A0"/>
    <w:rsid w:val="003D612E"/>
    <w:rsid w:val="003D72F7"/>
    <w:rsid w:val="003D7452"/>
    <w:rsid w:val="003D79BB"/>
    <w:rsid w:val="003D7C98"/>
    <w:rsid w:val="003D7D9D"/>
    <w:rsid w:val="003E0543"/>
    <w:rsid w:val="003E0DEF"/>
    <w:rsid w:val="003E1753"/>
    <w:rsid w:val="003E19FB"/>
    <w:rsid w:val="003E1CBE"/>
    <w:rsid w:val="003E2689"/>
    <w:rsid w:val="003E268B"/>
    <w:rsid w:val="003E3E3B"/>
    <w:rsid w:val="003E40C2"/>
    <w:rsid w:val="003E5603"/>
    <w:rsid w:val="003E639E"/>
    <w:rsid w:val="003E7113"/>
    <w:rsid w:val="003E73E3"/>
    <w:rsid w:val="003E747D"/>
    <w:rsid w:val="003E749E"/>
    <w:rsid w:val="003F0016"/>
    <w:rsid w:val="003F095A"/>
    <w:rsid w:val="003F0B35"/>
    <w:rsid w:val="003F113E"/>
    <w:rsid w:val="003F1735"/>
    <w:rsid w:val="003F238D"/>
    <w:rsid w:val="003F23D5"/>
    <w:rsid w:val="003F2E79"/>
    <w:rsid w:val="003F2F33"/>
    <w:rsid w:val="003F2F7B"/>
    <w:rsid w:val="003F31C8"/>
    <w:rsid w:val="003F3210"/>
    <w:rsid w:val="003F4156"/>
    <w:rsid w:val="003F4FE9"/>
    <w:rsid w:val="003F5112"/>
    <w:rsid w:val="003F536D"/>
    <w:rsid w:val="003F5ADF"/>
    <w:rsid w:val="003F703A"/>
    <w:rsid w:val="003F70F7"/>
    <w:rsid w:val="003F7E99"/>
    <w:rsid w:val="004006C1"/>
    <w:rsid w:val="004007DC"/>
    <w:rsid w:val="00400AF1"/>
    <w:rsid w:val="00400B29"/>
    <w:rsid w:val="00400EE4"/>
    <w:rsid w:val="00401842"/>
    <w:rsid w:val="00401BDF"/>
    <w:rsid w:val="00402401"/>
    <w:rsid w:val="00402812"/>
    <w:rsid w:val="00403B0D"/>
    <w:rsid w:val="00403C29"/>
    <w:rsid w:val="00403FBE"/>
    <w:rsid w:val="004041E3"/>
    <w:rsid w:val="00404B18"/>
    <w:rsid w:val="00404BBD"/>
    <w:rsid w:val="0040504B"/>
    <w:rsid w:val="004051BA"/>
    <w:rsid w:val="00405246"/>
    <w:rsid w:val="004054C8"/>
    <w:rsid w:val="004059F4"/>
    <w:rsid w:val="00406943"/>
    <w:rsid w:val="0040694E"/>
    <w:rsid w:val="00406BC9"/>
    <w:rsid w:val="00406CE9"/>
    <w:rsid w:val="0040749A"/>
    <w:rsid w:val="00407FE5"/>
    <w:rsid w:val="00410137"/>
    <w:rsid w:val="004101B0"/>
    <w:rsid w:val="004102D4"/>
    <w:rsid w:val="00410326"/>
    <w:rsid w:val="00410708"/>
    <w:rsid w:val="00410EC7"/>
    <w:rsid w:val="00411929"/>
    <w:rsid w:val="00411941"/>
    <w:rsid w:val="00411B39"/>
    <w:rsid w:val="004126CD"/>
    <w:rsid w:val="004127A7"/>
    <w:rsid w:val="004135E0"/>
    <w:rsid w:val="00413A1E"/>
    <w:rsid w:val="004140CE"/>
    <w:rsid w:val="00414476"/>
    <w:rsid w:val="00414B3F"/>
    <w:rsid w:val="00414C2E"/>
    <w:rsid w:val="004151CF"/>
    <w:rsid w:val="00415E60"/>
    <w:rsid w:val="00415EA2"/>
    <w:rsid w:val="00416364"/>
    <w:rsid w:val="00416F51"/>
    <w:rsid w:val="00417E7F"/>
    <w:rsid w:val="0042047F"/>
    <w:rsid w:val="00420A95"/>
    <w:rsid w:val="00420AA6"/>
    <w:rsid w:val="00420B9F"/>
    <w:rsid w:val="0042116D"/>
    <w:rsid w:val="0042192C"/>
    <w:rsid w:val="00422260"/>
    <w:rsid w:val="00422DD5"/>
    <w:rsid w:val="00422FBA"/>
    <w:rsid w:val="00423B04"/>
    <w:rsid w:val="00424080"/>
    <w:rsid w:val="0042413F"/>
    <w:rsid w:val="004252CD"/>
    <w:rsid w:val="00427F82"/>
    <w:rsid w:val="004318E0"/>
    <w:rsid w:val="004319F8"/>
    <w:rsid w:val="00431ACB"/>
    <w:rsid w:val="00431E55"/>
    <w:rsid w:val="00431EAF"/>
    <w:rsid w:val="0043209D"/>
    <w:rsid w:val="004321F6"/>
    <w:rsid w:val="00433044"/>
    <w:rsid w:val="00433053"/>
    <w:rsid w:val="004331A9"/>
    <w:rsid w:val="0043377F"/>
    <w:rsid w:val="00434088"/>
    <w:rsid w:val="00435008"/>
    <w:rsid w:val="00435169"/>
    <w:rsid w:val="00435F89"/>
    <w:rsid w:val="00436BD0"/>
    <w:rsid w:val="00436EDC"/>
    <w:rsid w:val="004374D3"/>
    <w:rsid w:val="004375B9"/>
    <w:rsid w:val="00437AA0"/>
    <w:rsid w:val="00437BED"/>
    <w:rsid w:val="00437FEF"/>
    <w:rsid w:val="00441AD4"/>
    <w:rsid w:val="004428D0"/>
    <w:rsid w:val="00442A74"/>
    <w:rsid w:val="00442CDF"/>
    <w:rsid w:val="004434E2"/>
    <w:rsid w:val="00443FE3"/>
    <w:rsid w:val="00444185"/>
    <w:rsid w:val="004443A7"/>
    <w:rsid w:val="0044442C"/>
    <w:rsid w:val="00445941"/>
    <w:rsid w:val="004464EB"/>
    <w:rsid w:val="0044768F"/>
    <w:rsid w:val="00447D26"/>
    <w:rsid w:val="00447DFC"/>
    <w:rsid w:val="00451576"/>
    <w:rsid w:val="004515D5"/>
    <w:rsid w:val="004532D3"/>
    <w:rsid w:val="00453F1B"/>
    <w:rsid w:val="00454348"/>
    <w:rsid w:val="00454BB1"/>
    <w:rsid w:val="00454F92"/>
    <w:rsid w:val="00454FAC"/>
    <w:rsid w:val="0045519F"/>
    <w:rsid w:val="0045548A"/>
    <w:rsid w:val="004555CF"/>
    <w:rsid w:val="00455D45"/>
    <w:rsid w:val="004565B2"/>
    <w:rsid w:val="00456FFF"/>
    <w:rsid w:val="004574FA"/>
    <w:rsid w:val="00457A0E"/>
    <w:rsid w:val="00460505"/>
    <w:rsid w:val="00460C2E"/>
    <w:rsid w:val="004610F4"/>
    <w:rsid w:val="00461D67"/>
    <w:rsid w:val="0046328A"/>
    <w:rsid w:val="0046429B"/>
    <w:rsid w:val="00464595"/>
    <w:rsid w:val="004648EE"/>
    <w:rsid w:val="0046529D"/>
    <w:rsid w:val="004656B8"/>
    <w:rsid w:val="004658B5"/>
    <w:rsid w:val="0046610D"/>
    <w:rsid w:val="00466162"/>
    <w:rsid w:val="00466427"/>
    <w:rsid w:val="0046661C"/>
    <w:rsid w:val="004671F3"/>
    <w:rsid w:val="004701D4"/>
    <w:rsid w:val="004710A3"/>
    <w:rsid w:val="00471EA5"/>
    <w:rsid w:val="0047280B"/>
    <w:rsid w:val="004728AE"/>
    <w:rsid w:val="00472A79"/>
    <w:rsid w:val="00473445"/>
    <w:rsid w:val="00473F19"/>
    <w:rsid w:val="00474029"/>
    <w:rsid w:val="00474120"/>
    <w:rsid w:val="00475E22"/>
    <w:rsid w:val="00476145"/>
    <w:rsid w:val="004762F8"/>
    <w:rsid w:val="004767E1"/>
    <w:rsid w:val="00476B9D"/>
    <w:rsid w:val="0048088E"/>
    <w:rsid w:val="00480F2B"/>
    <w:rsid w:val="00481CCF"/>
    <w:rsid w:val="0048207B"/>
    <w:rsid w:val="004821B9"/>
    <w:rsid w:val="00482720"/>
    <w:rsid w:val="004835E7"/>
    <w:rsid w:val="00484AEB"/>
    <w:rsid w:val="004859E1"/>
    <w:rsid w:val="004861C3"/>
    <w:rsid w:val="004861F1"/>
    <w:rsid w:val="004867E2"/>
    <w:rsid w:val="00487969"/>
    <w:rsid w:val="00487E67"/>
    <w:rsid w:val="00487F5A"/>
    <w:rsid w:val="00490B17"/>
    <w:rsid w:val="00490C8E"/>
    <w:rsid w:val="004913E9"/>
    <w:rsid w:val="0049174B"/>
    <w:rsid w:val="00491B3A"/>
    <w:rsid w:val="00492369"/>
    <w:rsid w:val="00492CFD"/>
    <w:rsid w:val="00493174"/>
    <w:rsid w:val="00493492"/>
    <w:rsid w:val="004941EC"/>
    <w:rsid w:val="00494207"/>
    <w:rsid w:val="00494C7E"/>
    <w:rsid w:val="00494DD5"/>
    <w:rsid w:val="0049623D"/>
    <w:rsid w:val="004962D2"/>
    <w:rsid w:val="00496D65"/>
    <w:rsid w:val="00497975"/>
    <w:rsid w:val="00497AAC"/>
    <w:rsid w:val="004A0DA1"/>
    <w:rsid w:val="004A0DFC"/>
    <w:rsid w:val="004A1190"/>
    <w:rsid w:val="004A13D6"/>
    <w:rsid w:val="004A2041"/>
    <w:rsid w:val="004A3090"/>
    <w:rsid w:val="004A31CC"/>
    <w:rsid w:val="004A3EC5"/>
    <w:rsid w:val="004A44EC"/>
    <w:rsid w:val="004A4BBE"/>
    <w:rsid w:val="004A4FE4"/>
    <w:rsid w:val="004A52E9"/>
    <w:rsid w:val="004A5D85"/>
    <w:rsid w:val="004A6040"/>
    <w:rsid w:val="004A6597"/>
    <w:rsid w:val="004A6E0D"/>
    <w:rsid w:val="004A7848"/>
    <w:rsid w:val="004A793B"/>
    <w:rsid w:val="004A7BA0"/>
    <w:rsid w:val="004A7C1D"/>
    <w:rsid w:val="004B0463"/>
    <w:rsid w:val="004B0643"/>
    <w:rsid w:val="004B0818"/>
    <w:rsid w:val="004B088E"/>
    <w:rsid w:val="004B0941"/>
    <w:rsid w:val="004B1368"/>
    <w:rsid w:val="004B158E"/>
    <w:rsid w:val="004B1CB4"/>
    <w:rsid w:val="004B2F18"/>
    <w:rsid w:val="004B34FF"/>
    <w:rsid w:val="004B3DDB"/>
    <w:rsid w:val="004B44FD"/>
    <w:rsid w:val="004B468B"/>
    <w:rsid w:val="004B5517"/>
    <w:rsid w:val="004B5CFC"/>
    <w:rsid w:val="004B617F"/>
    <w:rsid w:val="004B6F79"/>
    <w:rsid w:val="004B774D"/>
    <w:rsid w:val="004B7CEF"/>
    <w:rsid w:val="004C0B4D"/>
    <w:rsid w:val="004C1FBE"/>
    <w:rsid w:val="004C2707"/>
    <w:rsid w:val="004C2AC2"/>
    <w:rsid w:val="004C3271"/>
    <w:rsid w:val="004C330E"/>
    <w:rsid w:val="004C415F"/>
    <w:rsid w:val="004C43B2"/>
    <w:rsid w:val="004C46C1"/>
    <w:rsid w:val="004C4988"/>
    <w:rsid w:val="004C4AED"/>
    <w:rsid w:val="004C4C07"/>
    <w:rsid w:val="004C53F2"/>
    <w:rsid w:val="004C5529"/>
    <w:rsid w:val="004C5F17"/>
    <w:rsid w:val="004C698A"/>
    <w:rsid w:val="004C7A81"/>
    <w:rsid w:val="004C7C41"/>
    <w:rsid w:val="004D029E"/>
    <w:rsid w:val="004D09C2"/>
    <w:rsid w:val="004D121A"/>
    <w:rsid w:val="004D1673"/>
    <w:rsid w:val="004D276C"/>
    <w:rsid w:val="004D2C2D"/>
    <w:rsid w:val="004D4320"/>
    <w:rsid w:val="004D55D6"/>
    <w:rsid w:val="004D566F"/>
    <w:rsid w:val="004D69B5"/>
    <w:rsid w:val="004D6B59"/>
    <w:rsid w:val="004D7227"/>
    <w:rsid w:val="004D77E8"/>
    <w:rsid w:val="004D7B5E"/>
    <w:rsid w:val="004E0E7F"/>
    <w:rsid w:val="004E0EB8"/>
    <w:rsid w:val="004E109C"/>
    <w:rsid w:val="004E18E9"/>
    <w:rsid w:val="004E2047"/>
    <w:rsid w:val="004E255E"/>
    <w:rsid w:val="004E28A6"/>
    <w:rsid w:val="004E2935"/>
    <w:rsid w:val="004E2ADC"/>
    <w:rsid w:val="004E2AFD"/>
    <w:rsid w:val="004E3583"/>
    <w:rsid w:val="004E40F4"/>
    <w:rsid w:val="004E42D1"/>
    <w:rsid w:val="004E43B2"/>
    <w:rsid w:val="004E4414"/>
    <w:rsid w:val="004E4B78"/>
    <w:rsid w:val="004E5AF4"/>
    <w:rsid w:val="004E67E8"/>
    <w:rsid w:val="004F1667"/>
    <w:rsid w:val="004F1914"/>
    <w:rsid w:val="004F1D02"/>
    <w:rsid w:val="004F2679"/>
    <w:rsid w:val="004F2F21"/>
    <w:rsid w:val="004F36E7"/>
    <w:rsid w:val="004F3DE5"/>
    <w:rsid w:val="004F422F"/>
    <w:rsid w:val="004F60CE"/>
    <w:rsid w:val="004F6205"/>
    <w:rsid w:val="004F6913"/>
    <w:rsid w:val="004F6A56"/>
    <w:rsid w:val="004F7865"/>
    <w:rsid w:val="004F78B1"/>
    <w:rsid w:val="004F7B7E"/>
    <w:rsid w:val="004F7E71"/>
    <w:rsid w:val="00500260"/>
    <w:rsid w:val="00500580"/>
    <w:rsid w:val="0050058A"/>
    <w:rsid w:val="00500E39"/>
    <w:rsid w:val="005014FD"/>
    <w:rsid w:val="0050174E"/>
    <w:rsid w:val="00501854"/>
    <w:rsid w:val="0050219B"/>
    <w:rsid w:val="00502356"/>
    <w:rsid w:val="00502812"/>
    <w:rsid w:val="00502A99"/>
    <w:rsid w:val="00502F8C"/>
    <w:rsid w:val="0050371B"/>
    <w:rsid w:val="00503F17"/>
    <w:rsid w:val="00503F3A"/>
    <w:rsid w:val="005048E9"/>
    <w:rsid w:val="00504988"/>
    <w:rsid w:val="005051EB"/>
    <w:rsid w:val="00505481"/>
    <w:rsid w:val="00506928"/>
    <w:rsid w:val="005076D5"/>
    <w:rsid w:val="005077EF"/>
    <w:rsid w:val="00507EF1"/>
    <w:rsid w:val="0051145B"/>
    <w:rsid w:val="00511AD5"/>
    <w:rsid w:val="00511DC7"/>
    <w:rsid w:val="00513490"/>
    <w:rsid w:val="005142C5"/>
    <w:rsid w:val="00514441"/>
    <w:rsid w:val="00514731"/>
    <w:rsid w:val="0051501B"/>
    <w:rsid w:val="005151C3"/>
    <w:rsid w:val="005152B5"/>
    <w:rsid w:val="00515833"/>
    <w:rsid w:val="00515886"/>
    <w:rsid w:val="00515E10"/>
    <w:rsid w:val="005165FF"/>
    <w:rsid w:val="005172A9"/>
    <w:rsid w:val="005172AB"/>
    <w:rsid w:val="005175DA"/>
    <w:rsid w:val="00517DB4"/>
    <w:rsid w:val="005207BF"/>
    <w:rsid w:val="0052123C"/>
    <w:rsid w:val="00521319"/>
    <w:rsid w:val="005228EE"/>
    <w:rsid w:val="00522BC8"/>
    <w:rsid w:val="00522C1E"/>
    <w:rsid w:val="00523290"/>
    <w:rsid w:val="0052360A"/>
    <w:rsid w:val="00523C28"/>
    <w:rsid w:val="00524410"/>
    <w:rsid w:val="0052450B"/>
    <w:rsid w:val="00524E46"/>
    <w:rsid w:val="00524E6A"/>
    <w:rsid w:val="00526B6A"/>
    <w:rsid w:val="005273C4"/>
    <w:rsid w:val="005275C5"/>
    <w:rsid w:val="0053176B"/>
    <w:rsid w:val="00532601"/>
    <w:rsid w:val="00532C20"/>
    <w:rsid w:val="00533260"/>
    <w:rsid w:val="005341B3"/>
    <w:rsid w:val="00534278"/>
    <w:rsid w:val="00536424"/>
    <w:rsid w:val="00536BBE"/>
    <w:rsid w:val="00536EB9"/>
    <w:rsid w:val="00536F30"/>
    <w:rsid w:val="00536F42"/>
    <w:rsid w:val="00537182"/>
    <w:rsid w:val="0054088E"/>
    <w:rsid w:val="00541150"/>
    <w:rsid w:val="00541173"/>
    <w:rsid w:val="00541CAC"/>
    <w:rsid w:val="00541EDD"/>
    <w:rsid w:val="005423BC"/>
    <w:rsid w:val="00542743"/>
    <w:rsid w:val="00542C2D"/>
    <w:rsid w:val="00543486"/>
    <w:rsid w:val="00543970"/>
    <w:rsid w:val="005439B5"/>
    <w:rsid w:val="00543B8C"/>
    <w:rsid w:val="005441F2"/>
    <w:rsid w:val="005448A1"/>
    <w:rsid w:val="0054547C"/>
    <w:rsid w:val="005460E3"/>
    <w:rsid w:val="00546541"/>
    <w:rsid w:val="00546956"/>
    <w:rsid w:val="005478BD"/>
    <w:rsid w:val="005479E3"/>
    <w:rsid w:val="00547CAC"/>
    <w:rsid w:val="00550333"/>
    <w:rsid w:val="00551355"/>
    <w:rsid w:val="00551985"/>
    <w:rsid w:val="00551E73"/>
    <w:rsid w:val="00551FEE"/>
    <w:rsid w:val="00552BD3"/>
    <w:rsid w:val="00553235"/>
    <w:rsid w:val="005532A0"/>
    <w:rsid w:val="005539DA"/>
    <w:rsid w:val="00553FF1"/>
    <w:rsid w:val="0055406E"/>
    <w:rsid w:val="00554135"/>
    <w:rsid w:val="00554503"/>
    <w:rsid w:val="005547ED"/>
    <w:rsid w:val="00554802"/>
    <w:rsid w:val="00555109"/>
    <w:rsid w:val="0055576E"/>
    <w:rsid w:val="00556B35"/>
    <w:rsid w:val="0055741A"/>
    <w:rsid w:val="005577C6"/>
    <w:rsid w:val="0055793E"/>
    <w:rsid w:val="00560B22"/>
    <w:rsid w:val="00560F94"/>
    <w:rsid w:val="005611B7"/>
    <w:rsid w:val="005618D4"/>
    <w:rsid w:val="00562D1B"/>
    <w:rsid w:val="005632C4"/>
    <w:rsid w:val="00563E33"/>
    <w:rsid w:val="00564867"/>
    <w:rsid w:val="005658B0"/>
    <w:rsid w:val="00565C79"/>
    <w:rsid w:val="00565DF0"/>
    <w:rsid w:val="0056696F"/>
    <w:rsid w:val="00570B47"/>
    <w:rsid w:val="0057118C"/>
    <w:rsid w:val="00571232"/>
    <w:rsid w:val="00572269"/>
    <w:rsid w:val="0057244A"/>
    <w:rsid w:val="005725CC"/>
    <w:rsid w:val="00572A5C"/>
    <w:rsid w:val="00572CA6"/>
    <w:rsid w:val="00572F26"/>
    <w:rsid w:val="00573FCD"/>
    <w:rsid w:val="0057456E"/>
    <w:rsid w:val="00574B68"/>
    <w:rsid w:val="005750C5"/>
    <w:rsid w:val="005752DE"/>
    <w:rsid w:val="00575D60"/>
    <w:rsid w:val="00575D8D"/>
    <w:rsid w:val="00576972"/>
    <w:rsid w:val="0057711E"/>
    <w:rsid w:val="00577248"/>
    <w:rsid w:val="00577A26"/>
    <w:rsid w:val="005815F1"/>
    <w:rsid w:val="0058246E"/>
    <w:rsid w:val="00582F10"/>
    <w:rsid w:val="0058325B"/>
    <w:rsid w:val="005833A9"/>
    <w:rsid w:val="00583699"/>
    <w:rsid w:val="00585CDD"/>
    <w:rsid w:val="00585D63"/>
    <w:rsid w:val="00585DA2"/>
    <w:rsid w:val="0058643E"/>
    <w:rsid w:val="00586FCA"/>
    <w:rsid w:val="00587058"/>
    <w:rsid w:val="00587B5B"/>
    <w:rsid w:val="005907E7"/>
    <w:rsid w:val="0059111C"/>
    <w:rsid w:val="005912D2"/>
    <w:rsid w:val="005918D3"/>
    <w:rsid w:val="00591957"/>
    <w:rsid w:val="00591BDF"/>
    <w:rsid w:val="005925C4"/>
    <w:rsid w:val="00592A1D"/>
    <w:rsid w:val="005936E3"/>
    <w:rsid w:val="00593FBE"/>
    <w:rsid w:val="0059429B"/>
    <w:rsid w:val="00594CFA"/>
    <w:rsid w:val="00596DCB"/>
    <w:rsid w:val="005973C9"/>
    <w:rsid w:val="00597BF9"/>
    <w:rsid w:val="00597C41"/>
    <w:rsid w:val="00597D76"/>
    <w:rsid w:val="00597FA2"/>
    <w:rsid w:val="005A011C"/>
    <w:rsid w:val="005A0C11"/>
    <w:rsid w:val="005A171A"/>
    <w:rsid w:val="005A1FF0"/>
    <w:rsid w:val="005A309A"/>
    <w:rsid w:val="005A3212"/>
    <w:rsid w:val="005A33ED"/>
    <w:rsid w:val="005A373D"/>
    <w:rsid w:val="005A4324"/>
    <w:rsid w:val="005A459D"/>
    <w:rsid w:val="005A5409"/>
    <w:rsid w:val="005A5E0A"/>
    <w:rsid w:val="005A69F1"/>
    <w:rsid w:val="005A7751"/>
    <w:rsid w:val="005A7852"/>
    <w:rsid w:val="005A7ABC"/>
    <w:rsid w:val="005A7BA3"/>
    <w:rsid w:val="005A7D75"/>
    <w:rsid w:val="005B0743"/>
    <w:rsid w:val="005B0B58"/>
    <w:rsid w:val="005B0E3C"/>
    <w:rsid w:val="005B1405"/>
    <w:rsid w:val="005B1E66"/>
    <w:rsid w:val="005B4E53"/>
    <w:rsid w:val="005B54B1"/>
    <w:rsid w:val="005B57EE"/>
    <w:rsid w:val="005B5857"/>
    <w:rsid w:val="005B5D7A"/>
    <w:rsid w:val="005B6C26"/>
    <w:rsid w:val="005B7330"/>
    <w:rsid w:val="005B7999"/>
    <w:rsid w:val="005B7E97"/>
    <w:rsid w:val="005C026F"/>
    <w:rsid w:val="005C0D29"/>
    <w:rsid w:val="005C19C4"/>
    <w:rsid w:val="005C1B83"/>
    <w:rsid w:val="005C25FF"/>
    <w:rsid w:val="005C2D55"/>
    <w:rsid w:val="005C33D9"/>
    <w:rsid w:val="005C346B"/>
    <w:rsid w:val="005C39F9"/>
    <w:rsid w:val="005C3E1F"/>
    <w:rsid w:val="005C3FC4"/>
    <w:rsid w:val="005C4189"/>
    <w:rsid w:val="005C4713"/>
    <w:rsid w:val="005C55F5"/>
    <w:rsid w:val="005C5ABC"/>
    <w:rsid w:val="005C6BEE"/>
    <w:rsid w:val="005C70B3"/>
    <w:rsid w:val="005C79ED"/>
    <w:rsid w:val="005D003C"/>
    <w:rsid w:val="005D044D"/>
    <w:rsid w:val="005D0728"/>
    <w:rsid w:val="005D0853"/>
    <w:rsid w:val="005D09B9"/>
    <w:rsid w:val="005D0ABD"/>
    <w:rsid w:val="005D1043"/>
    <w:rsid w:val="005D10A6"/>
    <w:rsid w:val="005D18AD"/>
    <w:rsid w:val="005D1C42"/>
    <w:rsid w:val="005D24E7"/>
    <w:rsid w:val="005D26B4"/>
    <w:rsid w:val="005D39C3"/>
    <w:rsid w:val="005D3C22"/>
    <w:rsid w:val="005D3C97"/>
    <w:rsid w:val="005D3E2A"/>
    <w:rsid w:val="005D40FA"/>
    <w:rsid w:val="005D565B"/>
    <w:rsid w:val="005D6560"/>
    <w:rsid w:val="005D66B6"/>
    <w:rsid w:val="005D6F3C"/>
    <w:rsid w:val="005D7B0D"/>
    <w:rsid w:val="005E10AC"/>
    <w:rsid w:val="005E17AB"/>
    <w:rsid w:val="005E1995"/>
    <w:rsid w:val="005E28CB"/>
    <w:rsid w:val="005E2A7D"/>
    <w:rsid w:val="005E2B7B"/>
    <w:rsid w:val="005E4B0F"/>
    <w:rsid w:val="005E6CBC"/>
    <w:rsid w:val="005E7069"/>
    <w:rsid w:val="005E719E"/>
    <w:rsid w:val="005E72FF"/>
    <w:rsid w:val="005E73C0"/>
    <w:rsid w:val="005E7810"/>
    <w:rsid w:val="005F00E3"/>
    <w:rsid w:val="005F0355"/>
    <w:rsid w:val="005F07ED"/>
    <w:rsid w:val="005F083E"/>
    <w:rsid w:val="005F0FC4"/>
    <w:rsid w:val="005F1785"/>
    <w:rsid w:val="005F187D"/>
    <w:rsid w:val="005F212C"/>
    <w:rsid w:val="005F242F"/>
    <w:rsid w:val="005F2706"/>
    <w:rsid w:val="005F2B65"/>
    <w:rsid w:val="005F2B9B"/>
    <w:rsid w:val="005F2BA2"/>
    <w:rsid w:val="005F403E"/>
    <w:rsid w:val="005F43F8"/>
    <w:rsid w:val="005F4412"/>
    <w:rsid w:val="005F5680"/>
    <w:rsid w:val="005F58AC"/>
    <w:rsid w:val="005F647B"/>
    <w:rsid w:val="005F659F"/>
    <w:rsid w:val="005F6A8F"/>
    <w:rsid w:val="005F6BB7"/>
    <w:rsid w:val="005F6E0B"/>
    <w:rsid w:val="005F7082"/>
    <w:rsid w:val="005F7588"/>
    <w:rsid w:val="006003EF"/>
    <w:rsid w:val="006007CE"/>
    <w:rsid w:val="00600E93"/>
    <w:rsid w:val="006018F3"/>
    <w:rsid w:val="00601DCE"/>
    <w:rsid w:val="00602005"/>
    <w:rsid w:val="006025A1"/>
    <w:rsid w:val="00602D65"/>
    <w:rsid w:val="00602D93"/>
    <w:rsid w:val="00603248"/>
    <w:rsid w:val="00603DB9"/>
    <w:rsid w:val="00605758"/>
    <w:rsid w:val="00605FE7"/>
    <w:rsid w:val="00606C0D"/>
    <w:rsid w:val="00606FBA"/>
    <w:rsid w:val="00607669"/>
    <w:rsid w:val="006076F4"/>
    <w:rsid w:val="006079F9"/>
    <w:rsid w:val="00607AFD"/>
    <w:rsid w:val="00607C8E"/>
    <w:rsid w:val="0061011A"/>
    <w:rsid w:val="00611B12"/>
    <w:rsid w:val="00611EB3"/>
    <w:rsid w:val="00612380"/>
    <w:rsid w:val="006125E9"/>
    <w:rsid w:val="00612F97"/>
    <w:rsid w:val="00613004"/>
    <w:rsid w:val="00613038"/>
    <w:rsid w:val="006133B1"/>
    <w:rsid w:val="0061345D"/>
    <w:rsid w:val="00613773"/>
    <w:rsid w:val="0061549B"/>
    <w:rsid w:val="00616010"/>
    <w:rsid w:val="006161FD"/>
    <w:rsid w:val="00616650"/>
    <w:rsid w:val="00616802"/>
    <w:rsid w:val="00616FEF"/>
    <w:rsid w:val="00617E12"/>
    <w:rsid w:val="00620C25"/>
    <w:rsid w:val="00620EDE"/>
    <w:rsid w:val="00621477"/>
    <w:rsid w:val="00621ADA"/>
    <w:rsid w:val="00621BA1"/>
    <w:rsid w:val="00622A29"/>
    <w:rsid w:val="00622CE3"/>
    <w:rsid w:val="00622D03"/>
    <w:rsid w:val="00623219"/>
    <w:rsid w:val="00623378"/>
    <w:rsid w:val="0062338D"/>
    <w:rsid w:val="006233FB"/>
    <w:rsid w:val="006238BB"/>
    <w:rsid w:val="00623F7B"/>
    <w:rsid w:val="00624BD4"/>
    <w:rsid w:val="006250BD"/>
    <w:rsid w:val="0062549E"/>
    <w:rsid w:val="00626A04"/>
    <w:rsid w:val="00627084"/>
    <w:rsid w:val="00627421"/>
    <w:rsid w:val="006279A4"/>
    <w:rsid w:val="00627A57"/>
    <w:rsid w:val="00630299"/>
    <w:rsid w:val="006313BA"/>
    <w:rsid w:val="0063158F"/>
    <w:rsid w:val="00631597"/>
    <w:rsid w:val="00631D6B"/>
    <w:rsid w:val="00632183"/>
    <w:rsid w:val="006323F0"/>
    <w:rsid w:val="00632F83"/>
    <w:rsid w:val="006330A1"/>
    <w:rsid w:val="0063479F"/>
    <w:rsid w:val="006353F0"/>
    <w:rsid w:val="006357B5"/>
    <w:rsid w:val="006361FE"/>
    <w:rsid w:val="006364A1"/>
    <w:rsid w:val="006364AA"/>
    <w:rsid w:val="0063678E"/>
    <w:rsid w:val="006370B5"/>
    <w:rsid w:val="00637102"/>
    <w:rsid w:val="00637580"/>
    <w:rsid w:val="0063782F"/>
    <w:rsid w:val="0063795A"/>
    <w:rsid w:val="00637BFD"/>
    <w:rsid w:val="00637C0C"/>
    <w:rsid w:val="00637C5C"/>
    <w:rsid w:val="006402A7"/>
    <w:rsid w:val="00641234"/>
    <w:rsid w:val="00641C4E"/>
    <w:rsid w:val="00641CFB"/>
    <w:rsid w:val="00641FB3"/>
    <w:rsid w:val="0064249A"/>
    <w:rsid w:val="006424BE"/>
    <w:rsid w:val="00643131"/>
    <w:rsid w:val="0064434C"/>
    <w:rsid w:val="00644A1D"/>
    <w:rsid w:val="006454FF"/>
    <w:rsid w:val="00645ED0"/>
    <w:rsid w:val="006466D5"/>
    <w:rsid w:val="00646966"/>
    <w:rsid w:val="006471CC"/>
    <w:rsid w:val="006472FE"/>
    <w:rsid w:val="006477E1"/>
    <w:rsid w:val="006479BD"/>
    <w:rsid w:val="00647A29"/>
    <w:rsid w:val="00650280"/>
    <w:rsid w:val="0065079F"/>
    <w:rsid w:val="00650B54"/>
    <w:rsid w:val="00650B66"/>
    <w:rsid w:val="00650C4A"/>
    <w:rsid w:val="00650D39"/>
    <w:rsid w:val="006513FC"/>
    <w:rsid w:val="00651DBF"/>
    <w:rsid w:val="00652344"/>
    <w:rsid w:val="00652A28"/>
    <w:rsid w:val="0065379F"/>
    <w:rsid w:val="00654C57"/>
    <w:rsid w:val="00654DFC"/>
    <w:rsid w:val="00654E51"/>
    <w:rsid w:val="006557A5"/>
    <w:rsid w:val="00656188"/>
    <w:rsid w:val="00656C21"/>
    <w:rsid w:val="00656FB7"/>
    <w:rsid w:val="0065715A"/>
    <w:rsid w:val="006571F6"/>
    <w:rsid w:val="006578A6"/>
    <w:rsid w:val="0066010D"/>
    <w:rsid w:val="00661016"/>
    <w:rsid w:val="006610F1"/>
    <w:rsid w:val="00661C6B"/>
    <w:rsid w:val="00662CA7"/>
    <w:rsid w:val="00662D3E"/>
    <w:rsid w:val="00663140"/>
    <w:rsid w:val="0066383B"/>
    <w:rsid w:val="0066523A"/>
    <w:rsid w:val="0066704E"/>
    <w:rsid w:val="00667BE3"/>
    <w:rsid w:val="00667F9C"/>
    <w:rsid w:val="00671004"/>
    <w:rsid w:val="00671BE5"/>
    <w:rsid w:val="00672646"/>
    <w:rsid w:val="0067311F"/>
    <w:rsid w:val="006733EB"/>
    <w:rsid w:val="006741C8"/>
    <w:rsid w:val="00674E42"/>
    <w:rsid w:val="00674F9A"/>
    <w:rsid w:val="00676563"/>
    <w:rsid w:val="00677B9E"/>
    <w:rsid w:val="00680E72"/>
    <w:rsid w:val="006813F8"/>
    <w:rsid w:val="00681471"/>
    <w:rsid w:val="00681734"/>
    <w:rsid w:val="00682112"/>
    <w:rsid w:val="00682525"/>
    <w:rsid w:val="006825D5"/>
    <w:rsid w:val="00682BA6"/>
    <w:rsid w:val="00682F78"/>
    <w:rsid w:val="006830DC"/>
    <w:rsid w:val="00683148"/>
    <w:rsid w:val="006837A8"/>
    <w:rsid w:val="00683E7B"/>
    <w:rsid w:val="00684B6B"/>
    <w:rsid w:val="00685843"/>
    <w:rsid w:val="006858F2"/>
    <w:rsid w:val="00686579"/>
    <w:rsid w:val="00686957"/>
    <w:rsid w:val="006872BA"/>
    <w:rsid w:val="00690795"/>
    <w:rsid w:val="006910D0"/>
    <w:rsid w:val="00691648"/>
    <w:rsid w:val="006917D7"/>
    <w:rsid w:val="00692DF2"/>
    <w:rsid w:val="0069434C"/>
    <w:rsid w:val="00694F44"/>
    <w:rsid w:val="00695092"/>
    <w:rsid w:val="00695636"/>
    <w:rsid w:val="0069615D"/>
    <w:rsid w:val="00696EF9"/>
    <w:rsid w:val="00696F51"/>
    <w:rsid w:val="0069724F"/>
    <w:rsid w:val="00697762"/>
    <w:rsid w:val="006979A5"/>
    <w:rsid w:val="006A0078"/>
    <w:rsid w:val="006A016F"/>
    <w:rsid w:val="006A017F"/>
    <w:rsid w:val="006A0DF7"/>
    <w:rsid w:val="006A27D1"/>
    <w:rsid w:val="006A2905"/>
    <w:rsid w:val="006A2CA8"/>
    <w:rsid w:val="006A32A4"/>
    <w:rsid w:val="006A3799"/>
    <w:rsid w:val="006A3AE3"/>
    <w:rsid w:val="006A3C80"/>
    <w:rsid w:val="006A4261"/>
    <w:rsid w:val="006A4321"/>
    <w:rsid w:val="006A43D9"/>
    <w:rsid w:val="006A4A20"/>
    <w:rsid w:val="006A64EE"/>
    <w:rsid w:val="006A6943"/>
    <w:rsid w:val="006A6AAB"/>
    <w:rsid w:val="006A6B99"/>
    <w:rsid w:val="006A6D1F"/>
    <w:rsid w:val="006A731F"/>
    <w:rsid w:val="006A7E5F"/>
    <w:rsid w:val="006B00B9"/>
    <w:rsid w:val="006B070E"/>
    <w:rsid w:val="006B0C03"/>
    <w:rsid w:val="006B1874"/>
    <w:rsid w:val="006B261B"/>
    <w:rsid w:val="006B2C90"/>
    <w:rsid w:val="006B2EE8"/>
    <w:rsid w:val="006B35E6"/>
    <w:rsid w:val="006B3832"/>
    <w:rsid w:val="006B465A"/>
    <w:rsid w:val="006B62ED"/>
    <w:rsid w:val="006B6DCC"/>
    <w:rsid w:val="006B6DD0"/>
    <w:rsid w:val="006B707D"/>
    <w:rsid w:val="006B725A"/>
    <w:rsid w:val="006B775C"/>
    <w:rsid w:val="006B7A49"/>
    <w:rsid w:val="006B7D85"/>
    <w:rsid w:val="006C02E7"/>
    <w:rsid w:val="006C0399"/>
    <w:rsid w:val="006C08A5"/>
    <w:rsid w:val="006C0CB7"/>
    <w:rsid w:val="006C16F3"/>
    <w:rsid w:val="006C1796"/>
    <w:rsid w:val="006C1E73"/>
    <w:rsid w:val="006C218D"/>
    <w:rsid w:val="006C2A08"/>
    <w:rsid w:val="006C2A8E"/>
    <w:rsid w:val="006C313E"/>
    <w:rsid w:val="006C3255"/>
    <w:rsid w:val="006C36F5"/>
    <w:rsid w:val="006C3F26"/>
    <w:rsid w:val="006C4EBC"/>
    <w:rsid w:val="006C566F"/>
    <w:rsid w:val="006C629B"/>
    <w:rsid w:val="006C650D"/>
    <w:rsid w:val="006D0364"/>
    <w:rsid w:val="006D0D17"/>
    <w:rsid w:val="006D21C1"/>
    <w:rsid w:val="006D3409"/>
    <w:rsid w:val="006D350A"/>
    <w:rsid w:val="006D3BBF"/>
    <w:rsid w:val="006D3C7D"/>
    <w:rsid w:val="006D4427"/>
    <w:rsid w:val="006D4659"/>
    <w:rsid w:val="006D5492"/>
    <w:rsid w:val="006D5D5F"/>
    <w:rsid w:val="006D62F1"/>
    <w:rsid w:val="006D631D"/>
    <w:rsid w:val="006D68FB"/>
    <w:rsid w:val="006D6C59"/>
    <w:rsid w:val="006D7A2E"/>
    <w:rsid w:val="006E057F"/>
    <w:rsid w:val="006E087F"/>
    <w:rsid w:val="006E099A"/>
    <w:rsid w:val="006E1695"/>
    <w:rsid w:val="006E197A"/>
    <w:rsid w:val="006E1B08"/>
    <w:rsid w:val="006E1B84"/>
    <w:rsid w:val="006E1D76"/>
    <w:rsid w:val="006E2868"/>
    <w:rsid w:val="006E2C32"/>
    <w:rsid w:val="006E2EC5"/>
    <w:rsid w:val="006E342D"/>
    <w:rsid w:val="006E3871"/>
    <w:rsid w:val="006E4EE5"/>
    <w:rsid w:val="006E54ED"/>
    <w:rsid w:val="006E5E04"/>
    <w:rsid w:val="006E5E47"/>
    <w:rsid w:val="006E63C2"/>
    <w:rsid w:val="006E69B6"/>
    <w:rsid w:val="006F1CEE"/>
    <w:rsid w:val="006F1F6C"/>
    <w:rsid w:val="006F306C"/>
    <w:rsid w:val="006F361D"/>
    <w:rsid w:val="006F3AD4"/>
    <w:rsid w:val="006F4733"/>
    <w:rsid w:val="006F6230"/>
    <w:rsid w:val="006F63A5"/>
    <w:rsid w:val="006F7350"/>
    <w:rsid w:val="007006C4"/>
    <w:rsid w:val="00700E30"/>
    <w:rsid w:val="00701395"/>
    <w:rsid w:val="0070142B"/>
    <w:rsid w:val="007017E8"/>
    <w:rsid w:val="00701D7F"/>
    <w:rsid w:val="00702644"/>
    <w:rsid w:val="0070276E"/>
    <w:rsid w:val="00702F8F"/>
    <w:rsid w:val="007039FE"/>
    <w:rsid w:val="00704A0F"/>
    <w:rsid w:val="00704DCE"/>
    <w:rsid w:val="00704E25"/>
    <w:rsid w:val="007057EF"/>
    <w:rsid w:val="00705B92"/>
    <w:rsid w:val="00705F51"/>
    <w:rsid w:val="0070758B"/>
    <w:rsid w:val="007079FC"/>
    <w:rsid w:val="007100FC"/>
    <w:rsid w:val="00710938"/>
    <w:rsid w:val="00711A36"/>
    <w:rsid w:val="00711BB2"/>
    <w:rsid w:val="00712204"/>
    <w:rsid w:val="007125D3"/>
    <w:rsid w:val="00712845"/>
    <w:rsid w:val="00712E7D"/>
    <w:rsid w:val="0071324D"/>
    <w:rsid w:val="007137A3"/>
    <w:rsid w:val="007142E1"/>
    <w:rsid w:val="00714C26"/>
    <w:rsid w:val="0071529C"/>
    <w:rsid w:val="00715357"/>
    <w:rsid w:val="00715909"/>
    <w:rsid w:val="00716835"/>
    <w:rsid w:val="0071685B"/>
    <w:rsid w:val="007170DA"/>
    <w:rsid w:val="007172AD"/>
    <w:rsid w:val="00717546"/>
    <w:rsid w:val="00717857"/>
    <w:rsid w:val="00717908"/>
    <w:rsid w:val="00717D5F"/>
    <w:rsid w:val="00717DE5"/>
    <w:rsid w:val="00720801"/>
    <w:rsid w:val="00721EA3"/>
    <w:rsid w:val="00722AF6"/>
    <w:rsid w:val="00722B1B"/>
    <w:rsid w:val="00723083"/>
    <w:rsid w:val="0072416F"/>
    <w:rsid w:val="0072461F"/>
    <w:rsid w:val="00725601"/>
    <w:rsid w:val="00726432"/>
    <w:rsid w:val="00726655"/>
    <w:rsid w:val="00726C9E"/>
    <w:rsid w:val="00727C87"/>
    <w:rsid w:val="00727C94"/>
    <w:rsid w:val="00727F44"/>
    <w:rsid w:val="00731B0A"/>
    <w:rsid w:val="00731EAE"/>
    <w:rsid w:val="00732101"/>
    <w:rsid w:val="0073220C"/>
    <w:rsid w:val="00733073"/>
    <w:rsid w:val="00733322"/>
    <w:rsid w:val="00733A95"/>
    <w:rsid w:val="0073450A"/>
    <w:rsid w:val="00734638"/>
    <w:rsid w:val="00734810"/>
    <w:rsid w:val="007349F2"/>
    <w:rsid w:val="00734BCA"/>
    <w:rsid w:val="00735033"/>
    <w:rsid w:val="00735328"/>
    <w:rsid w:val="007356CB"/>
    <w:rsid w:val="007358ED"/>
    <w:rsid w:val="0073685B"/>
    <w:rsid w:val="00737001"/>
    <w:rsid w:val="007375B0"/>
    <w:rsid w:val="00737F15"/>
    <w:rsid w:val="007400D3"/>
    <w:rsid w:val="00740CBB"/>
    <w:rsid w:val="00740F18"/>
    <w:rsid w:val="007421F6"/>
    <w:rsid w:val="007430C8"/>
    <w:rsid w:val="007440EF"/>
    <w:rsid w:val="007449BF"/>
    <w:rsid w:val="00744FDC"/>
    <w:rsid w:val="007452DE"/>
    <w:rsid w:val="00745BD6"/>
    <w:rsid w:val="007463FE"/>
    <w:rsid w:val="00746BC0"/>
    <w:rsid w:val="00747ADC"/>
    <w:rsid w:val="00747B78"/>
    <w:rsid w:val="007510B4"/>
    <w:rsid w:val="007510D8"/>
    <w:rsid w:val="00752142"/>
    <w:rsid w:val="007523F9"/>
    <w:rsid w:val="00753246"/>
    <w:rsid w:val="0075357E"/>
    <w:rsid w:val="00753B29"/>
    <w:rsid w:val="00754ABF"/>
    <w:rsid w:val="007555FA"/>
    <w:rsid w:val="00755AA8"/>
    <w:rsid w:val="00755E7F"/>
    <w:rsid w:val="007573E8"/>
    <w:rsid w:val="007575A8"/>
    <w:rsid w:val="00760A2B"/>
    <w:rsid w:val="00760C4E"/>
    <w:rsid w:val="00760F9E"/>
    <w:rsid w:val="007616E6"/>
    <w:rsid w:val="0076199C"/>
    <w:rsid w:val="00761E08"/>
    <w:rsid w:val="007627BE"/>
    <w:rsid w:val="007628B8"/>
    <w:rsid w:val="00762BBF"/>
    <w:rsid w:val="00762BC5"/>
    <w:rsid w:val="00762D72"/>
    <w:rsid w:val="0076364D"/>
    <w:rsid w:val="00764E99"/>
    <w:rsid w:val="00764F03"/>
    <w:rsid w:val="0076548C"/>
    <w:rsid w:val="00765B1A"/>
    <w:rsid w:val="00765DC1"/>
    <w:rsid w:val="0076606C"/>
    <w:rsid w:val="0076622D"/>
    <w:rsid w:val="00766672"/>
    <w:rsid w:val="00766AFA"/>
    <w:rsid w:val="00770026"/>
    <w:rsid w:val="00770574"/>
    <w:rsid w:val="00771756"/>
    <w:rsid w:val="00772570"/>
    <w:rsid w:val="00773127"/>
    <w:rsid w:val="0077365F"/>
    <w:rsid w:val="00774A6C"/>
    <w:rsid w:val="00775053"/>
    <w:rsid w:val="0077506F"/>
    <w:rsid w:val="00775892"/>
    <w:rsid w:val="007759CC"/>
    <w:rsid w:val="007771A0"/>
    <w:rsid w:val="00777335"/>
    <w:rsid w:val="00777ACF"/>
    <w:rsid w:val="00777B96"/>
    <w:rsid w:val="00780389"/>
    <w:rsid w:val="007804A8"/>
    <w:rsid w:val="0078090D"/>
    <w:rsid w:val="00780E70"/>
    <w:rsid w:val="0078188B"/>
    <w:rsid w:val="00782D70"/>
    <w:rsid w:val="007843F2"/>
    <w:rsid w:val="007845A4"/>
    <w:rsid w:val="007846FA"/>
    <w:rsid w:val="00784E16"/>
    <w:rsid w:val="00784E24"/>
    <w:rsid w:val="00785425"/>
    <w:rsid w:val="00785A9F"/>
    <w:rsid w:val="007900DA"/>
    <w:rsid w:val="007907E2"/>
    <w:rsid w:val="007911F4"/>
    <w:rsid w:val="00792202"/>
    <w:rsid w:val="00792250"/>
    <w:rsid w:val="007925DF"/>
    <w:rsid w:val="0079305E"/>
    <w:rsid w:val="00793915"/>
    <w:rsid w:val="0079393C"/>
    <w:rsid w:val="00794ABC"/>
    <w:rsid w:val="00794C82"/>
    <w:rsid w:val="007954F9"/>
    <w:rsid w:val="00795CAA"/>
    <w:rsid w:val="0079607F"/>
    <w:rsid w:val="00797835"/>
    <w:rsid w:val="00797E50"/>
    <w:rsid w:val="007A08AA"/>
    <w:rsid w:val="007A0A12"/>
    <w:rsid w:val="007A0BF9"/>
    <w:rsid w:val="007A132D"/>
    <w:rsid w:val="007A1345"/>
    <w:rsid w:val="007A151E"/>
    <w:rsid w:val="007A1E91"/>
    <w:rsid w:val="007A2DDB"/>
    <w:rsid w:val="007A4261"/>
    <w:rsid w:val="007A4B74"/>
    <w:rsid w:val="007A4F0B"/>
    <w:rsid w:val="007A58CD"/>
    <w:rsid w:val="007A5E07"/>
    <w:rsid w:val="007A5E67"/>
    <w:rsid w:val="007A687B"/>
    <w:rsid w:val="007A70BA"/>
    <w:rsid w:val="007A72C2"/>
    <w:rsid w:val="007A7491"/>
    <w:rsid w:val="007B0364"/>
    <w:rsid w:val="007B04B7"/>
    <w:rsid w:val="007B06AE"/>
    <w:rsid w:val="007B0843"/>
    <w:rsid w:val="007B0A2F"/>
    <w:rsid w:val="007B0A34"/>
    <w:rsid w:val="007B0A5F"/>
    <w:rsid w:val="007B0B07"/>
    <w:rsid w:val="007B0D68"/>
    <w:rsid w:val="007B0E04"/>
    <w:rsid w:val="007B19E9"/>
    <w:rsid w:val="007B1D5E"/>
    <w:rsid w:val="007B251D"/>
    <w:rsid w:val="007B2BAE"/>
    <w:rsid w:val="007B3533"/>
    <w:rsid w:val="007B4C52"/>
    <w:rsid w:val="007B4F58"/>
    <w:rsid w:val="007B502D"/>
    <w:rsid w:val="007B528D"/>
    <w:rsid w:val="007B62E7"/>
    <w:rsid w:val="007B63CA"/>
    <w:rsid w:val="007B6FB5"/>
    <w:rsid w:val="007B77D1"/>
    <w:rsid w:val="007B77FC"/>
    <w:rsid w:val="007B7D21"/>
    <w:rsid w:val="007B7FB6"/>
    <w:rsid w:val="007C07C7"/>
    <w:rsid w:val="007C14AB"/>
    <w:rsid w:val="007C1B19"/>
    <w:rsid w:val="007C1CD9"/>
    <w:rsid w:val="007C2247"/>
    <w:rsid w:val="007C32EF"/>
    <w:rsid w:val="007C361D"/>
    <w:rsid w:val="007C3962"/>
    <w:rsid w:val="007C3EBF"/>
    <w:rsid w:val="007C4B84"/>
    <w:rsid w:val="007C524F"/>
    <w:rsid w:val="007C6CC7"/>
    <w:rsid w:val="007C70FF"/>
    <w:rsid w:val="007C7AA7"/>
    <w:rsid w:val="007C7C25"/>
    <w:rsid w:val="007D0027"/>
    <w:rsid w:val="007D004F"/>
    <w:rsid w:val="007D02B1"/>
    <w:rsid w:val="007D035F"/>
    <w:rsid w:val="007D06B2"/>
    <w:rsid w:val="007D0B38"/>
    <w:rsid w:val="007D0CB3"/>
    <w:rsid w:val="007D0FC9"/>
    <w:rsid w:val="007D174C"/>
    <w:rsid w:val="007D1B7E"/>
    <w:rsid w:val="007D1DD0"/>
    <w:rsid w:val="007D4753"/>
    <w:rsid w:val="007D4965"/>
    <w:rsid w:val="007D49D6"/>
    <w:rsid w:val="007D5440"/>
    <w:rsid w:val="007D55DC"/>
    <w:rsid w:val="007D57A2"/>
    <w:rsid w:val="007D5963"/>
    <w:rsid w:val="007D5B96"/>
    <w:rsid w:val="007D69EB"/>
    <w:rsid w:val="007D6EB2"/>
    <w:rsid w:val="007D7214"/>
    <w:rsid w:val="007D73D8"/>
    <w:rsid w:val="007E0572"/>
    <w:rsid w:val="007E128F"/>
    <w:rsid w:val="007E1724"/>
    <w:rsid w:val="007E3BF3"/>
    <w:rsid w:val="007E3D46"/>
    <w:rsid w:val="007E3D75"/>
    <w:rsid w:val="007E43CF"/>
    <w:rsid w:val="007E467F"/>
    <w:rsid w:val="007E4A61"/>
    <w:rsid w:val="007E4F69"/>
    <w:rsid w:val="007E562A"/>
    <w:rsid w:val="007E57D7"/>
    <w:rsid w:val="007E65FA"/>
    <w:rsid w:val="007E6A34"/>
    <w:rsid w:val="007E74BC"/>
    <w:rsid w:val="007E787A"/>
    <w:rsid w:val="007E7A59"/>
    <w:rsid w:val="007E7CC9"/>
    <w:rsid w:val="007E7E7D"/>
    <w:rsid w:val="007F1017"/>
    <w:rsid w:val="007F3354"/>
    <w:rsid w:val="007F33DF"/>
    <w:rsid w:val="007F4265"/>
    <w:rsid w:val="007F4A3F"/>
    <w:rsid w:val="007F4A61"/>
    <w:rsid w:val="007F4AD9"/>
    <w:rsid w:val="007F5255"/>
    <w:rsid w:val="007F56CC"/>
    <w:rsid w:val="007F605E"/>
    <w:rsid w:val="007F6180"/>
    <w:rsid w:val="007F61C2"/>
    <w:rsid w:val="007F68E9"/>
    <w:rsid w:val="007F736D"/>
    <w:rsid w:val="007F761C"/>
    <w:rsid w:val="007F7E74"/>
    <w:rsid w:val="0080034F"/>
    <w:rsid w:val="00801F2A"/>
    <w:rsid w:val="0080232A"/>
    <w:rsid w:val="008026F9"/>
    <w:rsid w:val="00804A75"/>
    <w:rsid w:val="00805142"/>
    <w:rsid w:val="0080570C"/>
    <w:rsid w:val="00805FCE"/>
    <w:rsid w:val="0080720C"/>
    <w:rsid w:val="00807467"/>
    <w:rsid w:val="00807585"/>
    <w:rsid w:val="00807A8B"/>
    <w:rsid w:val="00807B9D"/>
    <w:rsid w:val="008100A5"/>
    <w:rsid w:val="008103BC"/>
    <w:rsid w:val="00810B93"/>
    <w:rsid w:val="00810E6B"/>
    <w:rsid w:val="00811383"/>
    <w:rsid w:val="0081189E"/>
    <w:rsid w:val="00812149"/>
    <w:rsid w:val="008126F0"/>
    <w:rsid w:val="00812CAC"/>
    <w:rsid w:val="00813081"/>
    <w:rsid w:val="00813837"/>
    <w:rsid w:val="00813B37"/>
    <w:rsid w:val="0081534D"/>
    <w:rsid w:val="00816361"/>
    <w:rsid w:val="008164C8"/>
    <w:rsid w:val="008166EF"/>
    <w:rsid w:val="00816D34"/>
    <w:rsid w:val="00816FEF"/>
    <w:rsid w:val="00817722"/>
    <w:rsid w:val="008209FB"/>
    <w:rsid w:val="00820A8C"/>
    <w:rsid w:val="00820AC0"/>
    <w:rsid w:val="00821529"/>
    <w:rsid w:val="008215FB"/>
    <w:rsid w:val="008217FE"/>
    <w:rsid w:val="008220CC"/>
    <w:rsid w:val="008222AE"/>
    <w:rsid w:val="00822A50"/>
    <w:rsid w:val="00823174"/>
    <w:rsid w:val="0082357A"/>
    <w:rsid w:val="00824DAE"/>
    <w:rsid w:val="00825081"/>
    <w:rsid w:val="00825327"/>
    <w:rsid w:val="00825751"/>
    <w:rsid w:val="00825BBB"/>
    <w:rsid w:val="00825E8F"/>
    <w:rsid w:val="008264EB"/>
    <w:rsid w:val="008268CE"/>
    <w:rsid w:val="00826E2A"/>
    <w:rsid w:val="00827C23"/>
    <w:rsid w:val="00830002"/>
    <w:rsid w:val="00830B9D"/>
    <w:rsid w:val="00830DA3"/>
    <w:rsid w:val="00831480"/>
    <w:rsid w:val="008315D0"/>
    <w:rsid w:val="00831AB7"/>
    <w:rsid w:val="00832616"/>
    <w:rsid w:val="00832B54"/>
    <w:rsid w:val="0083312B"/>
    <w:rsid w:val="0083349A"/>
    <w:rsid w:val="008335BB"/>
    <w:rsid w:val="00833B05"/>
    <w:rsid w:val="008351D7"/>
    <w:rsid w:val="008359D4"/>
    <w:rsid w:val="00835F52"/>
    <w:rsid w:val="008362B4"/>
    <w:rsid w:val="0083634A"/>
    <w:rsid w:val="008367AA"/>
    <w:rsid w:val="00837AB8"/>
    <w:rsid w:val="00837D69"/>
    <w:rsid w:val="00840CA2"/>
    <w:rsid w:val="0084111B"/>
    <w:rsid w:val="00841F95"/>
    <w:rsid w:val="0084374F"/>
    <w:rsid w:val="00843D63"/>
    <w:rsid w:val="00843FAB"/>
    <w:rsid w:val="00844A14"/>
    <w:rsid w:val="00844A22"/>
    <w:rsid w:val="00844DBC"/>
    <w:rsid w:val="008451A0"/>
    <w:rsid w:val="0084545A"/>
    <w:rsid w:val="00846658"/>
    <w:rsid w:val="0084747C"/>
    <w:rsid w:val="00847703"/>
    <w:rsid w:val="00847C9A"/>
    <w:rsid w:val="00847DF5"/>
    <w:rsid w:val="00850958"/>
    <w:rsid w:val="00850B3C"/>
    <w:rsid w:val="00851F54"/>
    <w:rsid w:val="00852126"/>
    <w:rsid w:val="00852974"/>
    <w:rsid w:val="0085309D"/>
    <w:rsid w:val="008531EC"/>
    <w:rsid w:val="008542D8"/>
    <w:rsid w:val="00854C83"/>
    <w:rsid w:val="00854DCC"/>
    <w:rsid w:val="00856702"/>
    <w:rsid w:val="00856897"/>
    <w:rsid w:val="00856E9A"/>
    <w:rsid w:val="00857164"/>
    <w:rsid w:val="008579CF"/>
    <w:rsid w:val="00857FB2"/>
    <w:rsid w:val="0086075D"/>
    <w:rsid w:val="00861169"/>
    <w:rsid w:val="0086162A"/>
    <w:rsid w:val="00861A9A"/>
    <w:rsid w:val="0086208B"/>
    <w:rsid w:val="00862502"/>
    <w:rsid w:val="00862AA1"/>
    <w:rsid w:val="00862CC1"/>
    <w:rsid w:val="00863082"/>
    <w:rsid w:val="008642A7"/>
    <w:rsid w:val="00864581"/>
    <w:rsid w:val="00865228"/>
    <w:rsid w:val="008655B9"/>
    <w:rsid w:val="008660D4"/>
    <w:rsid w:val="008666C3"/>
    <w:rsid w:val="00866AC6"/>
    <w:rsid w:val="00866F86"/>
    <w:rsid w:val="00867C85"/>
    <w:rsid w:val="008700BD"/>
    <w:rsid w:val="008700C5"/>
    <w:rsid w:val="00870555"/>
    <w:rsid w:val="00870713"/>
    <w:rsid w:val="008709E3"/>
    <w:rsid w:val="00870AAC"/>
    <w:rsid w:val="00871016"/>
    <w:rsid w:val="0087171E"/>
    <w:rsid w:val="00871FA9"/>
    <w:rsid w:val="008723A4"/>
    <w:rsid w:val="008728E9"/>
    <w:rsid w:val="00872D2A"/>
    <w:rsid w:val="00872FA8"/>
    <w:rsid w:val="0087340C"/>
    <w:rsid w:val="00873424"/>
    <w:rsid w:val="008744DD"/>
    <w:rsid w:val="00874E76"/>
    <w:rsid w:val="008750D3"/>
    <w:rsid w:val="00875B00"/>
    <w:rsid w:val="00876021"/>
    <w:rsid w:val="00877677"/>
    <w:rsid w:val="008809DB"/>
    <w:rsid w:val="00882874"/>
    <w:rsid w:val="00882E3C"/>
    <w:rsid w:val="0088308A"/>
    <w:rsid w:val="0088335E"/>
    <w:rsid w:val="00883787"/>
    <w:rsid w:val="008855E4"/>
    <w:rsid w:val="008856D4"/>
    <w:rsid w:val="008867DD"/>
    <w:rsid w:val="00886CD2"/>
    <w:rsid w:val="00887733"/>
    <w:rsid w:val="00887A3C"/>
    <w:rsid w:val="00887EA1"/>
    <w:rsid w:val="0089156E"/>
    <w:rsid w:val="00891E6F"/>
    <w:rsid w:val="00891FF9"/>
    <w:rsid w:val="0089275D"/>
    <w:rsid w:val="00892A36"/>
    <w:rsid w:val="00892D3E"/>
    <w:rsid w:val="00893239"/>
    <w:rsid w:val="0089359F"/>
    <w:rsid w:val="00894489"/>
    <w:rsid w:val="00894849"/>
    <w:rsid w:val="00894A16"/>
    <w:rsid w:val="00894CD6"/>
    <w:rsid w:val="00894E65"/>
    <w:rsid w:val="00894E87"/>
    <w:rsid w:val="008952E7"/>
    <w:rsid w:val="008963A5"/>
    <w:rsid w:val="00896D5D"/>
    <w:rsid w:val="0089793A"/>
    <w:rsid w:val="00897D10"/>
    <w:rsid w:val="008A0E9D"/>
    <w:rsid w:val="008A0EB3"/>
    <w:rsid w:val="008A1C88"/>
    <w:rsid w:val="008A2B48"/>
    <w:rsid w:val="008A3158"/>
    <w:rsid w:val="008A3363"/>
    <w:rsid w:val="008A3371"/>
    <w:rsid w:val="008A3C3E"/>
    <w:rsid w:val="008A443C"/>
    <w:rsid w:val="008A46FB"/>
    <w:rsid w:val="008A4AB1"/>
    <w:rsid w:val="008A4BA5"/>
    <w:rsid w:val="008A65A4"/>
    <w:rsid w:val="008A762A"/>
    <w:rsid w:val="008A76A6"/>
    <w:rsid w:val="008A79DE"/>
    <w:rsid w:val="008A7B1A"/>
    <w:rsid w:val="008A7DA6"/>
    <w:rsid w:val="008B0106"/>
    <w:rsid w:val="008B0225"/>
    <w:rsid w:val="008B0F78"/>
    <w:rsid w:val="008B1757"/>
    <w:rsid w:val="008B1C33"/>
    <w:rsid w:val="008B216B"/>
    <w:rsid w:val="008B2D57"/>
    <w:rsid w:val="008B3597"/>
    <w:rsid w:val="008B3CFC"/>
    <w:rsid w:val="008B3E79"/>
    <w:rsid w:val="008B4013"/>
    <w:rsid w:val="008B4B6F"/>
    <w:rsid w:val="008B5DF4"/>
    <w:rsid w:val="008B60E1"/>
    <w:rsid w:val="008B68FC"/>
    <w:rsid w:val="008B7188"/>
    <w:rsid w:val="008B7992"/>
    <w:rsid w:val="008B7C59"/>
    <w:rsid w:val="008B7D7E"/>
    <w:rsid w:val="008C0CE2"/>
    <w:rsid w:val="008C0DE4"/>
    <w:rsid w:val="008C1349"/>
    <w:rsid w:val="008C2A94"/>
    <w:rsid w:val="008C323A"/>
    <w:rsid w:val="008C497F"/>
    <w:rsid w:val="008C4C02"/>
    <w:rsid w:val="008C4DCE"/>
    <w:rsid w:val="008C510B"/>
    <w:rsid w:val="008C5610"/>
    <w:rsid w:val="008C5739"/>
    <w:rsid w:val="008C5E69"/>
    <w:rsid w:val="008C67BE"/>
    <w:rsid w:val="008C7282"/>
    <w:rsid w:val="008C7500"/>
    <w:rsid w:val="008C7ECB"/>
    <w:rsid w:val="008D0173"/>
    <w:rsid w:val="008D0CB4"/>
    <w:rsid w:val="008D0EE3"/>
    <w:rsid w:val="008D17DD"/>
    <w:rsid w:val="008D2BD0"/>
    <w:rsid w:val="008D2E86"/>
    <w:rsid w:val="008D3B86"/>
    <w:rsid w:val="008D3F64"/>
    <w:rsid w:val="008D435C"/>
    <w:rsid w:val="008D43FD"/>
    <w:rsid w:val="008D4755"/>
    <w:rsid w:val="008D49D0"/>
    <w:rsid w:val="008D4C3D"/>
    <w:rsid w:val="008D552E"/>
    <w:rsid w:val="008D5801"/>
    <w:rsid w:val="008D5F9A"/>
    <w:rsid w:val="008D6CC9"/>
    <w:rsid w:val="008D713F"/>
    <w:rsid w:val="008D743C"/>
    <w:rsid w:val="008D74BF"/>
    <w:rsid w:val="008D7671"/>
    <w:rsid w:val="008D798A"/>
    <w:rsid w:val="008E0D3C"/>
    <w:rsid w:val="008E1245"/>
    <w:rsid w:val="008E1B9E"/>
    <w:rsid w:val="008E20CF"/>
    <w:rsid w:val="008E22B0"/>
    <w:rsid w:val="008E2C2F"/>
    <w:rsid w:val="008E3078"/>
    <w:rsid w:val="008E3211"/>
    <w:rsid w:val="008E3858"/>
    <w:rsid w:val="008E55AB"/>
    <w:rsid w:val="008E5B79"/>
    <w:rsid w:val="008E5B91"/>
    <w:rsid w:val="008E691F"/>
    <w:rsid w:val="008E7B86"/>
    <w:rsid w:val="008F0B32"/>
    <w:rsid w:val="008F0C91"/>
    <w:rsid w:val="008F120A"/>
    <w:rsid w:val="008F1BBE"/>
    <w:rsid w:val="008F22F6"/>
    <w:rsid w:val="008F276B"/>
    <w:rsid w:val="008F27E0"/>
    <w:rsid w:val="008F2A65"/>
    <w:rsid w:val="008F2D6F"/>
    <w:rsid w:val="008F2F2B"/>
    <w:rsid w:val="008F343C"/>
    <w:rsid w:val="008F48EB"/>
    <w:rsid w:val="008F4F0B"/>
    <w:rsid w:val="008F5873"/>
    <w:rsid w:val="008F5F84"/>
    <w:rsid w:val="008F5FD9"/>
    <w:rsid w:val="008F603F"/>
    <w:rsid w:val="008F6B2C"/>
    <w:rsid w:val="008F6DE5"/>
    <w:rsid w:val="008F7075"/>
    <w:rsid w:val="008F708A"/>
    <w:rsid w:val="008F7B56"/>
    <w:rsid w:val="008F7C39"/>
    <w:rsid w:val="00900DA1"/>
    <w:rsid w:val="00901300"/>
    <w:rsid w:val="00903103"/>
    <w:rsid w:val="009034EA"/>
    <w:rsid w:val="009042BD"/>
    <w:rsid w:val="009046C4"/>
    <w:rsid w:val="00904F89"/>
    <w:rsid w:val="009062A5"/>
    <w:rsid w:val="00906CB2"/>
    <w:rsid w:val="0090735E"/>
    <w:rsid w:val="00907538"/>
    <w:rsid w:val="00907699"/>
    <w:rsid w:val="00907957"/>
    <w:rsid w:val="00910CFD"/>
    <w:rsid w:val="00910FA7"/>
    <w:rsid w:val="00911272"/>
    <w:rsid w:val="00911339"/>
    <w:rsid w:val="00911569"/>
    <w:rsid w:val="00911D4B"/>
    <w:rsid w:val="00912211"/>
    <w:rsid w:val="009122B0"/>
    <w:rsid w:val="009124D0"/>
    <w:rsid w:val="009133E2"/>
    <w:rsid w:val="009135D6"/>
    <w:rsid w:val="009136AE"/>
    <w:rsid w:val="009142AD"/>
    <w:rsid w:val="00914C77"/>
    <w:rsid w:val="00914C9D"/>
    <w:rsid w:val="00914F29"/>
    <w:rsid w:val="00915781"/>
    <w:rsid w:val="009158B2"/>
    <w:rsid w:val="009159FE"/>
    <w:rsid w:val="00915D86"/>
    <w:rsid w:val="00916394"/>
    <w:rsid w:val="0091664F"/>
    <w:rsid w:val="009166CF"/>
    <w:rsid w:val="0091691A"/>
    <w:rsid w:val="009172D4"/>
    <w:rsid w:val="00917A56"/>
    <w:rsid w:val="00917C93"/>
    <w:rsid w:val="00917EB9"/>
    <w:rsid w:val="00917EC1"/>
    <w:rsid w:val="009209E2"/>
    <w:rsid w:val="00920FD5"/>
    <w:rsid w:val="00921ACB"/>
    <w:rsid w:val="00922270"/>
    <w:rsid w:val="0092325D"/>
    <w:rsid w:val="0092369B"/>
    <w:rsid w:val="00923C67"/>
    <w:rsid w:val="00924659"/>
    <w:rsid w:val="0092483C"/>
    <w:rsid w:val="00924E42"/>
    <w:rsid w:val="00926DB7"/>
    <w:rsid w:val="00926E80"/>
    <w:rsid w:val="00926EED"/>
    <w:rsid w:val="00926F4D"/>
    <w:rsid w:val="009305F3"/>
    <w:rsid w:val="00930FE5"/>
    <w:rsid w:val="0093147F"/>
    <w:rsid w:val="0093353D"/>
    <w:rsid w:val="0093425B"/>
    <w:rsid w:val="00934988"/>
    <w:rsid w:val="00934FB5"/>
    <w:rsid w:val="00935469"/>
    <w:rsid w:val="00937089"/>
    <w:rsid w:val="00937234"/>
    <w:rsid w:val="00937620"/>
    <w:rsid w:val="009411BC"/>
    <w:rsid w:val="00941BBE"/>
    <w:rsid w:val="00941BD0"/>
    <w:rsid w:val="00941D8C"/>
    <w:rsid w:val="00942698"/>
    <w:rsid w:val="00942A2E"/>
    <w:rsid w:val="00942B03"/>
    <w:rsid w:val="009440A1"/>
    <w:rsid w:val="009445B4"/>
    <w:rsid w:val="00944C8F"/>
    <w:rsid w:val="00944F8A"/>
    <w:rsid w:val="00945A25"/>
    <w:rsid w:val="009469BD"/>
    <w:rsid w:val="009472B9"/>
    <w:rsid w:val="0094734F"/>
    <w:rsid w:val="00947628"/>
    <w:rsid w:val="0094777D"/>
    <w:rsid w:val="00947867"/>
    <w:rsid w:val="00947C2A"/>
    <w:rsid w:val="00950CC1"/>
    <w:rsid w:val="00950ED4"/>
    <w:rsid w:val="009510A2"/>
    <w:rsid w:val="00951B68"/>
    <w:rsid w:val="00951FA4"/>
    <w:rsid w:val="0095206F"/>
    <w:rsid w:val="009520D7"/>
    <w:rsid w:val="00952EFC"/>
    <w:rsid w:val="00953257"/>
    <w:rsid w:val="00953771"/>
    <w:rsid w:val="00953850"/>
    <w:rsid w:val="00953DF1"/>
    <w:rsid w:val="009544E7"/>
    <w:rsid w:val="0095474C"/>
    <w:rsid w:val="009549FE"/>
    <w:rsid w:val="00954F67"/>
    <w:rsid w:val="00955592"/>
    <w:rsid w:val="009561F4"/>
    <w:rsid w:val="00956879"/>
    <w:rsid w:val="00956974"/>
    <w:rsid w:val="0095709D"/>
    <w:rsid w:val="00957134"/>
    <w:rsid w:val="00957747"/>
    <w:rsid w:val="00957D92"/>
    <w:rsid w:val="00960A74"/>
    <w:rsid w:val="00960C71"/>
    <w:rsid w:val="00960DC2"/>
    <w:rsid w:val="00961293"/>
    <w:rsid w:val="009613B8"/>
    <w:rsid w:val="00961902"/>
    <w:rsid w:val="009623C5"/>
    <w:rsid w:val="00962CB9"/>
    <w:rsid w:val="009639E7"/>
    <w:rsid w:val="00964312"/>
    <w:rsid w:val="009645F1"/>
    <w:rsid w:val="00964F69"/>
    <w:rsid w:val="00965B8A"/>
    <w:rsid w:val="00966208"/>
    <w:rsid w:val="009667CD"/>
    <w:rsid w:val="00966C91"/>
    <w:rsid w:val="00966CA5"/>
    <w:rsid w:val="0097071F"/>
    <w:rsid w:val="009717AC"/>
    <w:rsid w:val="00971972"/>
    <w:rsid w:val="009719C5"/>
    <w:rsid w:val="0097264F"/>
    <w:rsid w:val="00972F8C"/>
    <w:rsid w:val="009730E9"/>
    <w:rsid w:val="009737E7"/>
    <w:rsid w:val="00973B32"/>
    <w:rsid w:val="009751C1"/>
    <w:rsid w:val="00977853"/>
    <w:rsid w:val="00977FEA"/>
    <w:rsid w:val="009803C8"/>
    <w:rsid w:val="009803F3"/>
    <w:rsid w:val="00980A59"/>
    <w:rsid w:val="00980A6B"/>
    <w:rsid w:val="00980B33"/>
    <w:rsid w:val="009811F1"/>
    <w:rsid w:val="00982083"/>
    <w:rsid w:val="00983010"/>
    <w:rsid w:val="00983C9D"/>
    <w:rsid w:val="00983E57"/>
    <w:rsid w:val="00984239"/>
    <w:rsid w:val="00985DE2"/>
    <w:rsid w:val="0098675D"/>
    <w:rsid w:val="0098726E"/>
    <w:rsid w:val="0098737A"/>
    <w:rsid w:val="00987BA4"/>
    <w:rsid w:val="009900FD"/>
    <w:rsid w:val="009905C9"/>
    <w:rsid w:val="00992373"/>
    <w:rsid w:val="00992434"/>
    <w:rsid w:val="00992542"/>
    <w:rsid w:val="009926E0"/>
    <w:rsid w:val="009935BA"/>
    <w:rsid w:val="00993C86"/>
    <w:rsid w:val="0099451E"/>
    <w:rsid w:val="00995089"/>
    <w:rsid w:val="00995CE3"/>
    <w:rsid w:val="00996098"/>
    <w:rsid w:val="00996B1A"/>
    <w:rsid w:val="009974EA"/>
    <w:rsid w:val="00997810"/>
    <w:rsid w:val="009A14B0"/>
    <w:rsid w:val="009A18F6"/>
    <w:rsid w:val="009A1C6A"/>
    <w:rsid w:val="009A206E"/>
    <w:rsid w:val="009A28B2"/>
    <w:rsid w:val="009A2DCC"/>
    <w:rsid w:val="009A41E7"/>
    <w:rsid w:val="009A4705"/>
    <w:rsid w:val="009A4E45"/>
    <w:rsid w:val="009A5ABC"/>
    <w:rsid w:val="009A61E4"/>
    <w:rsid w:val="009A676D"/>
    <w:rsid w:val="009A6F8B"/>
    <w:rsid w:val="009A77B5"/>
    <w:rsid w:val="009A7F10"/>
    <w:rsid w:val="009B0638"/>
    <w:rsid w:val="009B0761"/>
    <w:rsid w:val="009B0E98"/>
    <w:rsid w:val="009B0F08"/>
    <w:rsid w:val="009B18AD"/>
    <w:rsid w:val="009B1FEA"/>
    <w:rsid w:val="009B2B4B"/>
    <w:rsid w:val="009B3205"/>
    <w:rsid w:val="009B3E26"/>
    <w:rsid w:val="009B4043"/>
    <w:rsid w:val="009B5AFD"/>
    <w:rsid w:val="009B6572"/>
    <w:rsid w:val="009B751B"/>
    <w:rsid w:val="009B7F8E"/>
    <w:rsid w:val="009B7FF0"/>
    <w:rsid w:val="009C036A"/>
    <w:rsid w:val="009C0B61"/>
    <w:rsid w:val="009C0C95"/>
    <w:rsid w:val="009C1271"/>
    <w:rsid w:val="009C13D7"/>
    <w:rsid w:val="009C1FB5"/>
    <w:rsid w:val="009C24EF"/>
    <w:rsid w:val="009C33FE"/>
    <w:rsid w:val="009C3706"/>
    <w:rsid w:val="009C3A3A"/>
    <w:rsid w:val="009C3F7D"/>
    <w:rsid w:val="009C4AD1"/>
    <w:rsid w:val="009C50FA"/>
    <w:rsid w:val="009C5177"/>
    <w:rsid w:val="009C5941"/>
    <w:rsid w:val="009C5D10"/>
    <w:rsid w:val="009C69BB"/>
    <w:rsid w:val="009C6CEA"/>
    <w:rsid w:val="009C7B85"/>
    <w:rsid w:val="009C7F75"/>
    <w:rsid w:val="009D010E"/>
    <w:rsid w:val="009D0254"/>
    <w:rsid w:val="009D09F3"/>
    <w:rsid w:val="009D1063"/>
    <w:rsid w:val="009D11ED"/>
    <w:rsid w:val="009D1A64"/>
    <w:rsid w:val="009D4B51"/>
    <w:rsid w:val="009D4D89"/>
    <w:rsid w:val="009D506E"/>
    <w:rsid w:val="009D522E"/>
    <w:rsid w:val="009D5461"/>
    <w:rsid w:val="009D5936"/>
    <w:rsid w:val="009D5AD7"/>
    <w:rsid w:val="009D5B91"/>
    <w:rsid w:val="009D5BDD"/>
    <w:rsid w:val="009D6490"/>
    <w:rsid w:val="009D6DFD"/>
    <w:rsid w:val="009D73E0"/>
    <w:rsid w:val="009D792E"/>
    <w:rsid w:val="009E0058"/>
    <w:rsid w:val="009E0855"/>
    <w:rsid w:val="009E0973"/>
    <w:rsid w:val="009E0DFE"/>
    <w:rsid w:val="009E1381"/>
    <w:rsid w:val="009E1A31"/>
    <w:rsid w:val="009E1E12"/>
    <w:rsid w:val="009E2225"/>
    <w:rsid w:val="009E2486"/>
    <w:rsid w:val="009E3009"/>
    <w:rsid w:val="009E31F6"/>
    <w:rsid w:val="009E4A8E"/>
    <w:rsid w:val="009E4B7A"/>
    <w:rsid w:val="009E4C07"/>
    <w:rsid w:val="009E4EC8"/>
    <w:rsid w:val="009E4FB9"/>
    <w:rsid w:val="009E6636"/>
    <w:rsid w:val="009E6874"/>
    <w:rsid w:val="009E777F"/>
    <w:rsid w:val="009F1489"/>
    <w:rsid w:val="009F1B25"/>
    <w:rsid w:val="009F1C00"/>
    <w:rsid w:val="009F2B23"/>
    <w:rsid w:val="009F2BCB"/>
    <w:rsid w:val="009F395D"/>
    <w:rsid w:val="009F4086"/>
    <w:rsid w:val="009F447E"/>
    <w:rsid w:val="009F486F"/>
    <w:rsid w:val="009F4CD3"/>
    <w:rsid w:val="009F5609"/>
    <w:rsid w:val="009F6120"/>
    <w:rsid w:val="009F696F"/>
    <w:rsid w:val="009F703B"/>
    <w:rsid w:val="009F7D8F"/>
    <w:rsid w:val="00A00D76"/>
    <w:rsid w:val="00A00DF6"/>
    <w:rsid w:val="00A01184"/>
    <w:rsid w:val="00A01449"/>
    <w:rsid w:val="00A0270C"/>
    <w:rsid w:val="00A02E04"/>
    <w:rsid w:val="00A031E7"/>
    <w:rsid w:val="00A037C2"/>
    <w:rsid w:val="00A03D43"/>
    <w:rsid w:val="00A04380"/>
    <w:rsid w:val="00A04786"/>
    <w:rsid w:val="00A0530E"/>
    <w:rsid w:val="00A0538F"/>
    <w:rsid w:val="00A05472"/>
    <w:rsid w:val="00A05C32"/>
    <w:rsid w:val="00A05DC6"/>
    <w:rsid w:val="00A060EB"/>
    <w:rsid w:val="00A063B8"/>
    <w:rsid w:val="00A0653F"/>
    <w:rsid w:val="00A07527"/>
    <w:rsid w:val="00A1043D"/>
    <w:rsid w:val="00A10D83"/>
    <w:rsid w:val="00A11AB3"/>
    <w:rsid w:val="00A11CD0"/>
    <w:rsid w:val="00A13948"/>
    <w:rsid w:val="00A13F97"/>
    <w:rsid w:val="00A1459A"/>
    <w:rsid w:val="00A1466A"/>
    <w:rsid w:val="00A1555B"/>
    <w:rsid w:val="00A155C5"/>
    <w:rsid w:val="00A15B45"/>
    <w:rsid w:val="00A16922"/>
    <w:rsid w:val="00A16AD8"/>
    <w:rsid w:val="00A2021E"/>
    <w:rsid w:val="00A20B77"/>
    <w:rsid w:val="00A21C95"/>
    <w:rsid w:val="00A21CF3"/>
    <w:rsid w:val="00A225CA"/>
    <w:rsid w:val="00A2278C"/>
    <w:rsid w:val="00A228AD"/>
    <w:rsid w:val="00A230A3"/>
    <w:rsid w:val="00A23313"/>
    <w:rsid w:val="00A2409E"/>
    <w:rsid w:val="00A24654"/>
    <w:rsid w:val="00A24813"/>
    <w:rsid w:val="00A248F1"/>
    <w:rsid w:val="00A24B29"/>
    <w:rsid w:val="00A27247"/>
    <w:rsid w:val="00A278D0"/>
    <w:rsid w:val="00A27AEC"/>
    <w:rsid w:val="00A30170"/>
    <w:rsid w:val="00A30B73"/>
    <w:rsid w:val="00A319FA"/>
    <w:rsid w:val="00A31A27"/>
    <w:rsid w:val="00A320DB"/>
    <w:rsid w:val="00A32481"/>
    <w:rsid w:val="00A32989"/>
    <w:rsid w:val="00A33425"/>
    <w:rsid w:val="00A34281"/>
    <w:rsid w:val="00A34848"/>
    <w:rsid w:val="00A34FDB"/>
    <w:rsid w:val="00A35D16"/>
    <w:rsid w:val="00A37277"/>
    <w:rsid w:val="00A37BCD"/>
    <w:rsid w:val="00A40C7D"/>
    <w:rsid w:val="00A41515"/>
    <w:rsid w:val="00A41689"/>
    <w:rsid w:val="00A417AE"/>
    <w:rsid w:val="00A41FB5"/>
    <w:rsid w:val="00A42004"/>
    <w:rsid w:val="00A42592"/>
    <w:rsid w:val="00A42836"/>
    <w:rsid w:val="00A43C59"/>
    <w:rsid w:val="00A43FB5"/>
    <w:rsid w:val="00A44A32"/>
    <w:rsid w:val="00A450FD"/>
    <w:rsid w:val="00A456BA"/>
    <w:rsid w:val="00A46091"/>
    <w:rsid w:val="00A505A5"/>
    <w:rsid w:val="00A505A7"/>
    <w:rsid w:val="00A50D33"/>
    <w:rsid w:val="00A50ECD"/>
    <w:rsid w:val="00A514C4"/>
    <w:rsid w:val="00A518F3"/>
    <w:rsid w:val="00A52729"/>
    <w:rsid w:val="00A533AC"/>
    <w:rsid w:val="00A53675"/>
    <w:rsid w:val="00A541D4"/>
    <w:rsid w:val="00A554C4"/>
    <w:rsid w:val="00A5561E"/>
    <w:rsid w:val="00A5623F"/>
    <w:rsid w:val="00A564D7"/>
    <w:rsid w:val="00A5659B"/>
    <w:rsid w:val="00A566A0"/>
    <w:rsid w:val="00A56970"/>
    <w:rsid w:val="00A56B6A"/>
    <w:rsid w:val="00A5784F"/>
    <w:rsid w:val="00A578DC"/>
    <w:rsid w:val="00A6050D"/>
    <w:rsid w:val="00A60E4B"/>
    <w:rsid w:val="00A617D0"/>
    <w:rsid w:val="00A61E95"/>
    <w:rsid w:val="00A6300B"/>
    <w:rsid w:val="00A63362"/>
    <w:rsid w:val="00A6359D"/>
    <w:rsid w:val="00A635B0"/>
    <w:rsid w:val="00A63623"/>
    <w:rsid w:val="00A640E2"/>
    <w:rsid w:val="00A64C08"/>
    <w:rsid w:val="00A64D65"/>
    <w:rsid w:val="00A65900"/>
    <w:rsid w:val="00A6725B"/>
    <w:rsid w:val="00A70605"/>
    <w:rsid w:val="00A715A8"/>
    <w:rsid w:val="00A71703"/>
    <w:rsid w:val="00A726B4"/>
    <w:rsid w:val="00A73134"/>
    <w:rsid w:val="00A7365A"/>
    <w:rsid w:val="00A74F75"/>
    <w:rsid w:val="00A76001"/>
    <w:rsid w:val="00A76558"/>
    <w:rsid w:val="00A765CD"/>
    <w:rsid w:val="00A76D9E"/>
    <w:rsid w:val="00A7758C"/>
    <w:rsid w:val="00A777B2"/>
    <w:rsid w:val="00A80A81"/>
    <w:rsid w:val="00A80F31"/>
    <w:rsid w:val="00A810C8"/>
    <w:rsid w:val="00A81854"/>
    <w:rsid w:val="00A825D4"/>
    <w:rsid w:val="00A82787"/>
    <w:rsid w:val="00A828F6"/>
    <w:rsid w:val="00A82B73"/>
    <w:rsid w:val="00A83FE7"/>
    <w:rsid w:val="00A8461D"/>
    <w:rsid w:val="00A86019"/>
    <w:rsid w:val="00A862FA"/>
    <w:rsid w:val="00A86603"/>
    <w:rsid w:val="00A866F7"/>
    <w:rsid w:val="00A86735"/>
    <w:rsid w:val="00A8684F"/>
    <w:rsid w:val="00A868AA"/>
    <w:rsid w:val="00A86E75"/>
    <w:rsid w:val="00A86E8B"/>
    <w:rsid w:val="00A87164"/>
    <w:rsid w:val="00A871A9"/>
    <w:rsid w:val="00A87F7D"/>
    <w:rsid w:val="00A90380"/>
    <w:rsid w:val="00A90399"/>
    <w:rsid w:val="00A90EB1"/>
    <w:rsid w:val="00A9199E"/>
    <w:rsid w:val="00A92107"/>
    <w:rsid w:val="00A92A51"/>
    <w:rsid w:val="00A9302E"/>
    <w:rsid w:val="00A93072"/>
    <w:rsid w:val="00A93535"/>
    <w:rsid w:val="00A938BD"/>
    <w:rsid w:val="00A93953"/>
    <w:rsid w:val="00A95779"/>
    <w:rsid w:val="00A957C6"/>
    <w:rsid w:val="00A959D8"/>
    <w:rsid w:val="00A96A5F"/>
    <w:rsid w:val="00A96FA9"/>
    <w:rsid w:val="00A972D9"/>
    <w:rsid w:val="00A97F34"/>
    <w:rsid w:val="00AA0097"/>
    <w:rsid w:val="00AA0401"/>
    <w:rsid w:val="00AA113D"/>
    <w:rsid w:val="00AA1F46"/>
    <w:rsid w:val="00AA22AC"/>
    <w:rsid w:val="00AA408A"/>
    <w:rsid w:val="00AA5AA7"/>
    <w:rsid w:val="00AA6581"/>
    <w:rsid w:val="00AA6BD5"/>
    <w:rsid w:val="00AA6BD8"/>
    <w:rsid w:val="00AA6C7D"/>
    <w:rsid w:val="00AA6EE1"/>
    <w:rsid w:val="00AA772C"/>
    <w:rsid w:val="00AA7FD6"/>
    <w:rsid w:val="00AB042A"/>
    <w:rsid w:val="00AB1060"/>
    <w:rsid w:val="00AB11AD"/>
    <w:rsid w:val="00AB19EF"/>
    <w:rsid w:val="00AB1D2C"/>
    <w:rsid w:val="00AB2495"/>
    <w:rsid w:val="00AB252A"/>
    <w:rsid w:val="00AB25C8"/>
    <w:rsid w:val="00AB2994"/>
    <w:rsid w:val="00AB2D34"/>
    <w:rsid w:val="00AB2E03"/>
    <w:rsid w:val="00AB3430"/>
    <w:rsid w:val="00AB37B9"/>
    <w:rsid w:val="00AB4AD1"/>
    <w:rsid w:val="00AB50A2"/>
    <w:rsid w:val="00AB5401"/>
    <w:rsid w:val="00AB5C0C"/>
    <w:rsid w:val="00AB5E07"/>
    <w:rsid w:val="00AB6151"/>
    <w:rsid w:val="00AB643A"/>
    <w:rsid w:val="00AB70F3"/>
    <w:rsid w:val="00AB7105"/>
    <w:rsid w:val="00AB7CFA"/>
    <w:rsid w:val="00AC13E0"/>
    <w:rsid w:val="00AC1DE7"/>
    <w:rsid w:val="00AC20E4"/>
    <w:rsid w:val="00AC2152"/>
    <w:rsid w:val="00AC2B68"/>
    <w:rsid w:val="00AC50DB"/>
    <w:rsid w:val="00AC5B42"/>
    <w:rsid w:val="00AC5B48"/>
    <w:rsid w:val="00AC636C"/>
    <w:rsid w:val="00AC65DD"/>
    <w:rsid w:val="00AC6799"/>
    <w:rsid w:val="00AC7F64"/>
    <w:rsid w:val="00AD0299"/>
    <w:rsid w:val="00AD040E"/>
    <w:rsid w:val="00AD0FCA"/>
    <w:rsid w:val="00AD1450"/>
    <w:rsid w:val="00AD15E8"/>
    <w:rsid w:val="00AD16E8"/>
    <w:rsid w:val="00AD174E"/>
    <w:rsid w:val="00AD2E83"/>
    <w:rsid w:val="00AD3122"/>
    <w:rsid w:val="00AD3326"/>
    <w:rsid w:val="00AD356D"/>
    <w:rsid w:val="00AD36EA"/>
    <w:rsid w:val="00AD40AA"/>
    <w:rsid w:val="00AD4B22"/>
    <w:rsid w:val="00AD4B7D"/>
    <w:rsid w:val="00AD55CF"/>
    <w:rsid w:val="00AD5CF4"/>
    <w:rsid w:val="00AD6502"/>
    <w:rsid w:val="00AD6839"/>
    <w:rsid w:val="00AD74DB"/>
    <w:rsid w:val="00AE0695"/>
    <w:rsid w:val="00AE0B34"/>
    <w:rsid w:val="00AE0BE9"/>
    <w:rsid w:val="00AE1967"/>
    <w:rsid w:val="00AE2B3D"/>
    <w:rsid w:val="00AE38A3"/>
    <w:rsid w:val="00AE3D6A"/>
    <w:rsid w:val="00AE3E7E"/>
    <w:rsid w:val="00AE47A3"/>
    <w:rsid w:val="00AE4E55"/>
    <w:rsid w:val="00AE4EB3"/>
    <w:rsid w:val="00AE5D70"/>
    <w:rsid w:val="00AE638B"/>
    <w:rsid w:val="00AE63E0"/>
    <w:rsid w:val="00AE770B"/>
    <w:rsid w:val="00AE7E53"/>
    <w:rsid w:val="00AF114E"/>
    <w:rsid w:val="00AF1315"/>
    <w:rsid w:val="00AF19BF"/>
    <w:rsid w:val="00AF2811"/>
    <w:rsid w:val="00AF2DC3"/>
    <w:rsid w:val="00AF2E3A"/>
    <w:rsid w:val="00AF38A8"/>
    <w:rsid w:val="00AF3AB4"/>
    <w:rsid w:val="00AF3BB4"/>
    <w:rsid w:val="00AF3D76"/>
    <w:rsid w:val="00AF4BB5"/>
    <w:rsid w:val="00AF6A65"/>
    <w:rsid w:val="00AF6E98"/>
    <w:rsid w:val="00AF6EFE"/>
    <w:rsid w:val="00AF7238"/>
    <w:rsid w:val="00B003E4"/>
    <w:rsid w:val="00B005EE"/>
    <w:rsid w:val="00B01714"/>
    <w:rsid w:val="00B01788"/>
    <w:rsid w:val="00B01E82"/>
    <w:rsid w:val="00B033E5"/>
    <w:rsid w:val="00B03A63"/>
    <w:rsid w:val="00B03ED2"/>
    <w:rsid w:val="00B04043"/>
    <w:rsid w:val="00B0441F"/>
    <w:rsid w:val="00B0478F"/>
    <w:rsid w:val="00B04B53"/>
    <w:rsid w:val="00B04C9C"/>
    <w:rsid w:val="00B05563"/>
    <w:rsid w:val="00B06E59"/>
    <w:rsid w:val="00B072C9"/>
    <w:rsid w:val="00B07DA8"/>
    <w:rsid w:val="00B10380"/>
    <w:rsid w:val="00B11A8C"/>
    <w:rsid w:val="00B11CEF"/>
    <w:rsid w:val="00B1233A"/>
    <w:rsid w:val="00B129A4"/>
    <w:rsid w:val="00B14249"/>
    <w:rsid w:val="00B14880"/>
    <w:rsid w:val="00B151D1"/>
    <w:rsid w:val="00B15E77"/>
    <w:rsid w:val="00B17B44"/>
    <w:rsid w:val="00B2014C"/>
    <w:rsid w:val="00B201A4"/>
    <w:rsid w:val="00B201D1"/>
    <w:rsid w:val="00B2091C"/>
    <w:rsid w:val="00B210AA"/>
    <w:rsid w:val="00B213A6"/>
    <w:rsid w:val="00B21E1D"/>
    <w:rsid w:val="00B226DE"/>
    <w:rsid w:val="00B22FB3"/>
    <w:rsid w:val="00B235B0"/>
    <w:rsid w:val="00B2386D"/>
    <w:rsid w:val="00B248C7"/>
    <w:rsid w:val="00B24DF6"/>
    <w:rsid w:val="00B2554B"/>
    <w:rsid w:val="00B25E5E"/>
    <w:rsid w:val="00B26271"/>
    <w:rsid w:val="00B26A02"/>
    <w:rsid w:val="00B26BA2"/>
    <w:rsid w:val="00B272A4"/>
    <w:rsid w:val="00B2783C"/>
    <w:rsid w:val="00B27A61"/>
    <w:rsid w:val="00B27A71"/>
    <w:rsid w:val="00B3097B"/>
    <w:rsid w:val="00B309CA"/>
    <w:rsid w:val="00B30CD2"/>
    <w:rsid w:val="00B318A3"/>
    <w:rsid w:val="00B31D36"/>
    <w:rsid w:val="00B32CD4"/>
    <w:rsid w:val="00B32EC8"/>
    <w:rsid w:val="00B3321B"/>
    <w:rsid w:val="00B337C8"/>
    <w:rsid w:val="00B33D29"/>
    <w:rsid w:val="00B341D2"/>
    <w:rsid w:val="00B343F3"/>
    <w:rsid w:val="00B34DD5"/>
    <w:rsid w:val="00B34FE2"/>
    <w:rsid w:val="00B3515E"/>
    <w:rsid w:val="00B35166"/>
    <w:rsid w:val="00B357D8"/>
    <w:rsid w:val="00B35888"/>
    <w:rsid w:val="00B360F4"/>
    <w:rsid w:val="00B36A00"/>
    <w:rsid w:val="00B370A8"/>
    <w:rsid w:val="00B377D4"/>
    <w:rsid w:val="00B3792B"/>
    <w:rsid w:val="00B37B8D"/>
    <w:rsid w:val="00B37BFC"/>
    <w:rsid w:val="00B400AC"/>
    <w:rsid w:val="00B40306"/>
    <w:rsid w:val="00B40358"/>
    <w:rsid w:val="00B404C3"/>
    <w:rsid w:val="00B406D5"/>
    <w:rsid w:val="00B41614"/>
    <w:rsid w:val="00B419FE"/>
    <w:rsid w:val="00B4221B"/>
    <w:rsid w:val="00B42851"/>
    <w:rsid w:val="00B42CA3"/>
    <w:rsid w:val="00B42F80"/>
    <w:rsid w:val="00B435CB"/>
    <w:rsid w:val="00B44100"/>
    <w:rsid w:val="00B45207"/>
    <w:rsid w:val="00B458A6"/>
    <w:rsid w:val="00B465EC"/>
    <w:rsid w:val="00B468D8"/>
    <w:rsid w:val="00B46DF8"/>
    <w:rsid w:val="00B47121"/>
    <w:rsid w:val="00B50156"/>
    <w:rsid w:val="00B505C8"/>
    <w:rsid w:val="00B508AA"/>
    <w:rsid w:val="00B50DB8"/>
    <w:rsid w:val="00B516AA"/>
    <w:rsid w:val="00B5257F"/>
    <w:rsid w:val="00B52A78"/>
    <w:rsid w:val="00B530BE"/>
    <w:rsid w:val="00B53409"/>
    <w:rsid w:val="00B53654"/>
    <w:rsid w:val="00B5370E"/>
    <w:rsid w:val="00B5376A"/>
    <w:rsid w:val="00B53905"/>
    <w:rsid w:val="00B53B26"/>
    <w:rsid w:val="00B54518"/>
    <w:rsid w:val="00B546DB"/>
    <w:rsid w:val="00B54B5B"/>
    <w:rsid w:val="00B5562E"/>
    <w:rsid w:val="00B55862"/>
    <w:rsid w:val="00B55D65"/>
    <w:rsid w:val="00B5617A"/>
    <w:rsid w:val="00B56305"/>
    <w:rsid w:val="00B56C7E"/>
    <w:rsid w:val="00B57000"/>
    <w:rsid w:val="00B571F4"/>
    <w:rsid w:val="00B5728F"/>
    <w:rsid w:val="00B5752D"/>
    <w:rsid w:val="00B57821"/>
    <w:rsid w:val="00B605CA"/>
    <w:rsid w:val="00B60622"/>
    <w:rsid w:val="00B60695"/>
    <w:rsid w:val="00B60939"/>
    <w:rsid w:val="00B60A73"/>
    <w:rsid w:val="00B60AFD"/>
    <w:rsid w:val="00B60D02"/>
    <w:rsid w:val="00B60E98"/>
    <w:rsid w:val="00B617BD"/>
    <w:rsid w:val="00B6254D"/>
    <w:rsid w:val="00B62715"/>
    <w:rsid w:val="00B62E95"/>
    <w:rsid w:val="00B65611"/>
    <w:rsid w:val="00B656BE"/>
    <w:rsid w:val="00B658B1"/>
    <w:rsid w:val="00B667DD"/>
    <w:rsid w:val="00B67C49"/>
    <w:rsid w:val="00B702B9"/>
    <w:rsid w:val="00B708B8"/>
    <w:rsid w:val="00B70E8E"/>
    <w:rsid w:val="00B71A1B"/>
    <w:rsid w:val="00B71A7B"/>
    <w:rsid w:val="00B73034"/>
    <w:rsid w:val="00B73916"/>
    <w:rsid w:val="00B73D8A"/>
    <w:rsid w:val="00B73F03"/>
    <w:rsid w:val="00B7597E"/>
    <w:rsid w:val="00B76AD8"/>
    <w:rsid w:val="00B76C92"/>
    <w:rsid w:val="00B77F30"/>
    <w:rsid w:val="00B80EFD"/>
    <w:rsid w:val="00B810E2"/>
    <w:rsid w:val="00B818A4"/>
    <w:rsid w:val="00B82EF6"/>
    <w:rsid w:val="00B835CF"/>
    <w:rsid w:val="00B83739"/>
    <w:rsid w:val="00B84117"/>
    <w:rsid w:val="00B8474C"/>
    <w:rsid w:val="00B858F0"/>
    <w:rsid w:val="00B85AA2"/>
    <w:rsid w:val="00B8649C"/>
    <w:rsid w:val="00B8695D"/>
    <w:rsid w:val="00B875AA"/>
    <w:rsid w:val="00B87F0A"/>
    <w:rsid w:val="00B92D0B"/>
    <w:rsid w:val="00B935BE"/>
    <w:rsid w:val="00B93B43"/>
    <w:rsid w:val="00B946F8"/>
    <w:rsid w:val="00B94945"/>
    <w:rsid w:val="00B94DD6"/>
    <w:rsid w:val="00B96404"/>
    <w:rsid w:val="00B96D5D"/>
    <w:rsid w:val="00B97159"/>
    <w:rsid w:val="00BA052F"/>
    <w:rsid w:val="00BA138C"/>
    <w:rsid w:val="00BA1C4F"/>
    <w:rsid w:val="00BA2D98"/>
    <w:rsid w:val="00BA322D"/>
    <w:rsid w:val="00BA3F4A"/>
    <w:rsid w:val="00BA5362"/>
    <w:rsid w:val="00BA53A4"/>
    <w:rsid w:val="00BA58D9"/>
    <w:rsid w:val="00BA5AF7"/>
    <w:rsid w:val="00BA63FA"/>
    <w:rsid w:val="00BA6D19"/>
    <w:rsid w:val="00BB00B3"/>
    <w:rsid w:val="00BB0BDD"/>
    <w:rsid w:val="00BB12A5"/>
    <w:rsid w:val="00BB176C"/>
    <w:rsid w:val="00BB1C44"/>
    <w:rsid w:val="00BB2054"/>
    <w:rsid w:val="00BB2A73"/>
    <w:rsid w:val="00BB352D"/>
    <w:rsid w:val="00BB3A45"/>
    <w:rsid w:val="00BB4849"/>
    <w:rsid w:val="00BB4ACC"/>
    <w:rsid w:val="00BB60F8"/>
    <w:rsid w:val="00BB703E"/>
    <w:rsid w:val="00BB732D"/>
    <w:rsid w:val="00BB7405"/>
    <w:rsid w:val="00BB745D"/>
    <w:rsid w:val="00BB7A04"/>
    <w:rsid w:val="00BC049D"/>
    <w:rsid w:val="00BC0634"/>
    <w:rsid w:val="00BC21CB"/>
    <w:rsid w:val="00BC2356"/>
    <w:rsid w:val="00BC2452"/>
    <w:rsid w:val="00BC2756"/>
    <w:rsid w:val="00BC276B"/>
    <w:rsid w:val="00BC29EC"/>
    <w:rsid w:val="00BC2F83"/>
    <w:rsid w:val="00BC31AC"/>
    <w:rsid w:val="00BC3631"/>
    <w:rsid w:val="00BC560C"/>
    <w:rsid w:val="00BC58EC"/>
    <w:rsid w:val="00BC5900"/>
    <w:rsid w:val="00BC591F"/>
    <w:rsid w:val="00BC5EEA"/>
    <w:rsid w:val="00BC5F70"/>
    <w:rsid w:val="00BC654C"/>
    <w:rsid w:val="00BC6FD8"/>
    <w:rsid w:val="00BC7D6D"/>
    <w:rsid w:val="00BD013E"/>
    <w:rsid w:val="00BD172F"/>
    <w:rsid w:val="00BD2108"/>
    <w:rsid w:val="00BD2219"/>
    <w:rsid w:val="00BD2418"/>
    <w:rsid w:val="00BD38DC"/>
    <w:rsid w:val="00BD44B6"/>
    <w:rsid w:val="00BD5F34"/>
    <w:rsid w:val="00BD5FE1"/>
    <w:rsid w:val="00BD68A3"/>
    <w:rsid w:val="00BD6938"/>
    <w:rsid w:val="00BD6CF3"/>
    <w:rsid w:val="00BD6D57"/>
    <w:rsid w:val="00BD7F72"/>
    <w:rsid w:val="00BE0BDF"/>
    <w:rsid w:val="00BE0ECA"/>
    <w:rsid w:val="00BE1780"/>
    <w:rsid w:val="00BE1ACF"/>
    <w:rsid w:val="00BE2180"/>
    <w:rsid w:val="00BE21F2"/>
    <w:rsid w:val="00BE24D4"/>
    <w:rsid w:val="00BE2550"/>
    <w:rsid w:val="00BE2F70"/>
    <w:rsid w:val="00BE3008"/>
    <w:rsid w:val="00BE3198"/>
    <w:rsid w:val="00BE3B20"/>
    <w:rsid w:val="00BE3BB8"/>
    <w:rsid w:val="00BE3D74"/>
    <w:rsid w:val="00BE4275"/>
    <w:rsid w:val="00BE42A9"/>
    <w:rsid w:val="00BE466A"/>
    <w:rsid w:val="00BE51CC"/>
    <w:rsid w:val="00BE5C8A"/>
    <w:rsid w:val="00BE5F9E"/>
    <w:rsid w:val="00BE69BE"/>
    <w:rsid w:val="00BE7353"/>
    <w:rsid w:val="00BE79CB"/>
    <w:rsid w:val="00BE79F8"/>
    <w:rsid w:val="00BF02E6"/>
    <w:rsid w:val="00BF06AE"/>
    <w:rsid w:val="00BF0CAC"/>
    <w:rsid w:val="00BF0F95"/>
    <w:rsid w:val="00BF1A00"/>
    <w:rsid w:val="00BF2133"/>
    <w:rsid w:val="00BF2433"/>
    <w:rsid w:val="00BF2E6E"/>
    <w:rsid w:val="00BF30AA"/>
    <w:rsid w:val="00BF31E6"/>
    <w:rsid w:val="00BF397C"/>
    <w:rsid w:val="00BF461A"/>
    <w:rsid w:val="00BF4D34"/>
    <w:rsid w:val="00BF55BB"/>
    <w:rsid w:val="00BF5CC7"/>
    <w:rsid w:val="00BF61C9"/>
    <w:rsid w:val="00BF6760"/>
    <w:rsid w:val="00BF6C94"/>
    <w:rsid w:val="00BF6DA3"/>
    <w:rsid w:val="00BF733F"/>
    <w:rsid w:val="00C0022E"/>
    <w:rsid w:val="00C00424"/>
    <w:rsid w:val="00C004E7"/>
    <w:rsid w:val="00C00BB0"/>
    <w:rsid w:val="00C0185A"/>
    <w:rsid w:val="00C03032"/>
    <w:rsid w:val="00C03CB2"/>
    <w:rsid w:val="00C03FD2"/>
    <w:rsid w:val="00C042D3"/>
    <w:rsid w:val="00C04744"/>
    <w:rsid w:val="00C0518D"/>
    <w:rsid w:val="00C05555"/>
    <w:rsid w:val="00C05798"/>
    <w:rsid w:val="00C06D78"/>
    <w:rsid w:val="00C06EA4"/>
    <w:rsid w:val="00C071DF"/>
    <w:rsid w:val="00C104C7"/>
    <w:rsid w:val="00C10ED2"/>
    <w:rsid w:val="00C1179F"/>
    <w:rsid w:val="00C127B9"/>
    <w:rsid w:val="00C128FA"/>
    <w:rsid w:val="00C12C14"/>
    <w:rsid w:val="00C12ED7"/>
    <w:rsid w:val="00C1392B"/>
    <w:rsid w:val="00C139DC"/>
    <w:rsid w:val="00C145F6"/>
    <w:rsid w:val="00C152E7"/>
    <w:rsid w:val="00C15F04"/>
    <w:rsid w:val="00C16FC3"/>
    <w:rsid w:val="00C17283"/>
    <w:rsid w:val="00C174B9"/>
    <w:rsid w:val="00C179B3"/>
    <w:rsid w:val="00C17A09"/>
    <w:rsid w:val="00C17E3F"/>
    <w:rsid w:val="00C17F27"/>
    <w:rsid w:val="00C200AA"/>
    <w:rsid w:val="00C20833"/>
    <w:rsid w:val="00C20983"/>
    <w:rsid w:val="00C20A21"/>
    <w:rsid w:val="00C20A31"/>
    <w:rsid w:val="00C217DB"/>
    <w:rsid w:val="00C2236B"/>
    <w:rsid w:val="00C233C0"/>
    <w:rsid w:val="00C237ED"/>
    <w:rsid w:val="00C240E3"/>
    <w:rsid w:val="00C24632"/>
    <w:rsid w:val="00C24AC3"/>
    <w:rsid w:val="00C25001"/>
    <w:rsid w:val="00C25418"/>
    <w:rsid w:val="00C25699"/>
    <w:rsid w:val="00C2595B"/>
    <w:rsid w:val="00C25A35"/>
    <w:rsid w:val="00C25AC3"/>
    <w:rsid w:val="00C25C67"/>
    <w:rsid w:val="00C25D9C"/>
    <w:rsid w:val="00C25EF0"/>
    <w:rsid w:val="00C26154"/>
    <w:rsid w:val="00C264E1"/>
    <w:rsid w:val="00C265BA"/>
    <w:rsid w:val="00C26E7E"/>
    <w:rsid w:val="00C2778B"/>
    <w:rsid w:val="00C302D0"/>
    <w:rsid w:val="00C30491"/>
    <w:rsid w:val="00C30C01"/>
    <w:rsid w:val="00C312FC"/>
    <w:rsid w:val="00C31649"/>
    <w:rsid w:val="00C31B3A"/>
    <w:rsid w:val="00C31E64"/>
    <w:rsid w:val="00C32A2D"/>
    <w:rsid w:val="00C32C40"/>
    <w:rsid w:val="00C33390"/>
    <w:rsid w:val="00C3395F"/>
    <w:rsid w:val="00C33E3C"/>
    <w:rsid w:val="00C3434C"/>
    <w:rsid w:val="00C34B41"/>
    <w:rsid w:val="00C35D9A"/>
    <w:rsid w:val="00C40385"/>
    <w:rsid w:val="00C4115D"/>
    <w:rsid w:val="00C4126B"/>
    <w:rsid w:val="00C41768"/>
    <w:rsid w:val="00C41A90"/>
    <w:rsid w:val="00C42DED"/>
    <w:rsid w:val="00C43E76"/>
    <w:rsid w:val="00C44E8B"/>
    <w:rsid w:val="00C46154"/>
    <w:rsid w:val="00C46369"/>
    <w:rsid w:val="00C470FD"/>
    <w:rsid w:val="00C474CC"/>
    <w:rsid w:val="00C474FD"/>
    <w:rsid w:val="00C475AA"/>
    <w:rsid w:val="00C47AE3"/>
    <w:rsid w:val="00C512BB"/>
    <w:rsid w:val="00C51683"/>
    <w:rsid w:val="00C52521"/>
    <w:rsid w:val="00C527B8"/>
    <w:rsid w:val="00C527C7"/>
    <w:rsid w:val="00C53C98"/>
    <w:rsid w:val="00C546D7"/>
    <w:rsid w:val="00C54901"/>
    <w:rsid w:val="00C558D3"/>
    <w:rsid w:val="00C56E27"/>
    <w:rsid w:val="00C56FCF"/>
    <w:rsid w:val="00C57B6C"/>
    <w:rsid w:val="00C6178B"/>
    <w:rsid w:val="00C61A59"/>
    <w:rsid w:val="00C61D30"/>
    <w:rsid w:val="00C62160"/>
    <w:rsid w:val="00C628A6"/>
    <w:rsid w:val="00C62D65"/>
    <w:rsid w:val="00C64344"/>
    <w:rsid w:val="00C65108"/>
    <w:rsid w:val="00C65576"/>
    <w:rsid w:val="00C65D74"/>
    <w:rsid w:val="00C66165"/>
    <w:rsid w:val="00C662FE"/>
    <w:rsid w:val="00C667BF"/>
    <w:rsid w:val="00C66839"/>
    <w:rsid w:val="00C703A1"/>
    <w:rsid w:val="00C7060A"/>
    <w:rsid w:val="00C70A85"/>
    <w:rsid w:val="00C70E7F"/>
    <w:rsid w:val="00C712C8"/>
    <w:rsid w:val="00C7151A"/>
    <w:rsid w:val="00C715AD"/>
    <w:rsid w:val="00C71633"/>
    <w:rsid w:val="00C7172F"/>
    <w:rsid w:val="00C717E3"/>
    <w:rsid w:val="00C71C52"/>
    <w:rsid w:val="00C71F60"/>
    <w:rsid w:val="00C721EC"/>
    <w:rsid w:val="00C72241"/>
    <w:rsid w:val="00C7342C"/>
    <w:rsid w:val="00C74B40"/>
    <w:rsid w:val="00C74E76"/>
    <w:rsid w:val="00C750C8"/>
    <w:rsid w:val="00C7560F"/>
    <w:rsid w:val="00C75962"/>
    <w:rsid w:val="00C77D19"/>
    <w:rsid w:val="00C8016D"/>
    <w:rsid w:val="00C8021F"/>
    <w:rsid w:val="00C802B9"/>
    <w:rsid w:val="00C805CE"/>
    <w:rsid w:val="00C80943"/>
    <w:rsid w:val="00C80A0E"/>
    <w:rsid w:val="00C80C82"/>
    <w:rsid w:val="00C80D3A"/>
    <w:rsid w:val="00C816A2"/>
    <w:rsid w:val="00C81799"/>
    <w:rsid w:val="00C81A91"/>
    <w:rsid w:val="00C81F90"/>
    <w:rsid w:val="00C81FDC"/>
    <w:rsid w:val="00C8213F"/>
    <w:rsid w:val="00C826D0"/>
    <w:rsid w:val="00C82E17"/>
    <w:rsid w:val="00C8303F"/>
    <w:rsid w:val="00C830EA"/>
    <w:rsid w:val="00C83A04"/>
    <w:rsid w:val="00C8451E"/>
    <w:rsid w:val="00C84F16"/>
    <w:rsid w:val="00C84FF2"/>
    <w:rsid w:val="00C85154"/>
    <w:rsid w:val="00C85A70"/>
    <w:rsid w:val="00C8797A"/>
    <w:rsid w:val="00C900B8"/>
    <w:rsid w:val="00C90197"/>
    <w:rsid w:val="00C90556"/>
    <w:rsid w:val="00C9089D"/>
    <w:rsid w:val="00C90C71"/>
    <w:rsid w:val="00C91FD1"/>
    <w:rsid w:val="00C92237"/>
    <w:rsid w:val="00C92B9A"/>
    <w:rsid w:val="00C931CF"/>
    <w:rsid w:val="00C93482"/>
    <w:rsid w:val="00C93550"/>
    <w:rsid w:val="00C9365E"/>
    <w:rsid w:val="00C938CF"/>
    <w:rsid w:val="00C94053"/>
    <w:rsid w:val="00C9414F"/>
    <w:rsid w:val="00C94F5D"/>
    <w:rsid w:val="00C95B2F"/>
    <w:rsid w:val="00C9624D"/>
    <w:rsid w:val="00C969DA"/>
    <w:rsid w:val="00C972AD"/>
    <w:rsid w:val="00C97EF0"/>
    <w:rsid w:val="00CA0751"/>
    <w:rsid w:val="00CA0B4C"/>
    <w:rsid w:val="00CA18C4"/>
    <w:rsid w:val="00CA202E"/>
    <w:rsid w:val="00CA2AED"/>
    <w:rsid w:val="00CA2BCD"/>
    <w:rsid w:val="00CA2C77"/>
    <w:rsid w:val="00CA38DE"/>
    <w:rsid w:val="00CA3C84"/>
    <w:rsid w:val="00CA42B4"/>
    <w:rsid w:val="00CA444F"/>
    <w:rsid w:val="00CA4C99"/>
    <w:rsid w:val="00CA5245"/>
    <w:rsid w:val="00CA5A16"/>
    <w:rsid w:val="00CA6205"/>
    <w:rsid w:val="00CA6786"/>
    <w:rsid w:val="00CA6E98"/>
    <w:rsid w:val="00CA71F4"/>
    <w:rsid w:val="00CA7B09"/>
    <w:rsid w:val="00CB12A5"/>
    <w:rsid w:val="00CB1CAC"/>
    <w:rsid w:val="00CB1EF2"/>
    <w:rsid w:val="00CB23FE"/>
    <w:rsid w:val="00CB2F2A"/>
    <w:rsid w:val="00CB3499"/>
    <w:rsid w:val="00CB4527"/>
    <w:rsid w:val="00CB4D27"/>
    <w:rsid w:val="00CB5701"/>
    <w:rsid w:val="00CB5B1A"/>
    <w:rsid w:val="00CB629E"/>
    <w:rsid w:val="00CB62D6"/>
    <w:rsid w:val="00CB661C"/>
    <w:rsid w:val="00CB6B22"/>
    <w:rsid w:val="00CB6FCF"/>
    <w:rsid w:val="00CB7F5F"/>
    <w:rsid w:val="00CC0440"/>
    <w:rsid w:val="00CC18C7"/>
    <w:rsid w:val="00CC1970"/>
    <w:rsid w:val="00CC1B39"/>
    <w:rsid w:val="00CC1BFA"/>
    <w:rsid w:val="00CC21FB"/>
    <w:rsid w:val="00CC2764"/>
    <w:rsid w:val="00CC2E9F"/>
    <w:rsid w:val="00CC30A8"/>
    <w:rsid w:val="00CC35EA"/>
    <w:rsid w:val="00CC3848"/>
    <w:rsid w:val="00CC3C73"/>
    <w:rsid w:val="00CC3F4E"/>
    <w:rsid w:val="00CC4709"/>
    <w:rsid w:val="00CC5EC8"/>
    <w:rsid w:val="00CC5FEE"/>
    <w:rsid w:val="00CC6D1B"/>
    <w:rsid w:val="00CC6D5E"/>
    <w:rsid w:val="00CC790A"/>
    <w:rsid w:val="00CC7EFF"/>
    <w:rsid w:val="00CD0200"/>
    <w:rsid w:val="00CD0666"/>
    <w:rsid w:val="00CD18BB"/>
    <w:rsid w:val="00CD2138"/>
    <w:rsid w:val="00CD2498"/>
    <w:rsid w:val="00CD28E9"/>
    <w:rsid w:val="00CD2FD6"/>
    <w:rsid w:val="00CD3A0A"/>
    <w:rsid w:val="00CD3F77"/>
    <w:rsid w:val="00CD40EE"/>
    <w:rsid w:val="00CD429B"/>
    <w:rsid w:val="00CD4D9D"/>
    <w:rsid w:val="00CD53A7"/>
    <w:rsid w:val="00CD6ADC"/>
    <w:rsid w:val="00CD6B2F"/>
    <w:rsid w:val="00CD6C59"/>
    <w:rsid w:val="00CD7193"/>
    <w:rsid w:val="00CD7434"/>
    <w:rsid w:val="00CE022D"/>
    <w:rsid w:val="00CE1753"/>
    <w:rsid w:val="00CE2645"/>
    <w:rsid w:val="00CE38C8"/>
    <w:rsid w:val="00CE41D3"/>
    <w:rsid w:val="00CE50C5"/>
    <w:rsid w:val="00CE524F"/>
    <w:rsid w:val="00CE5432"/>
    <w:rsid w:val="00CE55D3"/>
    <w:rsid w:val="00CE58CC"/>
    <w:rsid w:val="00CE5F18"/>
    <w:rsid w:val="00CE6274"/>
    <w:rsid w:val="00CE6306"/>
    <w:rsid w:val="00CE75A9"/>
    <w:rsid w:val="00CE77B6"/>
    <w:rsid w:val="00CE79C3"/>
    <w:rsid w:val="00CE7E2F"/>
    <w:rsid w:val="00CF0BAB"/>
    <w:rsid w:val="00CF0BF5"/>
    <w:rsid w:val="00CF0D8E"/>
    <w:rsid w:val="00CF15E6"/>
    <w:rsid w:val="00CF1894"/>
    <w:rsid w:val="00CF1D27"/>
    <w:rsid w:val="00CF2B8D"/>
    <w:rsid w:val="00CF3682"/>
    <w:rsid w:val="00CF3A1B"/>
    <w:rsid w:val="00CF4273"/>
    <w:rsid w:val="00CF456B"/>
    <w:rsid w:val="00CF5520"/>
    <w:rsid w:val="00CF5580"/>
    <w:rsid w:val="00CF5A22"/>
    <w:rsid w:val="00CF5EF5"/>
    <w:rsid w:val="00CF67B6"/>
    <w:rsid w:val="00CF71AB"/>
    <w:rsid w:val="00CF7726"/>
    <w:rsid w:val="00D016B1"/>
    <w:rsid w:val="00D0262E"/>
    <w:rsid w:val="00D0265D"/>
    <w:rsid w:val="00D032D7"/>
    <w:rsid w:val="00D03679"/>
    <w:rsid w:val="00D03968"/>
    <w:rsid w:val="00D03AC4"/>
    <w:rsid w:val="00D03B0C"/>
    <w:rsid w:val="00D03B5A"/>
    <w:rsid w:val="00D04F7E"/>
    <w:rsid w:val="00D05E3D"/>
    <w:rsid w:val="00D06139"/>
    <w:rsid w:val="00D07522"/>
    <w:rsid w:val="00D07B71"/>
    <w:rsid w:val="00D07E92"/>
    <w:rsid w:val="00D102FF"/>
    <w:rsid w:val="00D1067B"/>
    <w:rsid w:val="00D10D3E"/>
    <w:rsid w:val="00D10F2D"/>
    <w:rsid w:val="00D110BD"/>
    <w:rsid w:val="00D13675"/>
    <w:rsid w:val="00D13A3B"/>
    <w:rsid w:val="00D141E1"/>
    <w:rsid w:val="00D15314"/>
    <w:rsid w:val="00D158D6"/>
    <w:rsid w:val="00D15B48"/>
    <w:rsid w:val="00D160CE"/>
    <w:rsid w:val="00D16434"/>
    <w:rsid w:val="00D1655E"/>
    <w:rsid w:val="00D16D8F"/>
    <w:rsid w:val="00D174B7"/>
    <w:rsid w:val="00D17D6C"/>
    <w:rsid w:val="00D17E32"/>
    <w:rsid w:val="00D17FE9"/>
    <w:rsid w:val="00D207B9"/>
    <w:rsid w:val="00D212AF"/>
    <w:rsid w:val="00D2155B"/>
    <w:rsid w:val="00D21842"/>
    <w:rsid w:val="00D22190"/>
    <w:rsid w:val="00D22300"/>
    <w:rsid w:val="00D227B8"/>
    <w:rsid w:val="00D229AF"/>
    <w:rsid w:val="00D229DD"/>
    <w:rsid w:val="00D23130"/>
    <w:rsid w:val="00D23203"/>
    <w:rsid w:val="00D234CA"/>
    <w:rsid w:val="00D2394E"/>
    <w:rsid w:val="00D23D11"/>
    <w:rsid w:val="00D2427B"/>
    <w:rsid w:val="00D244B6"/>
    <w:rsid w:val="00D25770"/>
    <w:rsid w:val="00D26B4F"/>
    <w:rsid w:val="00D26B76"/>
    <w:rsid w:val="00D2754D"/>
    <w:rsid w:val="00D27694"/>
    <w:rsid w:val="00D2778A"/>
    <w:rsid w:val="00D27B27"/>
    <w:rsid w:val="00D30D15"/>
    <w:rsid w:val="00D30D5B"/>
    <w:rsid w:val="00D30E25"/>
    <w:rsid w:val="00D30F8F"/>
    <w:rsid w:val="00D30FB4"/>
    <w:rsid w:val="00D31C16"/>
    <w:rsid w:val="00D33387"/>
    <w:rsid w:val="00D33BE9"/>
    <w:rsid w:val="00D33F93"/>
    <w:rsid w:val="00D33FAA"/>
    <w:rsid w:val="00D34D89"/>
    <w:rsid w:val="00D357FF"/>
    <w:rsid w:val="00D35B84"/>
    <w:rsid w:val="00D36038"/>
    <w:rsid w:val="00D3661F"/>
    <w:rsid w:val="00D36C81"/>
    <w:rsid w:val="00D37E0F"/>
    <w:rsid w:val="00D401D4"/>
    <w:rsid w:val="00D401ED"/>
    <w:rsid w:val="00D40C00"/>
    <w:rsid w:val="00D410E4"/>
    <w:rsid w:val="00D4130C"/>
    <w:rsid w:val="00D421CE"/>
    <w:rsid w:val="00D424C7"/>
    <w:rsid w:val="00D43537"/>
    <w:rsid w:val="00D4357F"/>
    <w:rsid w:val="00D43B2A"/>
    <w:rsid w:val="00D43CF1"/>
    <w:rsid w:val="00D43D4B"/>
    <w:rsid w:val="00D43D83"/>
    <w:rsid w:val="00D45690"/>
    <w:rsid w:val="00D45B22"/>
    <w:rsid w:val="00D46A57"/>
    <w:rsid w:val="00D47575"/>
    <w:rsid w:val="00D4791A"/>
    <w:rsid w:val="00D479F7"/>
    <w:rsid w:val="00D508DF"/>
    <w:rsid w:val="00D50957"/>
    <w:rsid w:val="00D5243B"/>
    <w:rsid w:val="00D525D7"/>
    <w:rsid w:val="00D5287D"/>
    <w:rsid w:val="00D533EC"/>
    <w:rsid w:val="00D56604"/>
    <w:rsid w:val="00D56A95"/>
    <w:rsid w:val="00D604CF"/>
    <w:rsid w:val="00D6076E"/>
    <w:rsid w:val="00D62EFA"/>
    <w:rsid w:val="00D63730"/>
    <w:rsid w:val="00D6420A"/>
    <w:rsid w:val="00D64CEE"/>
    <w:rsid w:val="00D64E28"/>
    <w:rsid w:val="00D661E7"/>
    <w:rsid w:val="00D66238"/>
    <w:rsid w:val="00D664CE"/>
    <w:rsid w:val="00D67957"/>
    <w:rsid w:val="00D70188"/>
    <w:rsid w:val="00D70A4D"/>
    <w:rsid w:val="00D70AF9"/>
    <w:rsid w:val="00D70F16"/>
    <w:rsid w:val="00D71CF1"/>
    <w:rsid w:val="00D72147"/>
    <w:rsid w:val="00D72272"/>
    <w:rsid w:val="00D72617"/>
    <w:rsid w:val="00D72F57"/>
    <w:rsid w:val="00D72F8E"/>
    <w:rsid w:val="00D7341C"/>
    <w:rsid w:val="00D73620"/>
    <w:rsid w:val="00D737FB"/>
    <w:rsid w:val="00D738BC"/>
    <w:rsid w:val="00D73D0B"/>
    <w:rsid w:val="00D74406"/>
    <w:rsid w:val="00D75A07"/>
    <w:rsid w:val="00D75D48"/>
    <w:rsid w:val="00D7665C"/>
    <w:rsid w:val="00D76A44"/>
    <w:rsid w:val="00D76C74"/>
    <w:rsid w:val="00D76F2D"/>
    <w:rsid w:val="00D770E4"/>
    <w:rsid w:val="00D7716D"/>
    <w:rsid w:val="00D77891"/>
    <w:rsid w:val="00D77BBA"/>
    <w:rsid w:val="00D77CA4"/>
    <w:rsid w:val="00D77D86"/>
    <w:rsid w:val="00D8046E"/>
    <w:rsid w:val="00D807AA"/>
    <w:rsid w:val="00D810F7"/>
    <w:rsid w:val="00D815EF"/>
    <w:rsid w:val="00D81949"/>
    <w:rsid w:val="00D81EB8"/>
    <w:rsid w:val="00D81F26"/>
    <w:rsid w:val="00D82139"/>
    <w:rsid w:val="00D82227"/>
    <w:rsid w:val="00D822E2"/>
    <w:rsid w:val="00D82ACE"/>
    <w:rsid w:val="00D83A0C"/>
    <w:rsid w:val="00D83E98"/>
    <w:rsid w:val="00D83F89"/>
    <w:rsid w:val="00D843F2"/>
    <w:rsid w:val="00D8594D"/>
    <w:rsid w:val="00D86231"/>
    <w:rsid w:val="00D86A85"/>
    <w:rsid w:val="00D87134"/>
    <w:rsid w:val="00D875B6"/>
    <w:rsid w:val="00D879F3"/>
    <w:rsid w:val="00D87B48"/>
    <w:rsid w:val="00D9036D"/>
    <w:rsid w:val="00D90DF0"/>
    <w:rsid w:val="00D912AB"/>
    <w:rsid w:val="00D9173B"/>
    <w:rsid w:val="00D91923"/>
    <w:rsid w:val="00D92E8A"/>
    <w:rsid w:val="00D931B8"/>
    <w:rsid w:val="00D936AB"/>
    <w:rsid w:val="00D93753"/>
    <w:rsid w:val="00D93ED3"/>
    <w:rsid w:val="00D94972"/>
    <w:rsid w:val="00D94C1E"/>
    <w:rsid w:val="00D953F8"/>
    <w:rsid w:val="00D95EBA"/>
    <w:rsid w:val="00D961B0"/>
    <w:rsid w:val="00D9629C"/>
    <w:rsid w:val="00D969E0"/>
    <w:rsid w:val="00D9742C"/>
    <w:rsid w:val="00D97E9B"/>
    <w:rsid w:val="00DA08B1"/>
    <w:rsid w:val="00DA1806"/>
    <w:rsid w:val="00DA2CEE"/>
    <w:rsid w:val="00DA2E3A"/>
    <w:rsid w:val="00DA3167"/>
    <w:rsid w:val="00DA4DC3"/>
    <w:rsid w:val="00DA5618"/>
    <w:rsid w:val="00DA77A5"/>
    <w:rsid w:val="00DA78EE"/>
    <w:rsid w:val="00DA790B"/>
    <w:rsid w:val="00DB0020"/>
    <w:rsid w:val="00DB0BEF"/>
    <w:rsid w:val="00DB0E36"/>
    <w:rsid w:val="00DB1230"/>
    <w:rsid w:val="00DB207C"/>
    <w:rsid w:val="00DB2707"/>
    <w:rsid w:val="00DB2C43"/>
    <w:rsid w:val="00DB300D"/>
    <w:rsid w:val="00DB3DBF"/>
    <w:rsid w:val="00DB484F"/>
    <w:rsid w:val="00DB5D11"/>
    <w:rsid w:val="00DB62B7"/>
    <w:rsid w:val="00DB6C8A"/>
    <w:rsid w:val="00DB6E51"/>
    <w:rsid w:val="00DB775B"/>
    <w:rsid w:val="00DC04F6"/>
    <w:rsid w:val="00DC0690"/>
    <w:rsid w:val="00DC0993"/>
    <w:rsid w:val="00DC10F2"/>
    <w:rsid w:val="00DC11B3"/>
    <w:rsid w:val="00DC1723"/>
    <w:rsid w:val="00DC1C8D"/>
    <w:rsid w:val="00DC1D65"/>
    <w:rsid w:val="00DC20C4"/>
    <w:rsid w:val="00DC2132"/>
    <w:rsid w:val="00DC2837"/>
    <w:rsid w:val="00DC286E"/>
    <w:rsid w:val="00DC2C00"/>
    <w:rsid w:val="00DC2C07"/>
    <w:rsid w:val="00DC30BC"/>
    <w:rsid w:val="00DC3C57"/>
    <w:rsid w:val="00DC3D92"/>
    <w:rsid w:val="00DC463A"/>
    <w:rsid w:val="00DC4842"/>
    <w:rsid w:val="00DC5501"/>
    <w:rsid w:val="00DC58EE"/>
    <w:rsid w:val="00DC5D3F"/>
    <w:rsid w:val="00DC5D77"/>
    <w:rsid w:val="00DC5DE4"/>
    <w:rsid w:val="00DC706D"/>
    <w:rsid w:val="00DC7154"/>
    <w:rsid w:val="00DC7241"/>
    <w:rsid w:val="00DC74EA"/>
    <w:rsid w:val="00DC7561"/>
    <w:rsid w:val="00DC759B"/>
    <w:rsid w:val="00DC7E8A"/>
    <w:rsid w:val="00DD07C4"/>
    <w:rsid w:val="00DD0C5D"/>
    <w:rsid w:val="00DD0F78"/>
    <w:rsid w:val="00DD1BF4"/>
    <w:rsid w:val="00DD273C"/>
    <w:rsid w:val="00DD29A5"/>
    <w:rsid w:val="00DD2AF7"/>
    <w:rsid w:val="00DD31AB"/>
    <w:rsid w:val="00DD3DDF"/>
    <w:rsid w:val="00DD3F28"/>
    <w:rsid w:val="00DD403E"/>
    <w:rsid w:val="00DD4446"/>
    <w:rsid w:val="00DD4537"/>
    <w:rsid w:val="00DD4E15"/>
    <w:rsid w:val="00DD53D1"/>
    <w:rsid w:val="00DD58C3"/>
    <w:rsid w:val="00DD636C"/>
    <w:rsid w:val="00DD6386"/>
    <w:rsid w:val="00DD7A5D"/>
    <w:rsid w:val="00DE0105"/>
    <w:rsid w:val="00DE0B92"/>
    <w:rsid w:val="00DE1003"/>
    <w:rsid w:val="00DE115D"/>
    <w:rsid w:val="00DE1975"/>
    <w:rsid w:val="00DE1DB4"/>
    <w:rsid w:val="00DE2304"/>
    <w:rsid w:val="00DE3138"/>
    <w:rsid w:val="00DE37F8"/>
    <w:rsid w:val="00DE40E7"/>
    <w:rsid w:val="00DE4273"/>
    <w:rsid w:val="00DE4A30"/>
    <w:rsid w:val="00DE4C64"/>
    <w:rsid w:val="00DE4FCB"/>
    <w:rsid w:val="00DE52CA"/>
    <w:rsid w:val="00DE5D07"/>
    <w:rsid w:val="00DE5D9A"/>
    <w:rsid w:val="00DE5E8C"/>
    <w:rsid w:val="00DE69C0"/>
    <w:rsid w:val="00DE6AC7"/>
    <w:rsid w:val="00DE715D"/>
    <w:rsid w:val="00DE72A7"/>
    <w:rsid w:val="00DE7722"/>
    <w:rsid w:val="00DE7832"/>
    <w:rsid w:val="00DE7C9D"/>
    <w:rsid w:val="00DF0EEB"/>
    <w:rsid w:val="00DF16B0"/>
    <w:rsid w:val="00DF18FC"/>
    <w:rsid w:val="00DF1965"/>
    <w:rsid w:val="00DF3463"/>
    <w:rsid w:val="00DF395F"/>
    <w:rsid w:val="00DF3F0A"/>
    <w:rsid w:val="00DF4AF3"/>
    <w:rsid w:val="00DF4B4B"/>
    <w:rsid w:val="00DF5616"/>
    <w:rsid w:val="00DF56A0"/>
    <w:rsid w:val="00DF5D2B"/>
    <w:rsid w:val="00DF6276"/>
    <w:rsid w:val="00DF6341"/>
    <w:rsid w:val="00DF63E2"/>
    <w:rsid w:val="00DF7757"/>
    <w:rsid w:val="00DF7924"/>
    <w:rsid w:val="00E005F1"/>
    <w:rsid w:val="00E00D6B"/>
    <w:rsid w:val="00E00E8E"/>
    <w:rsid w:val="00E020C1"/>
    <w:rsid w:val="00E02743"/>
    <w:rsid w:val="00E03025"/>
    <w:rsid w:val="00E036FA"/>
    <w:rsid w:val="00E03EE2"/>
    <w:rsid w:val="00E03F7D"/>
    <w:rsid w:val="00E0455E"/>
    <w:rsid w:val="00E04A6E"/>
    <w:rsid w:val="00E04C68"/>
    <w:rsid w:val="00E05630"/>
    <w:rsid w:val="00E0626B"/>
    <w:rsid w:val="00E06614"/>
    <w:rsid w:val="00E06624"/>
    <w:rsid w:val="00E06DBB"/>
    <w:rsid w:val="00E07920"/>
    <w:rsid w:val="00E07D03"/>
    <w:rsid w:val="00E10149"/>
    <w:rsid w:val="00E102D0"/>
    <w:rsid w:val="00E1032D"/>
    <w:rsid w:val="00E1069F"/>
    <w:rsid w:val="00E10B2B"/>
    <w:rsid w:val="00E11340"/>
    <w:rsid w:val="00E11910"/>
    <w:rsid w:val="00E11FAA"/>
    <w:rsid w:val="00E122A1"/>
    <w:rsid w:val="00E12328"/>
    <w:rsid w:val="00E1260D"/>
    <w:rsid w:val="00E13CD5"/>
    <w:rsid w:val="00E14B71"/>
    <w:rsid w:val="00E150E7"/>
    <w:rsid w:val="00E155BB"/>
    <w:rsid w:val="00E15653"/>
    <w:rsid w:val="00E15CF9"/>
    <w:rsid w:val="00E16372"/>
    <w:rsid w:val="00E16AD8"/>
    <w:rsid w:val="00E16F4F"/>
    <w:rsid w:val="00E178BA"/>
    <w:rsid w:val="00E17FFA"/>
    <w:rsid w:val="00E20E4D"/>
    <w:rsid w:val="00E20ED6"/>
    <w:rsid w:val="00E211D2"/>
    <w:rsid w:val="00E21358"/>
    <w:rsid w:val="00E216C5"/>
    <w:rsid w:val="00E21DDC"/>
    <w:rsid w:val="00E2249B"/>
    <w:rsid w:val="00E22A0D"/>
    <w:rsid w:val="00E23926"/>
    <w:rsid w:val="00E2424D"/>
    <w:rsid w:val="00E244F6"/>
    <w:rsid w:val="00E24615"/>
    <w:rsid w:val="00E246B4"/>
    <w:rsid w:val="00E255EB"/>
    <w:rsid w:val="00E258DB"/>
    <w:rsid w:val="00E265E0"/>
    <w:rsid w:val="00E2771E"/>
    <w:rsid w:val="00E27EE3"/>
    <w:rsid w:val="00E30B2A"/>
    <w:rsid w:val="00E311EF"/>
    <w:rsid w:val="00E31F08"/>
    <w:rsid w:val="00E32180"/>
    <w:rsid w:val="00E32574"/>
    <w:rsid w:val="00E325F2"/>
    <w:rsid w:val="00E32666"/>
    <w:rsid w:val="00E3316C"/>
    <w:rsid w:val="00E3337E"/>
    <w:rsid w:val="00E334E6"/>
    <w:rsid w:val="00E33F4D"/>
    <w:rsid w:val="00E3417E"/>
    <w:rsid w:val="00E345DE"/>
    <w:rsid w:val="00E34948"/>
    <w:rsid w:val="00E34A20"/>
    <w:rsid w:val="00E35017"/>
    <w:rsid w:val="00E36A41"/>
    <w:rsid w:val="00E36FCD"/>
    <w:rsid w:val="00E37569"/>
    <w:rsid w:val="00E37581"/>
    <w:rsid w:val="00E376C4"/>
    <w:rsid w:val="00E401B2"/>
    <w:rsid w:val="00E41466"/>
    <w:rsid w:val="00E41554"/>
    <w:rsid w:val="00E41620"/>
    <w:rsid w:val="00E4195A"/>
    <w:rsid w:val="00E41E30"/>
    <w:rsid w:val="00E422C0"/>
    <w:rsid w:val="00E42392"/>
    <w:rsid w:val="00E42A3E"/>
    <w:rsid w:val="00E42A47"/>
    <w:rsid w:val="00E42F73"/>
    <w:rsid w:val="00E42FF2"/>
    <w:rsid w:val="00E432F2"/>
    <w:rsid w:val="00E43D70"/>
    <w:rsid w:val="00E441D9"/>
    <w:rsid w:val="00E44252"/>
    <w:rsid w:val="00E4608A"/>
    <w:rsid w:val="00E466F3"/>
    <w:rsid w:val="00E46F3A"/>
    <w:rsid w:val="00E47B2C"/>
    <w:rsid w:val="00E47E58"/>
    <w:rsid w:val="00E508AA"/>
    <w:rsid w:val="00E50CDE"/>
    <w:rsid w:val="00E51560"/>
    <w:rsid w:val="00E51821"/>
    <w:rsid w:val="00E5228E"/>
    <w:rsid w:val="00E52866"/>
    <w:rsid w:val="00E52998"/>
    <w:rsid w:val="00E53FC8"/>
    <w:rsid w:val="00E54347"/>
    <w:rsid w:val="00E55424"/>
    <w:rsid w:val="00E556A8"/>
    <w:rsid w:val="00E55915"/>
    <w:rsid w:val="00E55987"/>
    <w:rsid w:val="00E55BB5"/>
    <w:rsid w:val="00E55E3F"/>
    <w:rsid w:val="00E562C0"/>
    <w:rsid w:val="00E5653C"/>
    <w:rsid w:val="00E56C2E"/>
    <w:rsid w:val="00E57739"/>
    <w:rsid w:val="00E57B6C"/>
    <w:rsid w:val="00E611DF"/>
    <w:rsid w:val="00E61ACD"/>
    <w:rsid w:val="00E6235F"/>
    <w:rsid w:val="00E62436"/>
    <w:rsid w:val="00E62844"/>
    <w:rsid w:val="00E64BDF"/>
    <w:rsid w:val="00E65168"/>
    <w:rsid w:val="00E65E79"/>
    <w:rsid w:val="00E65F11"/>
    <w:rsid w:val="00E6607B"/>
    <w:rsid w:val="00E665D4"/>
    <w:rsid w:val="00E66BA2"/>
    <w:rsid w:val="00E66E59"/>
    <w:rsid w:val="00E67416"/>
    <w:rsid w:val="00E677CE"/>
    <w:rsid w:val="00E67A8C"/>
    <w:rsid w:val="00E7062D"/>
    <w:rsid w:val="00E70795"/>
    <w:rsid w:val="00E715DE"/>
    <w:rsid w:val="00E718B6"/>
    <w:rsid w:val="00E722EB"/>
    <w:rsid w:val="00E723BA"/>
    <w:rsid w:val="00E725D8"/>
    <w:rsid w:val="00E72B85"/>
    <w:rsid w:val="00E72BC0"/>
    <w:rsid w:val="00E73581"/>
    <w:rsid w:val="00E73FA6"/>
    <w:rsid w:val="00E74ED6"/>
    <w:rsid w:val="00E75234"/>
    <w:rsid w:val="00E754AF"/>
    <w:rsid w:val="00E759DF"/>
    <w:rsid w:val="00E7624F"/>
    <w:rsid w:val="00E7702D"/>
    <w:rsid w:val="00E771E1"/>
    <w:rsid w:val="00E80048"/>
    <w:rsid w:val="00E81324"/>
    <w:rsid w:val="00E81CCC"/>
    <w:rsid w:val="00E833F7"/>
    <w:rsid w:val="00E834AE"/>
    <w:rsid w:val="00E83883"/>
    <w:rsid w:val="00E83BDF"/>
    <w:rsid w:val="00E83E51"/>
    <w:rsid w:val="00E85992"/>
    <w:rsid w:val="00E86AF5"/>
    <w:rsid w:val="00E86FCC"/>
    <w:rsid w:val="00E87A1D"/>
    <w:rsid w:val="00E87EAD"/>
    <w:rsid w:val="00E9021B"/>
    <w:rsid w:val="00E9049B"/>
    <w:rsid w:val="00E9094A"/>
    <w:rsid w:val="00E9099C"/>
    <w:rsid w:val="00E91260"/>
    <w:rsid w:val="00E91BE2"/>
    <w:rsid w:val="00E91D0B"/>
    <w:rsid w:val="00E91D35"/>
    <w:rsid w:val="00E91E9B"/>
    <w:rsid w:val="00E91F06"/>
    <w:rsid w:val="00E91F33"/>
    <w:rsid w:val="00E92576"/>
    <w:rsid w:val="00E926A5"/>
    <w:rsid w:val="00E92E09"/>
    <w:rsid w:val="00E93138"/>
    <w:rsid w:val="00E9350F"/>
    <w:rsid w:val="00E9403A"/>
    <w:rsid w:val="00E9497F"/>
    <w:rsid w:val="00E94AC8"/>
    <w:rsid w:val="00E951AF"/>
    <w:rsid w:val="00E957C9"/>
    <w:rsid w:val="00E962CC"/>
    <w:rsid w:val="00E970D0"/>
    <w:rsid w:val="00E973ED"/>
    <w:rsid w:val="00E97516"/>
    <w:rsid w:val="00E97FD6"/>
    <w:rsid w:val="00EA17C3"/>
    <w:rsid w:val="00EA1E3A"/>
    <w:rsid w:val="00EA1EBC"/>
    <w:rsid w:val="00EA2CAA"/>
    <w:rsid w:val="00EA3864"/>
    <w:rsid w:val="00EA452E"/>
    <w:rsid w:val="00EA4996"/>
    <w:rsid w:val="00EA4C23"/>
    <w:rsid w:val="00EA4CB5"/>
    <w:rsid w:val="00EA4E35"/>
    <w:rsid w:val="00EA4F45"/>
    <w:rsid w:val="00EA6DDC"/>
    <w:rsid w:val="00EA7773"/>
    <w:rsid w:val="00EA7F1C"/>
    <w:rsid w:val="00EB02B2"/>
    <w:rsid w:val="00EB0320"/>
    <w:rsid w:val="00EB15B6"/>
    <w:rsid w:val="00EB185B"/>
    <w:rsid w:val="00EB21CF"/>
    <w:rsid w:val="00EB2E19"/>
    <w:rsid w:val="00EB3105"/>
    <w:rsid w:val="00EB3913"/>
    <w:rsid w:val="00EB3D06"/>
    <w:rsid w:val="00EB4008"/>
    <w:rsid w:val="00EB446C"/>
    <w:rsid w:val="00EB4916"/>
    <w:rsid w:val="00EB54E6"/>
    <w:rsid w:val="00EB5728"/>
    <w:rsid w:val="00EB58F2"/>
    <w:rsid w:val="00EB6798"/>
    <w:rsid w:val="00EB74A7"/>
    <w:rsid w:val="00EB77CC"/>
    <w:rsid w:val="00EB7D52"/>
    <w:rsid w:val="00EC00C9"/>
    <w:rsid w:val="00EC03B9"/>
    <w:rsid w:val="00EC08E8"/>
    <w:rsid w:val="00EC0DD9"/>
    <w:rsid w:val="00EC2551"/>
    <w:rsid w:val="00EC2649"/>
    <w:rsid w:val="00EC2956"/>
    <w:rsid w:val="00EC31ED"/>
    <w:rsid w:val="00EC37B6"/>
    <w:rsid w:val="00EC456E"/>
    <w:rsid w:val="00EC493E"/>
    <w:rsid w:val="00EC4FA6"/>
    <w:rsid w:val="00EC5836"/>
    <w:rsid w:val="00EC599A"/>
    <w:rsid w:val="00EC688C"/>
    <w:rsid w:val="00EC6957"/>
    <w:rsid w:val="00EC7857"/>
    <w:rsid w:val="00EC7A13"/>
    <w:rsid w:val="00EC7B6F"/>
    <w:rsid w:val="00EC7F20"/>
    <w:rsid w:val="00EC7FEF"/>
    <w:rsid w:val="00ED0303"/>
    <w:rsid w:val="00ED0AF4"/>
    <w:rsid w:val="00ED0DC4"/>
    <w:rsid w:val="00ED12E3"/>
    <w:rsid w:val="00ED2013"/>
    <w:rsid w:val="00ED219F"/>
    <w:rsid w:val="00ED4B04"/>
    <w:rsid w:val="00ED57BD"/>
    <w:rsid w:val="00ED57EA"/>
    <w:rsid w:val="00ED58D8"/>
    <w:rsid w:val="00ED5BD4"/>
    <w:rsid w:val="00ED69A6"/>
    <w:rsid w:val="00ED75D5"/>
    <w:rsid w:val="00ED7944"/>
    <w:rsid w:val="00EE052C"/>
    <w:rsid w:val="00EE06FA"/>
    <w:rsid w:val="00EE07D3"/>
    <w:rsid w:val="00EE1455"/>
    <w:rsid w:val="00EE146A"/>
    <w:rsid w:val="00EE1773"/>
    <w:rsid w:val="00EE1996"/>
    <w:rsid w:val="00EE1C01"/>
    <w:rsid w:val="00EE22AF"/>
    <w:rsid w:val="00EE26AC"/>
    <w:rsid w:val="00EE3B73"/>
    <w:rsid w:val="00EE45F2"/>
    <w:rsid w:val="00EE5FAD"/>
    <w:rsid w:val="00EE6843"/>
    <w:rsid w:val="00EE6A59"/>
    <w:rsid w:val="00EE73F9"/>
    <w:rsid w:val="00EE7E93"/>
    <w:rsid w:val="00EF0171"/>
    <w:rsid w:val="00EF0580"/>
    <w:rsid w:val="00EF101F"/>
    <w:rsid w:val="00EF1B25"/>
    <w:rsid w:val="00EF1DA0"/>
    <w:rsid w:val="00EF2573"/>
    <w:rsid w:val="00EF2C32"/>
    <w:rsid w:val="00EF4747"/>
    <w:rsid w:val="00EF4BF8"/>
    <w:rsid w:val="00EF58F1"/>
    <w:rsid w:val="00EF5D73"/>
    <w:rsid w:val="00EF68F5"/>
    <w:rsid w:val="00EF6B11"/>
    <w:rsid w:val="00EF72A4"/>
    <w:rsid w:val="00F009A6"/>
    <w:rsid w:val="00F02253"/>
    <w:rsid w:val="00F0349D"/>
    <w:rsid w:val="00F035E7"/>
    <w:rsid w:val="00F03C2E"/>
    <w:rsid w:val="00F03E16"/>
    <w:rsid w:val="00F040ED"/>
    <w:rsid w:val="00F04678"/>
    <w:rsid w:val="00F04A66"/>
    <w:rsid w:val="00F04B4B"/>
    <w:rsid w:val="00F04C0A"/>
    <w:rsid w:val="00F04E5E"/>
    <w:rsid w:val="00F0516C"/>
    <w:rsid w:val="00F05F24"/>
    <w:rsid w:val="00F063C7"/>
    <w:rsid w:val="00F063F0"/>
    <w:rsid w:val="00F067A2"/>
    <w:rsid w:val="00F06F20"/>
    <w:rsid w:val="00F072EF"/>
    <w:rsid w:val="00F07B9E"/>
    <w:rsid w:val="00F1116F"/>
    <w:rsid w:val="00F11F4F"/>
    <w:rsid w:val="00F1263A"/>
    <w:rsid w:val="00F12AD0"/>
    <w:rsid w:val="00F1331C"/>
    <w:rsid w:val="00F138C8"/>
    <w:rsid w:val="00F1398A"/>
    <w:rsid w:val="00F139C5"/>
    <w:rsid w:val="00F1563A"/>
    <w:rsid w:val="00F15B77"/>
    <w:rsid w:val="00F1627B"/>
    <w:rsid w:val="00F163E7"/>
    <w:rsid w:val="00F16DDF"/>
    <w:rsid w:val="00F1747D"/>
    <w:rsid w:val="00F17A5B"/>
    <w:rsid w:val="00F17ED9"/>
    <w:rsid w:val="00F20518"/>
    <w:rsid w:val="00F20BDF"/>
    <w:rsid w:val="00F21236"/>
    <w:rsid w:val="00F2143A"/>
    <w:rsid w:val="00F21A69"/>
    <w:rsid w:val="00F21F94"/>
    <w:rsid w:val="00F224BF"/>
    <w:rsid w:val="00F23153"/>
    <w:rsid w:val="00F23421"/>
    <w:rsid w:val="00F23753"/>
    <w:rsid w:val="00F239DF"/>
    <w:rsid w:val="00F24837"/>
    <w:rsid w:val="00F2486A"/>
    <w:rsid w:val="00F251D8"/>
    <w:rsid w:val="00F25395"/>
    <w:rsid w:val="00F2575F"/>
    <w:rsid w:val="00F25CFB"/>
    <w:rsid w:val="00F26079"/>
    <w:rsid w:val="00F26155"/>
    <w:rsid w:val="00F2715A"/>
    <w:rsid w:val="00F27565"/>
    <w:rsid w:val="00F309C4"/>
    <w:rsid w:val="00F310D4"/>
    <w:rsid w:val="00F315B2"/>
    <w:rsid w:val="00F319DD"/>
    <w:rsid w:val="00F31D5A"/>
    <w:rsid w:val="00F32028"/>
    <w:rsid w:val="00F32542"/>
    <w:rsid w:val="00F33975"/>
    <w:rsid w:val="00F33DE9"/>
    <w:rsid w:val="00F3441C"/>
    <w:rsid w:val="00F35325"/>
    <w:rsid w:val="00F35E6D"/>
    <w:rsid w:val="00F3617A"/>
    <w:rsid w:val="00F3619A"/>
    <w:rsid w:val="00F36218"/>
    <w:rsid w:val="00F36933"/>
    <w:rsid w:val="00F36EAC"/>
    <w:rsid w:val="00F36FE7"/>
    <w:rsid w:val="00F37334"/>
    <w:rsid w:val="00F40534"/>
    <w:rsid w:val="00F40AAA"/>
    <w:rsid w:val="00F40BA7"/>
    <w:rsid w:val="00F40F9D"/>
    <w:rsid w:val="00F412BB"/>
    <w:rsid w:val="00F41ACD"/>
    <w:rsid w:val="00F41E0E"/>
    <w:rsid w:val="00F42D4C"/>
    <w:rsid w:val="00F430D7"/>
    <w:rsid w:val="00F43EA9"/>
    <w:rsid w:val="00F4481C"/>
    <w:rsid w:val="00F4507A"/>
    <w:rsid w:val="00F45EA6"/>
    <w:rsid w:val="00F46CB6"/>
    <w:rsid w:val="00F46DD3"/>
    <w:rsid w:val="00F4756D"/>
    <w:rsid w:val="00F47DE8"/>
    <w:rsid w:val="00F500DD"/>
    <w:rsid w:val="00F50101"/>
    <w:rsid w:val="00F5014A"/>
    <w:rsid w:val="00F50E7C"/>
    <w:rsid w:val="00F52423"/>
    <w:rsid w:val="00F537BB"/>
    <w:rsid w:val="00F538C3"/>
    <w:rsid w:val="00F53D5E"/>
    <w:rsid w:val="00F542C1"/>
    <w:rsid w:val="00F54DE5"/>
    <w:rsid w:val="00F54EA1"/>
    <w:rsid w:val="00F550AE"/>
    <w:rsid w:val="00F550E3"/>
    <w:rsid w:val="00F55C03"/>
    <w:rsid w:val="00F55E73"/>
    <w:rsid w:val="00F55EDA"/>
    <w:rsid w:val="00F5638F"/>
    <w:rsid w:val="00F56C80"/>
    <w:rsid w:val="00F5760D"/>
    <w:rsid w:val="00F57B2B"/>
    <w:rsid w:val="00F57EFA"/>
    <w:rsid w:val="00F60092"/>
    <w:rsid w:val="00F60C8D"/>
    <w:rsid w:val="00F60E72"/>
    <w:rsid w:val="00F60E8D"/>
    <w:rsid w:val="00F61C18"/>
    <w:rsid w:val="00F628CF"/>
    <w:rsid w:val="00F63C2C"/>
    <w:rsid w:val="00F63F5F"/>
    <w:rsid w:val="00F65F4B"/>
    <w:rsid w:val="00F66231"/>
    <w:rsid w:val="00F66E31"/>
    <w:rsid w:val="00F6753D"/>
    <w:rsid w:val="00F6777A"/>
    <w:rsid w:val="00F67A69"/>
    <w:rsid w:val="00F708CF"/>
    <w:rsid w:val="00F70A31"/>
    <w:rsid w:val="00F70BFF"/>
    <w:rsid w:val="00F70C9D"/>
    <w:rsid w:val="00F70CF6"/>
    <w:rsid w:val="00F717B0"/>
    <w:rsid w:val="00F735D1"/>
    <w:rsid w:val="00F738C2"/>
    <w:rsid w:val="00F73E08"/>
    <w:rsid w:val="00F74CD9"/>
    <w:rsid w:val="00F75E61"/>
    <w:rsid w:val="00F767FD"/>
    <w:rsid w:val="00F80770"/>
    <w:rsid w:val="00F80A7B"/>
    <w:rsid w:val="00F80E5D"/>
    <w:rsid w:val="00F81E78"/>
    <w:rsid w:val="00F81EC6"/>
    <w:rsid w:val="00F826B6"/>
    <w:rsid w:val="00F82808"/>
    <w:rsid w:val="00F83562"/>
    <w:rsid w:val="00F83916"/>
    <w:rsid w:val="00F8414A"/>
    <w:rsid w:val="00F842D8"/>
    <w:rsid w:val="00F8434A"/>
    <w:rsid w:val="00F84C68"/>
    <w:rsid w:val="00F851CE"/>
    <w:rsid w:val="00F85AD3"/>
    <w:rsid w:val="00F861D0"/>
    <w:rsid w:val="00F903D8"/>
    <w:rsid w:val="00F90985"/>
    <w:rsid w:val="00F909EB"/>
    <w:rsid w:val="00F90FDD"/>
    <w:rsid w:val="00F91219"/>
    <w:rsid w:val="00F91BCE"/>
    <w:rsid w:val="00F91BDF"/>
    <w:rsid w:val="00F91C37"/>
    <w:rsid w:val="00F91D6C"/>
    <w:rsid w:val="00F92444"/>
    <w:rsid w:val="00F92452"/>
    <w:rsid w:val="00F9301D"/>
    <w:rsid w:val="00F93508"/>
    <w:rsid w:val="00F9393E"/>
    <w:rsid w:val="00F93CE2"/>
    <w:rsid w:val="00F9470A"/>
    <w:rsid w:val="00F94918"/>
    <w:rsid w:val="00F94A48"/>
    <w:rsid w:val="00F94C81"/>
    <w:rsid w:val="00F95080"/>
    <w:rsid w:val="00F95A25"/>
    <w:rsid w:val="00F963AB"/>
    <w:rsid w:val="00F967F5"/>
    <w:rsid w:val="00F96FD0"/>
    <w:rsid w:val="00F97A78"/>
    <w:rsid w:val="00F97E3E"/>
    <w:rsid w:val="00FA06E7"/>
    <w:rsid w:val="00FA08D2"/>
    <w:rsid w:val="00FA0B20"/>
    <w:rsid w:val="00FA103F"/>
    <w:rsid w:val="00FA23BB"/>
    <w:rsid w:val="00FA24E7"/>
    <w:rsid w:val="00FA2878"/>
    <w:rsid w:val="00FA2D39"/>
    <w:rsid w:val="00FA3528"/>
    <w:rsid w:val="00FA3CE1"/>
    <w:rsid w:val="00FA43DC"/>
    <w:rsid w:val="00FA48CF"/>
    <w:rsid w:val="00FA4BB9"/>
    <w:rsid w:val="00FA5EE6"/>
    <w:rsid w:val="00FA7398"/>
    <w:rsid w:val="00FA78C9"/>
    <w:rsid w:val="00FA7956"/>
    <w:rsid w:val="00FB0824"/>
    <w:rsid w:val="00FB0CBD"/>
    <w:rsid w:val="00FB1DD8"/>
    <w:rsid w:val="00FB21F1"/>
    <w:rsid w:val="00FB2773"/>
    <w:rsid w:val="00FB2A6D"/>
    <w:rsid w:val="00FB2FCB"/>
    <w:rsid w:val="00FB34EA"/>
    <w:rsid w:val="00FB3EC5"/>
    <w:rsid w:val="00FB4B99"/>
    <w:rsid w:val="00FB4C9C"/>
    <w:rsid w:val="00FB51AF"/>
    <w:rsid w:val="00FB533E"/>
    <w:rsid w:val="00FB59BE"/>
    <w:rsid w:val="00FB5ABB"/>
    <w:rsid w:val="00FB5EA9"/>
    <w:rsid w:val="00FB75EE"/>
    <w:rsid w:val="00FB79E6"/>
    <w:rsid w:val="00FB7A5A"/>
    <w:rsid w:val="00FB7C1F"/>
    <w:rsid w:val="00FB7C55"/>
    <w:rsid w:val="00FC05EE"/>
    <w:rsid w:val="00FC084E"/>
    <w:rsid w:val="00FC0E0E"/>
    <w:rsid w:val="00FC1074"/>
    <w:rsid w:val="00FC1884"/>
    <w:rsid w:val="00FC27B0"/>
    <w:rsid w:val="00FC2FE5"/>
    <w:rsid w:val="00FC3428"/>
    <w:rsid w:val="00FC371D"/>
    <w:rsid w:val="00FC37ED"/>
    <w:rsid w:val="00FC39EB"/>
    <w:rsid w:val="00FC46DF"/>
    <w:rsid w:val="00FC58D8"/>
    <w:rsid w:val="00FC5BC0"/>
    <w:rsid w:val="00FC5F0B"/>
    <w:rsid w:val="00FC62D3"/>
    <w:rsid w:val="00FC62D9"/>
    <w:rsid w:val="00FC6584"/>
    <w:rsid w:val="00FC7A8C"/>
    <w:rsid w:val="00FC7EDA"/>
    <w:rsid w:val="00FD03F2"/>
    <w:rsid w:val="00FD0556"/>
    <w:rsid w:val="00FD08F4"/>
    <w:rsid w:val="00FD1163"/>
    <w:rsid w:val="00FD1633"/>
    <w:rsid w:val="00FD2100"/>
    <w:rsid w:val="00FD24EF"/>
    <w:rsid w:val="00FD303D"/>
    <w:rsid w:val="00FD436C"/>
    <w:rsid w:val="00FD446D"/>
    <w:rsid w:val="00FD4649"/>
    <w:rsid w:val="00FD477D"/>
    <w:rsid w:val="00FD4AA8"/>
    <w:rsid w:val="00FD4ED6"/>
    <w:rsid w:val="00FD4F2C"/>
    <w:rsid w:val="00FD50ED"/>
    <w:rsid w:val="00FD5517"/>
    <w:rsid w:val="00FD569F"/>
    <w:rsid w:val="00FD6394"/>
    <w:rsid w:val="00FD7594"/>
    <w:rsid w:val="00FD7821"/>
    <w:rsid w:val="00FE0132"/>
    <w:rsid w:val="00FE026E"/>
    <w:rsid w:val="00FE0337"/>
    <w:rsid w:val="00FE0412"/>
    <w:rsid w:val="00FE0E6C"/>
    <w:rsid w:val="00FE1B75"/>
    <w:rsid w:val="00FE1CDC"/>
    <w:rsid w:val="00FE23C0"/>
    <w:rsid w:val="00FE2F88"/>
    <w:rsid w:val="00FE34E2"/>
    <w:rsid w:val="00FE35A2"/>
    <w:rsid w:val="00FE3CA9"/>
    <w:rsid w:val="00FE3E9B"/>
    <w:rsid w:val="00FE4ACB"/>
    <w:rsid w:val="00FE4C00"/>
    <w:rsid w:val="00FE4CA2"/>
    <w:rsid w:val="00FE523A"/>
    <w:rsid w:val="00FE70C3"/>
    <w:rsid w:val="00FE79E3"/>
    <w:rsid w:val="00FF1A8B"/>
    <w:rsid w:val="00FF1C3B"/>
    <w:rsid w:val="00FF1FF5"/>
    <w:rsid w:val="00FF2063"/>
    <w:rsid w:val="00FF2AD9"/>
    <w:rsid w:val="00FF2ED9"/>
    <w:rsid w:val="00FF359F"/>
    <w:rsid w:val="00FF3DCF"/>
    <w:rsid w:val="00FF4530"/>
    <w:rsid w:val="00FF492C"/>
    <w:rsid w:val="00FF4A21"/>
    <w:rsid w:val="00FF515F"/>
    <w:rsid w:val="00FF5AA3"/>
    <w:rsid w:val="00FF5AD8"/>
    <w:rsid w:val="00FF5CDF"/>
    <w:rsid w:val="00FF6197"/>
    <w:rsid w:val="00FF71B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6"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A08"/>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next w:val="Normal"/>
    <w:link w:val="Heading2Char"/>
    <w:rsid w:val="00D410E4"/>
    <w:pPr>
      <w:outlineLvl w:val="1"/>
    </w:pPr>
    <w:rPr>
      <w:rFonts w:ascii="Calibri" w:hAnsi="Calibri" w:cs="Arial"/>
      <w:b/>
      <w:i/>
      <w:sz w:val="28"/>
      <w:szCs w:val="24"/>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410E4"/>
    <w:rPr>
      <w:rFonts w:ascii="Calibri" w:hAnsi="Calibri" w:cs="Arial"/>
      <w:b/>
      <w:i/>
      <w:sz w:val="28"/>
      <w:szCs w:val="24"/>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COMexecsummbulletlist">
    <w:name w:val="COM exec summ bullet list"/>
    <w:basedOn w:val="ListParagraph"/>
    <w:link w:val="COMexecsummbulletlistChar"/>
    <w:qFormat/>
    <w:rsid w:val="004E40F4"/>
    <w:pPr>
      <w:ind w:left="1134"/>
    </w:pPr>
  </w:style>
  <w:style w:type="paragraph" w:customStyle="1" w:styleId="COMexecsummmainissuesbullets">
    <w:name w:val="COM exec summ main issues bullets"/>
    <w:basedOn w:val="ListParagraph"/>
    <w:link w:val="COMexecsummmainissuesbulletsChar"/>
    <w:qFormat/>
    <w:rsid w:val="00023AB6"/>
    <w:pPr>
      <w:numPr>
        <w:numId w:val="6"/>
      </w:numPr>
    </w:pPr>
    <w:rPr>
      <w:color w:val="0066FF"/>
    </w:rPr>
  </w:style>
  <w:style w:type="character" w:customStyle="1" w:styleId="COMexecsummbulletlistChar">
    <w:name w:val="COM exec summ bullet list Char"/>
    <w:basedOn w:val="ListParagraphChar"/>
    <w:link w:val="COMexecsummbulletlist"/>
    <w:rsid w:val="004E40F4"/>
    <w:rPr>
      <w:rFonts w:asciiTheme="minorHAnsi" w:hAnsiTheme="minorHAnsi" w:cs="Arial"/>
      <w:snapToGrid w:val="0"/>
      <w:sz w:val="24"/>
      <w:szCs w:val="24"/>
    </w:rPr>
  </w:style>
  <w:style w:type="paragraph" w:customStyle="1" w:styleId="COMH3">
    <w:name w:val="COM H3"/>
    <w:basedOn w:val="Normal"/>
    <w:next w:val="Normal"/>
    <w:link w:val="COMH3Char"/>
    <w:qFormat/>
    <w:rsid w:val="00910CFD"/>
    <w:pPr>
      <w:keepNext/>
      <w:spacing w:after="240"/>
    </w:pPr>
    <w:rPr>
      <w:b/>
      <w:iCs/>
      <w:sz w:val="28"/>
    </w:rPr>
  </w:style>
  <w:style w:type="paragraph" w:styleId="ListParagraph">
    <w:name w:val="List Paragraph"/>
    <w:aliases w:val="Figure_name,List Paragraph1,Numbered Indented Text,Bullet- First level,List NUmber,Listenabsatz1,lp1,List Paragraph11,Style 2,TOC style,List Paragraph2,List Paragraph Char Char,Number_1,SGLText List Paragraph,new,Colorful List - Accent 11"/>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paragraph" w:styleId="ListBullet">
    <w:name w:val="List Bullet"/>
    <w:aliases w:val="zz List Bullet"/>
    <w:basedOn w:val="Normal"/>
    <w:link w:val="ListBulletChar"/>
    <w:unhideWhenUsed/>
    <w:rsid w:val="00EE1996"/>
    <w:pPr>
      <w:numPr>
        <w:numId w:val="4"/>
      </w:numPr>
      <w:contextualSpacing/>
    </w:p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basedOn w:val="DefaultParagraphFont"/>
    <w:link w:val="ListParagraph"/>
    <w:uiPriority w:val="34"/>
    <w:qFormat/>
    <w:locked/>
    <w:rsid w:val="00BB00B3"/>
    <w:rPr>
      <w:rFonts w:asciiTheme="minorHAnsi" w:hAnsiTheme="minorHAnsi" w:cs="Arial"/>
      <w:snapToGrid w:val="0"/>
      <w:sz w:val="24"/>
      <w:szCs w:val="24"/>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H2-numbered">
    <w:name w:val="COM H2 - numbered"/>
    <w:basedOn w:val="Heading2"/>
    <w:link w:val="COMH2-numberedChar"/>
    <w:qFormat/>
    <w:rsid w:val="00721EA3"/>
    <w:pPr>
      <w:keepNext/>
      <w:spacing w:after="240"/>
    </w:p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customStyle="1" w:styleId="COMexecsummmainissuesbulletsChar">
    <w:name w:val="COM exec summ main issues bullets Char"/>
    <w:basedOn w:val="ListParagraphChar"/>
    <w:link w:val="COMexecsummmainissuesbullets"/>
    <w:rsid w:val="00023AB6"/>
    <w:rPr>
      <w:rFonts w:asciiTheme="minorHAnsi" w:hAnsiTheme="minorHAnsi" w:cs="Arial"/>
      <w:snapToGrid w:val="0"/>
      <w:color w:val="0066FF"/>
      <w:sz w:val="24"/>
      <w:szCs w:val="24"/>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character" w:customStyle="1" w:styleId="COMH2-numberedChar">
    <w:name w:val="COM H2 - numbered Char"/>
    <w:basedOn w:val="Heading2Char"/>
    <w:link w:val="COMH2-numbered"/>
    <w:rsid w:val="00721EA3"/>
    <w:rPr>
      <w:rFonts w:ascii="Calibri" w:hAnsi="Calibri" w:cs="Arial"/>
      <w:b/>
      <w:i/>
      <w:sz w:val="28"/>
      <w:szCs w:val="24"/>
    </w:rPr>
  </w:style>
  <w:style w:type="paragraph" w:customStyle="1" w:styleId="COMH4">
    <w:name w:val="COM H4"/>
    <w:basedOn w:val="Normal"/>
    <w:link w:val="COMH4Char"/>
    <w:qFormat/>
    <w:rsid w:val="00C042D3"/>
    <w:pPr>
      <w:spacing w:after="120"/>
    </w:pPr>
    <w:rPr>
      <w:b/>
      <w:i/>
    </w:rPr>
  </w:style>
  <w:style w:type="character" w:customStyle="1" w:styleId="COMH3Char">
    <w:name w:val="COM H3 Char"/>
    <w:basedOn w:val="DefaultParagraphFont"/>
    <w:link w:val="COMH3"/>
    <w:rsid w:val="00910CFD"/>
    <w:rPr>
      <w:rFonts w:ascii="Calibri" w:hAnsi="Calibri" w:cs="Arial"/>
      <w:b/>
      <w:iCs/>
      <w:sz w:val="28"/>
      <w:szCs w:val="24"/>
    </w:rPr>
  </w:style>
  <w:style w:type="paragraph" w:customStyle="1" w:styleId="COMbodybulletlist">
    <w:name w:val="COM body bullet list"/>
    <w:basedOn w:val="ListBullet"/>
    <w:link w:val="COMbodybulletlistChar"/>
    <w:qFormat/>
    <w:rsid w:val="00894E87"/>
  </w:style>
  <w:style w:type="character" w:customStyle="1" w:styleId="COMH4Char">
    <w:name w:val="COM H4 Char"/>
    <w:basedOn w:val="DefaultParagraphFont"/>
    <w:link w:val="COMH4"/>
    <w:rsid w:val="00C042D3"/>
    <w:rPr>
      <w:rFonts w:ascii="Calibri" w:hAnsi="Calibri" w:cs="Arial"/>
      <w:b/>
      <w:i/>
      <w:sz w:val="24"/>
      <w:szCs w:val="24"/>
    </w:rPr>
  </w:style>
  <w:style w:type="paragraph" w:customStyle="1" w:styleId="zzBulletpoints">
    <w:name w:val="zz Bullet points"/>
    <w:basedOn w:val="ListParagraph"/>
    <w:rsid w:val="00B70E8E"/>
    <w:pPr>
      <w:numPr>
        <w:numId w:val="2"/>
      </w:numPr>
      <w:contextualSpacing/>
    </w:pPr>
  </w:style>
  <w:style w:type="paragraph" w:customStyle="1" w:styleId="COMBody">
    <w:name w:val="COM Body"/>
    <w:basedOn w:val="Normal"/>
    <w:link w:val="COMBodyChar"/>
    <w:qFormat/>
    <w:rsid w:val="00C8451E"/>
  </w:style>
  <w:style w:type="character" w:customStyle="1" w:styleId="ListBulletChar">
    <w:name w:val="List Bullet Char"/>
    <w:aliases w:val="zz List Bullet Char"/>
    <w:basedOn w:val="DefaultParagraphFont"/>
    <w:link w:val="ListBullet"/>
    <w:rsid w:val="00894E87"/>
    <w:rPr>
      <w:rFonts w:ascii="Calibri" w:hAnsi="Calibri" w:cs="Arial"/>
      <w:sz w:val="24"/>
      <w:szCs w:val="24"/>
    </w:rPr>
  </w:style>
  <w:style w:type="paragraph" w:styleId="Revision">
    <w:name w:val="Revision"/>
    <w:hidden/>
    <w:uiPriority w:val="99"/>
    <w:semiHidden/>
    <w:rsid w:val="00043C37"/>
    <w:rPr>
      <w:rFonts w:ascii="Arial" w:hAnsi="Arial" w:cs="Arial"/>
      <w:snapToGrid w:val="0"/>
      <w:sz w:val="22"/>
      <w:lang w:eastAsia="en-US"/>
    </w:rPr>
  </w:style>
  <w:style w:type="character" w:customStyle="1" w:styleId="COMbodybulletlistChar">
    <w:name w:val="COM body bullet list Char"/>
    <w:basedOn w:val="ListBulletChar"/>
    <w:link w:val="COMbodybulletlist"/>
    <w:rsid w:val="00894E87"/>
    <w:rPr>
      <w:rFonts w:ascii="Calibri" w:hAnsi="Calibri" w:cs="Arial"/>
      <w:sz w:val="24"/>
      <w:szCs w:val="24"/>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character" w:customStyle="1" w:styleId="COMBodyChar">
    <w:name w:val="COM Body Char"/>
    <w:basedOn w:val="DefaultParagraphFont"/>
    <w:link w:val="COMBody"/>
    <w:rsid w:val="00C8451E"/>
    <w:rPr>
      <w:rFonts w:ascii="Calibri" w:hAnsi="Calibri" w:cs="Arial"/>
      <w:sz w:val="24"/>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COMTabletext">
    <w:name w:val="COM Table text"/>
    <w:link w:val="COMTabletextChar"/>
    <w:qFormat/>
    <w:rsid w:val="00EE1996"/>
    <w:pPr>
      <w:keepNext/>
    </w:pPr>
    <w:rPr>
      <w:rFonts w:ascii="Arial Narrow" w:eastAsiaTheme="majorEastAsia" w:hAnsi="Arial Narrow" w:cstheme="majorBidi"/>
      <w:bCs/>
      <w:szCs w:val="24"/>
    </w:rPr>
  </w:style>
  <w:style w:type="character" w:customStyle="1" w:styleId="COMTabletextChar">
    <w:name w:val="COM Table text Char"/>
    <w:basedOn w:val="DefaultParagraphFont"/>
    <w:link w:val="COMTabletext"/>
    <w:rsid w:val="00EE1996"/>
    <w:rPr>
      <w:rFonts w:ascii="Arial Narrow" w:eastAsiaTheme="majorEastAsia" w:hAnsi="Arial Narrow" w:cstheme="majorBidi"/>
      <w:bCs/>
      <w:szCs w:val="24"/>
    </w:rPr>
  </w:style>
  <w:style w:type="paragraph" w:customStyle="1" w:styleId="COMTableheadingrow">
    <w:name w:val="COM Table heading row"/>
    <w:qFormat/>
    <w:rsid w:val="00EE1996"/>
    <w:pPr>
      <w:keepNext/>
    </w:pPr>
    <w:rPr>
      <w:rFonts w:ascii="Arial Narrow" w:eastAsiaTheme="majorEastAsia" w:hAnsi="Arial Narrow"/>
      <w:b/>
      <w:szCs w:val="24"/>
      <w:lang w:val="en-US"/>
    </w:rPr>
  </w:style>
  <w:style w:type="paragraph" w:customStyle="1" w:styleId="COMH1numbered">
    <w:name w:val="COM H1 numbered"/>
    <w:next w:val="Normal"/>
    <w:link w:val="COMH1numberedChar"/>
    <w:qFormat/>
    <w:rsid w:val="00163E81"/>
    <w:pPr>
      <w:keepNext/>
      <w:numPr>
        <w:numId w:val="5"/>
      </w:numPr>
      <w:spacing w:before="240" w:after="120"/>
      <w:outlineLvl w:val="0"/>
    </w:pPr>
    <w:rPr>
      <w:rFonts w:asciiTheme="minorHAnsi" w:hAnsiTheme="minorHAnsi" w:cs="Arial"/>
      <w:b/>
      <w:snapToGrid w:val="0"/>
      <w:sz w:val="32"/>
      <w:szCs w:val="32"/>
    </w:rPr>
  </w:style>
  <w:style w:type="paragraph" w:customStyle="1" w:styleId="COMH1-non-numbered">
    <w:name w:val="COM H1 - non-numbered"/>
    <w:next w:val="Normal"/>
    <w:link w:val="COMH1-non-numberedChar"/>
    <w:qFormat/>
    <w:rsid w:val="004434E2"/>
    <w:pPr>
      <w:keepNext/>
      <w:pageBreakBefore/>
      <w:spacing w:before="120" w:after="160"/>
      <w:ind w:left="720" w:hanging="720"/>
      <w:outlineLvl w:val="0"/>
    </w:pPr>
    <w:rPr>
      <w:rFonts w:asciiTheme="minorHAnsi" w:eastAsiaTheme="majorEastAsia" w:hAnsiTheme="minorHAnsi" w:cstheme="majorBidi"/>
      <w:b/>
      <w:spacing w:val="5"/>
      <w:kern w:val="28"/>
      <w:sz w:val="32"/>
      <w:szCs w:val="36"/>
    </w:rPr>
  </w:style>
  <w:style w:type="character" w:customStyle="1" w:styleId="COMH1-non-numberedChar">
    <w:name w:val="COM H1 - non-numbered Char"/>
    <w:basedOn w:val="DefaultParagraphFont"/>
    <w:link w:val="COMH1-non-numbered"/>
    <w:rsid w:val="004434E2"/>
    <w:rPr>
      <w:rFonts w:asciiTheme="minorHAnsi" w:eastAsiaTheme="majorEastAsia" w:hAnsiTheme="minorHAnsi" w:cstheme="majorBidi"/>
      <w:b/>
      <w:spacing w:val="5"/>
      <w:kern w:val="28"/>
      <w:sz w:val="32"/>
      <w:szCs w:val="36"/>
    </w:rPr>
  </w:style>
  <w:style w:type="paragraph" w:customStyle="1" w:styleId="COMtablefigcaption">
    <w:name w:val="COM table/fig caption"/>
    <w:next w:val="COMTableheadingrow"/>
    <w:link w:val="COMtablefigcaptionChar"/>
    <w:qFormat/>
    <w:rsid w:val="005478BD"/>
    <w:pPr>
      <w:keepNext/>
    </w:pPr>
    <w:rPr>
      <w:rFonts w:ascii="Arial Narrow" w:eastAsiaTheme="majorEastAsia" w:hAnsi="Arial Narrow" w:cstheme="majorBidi"/>
      <w:b/>
      <w:bCs/>
      <w:szCs w:val="24"/>
    </w:rPr>
  </w:style>
  <w:style w:type="character" w:customStyle="1" w:styleId="COMtablefigcaptionChar">
    <w:name w:val="COM table/fig caption Char"/>
    <w:basedOn w:val="DefaultParagraphFont"/>
    <w:link w:val="COMtablefigcaption"/>
    <w:rsid w:val="005478BD"/>
    <w:rPr>
      <w:rFonts w:ascii="Arial Narrow" w:eastAsiaTheme="majorEastAsia" w:hAnsi="Arial Narrow" w:cstheme="majorBidi"/>
      <w:b/>
      <w:bCs/>
      <w:szCs w:val="24"/>
    </w:rPr>
  </w:style>
  <w:style w:type="paragraph" w:customStyle="1" w:styleId="COMexecsumnumberedpara">
    <w:name w:val="COM exec sum numbered para"/>
    <w:basedOn w:val="ListParagraph"/>
    <w:link w:val="COMexecsumnumberedparaChar"/>
    <w:qFormat/>
    <w:rsid w:val="00B5370E"/>
    <w:pPr>
      <w:numPr>
        <w:ilvl w:val="1"/>
        <w:numId w:val="1"/>
      </w:numPr>
    </w:pPr>
  </w:style>
  <w:style w:type="character" w:customStyle="1" w:styleId="COMexecsumnumberedparaChar">
    <w:name w:val="COM exec sum numbered para Char"/>
    <w:basedOn w:val="ListParagraphChar"/>
    <w:link w:val="COMexecsumnumberedpara"/>
    <w:rsid w:val="00B5370E"/>
    <w:rPr>
      <w:rFonts w:asciiTheme="minorHAnsi" w:hAnsiTheme="minorHAnsi" w:cs="Arial"/>
      <w:snapToGrid w:val="0"/>
      <w:sz w:val="24"/>
      <w:szCs w:val="24"/>
    </w:rPr>
  </w:style>
  <w:style w:type="paragraph" w:customStyle="1" w:styleId="COMTablefooter">
    <w:name w:val="COM Table footer"/>
    <w:basedOn w:val="Normal"/>
    <w:next w:val="Normal"/>
    <w:link w:val="COMTablefooterChar"/>
    <w:qFormat/>
    <w:rsid w:val="00EC5836"/>
    <w:pPr>
      <w:spacing w:after="120"/>
      <w:contextualSpacing/>
    </w:pPr>
    <w:rPr>
      <w:rFonts w:ascii="Arial Narrow" w:hAnsi="Arial Narrow"/>
      <w:snapToGrid w:val="0"/>
      <w:sz w:val="18"/>
      <w:szCs w:val="22"/>
    </w:rPr>
  </w:style>
  <w:style w:type="character" w:customStyle="1" w:styleId="COMTablefooterChar">
    <w:name w:val="COM Table footer Char"/>
    <w:link w:val="COMTablefooter"/>
    <w:rsid w:val="00EC5836"/>
    <w:rPr>
      <w:rFonts w:ascii="Arial Narrow" w:hAnsi="Arial Narrow" w:cs="Arial"/>
      <w:snapToGrid w:val="0"/>
      <w:sz w:val="18"/>
      <w:szCs w:val="22"/>
    </w:rPr>
  </w:style>
  <w:style w:type="paragraph" w:customStyle="1" w:styleId="COMH2-non-numbered">
    <w:name w:val="COM H2 - non-numbered"/>
    <w:basedOn w:val="Heading2"/>
    <w:next w:val="Normal"/>
    <w:link w:val="COMH2-non-numbered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COMH2-non-numberedChar">
    <w:name w:val="COM H2 - non-numbered Char"/>
    <w:basedOn w:val="Heading2Char"/>
    <w:link w:val="COMH2-non-numbered"/>
    <w:rsid w:val="00EE1996"/>
    <w:rPr>
      <w:rFonts w:asciiTheme="minorHAnsi" w:eastAsiaTheme="majorEastAsia" w:hAnsiTheme="minorHAnsi" w:cstheme="majorBidi"/>
      <w:b/>
      <w:i/>
      <w:snapToGrid w:val="0"/>
      <w:spacing w:val="5"/>
      <w:kern w:val="28"/>
      <w:sz w:val="28"/>
      <w:szCs w:val="36"/>
      <w:lang w:eastAsia="en-US"/>
    </w:rPr>
  </w:style>
  <w:style w:type="character" w:customStyle="1" w:styleId="COMH1numberedChar">
    <w:name w:val="COM H1 numbered Char"/>
    <w:basedOn w:val="DefaultParagraphFont"/>
    <w:link w:val="COMH1numbered"/>
    <w:rsid w:val="00163E81"/>
    <w:rPr>
      <w:rFonts w:asciiTheme="minorHAnsi" w:hAnsiTheme="minorHAnsi" w:cs="Arial"/>
      <w:b/>
      <w:snapToGrid w:val="0"/>
      <w:sz w:val="32"/>
      <w:szCs w:val="32"/>
    </w:rPr>
  </w:style>
  <w:style w:type="character" w:styleId="CommentReference">
    <w:name w:val="annotation reference"/>
    <w:aliases w:val="Table Title"/>
    <w:basedOn w:val="DefaultParagraphFont"/>
    <w:uiPriority w:val="99"/>
    <w:unhideWhenUsed/>
    <w:rsid w:val="00D2427B"/>
    <w:rPr>
      <w:sz w:val="16"/>
      <w:szCs w:val="16"/>
    </w:rPr>
  </w:style>
  <w:style w:type="paragraph" w:styleId="CommentText">
    <w:name w:val="annotation text"/>
    <w:basedOn w:val="Normal"/>
    <w:link w:val="CommentTextChar"/>
    <w:uiPriority w:val="99"/>
    <w:unhideWhenUsed/>
    <w:rsid w:val="00D2427B"/>
    <w:rPr>
      <w:sz w:val="20"/>
      <w:szCs w:val="20"/>
    </w:rPr>
  </w:style>
  <w:style w:type="character" w:customStyle="1" w:styleId="CommentTextChar">
    <w:name w:val="Comment Text Char"/>
    <w:basedOn w:val="DefaultParagraphFont"/>
    <w:link w:val="CommentText"/>
    <w:uiPriority w:val="99"/>
    <w:rsid w:val="00D2427B"/>
    <w:rPr>
      <w:rFonts w:ascii="Calibri" w:hAnsi="Calibri" w:cs="Arial"/>
    </w:rPr>
  </w:style>
  <w:style w:type="paragraph" w:styleId="CommentSubject">
    <w:name w:val="annotation subject"/>
    <w:basedOn w:val="CommentText"/>
    <w:next w:val="CommentText"/>
    <w:link w:val="CommentSubjectChar"/>
    <w:semiHidden/>
    <w:unhideWhenUsed/>
    <w:rsid w:val="00D2427B"/>
    <w:rPr>
      <w:b/>
      <w:bCs/>
    </w:rPr>
  </w:style>
  <w:style w:type="character" w:customStyle="1" w:styleId="CommentSubjectChar">
    <w:name w:val="Comment Subject Char"/>
    <w:basedOn w:val="CommentTextChar"/>
    <w:link w:val="CommentSubject"/>
    <w:semiHidden/>
    <w:rsid w:val="00D2427B"/>
    <w:rPr>
      <w:rFonts w:ascii="Calibri" w:hAnsi="Calibri" w:cs="Arial"/>
      <w:b/>
      <w:bCs/>
    </w:rPr>
  </w:style>
  <w:style w:type="paragraph" w:styleId="Header">
    <w:name w:val="header"/>
    <w:aliases w:val="Page Header,Header title,he=header,cntr/bld"/>
    <w:basedOn w:val="Normal"/>
    <w:link w:val="HeaderChar"/>
    <w:uiPriority w:val="99"/>
    <w:unhideWhenUsed/>
    <w:qFormat/>
    <w:rsid w:val="009C594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9C5941"/>
    <w:rPr>
      <w:rFonts w:ascii="Calibri" w:hAnsi="Calibri" w:cs="Arial"/>
      <w:sz w:val="24"/>
      <w:szCs w:val="24"/>
    </w:rPr>
  </w:style>
  <w:style w:type="paragraph" w:styleId="Footer">
    <w:name w:val="footer"/>
    <w:basedOn w:val="Normal"/>
    <w:link w:val="FooterChar"/>
    <w:uiPriority w:val="99"/>
    <w:unhideWhenUsed/>
    <w:rsid w:val="009C5941"/>
    <w:pPr>
      <w:tabs>
        <w:tab w:val="center" w:pos="4513"/>
        <w:tab w:val="right" w:pos="9026"/>
      </w:tabs>
    </w:pPr>
  </w:style>
  <w:style w:type="character" w:customStyle="1" w:styleId="FooterChar">
    <w:name w:val="Footer Char"/>
    <w:basedOn w:val="DefaultParagraphFont"/>
    <w:link w:val="Footer"/>
    <w:uiPriority w:val="99"/>
    <w:rsid w:val="009C5941"/>
    <w:rPr>
      <w:rFonts w:ascii="Calibri" w:hAnsi="Calibri" w:cs="Arial"/>
      <w:sz w:val="24"/>
      <w:szCs w:val="24"/>
    </w:rPr>
  </w:style>
  <w:style w:type="paragraph" w:customStyle="1" w:styleId="TableFooter">
    <w:name w:val="Table Footer"/>
    <w:basedOn w:val="Normal"/>
    <w:link w:val="TableFooterChar"/>
    <w:qFormat/>
    <w:rsid w:val="009C5D10"/>
    <w:pPr>
      <w:widowControl w:val="0"/>
      <w:spacing w:after="120"/>
      <w:contextualSpacing/>
    </w:pPr>
    <w:rPr>
      <w:rFonts w:ascii="Arial Narrow" w:hAnsi="Arial Narrow"/>
      <w:snapToGrid w:val="0"/>
      <w:sz w:val="18"/>
      <w:szCs w:val="20"/>
      <w:lang w:eastAsia="en-US"/>
    </w:rPr>
  </w:style>
  <w:style w:type="character" w:customStyle="1" w:styleId="TableFooterChar">
    <w:name w:val="Table Footer Char"/>
    <w:link w:val="TableFooter"/>
    <w:rsid w:val="009C5D10"/>
    <w:rPr>
      <w:rFonts w:ascii="Arial Narrow" w:hAnsi="Arial Narrow" w:cs="Arial"/>
      <w:snapToGrid w:val="0"/>
      <w:sz w:val="18"/>
      <w:lang w:eastAsia="en-US"/>
    </w:rPr>
  </w:style>
  <w:style w:type="character" w:styleId="Hyperlink">
    <w:name w:val="Hyperlink"/>
    <w:basedOn w:val="DefaultParagraphFont"/>
    <w:uiPriority w:val="99"/>
    <w:unhideWhenUsed/>
    <w:rsid w:val="00295601"/>
    <w:rPr>
      <w:color w:val="0000FF" w:themeColor="hyperlink"/>
      <w:u w:val="single"/>
    </w:rPr>
  </w:style>
  <w:style w:type="paragraph" w:customStyle="1" w:styleId="TableText">
    <w:name w:val="Table Text"/>
    <w:link w:val="TableTextChar"/>
    <w:qFormat/>
    <w:rsid w:val="008C0CE2"/>
    <w:pPr>
      <w:keepNext/>
    </w:pPr>
    <w:rPr>
      <w:rFonts w:ascii="Arial Narrow" w:eastAsiaTheme="majorEastAsia" w:hAnsi="Arial Narrow" w:cstheme="majorBidi"/>
      <w:bCs/>
      <w:szCs w:val="24"/>
    </w:rPr>
  </w:style>
  <w:style w:type="paragraph" w:customStyle="1" w:styleId="TableFigureCaption">
    <w:name w:val="Table/Figure Caption"/>
    <w:next w:val="Normal"/>
    <w:link w:val="TableFigureCaptionChar"/>
    <w:qFormat/>
    <w:rsid w:val="008C0CE2"/>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8C0CE2"/>
    <w:rPr>
      <w:rFonts w:ascii="Arial Narrow" w:eastAsiaTheme="majorEastAsia" w:hAnsi="Arial Narrow" w:cstheme="majorBidi"/>
      <w:b/>
      <w:bCs/>
      <w:szCs w:val="24"/>
    </w:rPr>
  </w:style>
  <w:style w:type="paragraph" w:customStyle="1" w:styleId="TableFigureFooter">
    <w:name w:val="Table/Figure Footer"/>
    <w:basedOn w:val="Normal"/>
    <w:link w:val="TableFigureFooterChar"/>
    <w:qFormat/>
    <w:rsid w:val="008C0CE2"/>
    <w:pPr>
      <w:spacing w:after="60"/>
      <w:contextualSpacing/>
    </w:pPr>
    <w:rPr>
      <w:rFonts w:ascii="Arial Narrow" w:hAnsi="Arial Narrow"/>
      <w:snapToGrid w:val="0"/>
      <w:sz w:val="18"/>
      <w:szCs w:val="22"/>
    </w:rPr>
  </w:style>
  <w:style w:type="character" w:customStyle="1" w:styleId="TableFigureFooterChar">
    <w:name w:val="Table/Figure Footer Char"/>
    <w:link w:val="TableFigureFooter"/>
    <w:rsid w:val="008C0CE2"/>
    <w:rPr>
      <w:rFonts w:ascii="Arial Narrow" w:hAnsi="Arial Narrow" w:cs="Arial"/>
      <w:snapToGrid w:val="0"/>
      <w:sz w:val="18"/>
      <w:szCs w:val="22"/>
    </w:rPr>
  </w:style>
  <w:style w:type="character" w:customStyle="1" w:styleId="TableTextChar">
    <w:name w:val="Table Text Char"/>
    <w:basedOn w:val="DefaultParagraphFont"/>
    <w:link w:val="TableText"/>
    <w:rsid w:val="008C0CE2"/>
    <w:rPr>
      <w:rFonts w:ascii="Arial Narrow" w:eastAsiaTheme="majorEastAsia" w:hAnsi="Arial Narrow" w:cstheme="majorBidi"/>
      <w:bCs/>
      <w:szCs w:val="24"/>
    </w:rPr>
  </w:style>
  <w:style w:type="paragraph" w:customStyle="1" w:styleId="TableHeading">
    <w:name w:val="Table Heading"/>
    <w:basedOn w:val="Normal"/>
    <w:link w:val="TableHeadingChar"/>
    <w:qFormat/>
    <w:rsid w:val="006E197A"/>
    <w:pPr>
      <w:keepNext/>
      <w:jc w:val="left"/>
    </w:pPr>
    <w:rPr>
      <w:rFonts w:ascii="Arial Narrow" w:eastAsiaTheme="minorHAnsi" w:hAnsi="Arial Narrow" w:cstheme="minorBidi"/>
      <w:b/>
      <w:sz w:val="20"/>
      <w:szCs w:val="22"/>
      <w:lang w:eastAsia="en-US"/>
    </w:rPr>
  </w:style>
  <w:style w:type="character" w:customStyle="1" w:styleId="TableHeadingChar">
    <w:name w:val="Table Heading Char"/>
    <w:link w:val="TableHeading"/>
    <w:rsid w:val="006E197A"/>
    <w:rPr>
      <w:rFonts w:ascii="Arial Narrow" w:eastAsiaTheme="minorHAnsi" w:hAnsi="Arial Narrow" w:cstheme="minorBidi"/>
      <w:b/>
      <w:szCs w:val="22"/>
      <w:lang w:eastAsia="en-US"/>
    </w:rPr>
  </w:style>
  <w:style w:type="paragraph" w:styleId="Caption">
    <w:name w:val="caption"/>
    <w:basedOn w:val="Normal"/>
    <w:next w:val="Normal"/>
    <w:semiHidden/>
    <w:unhideWhenUsed/>
    <w:rsid w:val="009469BD"/>
    <w:pPr>
      <w:spacing w:after="200"/>
    </w:pPr>
    <w:rPr>
      <w:i/>
      <w:iCs/>
      <w:color w:val="1F497D" w:themeColor="text2"/>
      <w:sz w:val="18"/>
      <w:szCs w:val="18"/>
    </w:rPr>
  </w:style>
  <w:style w:type="character" w:customStyle="1" w:styleId="Heading6Char">
    <w:name w:val="Heading 6 Char"/>
    <w:basedOn w:val="DefaultParagraphFont"/>
    <w:link w:val="Heading6"/>
    <w:rsid w:val="002762A6"/>
    <w:rPr>
      <w:rFonts w:ascii="Calibri" w:hAnsi="Calibri" w:cs="Arial"/>
      <w:b/>
      <w:bCs/>
      <w:i/>
      <w:sz w:val="24"/>
      <w:szCs w:val="24"/>
    </w:rPr>
  </w:style>
  <w:style w:type="paragraph" w:customStyle="1" w:styleId="pf0">
    <w:name w:val="pf0"/>
    <w:basedOn w:val="Normal"/>
    <w:rsid w:val="002762A6"/>
    <w:pPr>
      <w:spacing w:before="100" w:beforeAutospacing="1" w:after="100" w:afterAutospacing="1"/>
      <w:jc w:val="left"/>
    </w:pPr>
    <w:rPr>
      <w:rFonts w:ascii="Times New Roman" w:hAnsi="Times New Roman" w:cs="Times New Roman"/>
    </w:rPr>
  </w:style>
  <w:style w:type="character" w:customStyle="1" w:styleId="cf01">
    <w:name w:val="cf01"/>
    <w:basedOn w:val="DefaultParagraphFont"/>
    <w:rsid w:val="002762A6"/>
    <w:rPr>
      <w:rFonts w:ascii="Segoe UI" w:hAnsi="Segoe UI" w:cs="Segoe UI" w:hint="default"/>
      <w:sz w:val="18"/>
      <w:szCs w:val="18"/>
    </w:rPr>
  </w:style>
  <w:style w:type="paragraph" w:customStyle="1" w:styleId="5-SubsectionSubheading">
    <w:name w:val="5-Subsection Subheading"/>
    <w:basedOn w:val="Heading3"/>
    <w:next w:val="Normal"/>
    <w:link w:val="5-SubsectionSubheadingChar"/>
    <w:qFormat/>
    <w:rsid w:val="002762A6"/>
    <w:pPr>
      <w:keepNext/>
      <w:keepLines/>
      <w:spacing w:before="160" w:after="120"/>
    </w:pPr>
    <w:rPr>
      <w:rFonts w:asciiTheme="minorHAnsi" w:eastAsiaTheme="majorEastAsia" w:hAnsiTheme="minorHAnsi" w:cstheme="majorBidi"/>
      <w:b/>
      <w:color w:val="000000" w:themeColor="text1"/>
      <w:u w:val="none"/>
      <w:lang w:eastAsia="en-US"/>
    </w:rPr>
  </w:style>
  <w:style w:type="character" w:customStyle="1" w:styleId="5-SubsectionSubheadingChar">
    <w:name w:val="5-Subsection Subheading Char"/>
    <w:basedOn w:val="DefaultParagraphFont"/>
    <w:link w:val="5-SubsectionSubheading"/>
    <w:locked/>
    <w:rsid w:val="002762A6"/>
    <w:rPr>
      <w:rFonts w:asciiTheme="minorHAnsi" w:eastAsiaTheme="majorEastAsia" w:hAnsiTheme="minorHAnsi" w:cstheme="majorBidi"/>
      <w:b/>
      <w:color w:val="000000" w:themeColor="text1"/>
      <w:sz w:val="24"/>
      <w:szCs w:val="24"/>
      <w:lang w:eastAsia="en-US"/>
    </w:rPr>
  </w:style>
  <w:style w:type="paragraph" w:customStyle="1" w:styleId="PBACHeading1">
    <w:name w:val="PBAC Heading 1"/>
    <w:qFormat/>
    <w:rsid w:val="000E4776"/>
    <w:pPr>
      <w:ind w:left="720" w:hanging="720"/>
      <w:outlineLvl w:val="0"/>
    </w:pPr>
    <w:rPr>
      <w:rFonts w:ascii="Calibri" w:hAnsi="Calibri" w:cs="Calibri"/>
      <w:b/>
      <w:snapToGrid w:val="0"/>
      <w:sz w:val="32"/>
      <w:szCs w:val="32"/>
      <w:lang w:eastAsia="en-US"/>
    </w:rPr>
  </w:style>
  <w:style w:type="paragraph" w:customStyle="1" w:styleId="Bulletpoints">
    <w:name w:val="Bullet points"/>
    <w:basedOn w:val="Normal"/>
    <w:rsid w:val="001E0D2D"/>
    <w:pPr>
      <w:spacing w:after="120"/>
      <w:ind w:left="720"/>
      <w:contextualSpacing/>
    </w:pPr>
    <w:rPr>
      <w:snapToGrid w:val="0"/>
    </w:rPr>
  </w:style>
  <w:style w:type="paragraph" w:styleId="FootnoteText">
    <w:name w:val="footnote text"/>
    <w:basedOn w:val="Normal"/>
    <w:link w:val="FootnoteTextChar"/>
    <w:semiHidden/>
    <w:unhideWhenUsed/>
    <w:rsid w:val="00F60C8D"/>
    <w:rPr>
      <w:sz w:val="20"/>
      <w:szCs w:val="20"/>
    </w:rPr>
  </w:style>
  <w:style w:type="character" w:customStyle="1" w:styleId="FootnoteTextChar">
    <w:name w:val="Footnote Text Char"/>
    <w:basedOn w:val="DefaultParagraphFont"/>
    <w:link w:val="FootnoteText"/>
    <w:semiHidden/>
    <w:rsid w:val="00F60C8D"/>
    <w:rPr>
      <w:rFonts w:ascii="Calibri" w:hAnsi="Calibri" w:cs="Arial"/>
    </w:rPr>
  </w:style>
  <w:style w:type="character" w:styleId="FootnoteReference">
    <w:name w:val="footnote reference"/>
    <w:basedOn w:val="DefaultParagraphFont"/>
    <w:semiHidden/>
    <w:unhideWhenUsed/>
    <w:rsid w:val="00F60C8D"/>
    <w:rPr>
      <w:vertAlign w:val="superscript"/>
    </w:rPr>
  </w:style>
  <w:style w:type="character" w:styleId="Emphasis">
    <w:name w:val="Emphasis"/>
    <w:basedOn w:val="DefaultParagraphFont"/>
    <w:uiPriority w:val="20"/>
    <w:qFormat/>
    <w:rsid w:val="00F60C8D"/>
    <w:rPr>
      <w:i/>
      <w:iCs/>
    </w:rPr>
  </w:style>
  <w:style w:type="character" w:customStyle="1" w:styleId="cf11">
    <w:name w:val="cf11"/>
    <w:basedOn w:val="DefaultParagraphFont"/>
    <w:rsid w:val="00960DC2"/>
    <w:rPr>
      <w:rFonts w:ascii="Segoe UI" w:hAnsi="Segoe UI" w:cs="Segoe UI" w:hint="default"/>
      <w:i/>
      <w:iCs/>
      <w:sz w:val="18"/>
      <w:szCs w:val="18"/>
    </w:rPr>
  </w:style>
  <w:style w:type="paragraph" w:customStyle="1" w:styleId="Tabletitle">
    <w:name w:val="Table title"/>
    <w:basedOn w:val="TableText"/>
    <w:link w:val="TabletitleChar"/>
    <w:qFormat/>
    <w:rsid w:val="00E211D2"/>
    <w:pPr>
      <w:keepNext w:val="0"/>
    </w:pPr>
    <w:rPr>
      <w:rFonts w:eastAsia="Calibri" w:cs="Arial"/>
      <w:b/>
      <w:bCs w:val="0"/>
    </w:rPr>
  </w:style>
  <w:style w:type="character" w:customStyle="1" w:styleId="TabletitleChar">
    <w:name w:val="Table title Char"/>
    <w:basedOn w:val="TableTextChar"/>
    <w:link w:val="Tabletitle"/>
    <w:rsid w:val="00E211D2"/>
    <w:rPr>
      <w:rFonts w:ascii="Arial Narrow" w:eastAsia="Calibri" w:hAnsi="Arial Narrow" w:cs="Arial"/>
      <w:b/>
      <w:bCs w:val="0"/>
      <w:szCs w:val="24"/>
    </w:rPr>
  </w:style>
  <w:style w:type="paragraph" w:customStyle="1" w:styleId="TableFigureHeading">
    <w:name w:val="Table/Figure Heading"/>
    <w:next w:val="Normal"/>
    <w:link w:val="TableFigureHeadingChar"/>
    <w:qFormat/>
    <w:rsid w:val="00E211D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E211D2"/>
    <w:rPr>
      <w:rFonts w:ascii="Arial Narrow" w:eastAsiaTheme="majorEastAsia" w:hAnsi="Arial Narrow" w:cstheme="majorBidi"/>
      <w:b/>
      <w:bCs/>
      <w:szCs w:val="24"/>
    </w:rPr>
  </w:style>
  <w:style w:type="paragraph" w:customStyle="1" w:styleId="3-SubsectionHeading">
    <w:name w:val="3-Subsection Heading"/>
    <w:basedOn w:val="Heading2"/>
    <w:next w:val="Normal"/>
    <w:link w:val="3-SubsectionHeadingChar"/>
    <w:qFormat/>
    <w:rsid w:val="00E211D2"/>
    <w:pPr>
      <w:keepNext/>
      <w:spacing w:before="120" w:after="120"/>
      <w:jc w:val="both"/>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E211D2"/>
    <w:rPr>
      <w:rFonts w:asciiTheme="minorHAnsi" w:eastAsiaTheme="majorEastAsia" w:hAnsiTheme="minorHAnsi" w:cstheme="majorBidi"/>
      <w:b/>
      <w:i/>
      <w:spacing w:val="5"/>
      <w:kern w:val="28"/>
      <w:sz w:val="28"/>
      <w:szCs w:val="36"/>
      <w:lang w:eastAsia="en-US"/>
    </w:rPr>
  </w:style>
  <w:style w:type="paragraph" w:styleId="NoSpacing">
    <w:name w:val="No Spacing"/>
    <w:uiPriority w:val="1"/>
    <w:qFormat/>
    <w:rsid w:val="00E211D2"/>
    <w:rPr>
      <w:sz w:val="24"/>
      <w:szCs w:val="24"/>
      <w:lang w:eastAsia="en-US"/>
    </w:rPr>
  </w:style>
  <w:style w:type="paragraph" w:customStyle="1" w:styleId="2-SectionHeading">
    <w:name w:val="2-Section Heading"/>
    <w:qFormat/>
    <w:rsid w:val="00E211D2"/>
    <w:pPr>
      <w:keepNext/>
      <w:spacing w:before="240" w:after="120"/>
      <w:outlineLvl w:val="1"/>
    </w:pPr>
    <w:rPr>
      <w:rFonts w:asciiTheme="minorHAnsi" w:hAnsiTheme="minorHAnsi" w:cs="Arial"/>
      <w:b/>
      <w:snapToGrid w:val="0"/>
      <w:sz w:val="32"/>
      <w:szCs w:val="32"/>
    </w:rPr>
  </w:style>
  <w:style w:type="paragraph" w:customStyle="1" w:styleId="Numberbullet2">
    <w:name w:val="Number bullet 2"/>
    <w:basedOn w:val="ListBullet2"/>
    <w:qFormat/>
    <w:rsid w:val="00980A59"/>
    <w:pPr>
      <w:numPr>
        <w:numId w:val="0"/>
      </w:numPr>
      <w:spacing w:before="120" w:after="180" w:line="240" w:lineRule="atLeast"/>
      <w:ind w:left="1080" w:hanging="360"/>
      <w:contextualSpacing w:val="0"/>
      <w:jc w:val="left"/>
    </w:pPr>
    <w:rPr>
      <w:rFonts w:ascii="Cambria" w:eastAsia="Cambria" w:hAnsi="Cambria" w:cs="Times New Roman"/>
      <w:sz w:val="22"/>
      <w:szCs w:val="22"/>
      <w:lang w:eastAsia="en-US"/>
    </w:rPr>
  </w:style>
  <w:style w:type="paragraph" w:customStyle="1" w:styleId="Numberbullet3">
    <w:name w:val="Number bullet 3"/>
    <w:basedOn w:val="ListBullet3"/>
    <w:qFormat/>
    <w:rsid w:val="00980A59"/>
    <w:pPr>
      <w:tabs>
        <w:tab w:val="clear" w:pos="360"/>
      </w:tabs>
      <w:spacing w:before="120" w:after="180" w:line="240" w:lineRule="atLeast"/>
      <w:ind w:left="1800" w:hanging="180"/>
      <w:contextualSpacing w:val="0"/>
      <w:jc w:val="left"/>
    </w:pPr>
    <w:rPr>
      <w:rFonts w:ascii="Cambria" w:eastAsia="Cambria" w:hAnsi="Cambria" w:cs="Times New Roman"/>
      <w:sz w:val="22"/>
      <w:szCs w:val="22"/>
      <w:lang w:eastAsia="en-US"/>
    </w:rPr>
  </w:style>
  <w:style w:type="numbering" w:customStyle="1" w:styleId="NumberBullet">
    <w:name w:val="NumberBullet"/>
    <w:uiPriority w:val="99"/>
    <w:locked/>
    <w:rsid w:val="00980A59"/>
    <w:pPr>
      <w:numPr>
        <w:numId w:val="12"/>
      </w:numPr>
    </w:pPr>
  </w:style>
  <w:style w:type="paragraph" w:styleId="ListBullet2">
    <w:name w:val="List Bullet 2"/>
    <w:basedOn w:val="Normal"/>
    <w:semiHidden/>
    <w:unhideWhenUsed/>
    <w:rsid w:val="00980A59"/>
    <w:pPr>
      <w:numPr>
        <w:numId w:val="12"/>
      </w:numPr>
      <w:contextualSpacing/>
    </w:pPr>
  </w:style>
  <w:style w:type="paragraph" w:styleId="ListBullet3">
    <w:name w:val="List Bullet 3"/>
    <w:basedOn w:val="Normal"/>
    <w:semiHidden/>
    <w:unhideWhenUsed/>
    <w:rsid w:val="00980A59"/>
    <w:pPr>
      <w:tabs>
        <w:tab w:val="num" w:pos="360"/>
      </w:tabs>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87779886">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18240123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484856858">
      <w:bodyDiv w:val="1"/>
      <w:marLeft w:val="0"/>
      <w:marRight w:val="0"/>
      <w:marTop w:val="0"/>
      <w:marBottom w:val="0"/>
      <w:divBdr>
        <w:top w:val="none" w:sz="0" w:space="0" w:color="auto"/>
        <w:left w:val="none" w:sz="0" w:space="0" w:color="auto"/>
        <w:bottom w:val="none" w:sz="0" w:space="0" w:color="auto"/>
        <w:right w:val="none" w:sz="0" w:space="0" w:color="auto"/>
      </w:divBdr>
    </w:div>
    <w:div w:id="1847861521">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doi.org/10.1177/2047487319896648" TargetMode="External"/><Relationship Id="rId1" Type="http://schemas.openxmlformats.org/officeDocument/2006/relationships/hyperlink" Target="https://doi.org/10.1093/eurheartj/ehab4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17363</Words>
  <Characters>98972</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2024-03-01T05:11:00Z</dcterms:created>
  <dcterms:modified xsi:type="dcterms:W3CDTF">2024-03-14T05:01:00Z</dcterms:modified>
</cp:coreProperties>
</file>