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1EC2D" w14:textId="055C1A07" w:rsidR="00462B57" w:rsidRPr="00462B57" w:rsidRDefault="006E2F21" w:rsidP="00301286">
      <w:pPr>
        <w:pStyle w:val="Heading1"/>
        <w:ind w:left="851" w:hanging="851"/>
        <w:rPr>
          <w:rFonts w:asciiTheme="minorHAnsi" w:eastAsiaTheme="majorEastAsia" w:hAnsiTheme="minorHAnsi" w:cstheme="majorBidi"/>
          <w:b w:val="0"/>
          <w:spacing w:val="5"/>
          <w:kern w:val="28"/>
          <w:sz w:val="36"/>
          <w:szCs w:val="36"/>
        </w:rPr>
      </w:pPr>
      <w:bookmarkStart w:id="0" w:name="_Toc145484383"/>
      <w:bookmarkStart w:id="1" w:name="_Toc107927616"/>
      <w:bookmarkStart w:id="2" w:name="_Toc380679747"/>
      <w:bookmarkStart w:id="3" w:name="_Toc380742604"/>
      <w:bookmarkStart w:id="4" w:name="_Toc380746171"/>
      <w:bookmarkStart w:id="5" w:name="_Toc380746294"/>
      <w:bookmarkStart w:id="6" w:name="_Toc380746578"/>
      <w:r w:rsidRPr="004C710C">
        <w:rPr>
          <w:rStyle w:val="Heading1Char"/>
          <w:rFonts w:eastAsiaTheme="majorEastAsia"/>
          <w:b/>
          <w:bCs/>
          <w:sz w:val="36"/>
          <w:szCs w:val="28"/>
        </w:rPr>
        <w:t>5.08</w:t>
      </w:r>
      <w:r w:rsidRPr="004C710C">
        <w:rPr>
          <w:rStyle w:val="Heading1Char"/>
          <w:rFonts w:eastAsiaTheme="majorEastAsia"/>
          <w:b/>
          <w:bCs/>
          <w:sz w:val="36"/>
          <w:szCs w:val="28"/>
        </w:rPr>
        <w:tab/>
        <w:t>IVACAFTOR,</w:t>
      </w:r>
      <w:r w:rsidRPr="00F91CC3">
        <w:rPr>
          <w:rFonts w:asciiTheme="minorHAnsi" w:eastAsiaTheme="majorEastAsia" w:hAnsiTheme="minorHAnsi" w:cstheme="majorBidi"/>
          <w:spacing w:val="5"/>
          <w:kern w:val="28"/>
          <w:sz w:val="36"/>
          <w:szCs w:val="36"/>
        </w:rPr>
        <w:br/>
      </w:r>
      <w:r w:rsidR="004C710C">
        <w:rPr>
          <w:rFonts w:asciiTheme="minorHAnsi" w:eastAsiaTheme="majorEastAsia" w:hAnsiTheme="minorHAnsi" w:cstheme="majorBidi"/>
          <w:caps w:val="0"/>
          <w:spacing w:val="5"/>
          <w:kern w:val="28"/>
          <w:sz w:val="36"/>
          <w:szCs w:val="36"/>
        </w:rPr>
        <w:t>S</w:t>
      </w:r>
      <w:r w:rsidR="004C710C" w:rsidRPr="00462B57">
        <w:rPr>
          <w:rFonts w:asciiTheme="minorHAnsi" w:eastAsiaTheme="majorEastAsia" w:hAnsiTheme="minorHAnsi" w:cstheme="majorBidi"/>
          <w:caps w:val="0"/>
          <w:spacing w:val="5"/>
          <w:kern w:val="28"/>
          <w:sz w:val="36"/>
          <w:szCs w:val="36"/>
        </w:rPr>
        <w:t>achet containing granules 25 mg</w:t>
      </w:r>
      <w:r w:rsidR="00462B57">
        <w:rPr>
          <w:rFonts w:asciiTheme="minorHAnsi" w:eastAsiaTheme="majorEastAsia" w:hAnsiTheme="minorHAnsi" w:cstheme="majorBidi"/>
          <w:spacing w:val="5"/>
          <w:kern w:val="28"/>
          <w:sz w:val="36"/>
          <w:szCs w:val="36"/>
        </w:rPr>
        <w:t>,</w:t>
      </w:r>
    </w:p>
    <w:p w14:paraId="1E8E2163" w14:textId="6B448D55" w:rsidR="00462B57" w:rsidRPr="00462B57" w:rsidRDefault="00462B57" w:rsidP="00301286">
      <w:pPr>
        <w:ind w:left="851"/>
        <w:rPr>
          <w:rFonts w:asciiTheme="minorHAnsi" w:eastAsiaTheme="majorEastAsia" w:hAnsiTheme="minorHAnsi" w:cstheme="majorBidi"/>
          <w:b/>
          <w:spacing w:val="5"/>
          <w:kern w:val="28"/>
          <w:sz w:val="36"/>
          <w:szCs w:val="36"/>
        </w:rPr>
      </w:pPr>
      <w:r w:rsidRPr="00462B57">
        <w:rPr>
          <w:rFonts w:asciiTheme="minorHAnsi" w:eastAsiaTheme="majorEastAsia" w:hAnsiTheme="minorHAnsi" w:cstheme="majorBidi"/>
          <w:b/>
          <w:spacing w:val="5"/>
          <w:kern w:val="28"/>
          <w:sz w:val="36"/>
          <w:szCs w:val="36"/>
        </w:rPr>
        <w:t>Sachet containing granules 50 mg</w:t>
      </w:r>
      <w:r>
        <w:rPr>
          <w:rFonts w:asciiTheme="minorHAnsi" w:eastAsiaTheme="majorEastAsia" w:hAnsiTheme="minorHAnsi" w:cstheme="majorBidi"/>
          <w:b/>
          <w:spacing w:val="5"/>
          <w:kern w:val="28"/>
          <w:sz w:val="36"/>
          <w:szCs w:val="36"/>
        </w:rPr>
        <w:t>,</w:t>
      </w:r>
    </w:p>
    <w:p w14:paraId="4DA39ECB" w14:textId="26B021EF" w:rsidR="00462B57" w:rsidRPr="00462B57" w:rsidRDefault="00462B57" w:rsidP="00301286">
      <w:pPr>
        <w:ind w:left="851"/>
        <w:rPr>
          <w:rFonts w:asciiTheme="minorHAnsi" w:eastAsiaTheme="majorEastAsia" w:hAnsiTheme="minorHAnsi" w:cstheme="majorBidi"/>
          <w:b/>
          <w:spacing w:val="5"/>
          <w:kern w:val="28"/>
          <w:sz w:val="36"/>
          <w:szCs w:val="36"/>
        </w:rPr>
      </w:pPr>
      <w:r w:rsidRPr="00462B57">
        <w:rPr>
          <w:rFonts w:asciiTheme="minorHAnsi" w:eastAsiaTheme="majorEastAsia" w:hAnsiTheme="minorHAnsi" w:cstheme="majorBidi"/>
          <w:b/>
          <w:spacing w:val="5"/>
          <w:kern w:val="28"/>
          <w:sz w:val="36"/>
          <w:szCs w:val="36"/>
        </w:rPr>
        <w:t>Sachet containing granules 75 mg</w:t>
      </w:r>
      <w:r>
        <w:rPr>
          <w:rFonts w:asciiTheme="minorHAnsi" w:eastAsiaTheme="majorEastAsia" w:hAnsiTheme="minorHAnsi" w:cstheme="majorBidi"/>
          <w:b/>
          <w:spacing w:val="5"/>
          <w:kern w:val="28"/>
          <w:sz w:val="36"/>
          <w:szCs w:val="36"/>
        </w:rPr>
        <w:t>,</w:t>
      </w:r>
    </w:p>
    <w:p w14:paraId="26BF44C0" w14:textId="5B42F645" w:rsidR="00462B57" w:rsidRDefault="00462B57" w:rsidP="00301286">
      <w:pPr>
        <w:ind w:left="851"/>
        <w:rPr>
          <w:rFonts w:asciiTheme="minorHAnsi" w:eastAsiaTheme="majorEastAsia" w:hAnsiTheme="minorHAnsi" w:cstheme="majorBidi"/>
          <w:b/>
          <w:spacing w:val="5"/>
          <w:kern w:val="28"/>
          <w:sz w:val="36"/>
          <w:szCs w:val="36"/>
        </w:rPr>
      </w:pPr>
      <w:r w:rsidRPr="00462B57">
        <w:rPr>
          <w:rFonts w:asciiTheme="minorHAnsi" w:eastAsiaTheme="majorEastAsia" w:hAnsiTheme="minorHAnsi" w:cstheme="majorBidi"/>
          <w:b/>
          <w:spacing w:val="5"/>
          <w:kern w:val="28"/>
          <w:sz w:val="36"/>
          <w:szCs w:val="36"/>
        </w:rPr>
        <w:t>Tablet</w:t>
      </w:r>
      <w:r>
        <w:rPr>
          <w:rFonts w:asciiTheme="minorHAnsi" w:eastAsiaTheme="majorEastAsia" w:hAnsiTheme="minorHAnsi" w:cstheme="majorBidi"/>
          <w:b/>
          <w:spacing w:val="5"/>
          <w:kern w:val="28"/>
          <w:sz w:val="36"/>
          <w:szCs w:val="36"/>
        </w:rPr>
        <w:t xml:space="preserve"> </w:t>
      </w:r>
      <w:r w:rsidRPr="00462B57">
        <w:rPr>
          <w:rFonts w:asciiTheme="minorHAnsi" w:eastAsiaTheme="majorEastAsia" w:hAnsiTheme="minorHAnsi" w:cstheme="majorBidi"/>
          <w:b/>
          <w:spacing w:val="5"/>
          <w:kern w:val="28"/>
          <w:sz w:val="36"/>
          <w:szCs w:val="36"/>
        </w:rPr>
        <w:t>150 mg</w:t>
      </w:r>
      <w:r>
        <w:rPr>
          <w:rFonts w:asciiTheme="minorHAnsi" w:eastAsiaTheme="majorEastAsia" w:hAnsiTheme="minorHAnsi" w:cstheme="majorBidi"/>
          <w:b/>
          <w:spacing w:val="5"/>
          <w:kern w:val="28"/>
          <w:sz w:val="36"/>
          <w:szCs w:val="36"/>
        </w:rPr>
        <w:t>,</w:t>
      </w:r>
    </w:p>
    <w:p w14:paraId="48A8B067" w14:textId="28060848" w:rsidR="006E2F21" w:rsidRPr="00F91CC3" w:rsidRDefault="006E2F21" w:rsidP="00301286">
      <w:pPr>
        <w:ind w:left="851"/>
        <w:rPr>
          <w:rFonts w:asciiTheme="minorHAnsi" w:eastAsiaTheme="majorEastAsia" w:hAnsiTheme="minorHAnsi" w:cstheme="majorBidi"/>
          <w:b/>
          <w:spacing w:val="5"/>
          <w:kern w:val="28"/>
          <w:sz w:val="36"/>
          <w:szCs w:val="36"/>
        </w:rPr>
      </w:pPr>
      <w:r w:rsidRPr="00F91CC3">
        <w:rPr>
          <w:rFonts w:asciiTheme="minorHAnsi" w:eastAsiaTheme="majorEastAsia" w:hAnsiTheme="minorHAnsi" w:cstheme="majorBidi"/>
          <w:b/>
          <w:spacing w:val="5"/>
          <w:kern w:val="28"/>
          <w:sz w:val="36"/>
          <w:szCs w:val="36"/>
        </w:rPr>
        <w:t>Kalydeco</w:t>
      </w:r>
      <w:r w:rsidRPr="00F91CC3">
        <w:rPr>
          <w:rFonts w:asciiTheme="minorHAnsi" w:eastAsiaTheme="majorEastAsia" w:hAnsiTheme="minorHAnsi" w:cstheme="majorBidi"/>
          <w:b/>
          <w:spacing w:val="5"/>
          <w:kern w:val="28"/>
          <w:sz w:val="36"/>
          <w:szCs w:val="36"/>
          <w:vertAlign w:val="superscript"/>
        </w:rPr>
        <w:t>®</w:t>
      </w:r>
      <w:r w:rsidRPr="00F91CC3">
        <w:rPr>
          <w:rFonts w:asciiTheme="minorHAnsi" w:eastAsiaTheme="majorEastAsia" w:hAnsiTheme="minorHAnsi" w:cstheme="majorBidi"/>
          <w:b/>
          <w:spacing w:val="5"/>
          <w:kern w:val="28"/>
          <w:sz w:val="36"/>
          <w:szCs w:val="36"/>
        </w:rPr>
        <w:t>,</w:t>
      </w:r>
      <w:r w:rsidRPr="00F91CC3">
        <w:rPr>
          <w:rFonts w:asciiTheme="minorHAnsi" w:eastAsiaTheme="majorEastAsia" w:hAnsiTheme="minorHAnsi" w:cstheme="majorBidi"/>
          <w:b/>
          <w:spacing w:val="5"/>
          <w:kern w:val="28"/>
          <w:sz w:val="36"/>
          <w:szCs w:val="36"/>
        </w:rPr>
        <w:br/>
        <w:t>VERTEX PHARMACEUTICALS (AUSTRALIA) PTY. LTD.</w:t>
      </w:r>
      <w:bookmarkEnd w:id="0"/>
      <w:r w:rsidRPr="00F91CC3">
        <w:rPr>
          <w:rFonts w:asciiTheme="minorHAnsi" w:eastAsiaTheme="majorEastAsia" w:hAnsiTheme="minorHAnsi" w:cstheme="majorBidi"/>
          <w:b/>
          <w:spacing w:val="5"/>
          <w:kern w:val="28"/>
          <w:sz w:val="36"/>
          <w:szCs w:val="36"/>
        </w:rPr>
        <w:t xml:space="preserve"> </w:t>
      </w:r>
      <w:bookmarkEnd w:id="1"/>
    </w:p>
    <w:p w14:paraId="1F101A8C" w14:textId="77777777" w:rsidR="006E2F21" w:rsidRPr="00F91CC3" w:rsidRDefault="006E2F21" w:rsidP="005142A2">
      <w:pPr>
        <w:keepNext/>
        <w:numPr>
          <w:ilvl w:val="0"/>
          <w:numId w:val="10"/>
        </w:numPr>
        <w:snapToGrid w:val="0"/>
        <w:spacing w:before="240" w:after="120"/>
        <w:jc w:val="left"/>
        <w:outlineLvl w:val="0"/>
        <w:rPr>
          <w:rFonts w:asciiTheme="minorHAnsi" w:hAnsiTheme="minorHAnsi"/>
          <w:b/>
          <w:snapToGrid w:val="0"/>
          <w:sz w:val="32"/>
          <w:szCs w:val="32"/>
        </w:rPr>
      </w:pPr>
      <w:bookmarkStart w:id="7" w:name="_Toc107927618"/>
      <w:bookmarkStart w:id="8" w:name="_Toc145484385"/>
      <w:r w:rsidRPr="00F91CC3">
        <w:rPr>
          <w:rFonts w:asciiTheme="minorHAnsi" w:hAnsiTheme="minorHAnsi"/>
          <w:b/>
          <w:snapToGrid w:val="0"/>
          <w:sz w:val="32"/>
          <w:szCs w:val="32"/>
        </w:rPr>
        <w:t>Purpose of submission</w:t>
      </w:r>
      <w:bookmarkEnd w:id="7"/>
      <w:bookmarkEnd w:id="8"/>
    </w:p>
    <w:p w14:paraId="47D71E76" w14:textId="6EA9270F" w:rsidR="006E2F21" w:rsidRPr="00F91CC3" w:rsidRDefault="006E2F21" w:rsidP="005142A2">
      <w:pPr>
        <w:pStyle w:val="3-BodyText"/>
        <w:snapToGrid w:val="0"/>
      </w:pPr>
      <w:r w:rsidRPr="00F91CC3">
        <w:t xml:space="preserve">The Category </w:t>
      </w:r>
      <w:r w:rsidR="001D655D" w:rsidRPr="00F91CC3">
        <w:t>2</w:t>
      </w:r>
      <w:r w:rsidRPr="00F91CC3">
        <w:t xml:space="preserve"> submission requested a Section 100-Highly Specialised Drugs Program, Authority Required listing for ivacaftor for the treatment of cystic fibrosis (CF) in</w:t>
      </w:r>
      <w:r w:rsidR="00AC6EEA" w:rsidRPr="00F91CC3">
        <w:t xml:space="preserve"> patients aged 4 months and older</w:t>
      </w:r>
      <w:r w:rsidR="00A860A8" w:rsidRPr="00F91CC3">
        <w:t xml:space="preserve"> who have at least one mutation in the cystic fibrosis transmembrane conductance regulator (CFTR) gene that is responsive to ivacaftor potentiation based on clinical and/or in vitro assay data. This includes</w:t>
      </w:r>
      <w:r w:rsidRPr="00F91CC3">
        <w:t xml:space="preserve"> the following</w:t>
      </w:r>
      <w:r w:rsidR="00186468" w:rsidRPr="00F91CC3">
        <w:t xml:space="preserve"> additional</w:t>
      </w:r>
      <w:r w:rsidRPr="00F91CC3">
        <w:t xml:space="preserve"> populations:</w:t>
      </w:r>
    </w:p>
    <w:p w14:paraId="22B87826" w14:textId="2E245746" w:rsidR="006E2F21" w:rsidRPr="00F91CC3" w:rsidRDefault="006E2F21" w:rsidP="005142A2">
      <w:pPr>
        <w:numPr>
          <w:ilvl w:val="0"/>
          <w:numId w:val="15"/>
        </w:numPr>
        <w:snapToGrid w:val="0"/>
        <w:spacing w:after="120"/>
        <w:rPr>
          <w:rFonts w:asciiTheme="minorHAnsi" w:hAnsiTheme="minorHAnsi"/>
          <w:snapToGrid w:val="0"/>
        </w:rPr>
      </w:pPr>
      <w:r w:rsidRPr="00F91CC3">
        <w:rPr>
          <w:rFonts w:asciiTheme="minorHAnsi" w:hAnsiTheme="minorHAnsi"/>
          <w:snapToGrid w:val="0"/>
        </w:rPr>
        <w:t>CF patients aged 4 months to less than 12 months of age with a gating (Class III) mutation in the</w:t>
      </w:r>
      <w:r w:rsidR="00A860A8" w:rsidRPr="00F91CC3">
        <w:rPr>
          <w:rFonts w:asciiTheme="minorHAnsi" w:hAnsiTheme="minorHAnsi"/>
          <w:snapToGrid w:val="0"/>
        </w:rPr>
        <w:t xml:space="preserve"> </w:t>
      </w:r>
      <w:r w:rsidRPr="00F91CC3">
        <w:rPr>
          <w:rFonts w:asciiTheme="minorHAnsi" w:hAnsiTheme="minorHAnsi"/>
          <w:snapToGrid w:val="0"/>
        </w:rPr>
        <w:t>CFTR gene on at least one allele (referred to in the submission as the gating population).</w:t>
      </w:r>
    </w:p>
    <w:p w14:paraId="016903F6" w14:textId="0F838E7F" w:rsidR="00673E33" w:rsidRPr="00F91CC3" w:rsidRDefault="006E2F21" w:rsidP="005142A2">
      <w:pPr>
        <w:numPr>
          <w:ilvl w:val="0"/>
          <w:numId w:val="15"/>
        </w:numPr>
        <w:snapToGrid w:val="0"/>
        <w:spacing w:after="120"/>
      </w:pPr>
      <w:r w:rsidRPr="00F91CC3">
        <w:t xml:space="preserve">CF patients aged 4 months </w:t>
      </w:r>
      <w:r w:rsidR="00A8719C" w:rsidRPr="00F91CC3">
        <w:t>and</w:t>
      </w:r>
      <w:r w:rsidRPr="00F91CC3">
        <w:t xml:space="preserve"> older with an R117H mutation in the CFTR gene on at least one allele;</w:t>
      </w:r>
      <w:r w:rsidR="00673E33" w:rsidRPr="00F91CC3">
        <w:t xml:space="preserve"> </w:t>
      </w:r>
    </w:p>
    <w:p w14:paraId="79316F9C" w14:textId="332D3B8F" w:rsidR="00A860A8" w:rsidRPr="00F91CC3" w:rsidRDefault="006E2F21" w:rsidP="005142A2">
      <w:pPr>
        <w:numPr>
          <w:ilvl w:val="0"/>
          <w:numId w:val="15"/>
        </w:numPr>
        <w:snapToGrid w:val="0"/>
        <w:spacing w:after="120"/>
        <w:rPr>
          <w:rFonts w:asciiTheme="minorHAnsi" w:hAnsiTheme="minorHAnsi" w:cs="Tahoma"/>
          <w:sz w:val="22"/>
        </w:rPr>
      </w:pPr>
      <w:r w:rsidRPr="00F91CC3">
        <w:t xml:space="preserve">CF patients aged 4 months </w:t>
      </w:r>
      <w:r w:rsidR="00A8719C" w:rsidRPr="00F91CC3">
        <w:t>and</w:t>
      </w:r>
      <w:r w:rsidRPr="00F91CC3">
        <w:t xml:space="preserve"> older with a non-splice </w:t>
      </w:r>
      <w:r w:rsidRPr="00F91CC3">
        <w:rPr>
          <w:sz w:val="23"/>
          <w:szCs w:val="23"/>
        </w:rPr>
        <w:t>residual function (</w:t>
      </w:r>
      <w:r w:rsidRPr="00F91CC3">
        <w:t>RF) mutation in the CFTR gene on at least one allele; and</w:t>
      </w:r>
      <w:r w:rsidR="00673E33" w:rsidRPr="00F91CC3">
        <w:t xml:space="preserve"> </w:t>
      </w:r>
    </w:p>
    <w:p w14:paraId="19BB83F7" w14:textId="366C3C73" w:rsidR="006E2F21" w:rsidRPr="00F91CC3" w:rsidRDefault="006E2F21" w:rsidP="005142A2">
      <w:pPr>
        <w:numPr>
          <w:ilvl w:val="0"/>
          <w:numId w:val="15"/>
        </w:numPr>
        <w:snapToGrid w:val="0"/>
        <w:spacing w:after="120"/>
      </w:pPr>
      <w:r w:rsidRPr="00F91CC3">
        <w:t>CF</w:t>
      </w:r>
      <w:r w:rsidR="00673E33" w:rsidRPr="00F91CC3">
        <w:t xml:space="preserve"> </w:t>
      </w:r>
      <w:r w:rsidRPr="00F91CC3">
        <w:t xml:space="preserve">patients aged 4 months </w:t>
      </w:r>
      <w:r w:rsidR="00A8719C" w:rsidRPr="00F91CC3">
        <w:t>and</w:t>
      </w:r>
      <w:r w:rsidRPr="00F91CC3">
        <w:t xml:space="preserve"> older with</w:t>
      </w:r>
      <w:r w:rsidR="00DD0947" w:rsidRPr="00F91CC3">
        <w:t xml:space="preserve"> other</w:t>
      </w:r>
      <w:r w:rsidRPr="00F91CC3">
        <w:t xml:space="preserve"> mutations </w:t>
      </w:r>
      <w:r w:rsidR="00C874B3" w:rsidRPr="00F91CC3">
        <w:t xml:space="preserve">in the CFTR gene </w:t>
      </w:r>
      <w:r w:rsidRPr="00F91CC3">
        <w:t xml:space="preserve">that are responsive to ivacaftor based on </w:t>
      </w:r>
      <w:r w:rsidR="001D655D" w:rsidRPr="00F91CC3">
        <w:t xml:space="preserve">clinical and/or </w:t>
      </w:r>
      <w:r w:rsidRPr="00F91CC3">
        <w:t>in vitro</w:t>
      </w:r>
      <w:r w:rsidRPr="00F91CC3">
        <w:rPr>
          <w:i/>
          <w:iCs/>
        </w:rPr>
        <w:t xml:space="preserve"> </w:t>
      </w:r>
      <w:r w:rsidR="000D38FB" w:rsidRPr="00F91CC3">
        <w:t xml:space="preserve">assay </w:t>
      </w:r>
      <w:r w:rsidRPr="00F91CC3">
        <w:t xml:space="preserve">data in Fischer Rat Thyroid (FRT) cells indicating that ivacaftor increases chloride transport to at least 10% over baseline </w:t>
      </w:r>
      <w:r w:rsidR="00A8719C" w:rsidRPr="00F91CC3">
        <w:t xml:space="preserve">(referred to in the submission </w:t>
      </w:r>
      <w:r w:rsidR="00560BAA" w:rsidRPr="00F91CC3">
        <w:t xml:space="preserve">collectively </w:t>
      </w:r>
      <w:r w:rsidR="00A8719C" w:rsidRPr="00F91CC3">
        <w:t>as IVA-responsive rare mutations)</w:t>
      </w:r>
    </w:p>
    <w:p w14:paraId="49C24CDB" w14:textId="5512A8EF" w:rsidR="006E2F21" w:rsidRPr="00F91CC3" w:rsidRDefault="006E2F21" w:rsidP="005142A2">
      <w:pPr>
        <w:pStyle w:val="3-BodyText"/>
        <w:snapToGrid w:val="0"/>
      </w:pPr>
      <w:r w:rsidRPr="00F91CC3">
        <w:t>Listing was</w:t>
      </w:r>
      <w:r w:rsidR="00FA4C0C" w:rsidRPr="00F91CC3">
        <w:t xml:space="preserve"> pragmatically</w:t>
      </w:r>
      <w:r w:rsidRPr="00F91CC3">
        <w:t xml:space="preserve"> requested on an age-based (gating population)</w:t>
      </w:r>
      <w:r w:rsidR="00FA4C0C" w:rsidRPr="00F91CC3">
        <w:t xml:space="preserve">, </w:t>
      </w:r>
      <w:r w:rsidRPr="00F91CC3">
        <w:t>rarity-based (</w:t>
      </w:r>
      <w:r w:rsidR="00FA4C0C" w:rsidRPr="00F91CC3">
        <w:t>RF and IVA-responsive rare mutations</w:t>
      </w:r>
      <w:r w:rsidRPr="00F91CC3">
        <w:t>)</w:t>
      </w:r>
      <w:r w:rsidR="00FA4C0C" w:rsidRPr="00F91CC3">
        <w:t xml:space="preserve"> and clinical need (R117H mutations)</w:t>
      </w:r>
      <w:r w:rsidRPr="00F91CC3">
        <w:t xml:space="preserve"> equity argument; no economic evaluation was presented in the submission to support the listing requested in any of the proposed populations. </w:t>
      </w:r>
    </w:p>
    <w:p w14:paraId="3E0B5B41" w14:textId="77777777" w:rsidR="006E2F21" w:rsidRPr="00F91CC3" w:rsidRDefault="006E2F21" w:rsidP="005142A2">
      <w:pPr>
        <w:pStyle w:val="3-BodyText"/>
        <w:snapToGrid w:val="0"/>
        <w:rPr>
          <w:i/>
        </w:rPr>
      </w:pPr>
      <w:r w:rsidRPr="00F91CC3">
        <w:t>The key components of the listing as presented by the submission are provided in Table 1.</w:t>
      </w:r>
    </w:p>
    <w:p w14:paraId="54B8A374" w14:textId="568DCA71" w:rsidR="006E2F21" w:rsidRPr="00F91CC3" w:rsidRDefault="006E2F21" w:rsidP="006E2F21">
      <w:pPr>
        <w:keepNext/>
        <w:jc w:val="left"/>
        <w:rPr>
          <w:rFonts w:ascii="Arial Narrow" w:eastAsiaTheme="majorEastAsia" w:hAnsi="Arial Narrow" w:cstheme="majorBidi"/>
          <w:b/>
          <w:bCs/>
          <w:sz w:val="20"/>
        </w:rPr>
      </w:pPr>
      <w:bookmarkStart w:id="9" w:name="_Ref144310814"/>
      <w:bookmarkStart w:id="10" w:name="_Toc107927619"/>
      <w:r w:rsidRPr="00F91CC3">
        <w:rPr>
          <w:rFonts w:ascii="Arial Narrow" w:eastAsiaTheme="majorEastAsia" w:hAnsi="Arial Narrow" w:cstheme="majorBidi"/>
          <w:b/>
          <w:bCs/>
          <w:sz w:val="20"/>
        </w:rPr>
        <w:lastRenderedPageBreak/>
        <w:t xml:space="preserve">Table </w:t>
      </w:r>
      <w:r w:rsidRPr="00F91CC3">
        <w:rPr>
          <w:rFonts w:ascii="Arial Narrow" w:eastAsiaTheme="majorEastAsia" w:hAnsi="Arial Narrow" w:cstheme="majorBidi"/>
          <w:b/>
          <w:bCs/>
          <w:sz w:val="20"/>
        </w:rPr>
        <w:fldChar w:fldCharType="begin"/>
      </w:r>
      <w:r w:rsidRPr="00F91CC3">
        <w:rPr>
          <w:rFonts w:ascii="Arial Narrow" w:eastAsiaTheme="majorEastAsia" w:hAnsi="Arial Narrow" w:cstheme="majorBidi"/>
          <w:b/>
          <w:bCs/>
          <w:sz w:val="20"/>
        </w:rPr>
        <w:instrText xml:space="preserve"> SEQ Table \* ARABIC </w:instrText>
      </w:r>
      <w:r w:rsidRPr="00F91CC3">
        <w:rPr>
          <w:rFonts w:ascii="Arial Narrow" w:eastAsiaTheme="majorEastAsia" w:hAnsi="Arial Narrow" w:cstheme="majorBidi"/>
          <w:b/>
          <w:bCs/>
          <w:sz w:val="20"/>
        </w:rPr>
        <w:fldChar w:fldCharType="separate"/>
      </w:r>
      <w:r w:rsidR="008D6198">
        <w:rPr>
          <w:rFonts w:ascii="Arial Narrow" w:eastAsiaTheme="majorEastAsia" w:hAnsi="Arial Narrow" w:cstheme="majorBidi"/>
          <w:b/>
          <w:bCs/>
          <w:noProof/>
          <w:sz w:val="20"/>
        </w:rPr>
        <w:t>1</w:t>
      </w:r>
      <w:r w:rsidRPr="00F91CC3">
        <w:rPr>
          <w:rFonts w:ascii="Arial Narrow" w:eastAsiaTheme="majorEastAsia" w:hAnsi="Arial Narrow" w:cstheme="majorBidi"/>
          <w:b/>
          <w:bCs/>
          <w:sz w:val="20"/>
        </w:rPr>
        <w:fldChar w:fldCharType="end"/>
      </w:r>
      <w:bookmarkEnd w:id="9"/>
      <w:r w:rsidRPr="00F91CC3">
        <w:rPr>
          <w:rFonts w:ascii="Arial Narrow" w:eastAsiaTheme="majorEastAsia" w:hAnsi="Arial Narrow" w:cstheme="majorBidi"/>
          <w:b/>
          <w:bCs/>
          <w:sz w:val="20"/>
        </w:rPr>
        <w:t>:</w:t>
      </w:r>
      <w:r w:rsidRPr="00F91CC3">
        <w:rPr>
          <w:rFonts w:ascii="Arial Narrow" w:eastAsiaTheme="majorEastAsia" w:hAnsi="Arial Narrow" w:cstheme="majorBidi"/>
          <w:bCs/>
          <w:sz w:val="20"/>
          <w:szCs w:val="16"/>
        </w:rPr>
        <w:t xml:space="preserve"> </w:t>
      </w:r>
      <w:r w:rsidRPr="00F91CC3">
        <w:rPr>
          <w:rFonts w:ascii="Arial Narrow" w:eastAsiaTheme="majorEastAsia" w:hAnsi="Arial Narrow" w:cstheme="majorBidi"/>
          <w:b/>
          <w:bCs/>
          <w:sz w:val="20"/>
          <w:szCs w:val="16"/>
        </w:rPr>
        <w:t>Key components of the clinical issue addressed by the submission (as stated in the submission)</w:t>
      </w:r>
    </w:p>
    <w:tbl>
      <w:tblPr>
        <w:tblpPr w:leftFromText="180" w:rightFromText="180" w:vertAnchor="text" w:tblpY="1"/>
        <w:tblOverlap w:val="neve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6E2F21" w:rsidRPr="00F91CC3" w14:paraId="5D8293C1" w14:textId="77777777" w:rsidTr="002A2AB2">
        <w:trPr>
          <w:tblHeader/>
        </w:trPr>
        <w:tc>
          <w:tcPr>
            <w:tcW w:w="1668" w:type="dxa"/>
            <w:tcBorders>
              <w:top w:val="single" w:sz="4" w:space="0" w:color="auto"/>
              <w:left w:val="single" w:sz="4" w:space="0" w:color="auto"/>
              <w:bottom w:val="single" w:sz="4" w:space="0" w:color="auto"/>
              <w:right w:val="single" w:sz="4" w:space="0" w:color="auto"/>
            </w:tcBorders>
            <w:vAlign w:val="center"/>
            <w:hideMark/>
          </w:tcPr>
          <w:p w14:paraId="4A6386FC" w14:textId="77777777" w:rsidR="006E2F21" w:rsidRPr="00F91CC3" w:rsidRDefault="006E2F21" w:rsidP="006E2F21">
            <w:pPr>
              <w:keepNext/>
              <w:jc w:val="left"/>
              <w:rPr>
                <w:rFonts w:ascii="Arial Narrow" w:eastAsiaTheme="majorEastAsia" w:hAnsi="Arial Narrow" w:cs="Times New Roman"/>
                <w:b/>
                <w:sz w:val="20"/>
              </w:rPr>
            </w:pPr>
            <w:r w:rsidRPr="00F91CC3">
              <w:rPr>
                <w:rFonts w:ascii="Arial Narrow" w:eastAsiaTheme="majorEastAsia" w:hAnsi="Arial Narrow" w:cs="Times New Roman"/>
                <w:b/>
                <w:sz w:val="20"/>
              </w:rPr>
              <w:t>Component</w:t>
            </w:r>
          </w:p>
        </w:tc>
        <w:tc>
          <w:tcPr>
            <w:tcW w:w="7488" w:type="dxa"/>
            <w:tcBorders>
              <w:top w:val="single" w:sz="4" w:space="0" w:color="auto"/>
              <w:left w:val="single" w:sz="4" w:space="0" w:color="auto"/>
              <w:bottom w:val="single" w:sz="4" w:space="0" w:color="auto"/>
              <w:right w:val="single" w:sz="4" w:space="0" w:color="auto"/>
            </w:tcBorders>
            <w:vAlign w:val="center"/>
            <w:hideMark/>
          </w:tcPr>
          <w:p w14:paraId="673E5653" w14:textId="77777777" w:rsidR="006E2F21" w:rsidRPr="00F91CC3" w:rsidRDefault="006E2F21" w:rsidP="006E2F21">
            <w:pPr>
              <w:keepNext/>
              <w:jc w:val="left"/>
              <w:rPr>
                <w:rFonts w:ascii="Arial Narrow" w:eastAsiaTheme="majorEastAsia" w:hAnsi="Arial Narrow" w:cs="Times New Roman"/>
                <w:b/>
                <w:sz w:val="20"/>
              </w:rPr>
            </w:pPr>
            <w:r w:rsidRPr="00F91CC3">
              <w:rPr>
                <w:rFonts w:ascii="Arial Narrow" w:eastAsiaTheme="majorEastAsia" w:hAnsi="Arial Narrow" w:cs="Times New Roman"/>
                <w:b/>
                <w:sz w:val="20"/>
              </w:rPr>
              <w:t>Description</w:t>
            </w:r>
          </w:p>
        </w:tc>
      </w:tr>
      <w:tr w:rsidR="006E2F21" w:rsidRPr="00F91CC3" w14:paraId="6D5928B4" w14:textId="77777777" w:rsidTr="002A2AB2">
        <w:trPr>
          <w:tblHeader/>
        </w:trPr>
        <w:tc>
          <w:tcPr>
            <w:tcW w:w="1668" w:type="dxa"/>
            <w:tcBorders>
              <w:top w:val="single" w:sz="4" w:space="0" w:color="auto"/>
              <w:left w:val="single" w:sz="4" w:space="0" w:color="auto"/>
              <w:bottom w:val="single" w:sz="4" w:space="0" w:color="auto"/>
              <w:right w:val="single" w:sz="4" w:space="0" w:color="auto"/>
            </w:tcBorders>
            <w:vAlign w:val="center"/>
            <w:hideMark/>
          </w:tcPr>
          <w:p w14:paraId="756B38A3" w14:textId="77777777" w:rsidR="006E2F21" w:rsidRPr="00F91CC3" w:rsidRDefault="006E2F21" w:rsidP="006E2F2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Population</w:t>
            </w:r>
          </w:p>
        </w:tc>
        <w:tc>
          <w:tcPr>
            <w:tcW w:w="7488" w:type="dxa"/>
            <w:tcBorders>
              <w:top w:val="single" w:sz="4" w:space="0" w:color="auto"/>
              <w:left w:val="single" w:sz="4" w:space="0" w:color="auto"/>
              <w:bottom w:val="single" w:sz="4" w:space="0" w:color="auto"/>
              <w:right w:val="single" w:sz="4" w:space="0" w:color="auto"/>
            </w:tcBorders>
            <w:vAlign w:val="center"/>
            <w:hideMark/>
          </w:tcPr>
          <w:p w14:paraId="2D68CA24" w14:textId="77777777" w:rsidR="006E2F21" w:rsidRPr="00F91CC3" w:rsidRDefault="006E2F21" w:rsidP="006E2F21">
            <w:pPr>
              <w:jc w:val="left"/>
              <w:rPr>
                <w:rFonts w:ascii="Arial Narrow" w:hAnsi="Arial Narrow"/>
                <w:sz w:val="20"/>
                <w:szCs w:val="20"/>
              </w:rPr>
            </w:pPr>
            <w:r w:rsidRPr="00F91CC3">
              <w:rPr>
                <w:rFonts w:ascii="Arial Narrow" w:hAnsi="Arial Narrow"/>
                <w:sz w:val="20"/>
                <w:szCs w:val="20"/>
              </w:rPr>
              <w:t>CF patients aged 4 to less than 12 months of age with a gating (Class III) mutation in the CFTR gene on at least one allele</w:t>
            </w:r>
          </w:p>
          <w:p w14:paraId="281F838C" w14:textId="77777777" w:rsidR="006E2F21" w:rsidRPr="00F91CC3" w:rsidRDefault="006E2F21" w:rsidP="006E2F21">
            <w:pPr>
              <w:jc w:val="left"/>
              <w:rPr>
                <w:rFonts w:ascii="Arial Narrow" w:hAnsi="Arial Narrow"/>
                <w:sz w:val="20"/>
                <w:szCs w:val="20"/>
              </w:rPr>
            </w:pPr>
            <w:r w:rsidRPr="00F91CC3">
              <w:rPr>
                <w:rFonts w:ascii="Arial Narrow" w:hAnsi="Arial Narrow"/>
                <w:sz w:val="20"/>
                <w:szCs w:val="20"/>
              </w:rPr>
              <w:t>CF patients aged 4 months or older with an R117H mutation in the CFTR gene on at least one allele</w:t>
            </w:r>
          </w:p>
          <w:p w14:paraId="5C065BBD" w14:textId="77777777" w:rsidR="006E2F21" w:rsidRPr="00F91CC3" w:rsidRDefault="006E2F21" w:rsidP="006E2F21">
            <w:pPr>
              <w:jc w:val="left"/>
              <w:rPr>
                <w:rFonts w:ascii="Arial Narrow" w:hAnsi="Arial Narrow" w:cs="Tahoma"/>
                <w:sz w:val="20"/>
                <w:szCs w:val="20"/>
              </w:rPr>
            </w:pPr>
            <w:r w:rsidRPr="00F91CC3">
              <w:rPr>
                <w:rFonts w:ascii="Arial Narrow" w:hAnsi="Arial Narrow"/>
                <w:sz w:val="20"/>
                <w:szCs w:val="20"/>
              </w:rPr>
              <w:t>CF patients aged 4 months or older with a non-splice RF mutation in the CFTR gene on at least one allele</w:t>
            </w:r>
          </w:p>
          <w:p w14:paraId="7AFA3F3E" w14:textId="56DA1455" w:rsidR="006E2F21" w:rsidRPr="00F91CC3" w:rsidRDefault="006E2F21" w:rsidP="006E2F21">
            <w:pPr>
              <w:keepNext/>
              <w:jc w:val="left"/>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 xml:space="preserve">CF patients aged 4 months or older with </w:t>
            </w:r>
            <w:r w:rsidR="000D38FB" w:rsidRPr="00F91CC3">
              <w:rPr>
                <w:rFonts w:ascii="Arial Narrow" w:eastAsiaTheme="majorEastAsia" w:hAnsi="Arial Narrow" w:cstheme="majorBidi"/>
                <w:bCs/>
                <w:sz w:val="20"/>
                <w:szCs w:val="20"/>
              </w:rPr>
              <w:t>other</w:t>
            </w:r>
            <w:r w:rsidRPr="00F91CC3">
              <w:rPr>
                <w:rFonts w:ascii="Arial Narrow" w:eastAsiaTheme="majorEastAsia" w:hAnsi="Arial Narrow" w:cstheme="majorBidi"/>
                <w:bCs/>
                <w:sz w:val="20"/>
                <w:szCs w:val="20"/>
              </w:rPr>
              <w:t xml:space="preserve"> mutation</w:t>
            </w:r>
            <w:r w:rsidR="000D38FB" w:rsidRPr="00F91CC3">
              <w:rPr>
                <w:rFonts w:ascii="Arial Narrow" w:eastAsiaTheme="majorEastAsia" w:hAnsi="Arial Narrow" w:cstheme="majorBidi"/>
                <w:bCs/>
                <w:sz w:val="20"/>
                <w:szCs w:val="20"/>
              </w:rPr>
              <w:t>s</w:t>
            </w:r>
            <w:r w:rsidRPr="00F91CC3">
              <w:rPr>
                <w:rFonts w:ascii="Arial Narrow" w:eastAsiaTheme="majorEastAsia" w:hAnsi="Arial Narrow" w:cstheme="majorBidi"/>
                <w:bCs/>
                <w:sz w:val="20"/>
                <w:szCs w:val="20"/>
              </w:rPr>
              <w:t xml:space="preserve"> in the CFTR gene that </w:t>
            </w:r>
            <w:r w:rsidR="000D38FB" w:rsidRPr="00F91CC3">
              <w:rPr>
                <w:rFonts w:ascii="Arial Narrow" w:eastAsiaTheme="majorEastAsia" w:hAnsi="Arial Narrow" w:cstheme="majorBidi"/>
                <w:bCs/>
                <w:sz w:val="20"/>
                <w:szCs w:val="20"/>
              </w:rPr>
              <w:t>are</w:t>
            </w:r>
            <w:r w:rsidRPr="00F91CC3">
              <w:rPr>
                <w:rFonts w:ascii="Arial Narrow" w:eastAsiaTheme="majorEastAsia" w:hAnsi="Arial Narrow" w:cstheme="majorBidi"/>
                <w:bCs/>
                <w:sz w:val="20"/>
                <w:szCs w:val="20"/>
              </w:rPr>
              <w:t xml:space="preserve"> responsive to </w:t>
            </w:r>
            <w:r w:rsidR="000D38FB" w:rsidRPr="00F91CC3">
              <w:rPr>
                <w:rFonts w:ascii="Arial Narrow" w:eastAsiaTheme="majorEastAsia" w:hAnsi="Arial Narrow" w:cstheme="majorBidi"/>
                <w:bCs/>
                <w:sz w:val="20"/>
                <w:szCs w:val="20"/>
              </w:rPr>
              <w:t>ivacaftor</w:t>
            </w:r>
            <w:r w:rsidRPr="00F91CC3">
              <w:rPr>
                <w:rFonts w:ascii="Arial Narrow" w:eastAsiaTheme="majorEastAsia" w:hAnsi="Arial Narrow" w:cstheme="majorBidi"/>
                <w:bCs/>
                <w:sz w:val="20"/>
                <w:szCs w:val="20"/>
              </w:rPr>
              <w:t xml:space="preserve"> based on</w:t>
            </w:r>
            <w:r w:rsidR="00186468" w:rsidRPr="00F91CC3">
              <w:rPr>
                <w:rFonts w:ascii="Arial Narrow" w:eastAsiaTheme="majorEastAsia" w:hAnsi="Arial Narrow" w:cstheme="majorBidi"/>
                <w:bCs/>
                <w:sz w:val="20"/>
                <w:szCs w:val="20"/>
              </w:rPr>
              <w:t xml:space="preserve"> clinical and/or</w:t>
            </w:r>
            <w:r w:rsidRPr="00F91CC3">
              <w:rPr>
                <w:rFonts w:ascii="Arial Narrow" w:eastAsiaTheme="majorEastAsia" w:hAnsi="Arial Narrow" w:cstheme="majorBidi"/>
                <w:bCs/>
                <w:sz w:val="20"/>
                <w:szCs w:val="20"/>
              </w:rPr>
              <w:t xml:space="preserve"> in vitro assay data</w:t>
            </w:r>
            <w:r w:rsidR="000D38FB" w:rsidRPr="00F91CC3">
              <w:rPr>
                <w:rFonts w:ascii="Arial Narrow" w:eastAsiaTheme="majorEastAsia" w:hAnsi="Arial Narrow" w:cstheme="majorBidi"/>
                <w:bCs/>
                <w:sz w:val="20"/>
                <w:szCs w:val="20"/>
              </w:rPr>
              <w:t xml:space="preserve"> </w:t>
            </w:r>
          </w:p>
        </w:tc>
      </w:tr>
      <w:tr w:rsidR="006E2F21" w:rsidRPr="00F91CC3" w14:paraId="2FFC5285" w14:textId="77777777" w:rsidTr="002A2AB2">
        <w:trPr>
          <w:tblHeader/>
        </w:trPr>
        <w:tc>
          <w:tcPr>
            <w:tcW w:w="1668" w:type="dxa"/>
            <w:tcBorders>
              <w:top w:val="single" w:sz="4" w:space="0" w:color="auto"/>
              <w:left w:val="single" w:sz="4" w:space="0" w:color="auto"/>
              <w:bottom w:val="single" w:sz="4" w:space="0" w:color="auto"/>
              <w:right w:val="single" w:sz="4" w:space="0" w:color="auto"/>
            </w:tcBorders>
            <w:vAlign w:val="center"/>
            <w:hideMark/>
          </w:tcPr>
          <w:p w14:paraId="107B72E9" w14:textId="77777777" w:rsidR="006E2F21" w:rsidRPr="00F91CC3" w:rsidRDefault="006E2F21" w:rsidP="006E2F2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Intervention</w:t>
            </w:r>
          </w:p>
        </w:tc>
        <w:tc>
          <w:tcPr>
            <w:tcW w:w="7488" w:type="dxa"/>
            <w:tcBorders>
              <w:top w:val="single" w:sz="4" w:space="0" w:color="auto"/>
              <w:left w:val="single" w:sz="4" w:space="0" w:color="auto"/>
              <w:bottom w:val="single" w:sz="4" w:space="0" w:color="auto"/>
              <w:right w:val="single" w:sz="4" w:space="0" w:color="auto"/>
            </w:tcBorders>
            <w:vAlign w:val="center"/>
            <w:hideMark/>
          </w:tcPr>
          <w:p w14:paraId="6AF40F50" w14:textId="77777777" w:rsidR="006E2F21" w:rsidRPr="00F91CC3" w:rsidRDefault="006E2F21" w:rsidP="006E2F21">
            <w:pPr>
              <w:keepNext/>
              <w:jc w:val="left"/>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Ivacaftor (weight-based dosing as per the PI document)</w:t>
            </w:r>
          </w:p>
        </w:tc>
      </w:tr>
      <w:tr w:rsidR="006E2F21" w:rsidRPr="00F91CC3" w14:paraId="7511005C" w14:textId="77777777" w:rsidTr="002A2AB2">
        <w:trPr>
          <w:tblHeader/>
        </w:trPr>
        <w:tc>
          <w:tcPr>
            <w:tcW w:w="1668" w:type="dxa"/>
            <w:tcBorders>
              <w:top w:val="single" w:sz="4" w:space="0" w:color="auto"/>
              <w:left w:val="single" w:sz="4" w:space="0" w:color="auto"/>
              <w:bottom w:val="single" w:sz="4" w:space="0" w:color="auto"/>
              <w:right w:val="single" w:sz="4" w:space="0" w:color="auto"/>
            </w:tcBorders>
            <w:vAlign w:val="center"/>
            <w:hideMark/>
          </w:tcPr>
          <w:p w14:paraId="7DF685DD" w14:textId="77777777" w:rsidR="006E2F21" w:rsidRPr="00F91CC3" w:rsidRDefault="006E2F21" w:rsidP="006E2F2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Comparator</w:t>
            </w:r>
          </w:p>
        </w:tc>
        <w:tc>
          <w:tcPr>
            <w:tcW w:w="7488" w:type="dxa"/>
            <w:tcBorders>
              <w:top w:val="single" w:sz="4" w:space="0" w:color="auto"/>
              <w:left w:val="single" w:sz="4" w:space="0" w:color="auto"/>
              <w:bottom w:val="single" w:sz="4" w:space="0" w:color="auto"/>
              <w:right w:val="single" w:sz="4" w:space="0" w:color="auto"/>
            </w:tcBorders>
            <w:vAlign w:val="center"/>
            <w:hideMark/>
          </w:tcPr>
          <w:p w14:paraId="757A6F69" w14:textId="77777777" w:rsidR="006E2F21" w:rsidRPr="00F91CC3" w:rsidRDefault="006E2F21" w:rsidP="006E2F21">
            <w:pPr>
              <w:keepNext/>
              <w:jc w:val="left"/>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BSC alone</w:t>
            </w:r>
          </w:p>
        </w:tc>
      </w:tr>
      <w:tr w:rsidR="006E2F21" w:rsidRPr="00F91CC3" w14:paraId="43F91DA7" w14:textId="77777777" w:rsidTr="002A2AB2">
        <w:trPr>
          <w:tblHeader/>
        </w:trPr>
        <w:tc>
          <w:tcPr>
            <w:tcW w:w="1668" w:type="dxa"/>
            <w:tcBorders>
              <w:top w:val="single" w:sz="4" w:space="0" w:color="auto"/>
              <w:left w:val="single" w:sz="4" w:space="0" w:color="auto"/>
              <w:bottom w:val="single" w:sz="4" w:space="0" w:color="auto"/>
              <w:right w:val="single" w:sz="4" w:space="0" w:color="auto"/>
            </w:tcBorders>
            <w:vAlign w:val="center"/>
            <w:hideMark/>
          </w:tcPr>
          <w:p w14:paraId="2847B4F2" w14:textId="77777777" w:rsidR="006E2F21" w:rsidRPr="00F91CC3" w:rsidRDefault="006E2F21" w:rsidP="006E2F2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Outcomes</w:t>
            </w:r>
          </w:p>
        </w:tc>
        <w:tc>
          <w:tcPr>
            <w:tcW w:w="7488" w:type="dxa"/>
            <w:tcBorders>
              <w:top w:val="single" w:sz="4" w:space="0" w:color="auto"/>
              <w:left w:val="single" w:sz="4" w:space="0" w:color="auto"/>
              <w:bottom w:val="single" w:sz="4" w:space="0" w:color="auto"/>
              <w:right w:val="single" w:sz="4" w:space="0" w:color="auto"/>
            </w:tcBorders>
            <w:vAlign w:val="center"/>
            <w:hideMark/>
          </w:tcPr>
          <w:p w14:paraId="61F57490" w14:textId="77777777" w:rsidR="006E2F21" w:rsidRPr="00F91CC3" w:rsidRDefault="006E2F21" w:rsidP="006E2F21">
            <w:pPr>
              <w:rPr>
                <w:rFonts w:ascii="Arial Narrow" w:hAnsi="Arial Narrow"/>
                <w:sz w:val="20"/>
                <w:szCs w:val="20"/>
              </w:rPr>
            </w:pPr>
            <w:r w:rsidRPr="00F91CC3">
              <w:rPr>
                <w:rFonts w:ascii="Arial Narrow" w:hAnsi="Arial Narrow"/>
                <w:sz w:val="20"/>
                <w:szCs w:val="20"/>
              </w:rPr>
              <w:t>Absolute change from baseline in: ppFEV</w:t>
            </w:r>
            <w:r w:rsidRPr="00F91CC3">
              <w:rPr>
                <w:rFonts w:ascii="Arial Narrow" w:hAnsi="Arial Narrow"/>
                <w:sz w:val="20"/>
                <w:szCs w:val="20"/>
                <w:vertAlign w:val="subscript"/>
              </w:rPr>
              <w:t>1</w:t>
            </w:r>
            <w:r w:rsidRPr="00F91CC3">
              <w:rPr>
                <w:rFonts w:ascii="Arial Narrow" w:hAnsi="Arial Narrow"/>
                <w:sz w:val="20"/>
                <w:szCs w:val="20"/>
              </w:rPr>
              <w:t xml:space="preserve"> (where relevant); sweat chloride; nutritional status (weight, length, weight-for-length z-scores, weight-for-length-for-age z-scores, and weight-for-length percentiles); FE-1; IRT.</w:t>
            </w:r>
          </w:p>
          <w:p w14:paraId="2085B18C" w14:textId="77777777" w:rsidR="006E2F21" w:rsidRPr="00F91CC3" w:rsidRDefault="006E2F21" w:rsidP="006E2F2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szCs w:val="20"/>
              </w:rPr>
              <w:t>Measures of pulmonary exacerbations</w:t>
            </w:r>
          </w:p>
        </w:tc>
      </w:tr>
      <w:tr w:rsidR="006E2F21" w:rsidRPr="00F91CC3" w14:paraId="4D3A68E9" w14:textId="77777777" w:rsidTr="002A2AB2">
        <w:trPr>
          <w:tblHeader/>
        </w:trPr>
        <w:tc>
          <w:tcPr>
            <w:tcW w:w="1668" w:type="dxa"/>
            <w:tcBorders>
              <w:top w:val="single" w:sz="4" w:space="0" w:color="auto"/>
              <w:left w:val="single" w:sz="4" w:space="0" w:color="auto"/>
              <w:bottom w:val="single" w:sz="4" w:space="0" w:color="auto"/>
              <w:right w:val="single" w:sz="4" w:space="0" w:color="auto"/>
            </w:tcBorders>
            <w:vAlign w:val="center"/>
            <w:hideMark/>
          </w:tcPr>
          <w:p w14:paraId="46F368AF" w14:textId="77777777" w:rsidR="006E2F21" w:rsidRPr="00F91CC3" w:rsidRDefault="006E2F21" w:rsidP="006E2F2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Clinical claim</w:t>
            </w:r>
          </w:p>
        </w:tc>
        <w:tc>
          <w:tcPr>
            <w:tcW w:w="7488" w:type="dxa"/>
            <w:tcBorders>
              <w:top w:val="single" w:sz="4" w:space="0" w:color="auto"/>
              <w:left w:val="single" w:sz="4" w:space="0" w:color="auto"/>
              <w:bottom w:val="single" w:sz="4" w:space="0" w:color="auto"/>
              <w:right w:val="single" w:sz="4" w:space="0" w:color="auto"/>
            </w:tcBorders>
            <w:vAlign w:val="center"/>
            <w:hideMark/>
          </w:tcPr>
          <w:p w14:paraId="0303D353" w14:textId="77777777" w:rsidR="006E2F21" w:rsidRPr="00F91CC3" w:rsidRDefault="006E2F21" w:rsidP="006E2F21">
            <w:pPr>
              <w:rPr>
                <w:rFonts w:ascii="Arial Narrow" w:hAnsi="Arial Narrow"/>
                <w:sz w:val="20"/>
                <w:szCs w:val="20"/>
              </w:rPr>
            </w:pPr>
            <w:r w:rsidRPr="00F91CC3">
              <w:rPr>
                <w:rFonts w:ascii="Arial Narrow" w:hAnsi="Arial Narrow"/>
                <w:sz w:val="20"/>
                <w:szCs w:val="20"/>
              </w:rPr>
              <w:t>Ivacaftor plus BSC is superior in terms of effectiveness compared with BSC alone</w:t>
            </w:r>
          </w:p>
          <w:p w14:paraId="44CED126" w14:textId="77777777" w:rsidR="006E2F21" w:rsidRPr="00F91CC3" w:rsidRDefault="006E2F21" w:rsidP="006E2F2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szCs w:val="20"/>
              </w:rPr>
              <w:t>Ivacaftor plus BSC is non-inferior in terms of safety compared to BSC alone</w:t>
            </w:r>
          </w:p>
        </w:tc>
      </w:tr>
    </w:tbl>
    <w:p w14:paraId="54D795C6" w14:textId="6224BBD4" w:rsidR="006E2F21" w:rsidRPr="00F91CC3" w:rsidRDefault="006E2F21" w:rsidP="006E2F21">
      <w:pPr>
        <w:spacing w:after="120"/>
        <w:contextualSpacing/>
        <w:rPr>
          <w:rFonts w:ascii="Arial Narrow" w:hAnsi="Arial Narrow"/>
          <w:snapToGrid w:val="0"/>
          <w:sz w:val="18"/>
          <w:szCs w:val="22"/>
        </w:rPr>
      </w:pPr>
      <w:r w:rsidRPr="00F91CC3">
        <w:rPr>
          <w:rFonts w:ascii="Arial Narrow" w:hAnsi="Arial Narrow"/>
          <w:snapToGrid w:val="0"/>
          <w:sz w:val="18"/>
          <w:szCs w:val="22"/>
        </w:rPr>
        <w:t xml:space="preserve">Source: </w:t>
      </w:r>
      <w:r w:rsidR="00F30737" w:rsidRPr="00F91CC3">
        <w:rPr>
          <w:rFonts w:ascii="Arial Narrow" w:hAnsi="Arial Narrow"/>
          <w:snapToGrid w:val="0"/>
          <w:sz w:val="18"/>
          <w:szCs w:val="22"/>
        </w:rPr>
        <w:t>Modified from u</w:t>
      </w:r>
      <w:r w:rsidRPr="00F91CC3">
        <w:rPr>
          <w:rFonts w:ascii="Arial Narrow" w:hAnsi="Arial Narrow"/>
          <w:snapToGrid w:val="0"/>
          <w:sz w:val="18"/>
          <w:szCs w:val="22"/>
        </w:rPr>
        <w:t>nlabelled Table, p28 of the submission.</w:t>
      </w:r>
    </w:p>
    <w:p w14:paraId="6D99B2AE" w14:textId="77777777" w:rsidR="006E2F21" w:rsidRPr="00F91CC3" w:rsidRDefault="006E2F21" w:rsidP="006E2F21">
      <w:pPr>
        <w:spacing w:after="120"/>
        <w:contextualSpacing/>
        <w:rPr>
          <w:rFonts w:ascii="Arial Narrow" w:hAnsi="Arial Narrow"/>
          <w:snapToGrid w:val="0"/>
          <w:sz w:val="18"/>
          <w:szCs w:val="18"/>
        </w:rPr>
      </w:pPr>
      <w:r w:rsidRPr="00F91CC3">
        <w:rPr>
          <w:rFonts w:ascii="Arial Narrow" w:hAnsi="Arial Narrow"/>
          <w:snapToGrid w:val="0"/>
          <w:sz w:val="18"/>
          <w:szCs w:val="18"/>
        </w:rPr>
        <w:t>BSC = best supportive care; CF = cystic fibrosis; CFTR = cystic fibrosis transmembrane conductance regulator; FE-1 = faecal elastase-1; IRT = immunoreactive trypsinogen; IVA = ivacaftor; PI = product information; ppFEV</w:t>
      </w:r>
      <w:r w:rsidRPr="00F91CC3">
        <w:rPr>
          <w:rFonts w:ascii="Arial Narrow" w:hAnsi="Arial Narrow"/>
          <w:snapToGrid w:val="0"/>
          <w:sz w:val="18"/>
          <w:szCs w:val="18"/>
          <w:vertAlign w:val="subscript"/>
        </w:rPr>
        <w:t>1</w:t>
      </w:r>
      <w:r w:rsidRPr="00F91CC3">
        <w:rPr>
          <w:rFonts w:ascii="Arial Narrow" w:hAnsi="Arial Narrow"/>
          <w:snapToGrid w:val="0"/>
          <w:sz w:val="18"/>
          <w:szCs w:val="18"/>
        </w:rPr>
        <w:t xml:space="preserve"> = percent predicted forced expiratory volume; RF = residual function.</w:t>
      </w:r>
    </w:p>
    <w:p w14:paraId="19E2714E" w14:textId="77777777" w:rsidR="006E2F21" w:rsidRPr="00F91CC3" w:rsidRDefault="006E2F21" w:rsidP="005142A2">
      <w:pPr>
        <w:keepNext/>
        <w:numPr>
          <w:ilvl w:val="0"/>
          <w:numId w:val="10"/>
        </w:numPr>
        <w:snapToGrid w:val="0"/>
        <w:spacing w:before="240" w:after="120"/>
        <w:jc w:val="left"/>
        <w:outlineLvl w:val="0"/>
        <w:rPr>
          <w:rFonts w:asciiTheme="minorHAnsi" w:hAnsiTheme="minorHAnsi"/>
          <w:b/>
          <w:snapToGrid w:val="0"/>
          <w:sz w:val="32"/>
          <w:szCs w:val="32"/>
        </w:rPr>
      </w:pPr>
      <w:bookmarkStart w:id="11" w:name="_Toc145484386"/>
      <w:bookmarkEnd w:id="10"/>
      <w:r w:rsidRPr="00F91CC3">
        <w:rPr>
          <w:rFonts w:asciiTheme="minorHAnsi" w:hAnsiTheme="minorHAnsi"/>
          <w:b/>
          <w:snapToGrid w:val="0"/>
          <w:sz w:val="32"/>
          <w:szCs w:val="32"/>
        </w:rPr>
        <w:t>Background</w:t>
      </w:r>
      <w:bookmarkEnd w:id="11"/>
    </w:p>
    <w:p w14:paraId="1F2178AE" w14:textId="77777777" w:rsidR="006E2F21" w:rsidRPr="00F91CC3" w:rsidRDefault="006E2F21" w:rsidP="006E2F21">
      <w:pPr>
        <w:keepNext/>
        <w:spacing w:before="120" w:after="120"/>
        <w:outlineLvl w:val="1"/>
        <w:rPr>
          <w:rFonts w:asciiTheme="minorHAnsi" w:eastAsiaTheme="majorEastAsia" w:hAnsiTheme="minorHAnsi" w:cstheme="majorBidi"/>
          <w:b/>
          <w:i/>
          <w:spacing w:val="5"/>
          <w:kern w:val="28"/>
          <w:sz w:val="28"/>
          <w:szCs w:val="36"/>
        </w:rPr>
      </w:pPr>
      <w:bookmarkStart w:id="12" w:name="_Toc107927620"/>
      <w:bookmarkStart w:id="13" w:name="_Toc22897638"/>
      <w:bookmarkStart w:id="14" w:name="_Toc145484387"/>
      <w:r w:rsidRPr="00F91CC3">
        <w:rPr>
          <w:rFonts w:asciiTheme="minorHAnsi" w:eastAsiaTheme="majorEastAsia" w:hAnsiTheme="minorHAnsi" w:cstheme="majorBidi"/>
          <w:b/>
          <w:i/>
          <w:spacing w:val="5"/>
          <w:kern w:val="28"/>
          <w:sz w:val="28"/>
          <w:szCs w:val="36"/>
        </w:rPr>
        <w:t>Registration status</w:t>
      </w:r>
      <w:bookmarkEnd w:id="12"/>
      <w:bookmarkEnd w:id="13"/>
      <w:bookmarkEnd w:id="14"/>
    </w:p>
    <w:p w14:paraId="621F7FA7" w14:textId="75D1641A" w:rsidR="006E2F21" w:rsidRPr="00F91CC3" w:rsidRDefault="006E2F21" w:rsidP="005142A2">
      <w:pPr>
        <w:pStyle w:val="3-BodyText"/>
        <w:snapToGrid w:val="0"/>
        <w:rPr>
          <w:i/>
        </w:rPr>
      </w:pPr>
      <w:bookmarkStart w:id="15" w:name="_Toc22897639"/>
      <w:bookmarkStart w:id="16" w:name="_Toc107927621"/>
      <w:r w:rsidRPr="00F91CC3">
        <w:t xml:space="preserve">The TGA indication for ivacaftor was expanded on 14 February 2023 to include the treatment of CF in patients aged 4 months and older who have </w:t>
      </w:r>
      <w:bookmarkStart w:id="17" w:name="_Hlk136194553"/>
      <w:r w:rsidRPr="00F91CC3">
        <w:t>at least one mutation in the CFTR gene that is responsive to ivacaftor potentiation based on clinical and/or in vitro assay data</w:t>
      </w:r>
      <w:bookmarkEnd w:id="17"/>
      <w:r w:rsidRPr="00F91CC3">
        <w:t>.</w:t>
      </w:r>
    </w:p>
    <w:p w14:paraId="6D711EB4" w14:textId="77777777" w:rsidR="006E2F21" w:rsidRPr="00F91CC3" w:rsidRDefault="006E2F21" w:rsidP="006E2F21">
      <w:pPr>
        <w:keepNext/>
        <w:spacing w:before="120" w:after="120"/>
        <w:outlineLvl w:val="1"/>
        <w:rPr>
          <w:rFonts w:asciiTheme="minorHAnsi" w:eastAsiaTheme="majorEastAsia" w:hAnsiTheme="minorHAnsi" w:cstheme="majorBidi"/>
          <w:b/>
          <w:i/>
          <w:spacing w:val="5"/>
          <w:kern w:val="28"/>
          <w:sz w:val="28"/>
          <w:szCs w:val="36"/>
        </w:rPr>
      </w:pPr>
      <w:bookmarkStart w:id="18" w:name="_Toc145484388"/>
      <w:r w:rsidRPr="00F91CC3">
        <w:rPr>
          <w:rFonts w:asciiTheme="minorHAnsi" w:eastAsiaTheme="majorEastAsia" w:hAnsiTheme="minorHAnsi" w:cstheme="majorBidi"/>
          <w:b/>
          <w:i/>
          <w:spacing w:val="5"/>
          <w:kern w:val="28"/>
          <w:sz w:val="28"/>
          <w:szCs w:val="36"/>
        </w:rPr>
        <w:t>Previous PBAC consideration</w:t>
      </w:r>
      <w:bookmarkEnd w:id="15"/>
      <w:bookmarkEnd w:id="16"/>
      <w:r w:rsidRPr="00F91CC3">
        <w:rPr>
          <w:rFonts w:asciiTheme="minorHAnsi" w:eastAsiaTheme="majorEastAsia" w:hAnsiTheme="minorHAnsi" w:cstheme="majorBidi"/>
          <w:b/>
          <w:i/>
          <w:spacing w:val="5"/>
          <w:kern w:val="28"/>
          <w:sz w:val="28"/>
          <w:szCs w:val="36"/>
        </w:rPr>
        <w:t>s</w:t>
      </w:r>
      <w:bookmarkEnd w:id="18"/>
    </w:p>
    <w:p w14:paraId="12615C3A" w14:textId="081B5BBC" w:rsidR="00F30737" w:rsidRPr="00F91CC3" w:rsidRDefault="006E2F21" w:rsidP="005142A2">
      <w:pPr>
        <w:pStyle w:val="3-BodyText"/>
        <w:snapToGrid w:val="0"/>
      </w:pPr>
      <w:bookmarkStart w:id="19" w:name="_Hlk144126518"/>
      <w:r w:rsidRPr="00F91CC3">
        <w:t xml:space="preserve">The </w:t>
      </w:r>
      <w:r w:rsidR="004C710C">
        <w:t>Pharmaceutical Benefits Advisory Committee (</w:t>
      </w:r>
      <w:r w:rsidRPr="00F91CC3">
        <w:t>PBAC</w:t>
      </w:r>
      <w:r w:rsidR="004C710C">
        <w:t>)</w:t>
      </w:r>
      <w:r w:rsidRPr="00F91CC3">
        <w:t xml:space="preserve"> first considered ivacaftor for the treatment of CF in patients who have a G</w:t>
      </w:r>
      <w:r w:rsidR="00962A6F">
        <w:t>551</w:t>
      </w:r>
      <w:r w:rsidRPr="00F91CC3">
        <w:t>D or other Class III gating mutation in the CFTR gene in 2013, with subsequent submissions expanding the PBS listing to lower the starting age of treatment to 12 months of age (</w:t>
      </w:r>
      <w:r w:rsidRPr="00F91CC3">
        <w:rPr>
          <w:bCs/>
        </w:rPr>
        <w:t>ivacaftor</w:t>
      </w:r>
      <w:r w:rsidR="00EA49F0">
        <w:rPr>
          <w:bCs/>
        </w:rPr>
        <w:t xml:space="preserve"> Public Summary Documents (</w:t>
      </w:r>
      <w:r w:rsidRPr="00F91CC3">
        <w:rPr>
          <w:bCs/>
        </w:rPr>
        <w:t>PSDs</w:t>
      </w:r>
      <w:r w:rsidR="00EA49F0">
        <w:rPr>
          <w:bCs/>
        </w:rPr>
        <w:t>)</w:t>
      </w:r>
      <w:r w:rsidRPr="00F91CC3">
        <w:rPr>
          <w:bCs/>
        </w:rPr>
        <w:t>, November 2013, November 2014, November 2016, March 2019 PBAC meetings).</w:t>
      </w:r>
      <w:bookmarkEnd w:id="19"/>
    </w:p>
    <w:p w14:paraId="51E3A843" w14:textId="77777777" w:rsidR="00D84CFA" w:rsidRPr="00F91CC3" w:rsidRDefault="006E2F21" w:rsidP="005142A2">
      <w:pPr>
        <w:pStyle w:val="3-BodyText"/>
        <w:snapToGrid w:val="0"/>
      </w:pPr>
      <w:r w:rsidRPr="00F91CC3">
        <w:rPr>
          <w:rFonts w:cstheme="minorHAnsi"/>
        </w:rPr>
        <w:t>The PBAC has also previously considered tezacaftor</w:t>
      </w:r>
      <w:r w:rsidR="000D38FB" w:rsidRPr="00F91CC3">
        <w:rPr>
          <w:rFonts w:cstheme="minorHAnsi"/>
        </w:rPr>
        <w:t>/ivacaftor</w:t>
      </w:r>
      <w:r w:rsidRPr="00F91CC3">
        <w:rPr>
          <w:rFonts w:cstheme="minorHAnsi"/>
        </w:rPr>
        <w:t xml:space="preserve"> (TEZ/IVA) for the treatment of CF in patients aged 12 years and older who have at least one non-splice RF mutation in the CFTR gene (TEZ/IVA PSD, November 2019 PBAC meeting)</w:t>
      </w:r>
      <w:r w:rsidR="00521897" w:rsidRPr="00F91CC3">
        <w:rPr>
          <w:rFonts w:cstheme="minorHAnsi"/>
        </w:rPr>
        <w:t xml:space="preserve"> and</w:t>
      </w:r>
      <w:r w:rsidRPr="00F91CC3">
        <w:rPr>
          <w:rFonts w:cstheme="minorHAnsi"/>
        </w:rPr>
        <w:t xml:space="preserve">  elexacaftor</w:t>
      </w:r>
      <w:r w:rsidR="000D38FB" w:rsidRPr="00F91CC3">
        <w:rPr>
          <w:rFonts w:cstheme="minorHAnsi"/>
        </w:rPr>
        <w:t>/</w:t>
      </w:r>
      <w:r w:rsidRPr="00F91CC3">
        <w:rPr>
          <w:rFonts w:cstheme="minorHAnsi"/>
        </w:rPr>
        <w:t>tezacaftor</w:t>
      </w:r>
      <w:r w:rsidR="000D38FB" w:rsidRPr="00F91CC3">
        <w:rPr>
          <w:rFonts w:cstheme="minorHAnsi"/>
        </w:rPr>
        <w:t>/ivacaftor</w:t>
      </w:r>
      <w:r w:rsidRPr="00F91CC3">
        <w:rPr>
          <w:rFonts w:cstheme="minorHAnsi"/>
        </w:rPr>
        <w:t xml:space="preserve"> (ELX/TEZ/IVA) for the treatment of CF in patients aged 6 years and older who have at least one F508del mutation in the CFTR gene (F/any) (ELX/TEZ/IVA PSD, November 2022 PBAC meeting with March 2023 addendum)</w:t>
      </w:r>
      <w:r w:rsidR="00521897" w:rsidRPr="00F91CC3">
        <w:rPr>
          <w:rFonts w:cstheme="minorHAnsi"/>
        </w:rPr>
        <w:t>.</w:t>
      </w:r>
    </w:p>
    <w:p w14:paraId="72FAA9CD" w14:textId="6C94CA58" w:rsidR="00F30737" w:rsidRPr="00F91CC3" w:rsidRDefault="00D84CFA" w:rsidP="005142A2">
      <w:pPr>
        <w:pStyle w:val="3-BodyText"/>
        <w:snapToGrid w:val="0"/>
      </w:pPr>
      <w:r w:rsidRPr="00F91CC3">
        <w:rPr>
          <w:rFonts w:cstheme="minorHAnsi"/>
        </w:rPr>
        <w:t>T</w:t>
      </w:r>
      <w:r w:rsidR="00521897" w:rsidRPr="00F91CC3">
        <w:rPr>
          <w:rFonts w:cstheme="minorHAnsi"/>
        </w:rPr>
        <w:t>he PBAC has previously considered</w:t>
      </w:r>
      <w:r w:rsidR="006E2F21" w:rsidRPr="00F91CC3">
        <w:rPr>
          <w:rFonts w:cstheme="minorHAnsi"/>
        </w:rPr>
        <w:t xml:space="preserve"> lumacaftor</w:t>
      </w:r>
      <w:r w:rsidR="000D38FB" w:rsidRPr="00F91CC3">
        <w:rPr>
          <w:rFonts w:cstheme="minorHAnsi"/>
        </w:rPr>
        <w:t>/ivacaftor</w:t>
      </w:r>
      <w:r w:rsidR="006E2F21" w:rsidRPr="00F91CC3">
        <w:rPr>
          <w:rFonts w:cstheme="minorHAnsi"/>
        </w:rPr>
        <w:t xml:space="preserve"> (LUM/IVA) </w:t>
      </w:r>
      <w:r w:rsidR="008D6A4C" w:rsidRPr="00F91CC3">
        <w:rPr>
          <w:rFonts w:cstheme="minorHAnsi"/>
        </w:rPr>
        <w:t xml:space="preserve">and TEZ/IVA </w:t>
      </w:r>
      <w:r w:rsidR="006E2F21" w:rsidRPr="00F91CC3">
        <w:rPr>
          <w:rFonts w:cstheme="minorHAnsi"/>
        </w:rPr>
        <w:t>for the treatment of CF in patients</w:t>
      </w:r>
      <w:r w:rsidR="008D6A4C" w:rsidRPr="00F91CC3">
        <w:rPr>
          <w:rFonts w:cstheme="minorHAnsi"/>
        </w:rPr>
        <w:t xml:space="preserve"> </w:t>
      </w:r>
      <w:r w:rsidR="008D6A4C" w:rsidRPr="00F91CC3">
        <w:t xml:space="preserve">homozygous for the F508del mutation in the CFTR gene (F/F), </w:t>
      </w:r>
      <w:r w:rsidR="006E2F21" w:rsidRPr="00F91CC3">
        <w:rPr>
          <w:rFonts w:cstheme="minorHAnsi"/>
        </w:rPr>
        <w:t xml:space="preserve">aged 1 year and older </w:t>
      </w:r>
      <w:r w:rsidR="008D6A4C" w:rsidRPr="00F91CC3">
        <w:rPr>
          <w:rFonts w:cstheme="minorHAnsi"/>
        </w:rPr>
        <w:t xml:space="preserve">and 12 years and older respectively </w:t>
      </w:r>
      <w:r w:rsidR="006E2F21" w:rsidRPr="00F91CC3">
        <w:t xml:space="preserve">(LUM/IVA PSD, July </w:t>
      </w:r>
      <w:r w:rsidR="006E2F21" w:rsidRPr="00F91CC3">
        <w:lastRenderedPageBreak/>
        <w:t>2023 PBAC meeting</w:t>
      </w:r>
      <w:r w:rsidR="008D6A4C" w:rsidRPr="00F91CC3">
        <w:t xml:space="preserve"> and TEZ/IVA PSD, March 2019 PBAC meeting</w:t>
      </w:r>
      <w:r w:rsidR="006E2F21" w:rsidRPr="00F91CC3">
        <w:t>)</w:t>
      </w:r>
      <w:r w:rsidR="006E2F21" w:rsidRPr="00F91CC3">
        <w:rPr>
          <w:rFonts w:cstheme="minorHAnsi"/>
        </w:rPr>
        <w:t>.</w:t>
      </w:r>
      <w:r w:rsidR="008D6A4C" w:rsidRPr="00F91CC3">
        <w:rPr>
          <w:rFonts w:cstheme="minorHAnsi"/>
        </w:rPr>
        <w:t xml:space="preserve"> LUM/IVA and TEZ/IVA for F/F mutation patients </w:t>
      </w:r>
      <w:r w:rsidR="00A146B5" w:rsidRPr="00F91CC3">
        <w:rPr>
          <w:rFonts w:cstheme="minorHAnsi"/>
        </w:rPr>
        <w:t xml:space="preserve">was </w:t>
      </w:r>
      <w:r w:rsidR="008D6A4C" w:rsidRPr="00F91CC3">
        <w:rPr>
          <w:rFonts w:cstheme="minorHAnsi"/>
        </w:rPr>
        <w:t>not relevant to this submission.</w:t>
      </w:r>
    </w:p>
    <w:p w14:paraId="7341BA49" w14:textId="28BC3AE5" w:rsidR="00121031" w:rsidRPr="00F91CC3" w:rsidRDefault="006E2F21" w:rsidP="005142A2">
      <w:pPr>
        <w:pStyle w:val="3-BodyText"/>
        <w:snapToGrid w:val="0"/>
      </w:pPr>
      <w:r w:rsidRPr="00F91CC3">
        <w:t xml:space="preserve">A summary of current and proposed PBS listings for ivacaftor, whether alone or in combination with other CFTR modulators, for the patient populations presented in this submission is shown in </w:t>
      </w:r>
      <w:r w:rsidR="0080102C" w:rsidRPr="00F91CC3">
        <w:fldChar w:fldCharType="begin"/>
      </w:r>
      <w:r w:rsidR="0080102C" w:rsidRPr="00F91CC3">
        <w:instrText xml:space="preserve"> REF _Ref145496246 \h  \* MERGEFORMAT </w:instrText>
      </w:r>
      <w:r w:rsidR="0080102C" w:rsidRPr="00F91CC3">
        <w:fldChar w:fldCharType="separate"/>
      </w:r>
      <w:r w:rsidR="008D6198" w:rsidRPr="008D6198">
        <w:t>Table 2</w:t>
      </w:r>
      <w:r w:rsidR="0080102C" w:rsidRPr="00F91CC3">
        <w:fldChar w:fldCharType="end"/>
      </w:r>
      <w:r w:rsidR="00836508" w:rsidRPr="00F91CC3">
        <w:t>.</w:t>
      </w:r>
    </w:p>
    <w:p w14:paraId="6C39B1C7" w14:textId="2A71801A" w:rsidR="00E32415" w:rsidRPr="00F91CC3" w:rsidRDefault="00E5450D" w:rsidP="00E5450D">
      <w:pPr>
        <w:keepNext/>
        <w:rPr>
          <w:rFonts w:ascii="Arial Narrow" w:hAnsi="Arial Narrow"/>
          <w:b/>
          <w:snapToGrid w:val="0"/>
          <w:sz w:val="20"/>
          <w:szCs w:val="20"/>
        </w:rPr>
      </w:pPr>
      <w:bookmarkStart w:id="20" w:name="_Ref145496246"/>
      <w:r w:rsidRPr="00F91CC3">
        <w:rPr>
          <w:rFonts w:ascii="Arial Narrow" w:hAnsi="Arial Narrow"/>
          <w:b/>
          <w:bCs/>
          <w:snapToGrid w:val="0"/>
          <w:sz w:val="20"/>
          <w:szCs w:val="20"/>
        </w:rPr>
        <w:t xml:space="preserve">Table </w:t>
      </w:r>
      <w:r w:rsidRPr="00F91CC3">
        <w:rPr>
          <w:rFonts w:asciiTheme="minorHAnsi" w:hAnsiTheme="minorHAnsi"/>
          <w:snapToGrid w:val="0"/>
        </w:rPr>
        <w:fldChar w:fldCharType="begin"/>
      </w:r>
      <w:r w:rsidRPr="00F91CC3">
        <w:rPr>
          <w:rFonts w:ascii="Arial Narrow" w:hAnsi="Arial Narrow"/>
          <w:b/>
          <w:bCs/>
          <w:snapToGrid w:val="0"/>
          <w:sz w:val="20"/>
          <w:szCs w:val="20"/>
        </w:rPr>
        <w:instrText xml:space="preserve"> SEQ Table \* ARABIC </w:instrText>
      </w:r>
      <w:r w:rsidRPr="00F91CC3">
        <w:rPr>
          <w:rFonts w:asciiTheme="minorHAnsi" w:hAnsiTheme="minorHAnsi"/>
          <w:snapToGrid w:val="0"/>
        </w:rPr>
        <w:fldChar w:fldCharType="separate"/>
      </w:r>
      <w:r w:rsidR="008D6198">
        <w:rPr>
          <w:rFonts w:ascii="Arial Narrow" w:hAnsi="Arial Narrow"/>
          <w:b/>
          <w:bCs/>
          <w:noProof/>
          <w:snapToGrid w:val="0"/>
          <w:sz w:val="20"/>
          <w:szCs w:val="20"/>
        </w:rPr>
        <w:t>2</w:t>
      </w:r>
      <w:r w:rsidRPr="00F91CC3">
        <w:rPr>
          <w:rFonts w:asciiTheme="minorHAnsi" w:hAnsiTheme="minorHAnsi"/>
          <w:snapToGrid w:val="0"/>
        </w:rPr>
        <w:fldChar w:fldCharType="end"/>
      </w:r>
      <w:bookmarkEnd w:id="20"/>
      <w:r w:rsidRPr="00F91CC3">
        <w:rPr>
          <w:rFonts w:ascii="Arial Narrow" w:hAnsi="Arial Narrow"/>
          <w:b/>
          <w:bCs/>
          <w:snapToGrid w:val="0"/>
          <w:sz w:val="20"/>
          <w:szCs w:val="20"/>
        </w:rPr>
        <w:t>:</w:t>
      </w:r>
      <w:r w:rsidRPr="00F91CC3">
        <w:rPr>
          <w:rFonts w:ascii="Arial Narrow" w:hAnsi="Arial Narrow"/>
          <w:snapToGrid w:val="0"/>
          <w:sz w:val="20"/>
          <w:szCs w:val="20"/>
        </w:rPr>
        <w:t xml:space="preserve"> </w:t>
      </w:r>
      <w:r w:rsidRPr="00F91CC3">
        <w:rPr>
          <w:rFonts w:ascii="Arial Narrow" w:hAnsi="Arial Narrow"/>
          <w:b/>
          <w:snapToGrid w:val="0"/>
          <w:sz w:val="20"/>
          <w:szCs w:val="20"/>
        </w:rPr>
        <w:t>Current and proposed PBS listings for ivacaftor in CF patient populations presented in this submission (orange shading are new populations, blue shading is PBS listed populations),</w:t>
      </w:r>
    </w:p>
    <w:tbl>
      <w:tblPr>
        <w:tblStyle w:val="TableGrid"/>
        <w:tblW w:w="0" w:type="auto"/>
        <w:tblLook w:val="04A0" w:firstRow="1" w:lastRow="0" w:firstColumn="1" w:lastColumn="0" w:noHBand="0" w:noVBand="1"/>
      </w:tblPr>
      <w:tblGrid>
        <w:gridCol w:w="896"/>
        <w:gridCol w:w="1176"/>
        <w:gridCol w:w="862"/>
        <w:gridCol w:w="1149"/>
        <w:gridCol w:w="863"/>
        <w:gridCol w:w="1149"/>
        <w:gridCol w:w="911"/>
        <w:gridCol w:w="1149"/>
        <w:gridCol w:w="862"/>
      </w:tblGrid>
      <w:tr w:rsidR="00E32415" w:rsidRPr="00F91CC3" w14:paraId="26C56A71" w14:textId="77777777" w:rsidTr="00F3009B">
        <w:tc>
          <w:tcPr>
            <w:tcW w:w="929" w:type="dxa"/>
            <w:vMerge w:val="restart"/>
          </w:tcPr>
          <w:p w14:paraId="7C661946" w14:textId="77777777" w:rsidR="00E32415" w:rsidRPr="00F91CC3" w:rsidRDefault="00E32415" w:rsidP="00F3009B">
            <w:pPr>
              <w:rPr>
                <w:rFonts w:ascii="Arial Narrow" w:hAnsi="Arial Narrow"/>
                <w:b/>
                <w:bCs/>
                <w:sz w:val="18"/>
                <w:szCs w:val="18"/>
              </w:rPr>
            </w:pPr>
            <w:r w:rsidRPr="00F91CC3">
              <w:rPr>
                <w:rFonts w:ascii="Arial Narrow" w:hAnsi="Arial Narrow"/>
                <w:b/>
                <w:bCs/>
                <w:sz w:val="18"/>
                <w:szCs w:val="18"/>
              </w:rPr>
              <w:t>Age</w:t>
            </w:r>
          </w:p>
        </w:tc>
        <w:tc>
          <w:tcPr>
            <w:tcW w:w="2021" w:type="dxa"/>
            <w:gridSpan w:val="2"/>
          </w:tcPr>
          <w:p w14:paraId="73E4878A" w14:textId="77777777" w:rsidR="00E32415" w:rsidRPr="00F91CC3" w:rsidRDefault="00E32415" w:rsidP="00F3009B">
            <w:pPr>
              <w:jc w:val="center"/>
              <w:rPr>
                <w:rFonts w:ascii="Arial Narrow" w:hAnsi="Arial Narrow"/>
                <w:b/>
                <w:bCs/>
                <w:sz w:val="18"/>
                <w:szCs w:val="18"/>
              </w:rPr>
            </w:pPr>
            <w:r w:rsidRPr="00F91CC3">
              <w:rPr>
                <w:rFonts w:ascii="Arial Narrow" w:hAnsi="Arial Narrow"/>
                <w:b/>
                <w:bCs/>
                <w:sz w:val="18"/>
                <w:szCs w:val="18"/>
              </w:rPr>
              <w:t>Gating population</w:t>
            </w:r>
          </w:p>
        </w:tc>
        <w:tc>
          <w:tcPr>
            <w:tcW w:w="2015" w:type="dxa"/>
            <w:gridSpan w:val="2"/>
          </w:tcPr>
          <w:p w14:paraId="2130B5BE" w14:textId="77777777" w:rsidR="00E32415" w:rsidRPr="00F91CC3" w:rsidRDefault="00E32415" w:rsidP="00F3009B">
            <w:pPr>
              <w:jc w:val="center"/>
              <w:rPr>
                <w:rFonts w:ascii="Arial Narrow" w:hAnsi="Arial Narrow"/>
                <w:b/>
                <w:bCs/>
                <w:sz w:val="18"/>
                <w:szCs w:val="18"/>
              </w:rPr>
            </w:pPr>
            <w:r w:rsidRPr="00F91CC3">
              <w:rPr>
                <w:rFonts w:ascii="Arial Narrow" w:hAnsi="Arial Narrow"/>
                <w:b/>
                <w:bCs/>
                <w:sz w:val="18"/>
                <w:szCs w:val="18"/>
              </w:rPr>
              <w:t>R117H population</w:t>
            </w:r>
          </w:p>
        </w:tc>
        <w:tc>
          <w:tcPr>
            <w:tcW w:w="2037" w:type="dxa"/>
            <w:gridSpan w:val="2"/>
          </w:tcPr>
          <w:p w14:paraId="64B8F032" w14:textId="77777777" w:rsidR="00E32415" w:rsidRPr="00F91CC3" w:rsidRDefault="00E32415" w:rsidP="00F3009B">
            <w:pPr>
              <w:jc w:val="center"/>
              <w:rPr>
                <w:rFonts w:ascii="Arial Narrow" w:hAnsi="Arial Narrow"/>
                <w:b/>
                <w:bCs/>
                <w:sz w:val="18"/>
                <w:szCs w:val="18"/>
              </w:rPr>
            </w:pPr>
            <w:r w:rsidRPr="00F91CC3">
              <w:rPr>
                <w:rFonts w:ascii="Arial Narrow" w:hAnsi="Arial Narrow"/>
                <w:b/>
                <w:bCs/>
                <w:sz w:val="18"/>
                <w:szCs w:val="18"/>
              </w:rPr>
              <w:t>RF population</w:t>
            </w:r>
          </w:p>
        </w:tc>
        <w:tc>
          <w:tcPr>
            <w:tcW w:w="2014" w:type="dxa"/>
            <w:gridSpan w:val="2"/>
          </w:tcPr>
          <w:p w14:paraId="25E39485" w14:textId="77777777" w:rsidR="00E32415" w:rsidRPr="00F91CC3" w:rsidRDefault="00E32415" w:rsidP="00F3009B">
            <w:pPr>
              <w:jc w:val="center"/>
              <w:rPr>
                <w:rFonts w:ascii="Arial Narrow" w:hAnsi="Arial Narrow"/>
                <w:b/>
                <w:bCs/>
                <w:sz w:val="18"/>
                <w:szCs w:val="18"/>
              </w:rPr>
            </w:pPr>
            <w:r w:rsidRPr="00F91CC3">
              <w:rPr>
                <w:rFonts w:ascii="Arial Narrow" w:hAnsi="Arial Narrow"/>
                <w:b/>
                <w:bCs/>
                <w:sz w:val="18"/>
                <w:szCs w:val="18"/>
              </w:rPr>
              <w:t>Other</w:t>
            </w:r>
          </w:p>
        </w:tc>
      </w:tr>
      <w:tr w:rsidR="00E32415" w:rsidRPr="00F91CC3" w14:paraId="042E1F0E" w14:textId="77777777" w:rsidTr="00F3009B">
        <w:tc>
          <w:tcPr>
            <w:tcW w:w="929" w:type="dxa"/>
            <w:vMerge/>
          </w:tcPr>
          <w:p w14:paraId="7E912665" w14:textId="77777777" w:rsidR="00E32415" w:rsidRPr="00F91CC3" w:rsidRDefault="00E32415" w:rsidP="00F3009B">
            <w:pPr>
              <w:rPr>
                <w:rFonts w:ascii="Arial Narrow" w:hAnsi="Arial Narrow"/>
                <w:b/>
                <w:bCs/>
                <w:sz w:val="18"/>
                <w:szCs w:val="18"/>
              </w:rPr>
            </w:pPr>
          </w:p>
        </w:tc>
        <w:tc>
          <w:tcPr>
            <w:tcW w:w="1101" w:type="dxa"/>
          </w:tcPr>
          <w:p w14:paraId="217AFD7C" w14:textId="77777777" w:rsidR="00E32415" w:rsidRPr="00F91CC3" w:rsidRDefault="00E32415" w:rsidP="00F3009B">
            <w:pPr>
              <w:jc w:val="center"/>
              <w:rPr>
                <w:rFonts w:ascii="Arial Narrow" w:hAnsi="Arial Narrow"/>
                <w:b/>
                <w:bCs/>
                <w:sz w:val="18"/>
                <w:szCs w:val="18"/>
              </w:rPr>
            </w:pPr>
            <w:r w:rsidRPr="00F91CC3">
              <w:rPr>
                <w:rFonts w:ascii="Arial Narrow" w:hAnsi="Arial Narrow"/>
                <w:b/>
                <w:bCs/>
                <w:sz w:val="18"/>
                <w:szCs w:val="18"/>
              </w:rPr>
              <w:t>F</w:t>
            </w:r>
          </w:p>
        </w:tc>
        <w:tc>
          <w:tcPr>
            <w:tcW w:w="920" w:type="dxa"/>
          </w:tcPr>
          <w:p w14:paraId="065B3D37" w14:textId="77777777" w:rsidR="00E32415" w:rsidRPr="00F91CC3" w:rsidRDefault="00E32415" w:rsidP="00F3009B">
            <w:pPr>
              <w:jc w:val="center"/>
              <w:rPr>
                <w:rFonts w:ascii="Arial Narrow" w:hAnsi="Arial Narrow"/>
                <w:b/>
                <w:bCs/>
                <w:sz w:val="18"/>
                <w:szCs w:val="18"/>
              </w:rPr>
            </w:pPr>
            <w:r w:rsidRPr="00F91CC3">
              <w:rPr>
                <w:rFonts w:ascii="Arial Narrow" w:hAnsi="Arial Narrow"/>
                <w:b/>
                <w:bCs/>
                <w:sz w:val="18"/>
                <w:szCs w:val="18"/>
              </w:rPr>
              <w:t>non-F</w:t>
            </w:r>
          </w:p>
        </w:tc>
        <w:tc>
          <w:tcPr>
            <w:tcW w:w="1094" w:type="dxa"/>
          </w:tcPr>
          <w:p w14:paraId="75481F2C" w14:textId="77777777" w:rsidR="00E32415" w:rsidRPr="00F91CC3" w:rsidRDefault="00E32415" w:rsidP="00F3009B">
            <w:pPr>
              <w:jc w:val="center"/>
              <w:rPr>
                <w:rFonts w:ascii="Arial Narrow" w:hAnsi="Arial Narrow"/>
                <w:b/>
                <w:bCs/>
                <w:sz w:val="18"/>
                <w:szCs w:val="18"/>
              </w:rPr>
            </w:pPr>
            <w:r w:rsidRPr="00F91CC3">
              <w:rPr>
                <w:rFonts w:ascii="Arial Narrow" w:hAnsi="Arial Narrow"/>
                <w:b/>
                <w:bCs/>
                <w:sz w:val="18"/>
                <w:szCs w:val="18"/>
              </w:rPr>
              <w:t>F</w:t>
            </w:r>
          </w:p>
        </w:tc>
        <w:tc>
          <w:tcPr>
            <w:tcW w:w="921" w:type="dxa"/>
          </w:tcPr>
          <w:p w14:paraId="6AE0E407" w14:textId="77777777" w:rsidR="00E32415" w:rsidRPr="00F91CC3" w:rsidRDefault="00E32415" w:rsidP="00F3009B">
            <w:pPr>
              <w:jc w:val="center"/>
              <w:rPr>
                <w:rFonts w:ascii="Arial Narrow" w:hAnsi="Arial Narrow"/>
                <w:b/>
                <w:bCs/>
                <w:sz w:val="18"/>
                <w:szCs w:val="18"/>
              </w:rPr>
            </w:pPr>
            <w:r w:rsidRPr="00F91CC3">
              <w:rPr>
                <w:rFonts w:ascii="Arial Narrow" w:hAnsi="Arial Narrow"/>
                <w:b/>
                <w:bCs/>
                <w:sz w:val="18"/>
                <w:szCs w:val="18"/>
              </w:rPr>
              <w:t>non-F</w:t>
            </w:r>
          </w:p>
        </w:tc>
        <w:tc>
          <w:tcPr>
            <w:tcW w:w="1102" w:type="dxa"/>
          </w:tcPr>
          <w:p w14:paraId="5098C2EC" w14:textId="77777777" w:rsidR="00E32415" w:rsidRPr="00F91CC3" w:rsidRDefault="00E32415" w:rsidP="00F3009B">
            <w:pPr>
              <w:jc w:val="center"/>
              <w:rPr>
                <w:rFonts w:ascii="Arial Narrow" w:hAnsi="Arial Narrow"/>
                <w:b/>
                <w:bCs/>
                <w:sz w:val="18"/>
                <w:szCs w:val="18"/>
              </w:rPr>
            </w:pPr>
            <w:r w:rsidRPr="00F91CC3">
              <w:rPr>
                <w:rFonts w:ascii="Arial Narrow" w:hAnsi="Arial Narrow"/>
                <w:b/>
                <w:bCs/>
                <w:sz w:val="18"/>
                <w:szCs w:val="18"/>
              </w:rPr>
              <w:t>F</w:t>
            </w:r>
          </w:p>
        </w:tc>
        <w:tc>
          <w:tcPr>
            <w:tcW w:w="935" w:type="dxa"/>
          </w:tcPr>
          <w:p w14:paraId="0F7AC49C" w14:textId="77777777" w:rsidR="00E32415" w:rsidRPr="00F91CC3" w:rsidRDefault="00E32415" w:rsidP="00F3009B">
            <w:pPr>
              <w:jc w:val="center"/>
              <w:rPr>
                <w:rFonts w:ascii="Arial Narrow" w:hAnsi="Arial Narrow"/>
                <w:b/>
                <w:bCs/>
                <w:sz w:val="18"/>
                <w:szCs w:val="18"/>
              </w:rPr>
            </w:pPr>
            <w:r w:rsidRPr="00F91CC3">
              <w:rPr>
                <w:rFonts w:ascii="Arial Narrow" w:hAnsi="Arial Narrow"/>
                <w:b/>
                <w:bCs/>
                <w:sz w:val="18"/>
                <w:szCs w:val="18"/>
              </w:rPr>
              <w:t>non-F</w:t>
            </w:r>
          </w:p>
        </w:tc>
        <w:tc>
          <w:tcPr>
            <w:tcW w:w="1094" w:type="dxa"/>
          </w:tcPr>
          <w:p w14:paraId="73D54539" w14:textId="77777777" w:rsidR="00E32415" w:rsidRPr="00F91CC3" w:rsidRDefault="00E32415" w:rsidP="00F3009B">
            <w:pPr>
              <w:jc w:val="center"/>
              <w:rPr>
                <w:rFonts w:ascii="Arial Narrow" w:hAnsi="Arial Narrow"/>
                <w:b/>
                <w:bCs/>
                <w:sz w:val="18"/>
                <w:szCs w:val="18"/>
              </w:rPr>
            </w:pPr>
            <w:r w:rsidRPr="00F91CC3">
              <w:rPr>
                <w:rFonts w:ascii="Arial Narrow" w:hAnsi="Arial Narrow"/>
                <w:b/>
                <w:bCs/>
                <w:sz w:val="18"/>
                <w:szCs w:val="18"/>
              </w:rPr>
              <w:t>F</w:t>
            </w:r>
          </w:p>
        </w:tc>
        <w:tc>
          <w:tcPr>
            <w:tcW w:w="920" w:type="dxa"/>
          </w:tcPr>
          <w:p w14:paraId="57CD9085" w14:textId="77777777" w:rsidR="00E32415" w:rsidRPr="00F91CC3" w:rsidRDefault="00E32415" w:rsidP="00F3009B">
            <w:pPr>
              <w:jc w:val="center"/>
              <w:rPr>
                <w:rFonts w:ascii="Arial Narrow" w:hAnsi="Arial Narrow"/>
                <w:b/>
                <w:bCs/>
                <w:sz w:val="18"/>
                <w:szCs w:val="18"/>
              </w:rPr>
            </w:pPr>
            <w:r w:rsidRPr="00F91CC3">
              <w:rPr>
                <w:rFonts w:ascii="Arial Narrow" w:hAnsi="Arial Narrow"/>
                <w:b/>
                <w:bCs/>
                <w:sz w:val="18"/>
                <w:szCs w:val="18"/>
              </w:rPr>
              <w:t>non-F</w:t>
            </w:r>
          </w:p>
        </w:tc>
      </w:tr>
      <w:tr w:rsidR="00E5450D" w:rsidRPr="00F91CC3" w14:paraId="25BCD4BC" w14:textId="77777777" w:rsidTr="00F3009B">
        <w:tc>
          <w:tcPr>
            <w:tcW w:w="929" w:type="dxa"/>
          </w:tcPr>
          <w:p w14:paraId="7869FC4D" w14:textId="3EE9B1BF" w:rsidR="00E32415" w:rsidRPr="00F91CC3" w:rsidRDefault="00E32415" w:rsidP="00F3009B">
            <w:pPr>
              <w:rPr>
                <w:rFonts w:ascii="Arial Narrow" w:hAnsi="Arial Narrow"/>
                <w:sz w:val="18"/>
                <w:szCs w:val="18"/>
              </w:rPr>
            </w:pPr>
            <w:r w:rsidRPr="00F91CC3">
              <w:rPr>
                <w:rFonts w:ascii="Arial Narrow" w:hAnsi="Arial Narrow"/>
                <w:sz w:val="18"/>
                <w:szCs w:val="18"/>
              </w:rPr>
              <w:t>4 months  &lt; 1 year</w:t>
            </w:r>
          </w:p>
        </w:tc>
        <w:tc>
          <w:tcPr>
            <w:tcW w:w="1101" w:type="dxa"/>
            <w:shd w:val="clear" w:color="auto" w:fill="F2DBDB" w:themeFill="accent2" w:themeFillTint="33"/>
            <w:vAlign w:val="center"/>
          </w:tcPr>
          <w:p w14:paraId="15011A39" w14:textId="77777777" w:rsidR="00E32415" w:rsidRPr="00F91CC3" w:rsidRDefault="00E32415" w:rsidP="00F3009B">
            <w:pPr>
              <w:jc w:val="center"/>
              <w:rPr>
                <w:rFonts w:ascii="Arial Narrow" w:hAnsi="Arial Narrow"/>
                <w:sz w:val="18"/>
                <w:szCs w:val="18"/>
              </w:rPr>
            </w:pPr>
            <w:r w:rsidRPr="00F91CC3">
              <w:rPr>
                <w:rFonts w:ascii="Arial Narrow" w:hAnsi="Arial Narrow"/>
                <w:sz w:val="18"/>
                <w:szCs w:val="18"/>
              </w:rPr>
              <w:t>IVA</w:t>
            </w:r>
          </w:p>
        </w:tc>
        <w:tc>
          <w:tcPr>
            <w:tcW w:w="920" w:type="dxa"/>
            <w:shd w:val="clear" w:color="auto" w:fill="F2DBDB" w:themeFill="accent2" w:themeFillTint="33"/>
            <w:vAlign w:val="center"/>
          </w:tcPr>
          <w:p w14:paraId="6657C71C" w14:textId="77777777" w:rsidR="00E32415" w:rsidRPr="00F91CC3" w:rsidRDefault="00E32415" w:rsidP="00F3009B">
            <w:pPr>
              <w:jc w:val="center"/>
              <w:rPr>
                <w:rFonts w:ascii="Arial Narrow" w:hAnsi="Arial Narrow"/>
                <w:sz w:val="18"/>
                <w:szCs w:val="18"/>
              </w:rPr>
            </w:pPr>
            <w:r w:rsidRPr="00F91CC3">
              <w:rPr>
                <w:rFonts w:ascii="Arial Narrow" w:hAnsi="Arial Narrow"/>
                <w:sz w:val="18"/>
                <w:szCs w:val="18"/>
              </w:rPr>
              <w:t>IVA</w:t>
            </w:r>
          </w:p>
        </w:tc>
        <w:tc>
          <w:tcPr>
            <w:tcW w:w="1094" w:type="dxa"/>
            <w:vMerge w:val="restart"/>
            <w:shd w:val="clear" w:color="auto" w:fill="F2DBDB" w:themeFill="accent2" w:themeFillTint="33"/>
            <w:vAlign w:val="center"/>
          </w:tcPr>
          <w:p w14:paraId="507E652C" w14:textId="77777777" w:rsidR="00E32415" w:rsidRPr="00F91CC3" w:rsidRDefault="00E32415" w:rsidP="00F3009B">
            <w:pPr>
              <w:jc w:val="center"/>
              <w:rPr>
                <w:rFonts w:ascii="Arial Narrow" w:hAnsi="Arial Narrow"/>
                <w:sz w:val="18"/>
                <w:szCs w:val="18"/>
              </w:rPr>
            </w:pPr>
            <w:r w:rsidRPr="00F91CC3">
              <w:rPr>
                <w:rFonts w:ascii="Arial Narrow" w:hAnsi="Arial Narrow"/>
                <w:sz w:val="18"/>
                <w:szCs w:val="18"/>
              </w:rPr>
              <w:t>IVA</w:t>
            </w:r>
          </w:p>
        </w:tc>
        <w:tc>
          <w:tcPr>
            <w:tcW w:w="921" w:type="dxa"/>
            <w:vMerge w:val="restart"/>
            <w:shd w:val="clear" w:color="auto" w:fill="F2DBDB" w:themeFill="accent2" w:themeFillTint="33"/>
            <w:vAlign w:val="center"/>
          </w:tcPr>
          <w:p w14:paraId="1BFC2752" w14:textId="77777777" w:rsidR="00E32415" w:rsidRPr="00F91CC3" w:rsidRDefault="00E32415" w:rsidP="00F3009B">
            <w:pPr>
              <w:jc w:val="center"/>
              <w:rPr>
                <w:rFonts w:ascii="Arial Narrow" w:hAnsi="Arial Narrow"/>
                <w:sz w:val="18"/>
                <w:szCs w:val="18"/>
              </w:rPr>
            </w:pPr>
            <w:r w:rsidRPr="00F91CC3">
              <w:rPr>
                <w:rFonts w:ascii="Arial Narrow" w:hAnsi="Arial Narrow"/>
                <w:sz w:val="18"/>
                <w:szCs w:val="18"/>
              </w:rPr>
              <w:t>IVA</w:t>
            </w:r>
          </w:p>
        </w:tc>
        <w:tc>
          <w:tcPr>
            <w:tcW w:w="1102" w:type="dxa"/>
            <w:vMerge w:val="restart"/>
            <w:shd w:val="clear" w:color="auto" w:fill="F2DBDB" w:themeFill="accent2" w:themeFillTint="33"/>
            <w:vAlign w:val="center"/>
          </w:tcPr>
          <w:p w14:paraId="337D4291" w14:textId="77777777" w:rsidR="00E32415" w:rsidRPr="00F91CC3" w:rsidRDefault="00E32415" w:rsidP="00F3009B">
            <w:pPr>
              <w:jc w:val="center"/>
              <w:rPr>
                <w:rFonts w:ascii="Arial Narrow" w:hAnsi="Arial Narrow"/>
                <w:sz w:val="18"/>
                <w:szCs w:val="18"/>
              </w:rPr>
            </w:pPr>
            <w:r w:rsidRPr="00F91CC3">
              <w:rPr>
                <w:rFonts w:ascii="Arial Narrow" w:hAnsi="Arial Narrow"/>
                <w:sz w:val="18"/>
                <w:szCs w:val="18"/>
              </w:rPr>
              <w:t>IVA</w:t>
            </w:r>
          </w:p>
        </w:tc>
        <w:tc>
          <w:tcPr>
            <w:tcW w:w="935" w:type="dxa"/>
            <w:vMerge w:val="restart"/>
            <w:shd w:val="clear" w:color="auto" w:fill="F2DBDB" w:themeFill="accent2" w:themeFillTint="33"/>
            <w:vAlign w:val="center"/>
          </w:tcPr>
          <w:p w14:paraId="676F7CFB" w14:textId="77777777" w:rsidR="00E32415" w:rsidRPr="00F91CC3" w:rsidRDefault="00E32415" w:rsidP="00F3009B">
            <w:pPr>
              <w:jc w:val="center"/>
              <w:rPr>
                <w:rFonts w:ascii="Arial Narrow" w:hAnsi="Arial Narrow"/>
                <w:sz w:val="18"/>
                <w:szCs w:val="18"/>
              </w:rPr>
            </w:pPr>
            <w:r w:rsidRPr="00F91CC3">
              <w:rPr>
                <w:rFonts w:ascii="Arial Narrow" w:hAnsi="Arial Narrow"/>
                <w:sz w:val="18"/>
                <w:szCs w:val="18"/>
              </w:rPr>
              <w:t>IVA</w:t>
            </w:r>
          </w:p>
        </w:tc>
        <w:tc>
          <w:tcPr>
            <w:tcW w:w="1094" w:type="dxa"/>
            <w:vMerge w:val="restart"/>
            <w:shd w:val="clear" w:color="auto" w:fill="F2DBDB" w:themeFill="accent2" w:themeFillTint="33"/>
            <w:vAlign w:val="center"/>
          </w:tcPr>
          <w:p w14:paraId="3B1A8DE3" w14:textId="77777777" w:rsidR="00E32415" w:rsidRPr="00F91CC3" w:rsidRDefault="00E32415" w:rsidP="00F3009B">
            <w:pPr>
              <w:jc w:val="center"/>
              <w:rPr>
                <w:rFonts w:ascii="Arial Narrow" w:hAnsi="Arial Narrow"/>
                <w:sz w:val="18"/>
                <w:szCs w:val="18"/>
              </w:rPr>
            </w:pPr>
            <w:r w:rsidRPr="00F91CC3">
              <w:rPr>
                <w:rFonts w:ascii="Arial Narrow" w:hAnsi="Arial Narrow"/>
                <w:sz w:val="18"/>
                <w:szCs w:val="18"/>
              </w:rPr>
              <w:t>IVA</w:t>
            </w:r>
          </w:p>
        </w:tc>
        <w:tc>
          <w:tcPr>
            <w:tcW w:w="920" w:type="dxa"/>
            <w:vMerge w:val="restart"/>
            <w:shd w:val="clear" w:color="auto" w:fill="F2DBDB" w:themeFill="accent2" w:themeFillTint="33"/>
            <w:vAlign w:val="center"/>
          </w:tcPr>
          <w:p w14:paraId="04C21C1A" w14:textId="77777777" w:rsidR="00E32415" w:rsidRPr="00F91CC3" w:rsidRDefault="00E32415" w:rsidP="00F3009B">
            <w:pPr>
              <w:jc w:val="center"/>
              <w:rPr>
                <w:rFonts w:ascii="Arial Narrow" w:hAnsi="Arial Narrow"/>
                <w:sz w:val="18"/>
                <w:szCs w:val="18"/>
              </w:rPr>
            </w:pPr>
            <w:r w:rsidRPr="00F91CC3">
              <w:rPr>
                <w:rFonts w:ascii="Arial Narrow" w:hAnsi="Arial Narrow"/>
                <w:sz w:val="18"/>
                <w:szCs w:val="18"/>
              </w:rPr>
              <w:t>IVA</w:t>
            </w:r>
          </w:p>
        </w:tc>
      </w:tr>
      <w:tr w:rsidR="00E5450D" w:rsidRPr="00F91CC3" w14:paraId="756E6FED" w14:textId="77777777" w:rsidTr="00F3009B">
        <w:tc>
          <w:tcPr>
            <w:tcW w:w="929" w:type="dxa"/>
          </w:tcPr>
          <w:p w14:paraId="5839E81E" w14:textId="77777777" w:rsidR="00E32415" w:rsidRPr="00F91CC3" w:rsidRDefault="00E32415" w:rsidP="00F3009B">
            <w:pPr>
              <w:rPr>
                <w:rFonts w:ascii="Arial Narrow" w:hAnsi="Arial Narrow"/>
                <w:sz w:val="18"/>
                <w:szCs w:val="18"/>
              </w:rPr>
            </w:pPr>
            <w:r w:rsidRPr="00F91CC3">
              <w:rPr>
                <w:rFonts w:ascii="Arial Narrow" w:hAnsi="Arial Narrow"/>
                <w:sz w:val="18"/>
                <w:szCs w:val="18"/>
              </w:rPr>
              <w:t>1 &lt; 6 yrs</w:t>
            </w:r>
          </w:p>
        </w:tc>
        <w:tc>
          <w:tcPr>
            <w:tcW w:w="1101" w:type="dxa"/>
            <w:shd w:val="clear" w:color="auto" w:fill="DBE5F1" w:themeFill="accent1" w:themeFillTint="33"/>
            <w:vAlign w:val="center"/>
          </w:tcPr>
          <w:p w14:paraId="408AAD1A" w14:textId="77777777" w:rsidR="00E32415" w:rsidRPr="00F91CC3" w:rsidRDefault="00E32415" w:rsidP="00F3009B">
            <w:pPr>
              <w:jc w:val="center"/>
              <w:rPr>
                <w:rFonts w:ascii="Arial Narrow" w:hAnsi="Arial Narrow"/>
                <w:sz w:val="18"/>
                <w:szCs w:val="18"/>
              </w:rPr>
            </w:pPr>
            <w:r w:rsidRPr="00F91CC3">
              <w:rPr>
                <w:rFonts w:ascii="Arial Narrow" w:hAnsi="Arial Narrow"/>
                <w:sz w:val="18"/>
                <w:szCs w:val="18"/>
              </w:rPr>
              <w:t>IVA</w:t>
            </w:r>
          </w:p>
        </w:tc>
        <w:tc>
          <w:tcPr>
            <w:tcW w:w="920" w:type="dxa"/>
            <w:vMerge w:val="restart"/>
            <w:shd w:val="clear" w:color="auto" w:fill="DBE5F1" w:themeFill="accent1" w:themeFillTint="33"/>
            <w:vAlign w:val="center"/>
          </w:tcPr>
          <w:p w14:paraId="231F8EFF" w14:textId="77777777" w:rsidR="00E32415" w:rsidRPr="00F91CC3" w:rsidRDefault="00E32415" w:rsidP="00F3009B">
            <w:pPr>
              <w:jc w:val="center"/>
              <w:rPr>
                <w:rFonts w:ascii="Arial Narrow" w:hAnsi="Arial Narrow"/>
                <w:sz w:val="18"/>
                <w:szCs w:val="18"/>
              </w:rPr>
            </w:pPr>
            <w:r w:rsidRPr="00F91CC3">
              <w:rPr>
                <w:rFonts w:ascii="Arial Narrow" w:hAnsi="Arial Narrow"/>
                <w:sz w:val="18"/>
                <w:szCs w:val="18"/>
              </w:rPr>
              <w:t>IVA</w:t>
            </w:r>
          </w:p>
        </w:tc>
        <w:tc>
          <w:tcPr>
            <w:tcW w:w="1094" w:type="dxa"/>
            <w:vMerge/>
            <w:shd w:val="clear" w:color="auto" w:fill="F2DBDB" w:themeFill="accent2" w:themeFillTint="33"/>
            <w:vAlign w:val="center"/>
          </w:tcPr>
          <w:p w14:paraId="0CBD8A3B" w14:textId="77777777" w:rsidR="00E32415" w:rsidRPr="00F91CC3" w:rsidRDefault="00E32415" w:rsidP="00F3009B">
            <w:pPr>
              <w:jc w:val="center"/>
              <w:rPr>
                <w:rFonts w:ascii="Arial Narrow" w:hAnsi="Arial Narrow"/>
                <w:sz w:val="18"/>
                <w:szCs w:val="18"/>
              </w:rPr>
            </w:pPr>
          </w:p>
        </w:tc>
        <w:tc>
          <w:tcPr>
            <w:tcW w:w="921" w:type="dxa"/>
            <w:vMerge/>
            <w:shd w:val="clear" w:color="auto" w:fill="F2DBDB" w:themeFill="accent2" w:themeFillTint="33"/>
            <w:vAlign w:val="center"/>
          </w:tcPr>
          <w:p w14:paraId="5E6CB8BF" w14:textId="77777777" w:rsidR="00E32415" w:rsidRPr="00F91CC3" w:rsidRDefault="00E32415" w:rsidP="00F3009B">
            <w:pPr>
              <w:jc w:val="center"/>
              <w:rPr>
                <w:rFonts w:ascii="Arial Narrow" w:hAnsi="Arial Narrow"/>
                <w:sz w:val="18"/>
                <w:szCs w:val="18"/>
              </w:rPr>
            </w:pPr>
          </w:p>
        </w:tc>
        <w:tc>
          <w:tcPr>
            <w:tcW w:w="1102" w:type="dxa"/>
            <w:vMerge/>
            <w:shd w:val="clear" w:color="auto" w:fill="F2DBDB" w:themeFill="accent2" w:themeFillTint="33"/>
            <w:vAlign w:val="center"/>
          </w:tcPr>
          <w:p w14:paraId="0BF863E3" w14:textId="77777777" w:rsidR="00E32415" w:rsidRPr="00F91CC3" w:rsidRDefault="00E32415" w:rsidP="00F3009B">
            <w:pPr>
              <w:jc w:val="center"/>
              <w:rPr>
                <w:rFonts w:ascii="Arial Narrow" w:hAnsi="Arial Narrow"/>
                <w:sz w:val="18"/>
                <w:szCs w:val="18"/>
              </w:rPr>
            </w:pPr>
          </w:p>
        </w:tc>
        <w:tc>
          <w:tcPr>
            <w:tcW w:w="935" w:type="dxa"/>
            <w:vMerge/>
            <w:shd w:val="clear" w:color="auto" w:fill="F2DBDB" w:themeFill="accent2" w:themeFillTint="33"/>
            <w:vAlign w:val="center"/>
          </w:tcPr>
          <w:p w14:paraId="531CAF8A" w14:textId="77777777" w:rsidR="00E32415" w:rsidRPr="00F91CC3" w:rsidRDefault="00E32415" w:rsidP="00F3009B">
            <w:pPr>
              <w:jc w:val="center"/>
              <w:rPr>
                <w:rFonts w:ascii="Arial Narrow" w:hAnsi="Arial Narrow"/>
                <w:sz w:val="18"/>
                <w:szCs w:val="18"/>
              </w:rPr>
            </w:pPr>
          </w:p>
        </w:tc>
        <w:tc>
          <w:tcPr>
            <w:tcW w:w="1094" w:type="dxa"/>
            <w:vMerge/>
            <w:shd w:val="clear" w:color="auto" w:fill="F2DBDB" w:themeFill="accent2" w:themeFillTint="33"/>
            <w:vAlign w:val="center"/>
          </w:tcPr>
          <w:p w14:paraId="0E872431" w14:textId="77777777" w:rsidR="00E32415" w:rsidRPr="00F91CC3" w:rsidRDefault="00E32415" w:rsidP="00F3009B">
            <w:pPr>
              <w:jc w:val="center"/>
              <w:rPr>
                <w:rFonts w:ascii="Arial Narrow" w:hAnsi="Arial Narrow"/>
                <w:sz w:val="18"/>
                <w:szCs w:val="18"/>
              </w:rPr>
            </w:pPr>
          </w:p>
        </w:tc>
        <w:tc>
          <w:tcPr>
            <w:tcW w:w="920" w:type="dxa"/>
            <w:vMerge/>
            <w:shd w:val="clear" w:color="auto" w:fill="F2DBDB" w:themeFill="accent2" w:themeFillTint="33"/>
          </w:tcPr>
          <w:p w14:paraId="71842438" w14:textId="77777777" w:rsidR="00E32415" w:rsidRPr="00F91CC3" w:rsidRDefault="00E32415" w:rsidP="00F3009B">
            <w:pPr>
              <w:jc w:val="center"/>
              <w:rPr>
                <w:rFonts w:ascii="Arial Narrow" w:hAnsi="Arial Narrow"/>
                <w:sz w:val="18"/>
                <w:szCs w:val="18"/>
              </w:rPr>
            </w:pPr>
          </w:p>
        </w:tc>
      </w:tr>
      <w:tr w:rsidR="00E5450D" w:rsidRPr="00F91CC3" w14:paraId="06CB8A5B" w14:textId="77777777" w:rsidTr="00F3009B">
        <w:tc>
          <w:tcPr>
            <w:tcW w:w="929" w:type="dxa"/>
          </w:tcPr>
          <w:p w14:paraId="28C8D368" w14:textId="77777777" w:rsidR="00E32415" w:rsidRPr="00F91CC3" w:rsidRDefault="00E32415" w:rsidP="00F3009B">
            <w:pPr>
              <w:rPr>
                <w:rFonts w:ascii="Arial Narrow" w:hAnsi="Arial Narrow"/>
                <w:sz w:val="18"/>
                <w:szCs w:val="18"/>
              </w:rPr>
            </w:pPr>
            <w:r w:rsidRPr="00F91CC3">
              <w:rPr>
                <w:rFonts w:ascii="Arial Narrow" w:hAnsi="Arial Narrow"/>
                <w:sz w:val="18"/>
                <w:szCs w:val="18"/>
              </w:rPr>
              <w:t>6 &lt;12 yrs</w:t>
            </w:r>
          </w:p>
        </w:tc>
        <w:tc>
          <w:tcPr>
            <w:tcW w:w="1101" w:type="dxa"/>
            <w:vMerge w:val="restart"/>
            <w:shd w:val="clear" w:color="auto" w:fill="DBE5F1" w:themeFill="accent1" w:themeFillTint="33"/>
            <w:vAlign w:val="center"/>
          </w:tcPr>
          <w:p w14:paraId="3B62FD72" w14:textId="1599BE71" w:rsidR="00E32415" w:rsidRPr="00F91CC3" w:rsidRDefault="00E32415" w:rsidP="00F3009B">
            <w:pPr>
              <w:jc w:val="center"/>
              <w:rPr>
                <w:rFonts w:ascii="Arial Narrow" w:hAnsi="Arial Narrow"/>
                <w:sz w:val="18"/>
                <w:szCs w:val="18"/>
              </w:rPr>
            </w:pPr>
            <w:r w:rsidRPr="00F91CC3">
              <w:rPr>
                <w:rFonts w:ascii="Arial Narrow" w:hAnsi="Arial Narrow"/>
                <w:sz w:val="18"/>
                <w:szCs w:val="18"/>
              </w:rPr>
              <w:t>ELX/TEZ/IVA</w:t>
            </w:r>
            <w:r w:rsidR="00E5450D" w:rsidRPr="00F91CC3">
              <w:rPr>
                <w:rFonts w:ascii="Arial Narrow" w:hAnsi="Arial Narrow"/>
                <w:sz w:val="18"/>
                <w:szCs w:val="18"/>
                <w:vertAlign w:val="superscript"/>
              </w:rPr>
              <w:t>1, 2</w:t>
            </w:r>
          </w:p>
        </w:tc>
        <w:tc>
          <w:tcPr>
            <w:tcW w:w="920" w:type="dxa"/>
            <w:vMerge/>
            <w:shd w:val="clear" w:color="auto" w:fill="DBE5F1" w:themeFill="accent1" w:themeFillTint="33"/>
            <w:vAlign w:val="center"/>
          </w:tcPr>
          <w:p w14:paraId="5FA1CEE3" w14:textId="77777777" w:rsidR="00E32415" w:rsidRPr="00F91CC3" w:rsidRDefault="00E32415" w:rsidP="00F3009B">
            <w:pPr>
              <w:jc w:val="center"/>
              <w:rPr>
                <w:rFonts w:ascii="Arial Narrow" w:hAnsi="Arial Narrow"/>
                <w:sz w:val="18"/>
                <w:szCs w:val="18"/>
              </w:rPr>
            </w:pPr>
          </w:p>
        </w:tc>
        <w:tc>
          <w:tcPr>
            <w:tcW w:w="1094" w:type="dxa"/>
            <w:vMerge w:val="restart"/>
            <w:shd w:val="clear" w:color="auto" w:fill="DBE5F1" w:themeFill="accent1" w:themeFillTint="33"/>
            <w:vAlign w:val="center"/>
          </w:tcPr>
          <w:p w14:paraId="5D8AB773" w14:textId="04C4AFCE" w:rsidR="00E32415" w:rsidRPr="00F91CC3" w:rsidRDefault="00E32415" w:rsidP="00F3009B">
            <w:pPr>
              <w:jc w:val="center"/>
              <w:rPr>
                <w:rFonts w:ascii="Arial Narrow" w:hAnsi="Arial Narrow"/>
                <w:sz w:val="18"/>
                <w:szCs w:val="18"/>
              </w:rPr>
            </w:pPr>
            <w:r w:rsidRPr="00F91CC3">
              <w:rPr>
                <w:rFonts w:ascii="Arial Narrow" w:hAnsi="Arial Narrow"/>
                <w:sz w:val="18"/>
                <w:szCs w:val="18"/>
              </w:rPr>
              <w:t>ELX/TEZ/IVA</w:t>
            </w:r>
            <w:r w:rsidR="00E5450D" w:rsidRPr="00F91CC3">
              <w:rPr>
                <w:rFonts w:ascii="Arial Narrow" w:hAnsi="Arial Narrow"/>
                <w:sz w:val="18"/>
                <w:szCs w:val="18"/>
                <w:vertAlign w:val="superscript"/>
              </w:rPr>
              <w:t>2</w:t>
            </w:r>
          </w:p>
        </w:tc>
        <w:tc>
          <w:tcPr>
            <w:tcW w:w="921" w:type="dxa"/>
            <w:vMerge/>
            <w:shd w:val="clear" w:color="auto" w:fill="F2DBDB" w:themeFill="accent2" w:themeFillTint="33"/>
            <w:vAlign w:val="center"/>
          </w:tcPr>
          <w:p w14:paraId="2DACA094" w14:textId="77777777" w:rsidR="00E32415" w:rsidRPr="00F91CC3" w:rsidRDefault="00E32415" w:rsidP="00F3009B">
            <w:pPr>
              <w:jc w:val="center"/>
              <w:rPr>
                <w:rFonts w:ascii="Arial Narrow" w:hAnsi="Arial Narrow"/>
                <w:sz w:val="18"/>
                <w:szCs w:val="18"/>
              </w:rPr>
            </w:pPr>
          </w:p>
        </w:tc>
        <w:tc>
          <w:tcPr>
            <w:tcW w:w="1102" w:type="dxa"/>
            <w:vMerge w:val="restart"/>
            <w:shd w:val="clear" w:color="auto" w:fill="DBE5F1" w:themeFill="accent1" w:themeFillTint="33"/>
            <w:vAlign w:val="center"/>
          </w:tcPr>
          <w:p w14:paraId="52991386" w14:textId="19418F4A" w:rsidR="00E32415" w:rsidRPr="00F91CC3" w:rsidRDefault="00E32415" w:rsidP="00F3009B">
            <w:pPr>
              <w:jc w:val="center"/>
              <w:rPr>
                <w:rFonts w:ascii="Arial Narrow" w:hAnsi="Arial Narrow"/>
                <w:sz w:val="18"/>
                <w:szCs w:val="18"/>
              </w:rPr>
            </w:pPr>
            <w:r w:rsidRPr="00F91CC3">
              <w:rPr>
                <w:rFonts w:ascii="Arial Narrow" w:hAnsi="Arial Narrow"/>
                <w:sz w:val="18"/>
                <w:szCs w:val="18"/>
              </w:rPr>
              <w:t>ELX/TEZ/IVA</w:t>
            </w:r>
            <w:r w:rsidR="00E5450D" w:rsidRPr="00F91CC3">
              <w:rPr>
                <w:rFonts w:ascii="Arial Narrow" w:hAnsi="Arial Narrow"/>
                <w:sz w:val="18"/>
                <w:szCs w:val="18"/>
                <w:vertAlign w:val="superscript"/>
              </w:rPr>
              <w:t>2</w:t>
            </w:r>
          </w:p>
        </w:tc>
        <w:tc>
          <w:tcPr>
            <w:tcW w:w="935" w:type="dxa"/>
            <w:vMerge/>
            <w:shd w:val="clear" w:color="auto" w:fill="F2DBDB" w:themeFill="accent2" w:themeFillTint="33"/>
            <w:vAlign w:val="center"/>
          </w:tcPr>
          <w:p w14:paraId="558ED9A4" w14:textId="77777777" w:rsidR="00E32415" w:rsidRPr="00F91CC3" w:rsidRDefault="00E32415" w:rsidP="00F3009B">
            <w:pPr>
              <w:jc w:val="center"/>
              <w:rPr>
                <w:rFonts w:ascii="Arial Narrow" w:hAnsi="Arial Narrow"/>
                <w:sz w:val="18"/>
                <w:szCs w:val="18"/>
              </w:rPr>
            </w:pPr>
          </w:p>
        </w:tc>
        <w:tc>
          <w:tcPr>
            <w:tcW w:w="1094" w:type="dxa"/>
            <w:vMerge w:val="restart"/>
            <w:shd w:val="clear" w:color="auto" w:fill="DBE5F1" w:themeFill="accent1" w:themeFillTint="33"/>
            <w:vAlign w:val="center"/>
          </w:tcPr>
          <w:p w14:paraId="644039E0" w14:textId="3B182435" w:rsidR="00E32415" w:rsidRPr="00F91CC3" w:rsidRDefault="00E32415" w:rsidP="00F3009B">
            <w:pPr>
              <w:jc w:val="center"/>
              <w:rPr>
                <w:rFonts w:ascii="Arial Narrow" w:hAnsi="Arial Narrow"/>
                <w:sz w:val="18"/>
                <w:szCs w:val="18"/>
              </w:rPr>
            </w:pPr>
            <w:r w:rsidRPr="00F91CC3">
              <w:rPr>
                <w:rFonts w:ascii="Arial Narrow" w:hAnsi="Arial Narrow"/>
                <w:sz w:val="18"/>
                <w:szCs w:val="18"/>
              </w:rPr>
              <w:t>ELX/TEZ/IVA</w:t>
            </w:r>
            <w:r w:rsidR="00E5450D" w:rsidRPr="00F91CC3">
              <w:rPr>
                <w:rFonts w:ascii="Arial Narrow" w:hAnsi="Arial Narrow"/>
                <w:sz w:val="18"/>
                <w:szCs w:val="18"/>
                <w:vertAlign w:val="superscript"/>
              </w:rPr>
              <w:t>2</w:t>
            </w:r>
          </w:p>
        </w:tc>
        <w:tc>
          <w:tcPr>
            <w:tcW w:w="920" w:type="dxa"/>
            <w:vMerge/>
            <w:shd w:val="clear" w:color="auto" w:fill="F2DBDB" w:themeFill="accent2" w:themeFillTint="33"/>
          </w:tcPr>
          <w:p w14:paraId="0EF9234A" w14:textId="77777777" w:rsidR="00E32415" w:rsidRPr="00F91CC3" w:rsidRDefault="00E32415" w:rsidP="00F3009B">
            <w:pPr>
              <w:jc w:val="center"/>
              <w:rPr>
                <w:rFonts w:ascii="Arial Narrow" w:hAnsi="Arial Narrow"/>
                <w:sz w:val="18"/>
                <w:szCs w:val="18"/>
              </w:rPr>
            </w:pPr>
          </w:p>
        </w:tc>
      </w:tr>
      <w:tr w:rsidR="00E5450D" w:rsidRPr="00F91CC3" w14:paraId="0CFDA94B" w14:textId="77777777" w:rsidTr="00F3009B">
        <w:tc>
          <w:tcPr>
            <w:tcW w:w="929" w:type="dxa"/>
          </w:tcPr>
          <w:p w14:paraId="49876893" w14:textId="77777777" w:rsidR="00E32415" w:rsidRPr="00F91CC3" w:rsidRDefault="00E32415" w:rsidP="00F3009B">
            <w:pPr>
              <w:rPr>
                <w:rFonts w:ascii="Arial Narrow" w:hAnsi="Arial Narrow"/>
                <w:sz w:val="18"/>
                <w:szCs w:val="18"/>
              </w:rPr>
            </w:pPr>
            <w:r w:rsidRPr="00F91CC3">
              <w:rPr>
                <w:rFonts w:ascii="Arial Narrow" w:hAnsi="Arial Narrow"/>
                <w:sz w:val="18"/>
                <w:szCs w:val="18"/>
              </w:rPr>
              <w:t>12 yrs +</w:t>
            </w:r>
          </w:p>
        </w:tc>
        <w:tc>
          <w:tcPr>
            <w:tcW w:w="1101" w:type="dxa"/>
            <w:vMerge/>
            <w:shd w:val="clear" w:color="auto" w:fill="DBE5F1" w:themeFill="accent1" w:themeFillTint="33"/>
          </w:tcPr>
          <w:p w14:paraId="6AC3ACFC" w14:textId="77777777" w:rsidR="00E32415" w:rsidRPr="00F91CC3" w:rsidRDefault="00E32415" w:rsidP="00F3009B">
            <w:pPr>
              <w:jc w:val="center"/>
              <w:rPr>
                <w:rFonts w:ascii="Arial Narrow" w:hAnsi="Arial Narrow"/>
                <w:sz w:val="18"/>
                <w:szCs w:val="18"/>
              </w:rPr>
            </w:pPr>
          </w:p>
        </w:tc>
        <w:tc>
          <w:tcPr>
            <w:tcW w:w="920" w:type="dxa"/>
            <w:vMerge/>
            <w:shd w:val="clear" w:color="auto" w:fill="DBE5F1" w:themeFill="accent1" w:themeFillTint="33"/>
          </w:tcPr>
          <w:p w14:paraId="6FD03ABA" w14:textId="77777777" w:rsidR="00E32415" w:rsidRPr="00F91CC3" w:rsidRDefault="00E32415" w:rsidP="00F3009B">
            <w:pPr>
              <w:jc w:val="center"/>
              <w:rPr>
                <w:rFonts w:ascii="Arial Narrow" w:hAnsi="Arial Narrow"/>
                <w:sz w:val="18"/>
                <w:szCs w:val="18"/>
              </w:rPr>
            </w:pPr>
          </w:p>
        </w:tc>
        <w:tc>
          <w:tcPr>
            <w:tcW w:w="1094" w:type="dxa"/>
            <w:vMerge/>
            <w:shd w:val="clear" w:color="auto" w:fill="DBE5F1" w:themeFill="accent1" w:themeFillTint="33"/>
          </w:tcPr>
          <w:p w14:paraId="2269E317" w14:textId="77777777" w:rsidR="00E32415" w:rsidRPr="00F91CC3" w:rsidRDefault="00E32415" w:rsidP="00F3009B">
            <w:pPr>
              <w:jc w:val="center"/>
              <w:rPr>
                <w:rFonts w:ascii="Arial Narrow" w:hAnsi="Arial Narrow"/>
                <w:sz w:val="18"/>
                <w:szCs w:val="18"/>
              </w:rPr>
            </w:pPr>
          </w:p>
        </w:tc>
        <w:tc>
          <w:tcPr>
            <w:tcW w:w="921" w:type="dxa"/>
            <w:vMerge/>
            <w:shd w:val="clear" w:color="auto" w:fill="F2DBDB" w:themeFill="accent2" w:themeFillTint="33"/>
          </w:tcPr>
          <w:p w14:paraId="5339A406" w14:textId="77777777" w:rsidR="00E32415" w:rsidRPr="00F91CC3" w:rsidRDefault="00E32415" w:rsidP="00F3009B">
            <w:pPr>
              <w:jc w:val="center"/>
              <w:rPr>
                <w:rFonts w:ascii="Arial Narrow" w:hAnsi="Arial Narrow"/>
                <w:sz w:val="18"/>
                <w:szCs w:val="18"/>
              </w:rPr>
            </w:pPr>
          </w:p>
        </w:tc>
        <w:tc>
          <w:tcPr>
            <w:tcW w:w="1102" w:type="dxa"/>
            <w:vMerge/>
            <w:shd w:val="clear" w:color="auto" w:fill="DBE5F1" w:themeFill="accent1" w:themeFillTint="33"/>
          </w:tcPr>
          <w:p w14:paraId="65565CA2" w14:textId="77777777" w:rsidR="00E32415" w:rsidRPr="00F91CC3" w:rsidRDefault="00E32415" w:rsidP="00F3009B">
            <w:pPr>
              <w:jc w:val="center"/>
              <w:rPr>
                <w:rFonts w:ascii="Arial Narrow" w:hAnsi="Arial Narrow"/>
                <w:sz w:val="18"/>
                <w:szCs w:val="18"/>
              </w:rPr>
            </w:pPr>
          </w:p>
        </w:tc>
        <w:tc>
          <w:tcPr>
            <w:tcW w:w="935" w:type="dxa"/>
            <w:shd w:val="clear" w:color="auto" w:fill="DBE5F1" w:themeFill="accent1" w:themeFillTint="33"/>
          </w:tcPr>
          <w:p w14:paraId="3D2CA69E" w14:textId="06FF2820" w:rsidR="00E32415" w:rsidRPr="00F91CC3" w:rsidRDefault="00E32415" w:rsidP="00F3009B">
            <w:pPr>
              <w:jc w:val="center"/>
              <w:rPr>
                <w:rFonts w:ascii="Arial Narrow" w:hAnsi="Arial Narrow"/>
                <w:sz w:val="18"/>
                <w:szCs w:val="18"/>
              </w:rPr>
            </w:pPr>
            <w:r w:rsidRPr="00F91CC3">
              <w:rPr>
                <w:rFonts w:ascii="Arial Narrow" w:hAnsi="Arial Narrow"/>
                <w:sz w:val="18"/>
                <w:szCs w:val="18"/>
              </w:rPr>
              <w:t>TEZ/IVA</w:t>
            </w:r>
          </w:p>
        </w:tc>
        <w:tc>
          <w:tcPr>
            <w:tcW w:w="1094" w:type="dxa"/>
            <w:vMerge/>
            <w:shd w:val="clear" w:color="auto" w:fill="DBE5F1" w:themeFill="accent1" w:themeFillTint="33"/>
          </w:tcPr>
          <w:p w14:paraId="7500C739" w14:textId="77777777" w:rsidR="00E32415" w:rsidRPr="00F91CC3" w:rsidRDefault="00E32415" w:rsidP="00F3009B">
            <w:pPr>
              <w:jc w:val="center"/>
              <w:rPr>
                <w:rFonts w:ascii="Arial Narrow" w:hAnsi="Arial Narrow"/>
                <w:sz w:val="18"/>
                <w:szCs w:val="18"/>
              </w:rPr>
            </w:pPr>
          </w:p>
        </w:tc>
        <w:tc>
          <w:tcPr>
            <w:tcW w:w="920" w:type="dxa"/>
            <w:vMerge/>
            <w:shd w:val="clear" w:color="auto" w:fill="F2DBDB" w:themeFill="accent2" w:themeFillTint="33"/>
          </w:tcPr>
          <w:p w14:paraId="39E7CF04" w14:textId="77777777" w:rsidR="00E32415" w:rsidRPr="00F91CC3" w:rsidRDefault="00E32415" w:rsidP="00F3009B">
            <w:pPr>
              <w:jc w:val="center"/>
              <w:rPr>
                <w:rFonts w:ascii="Arial Narrow" w:hAnsi="Arial Narrow"/>
                <w:sz w:val="18"/>
                <w:szCs w:val="18"/>
              </w:rPr>
            </w:pPr>
          </w:p>
        </w:tc>
      </w:tr>
    </w:tbl>
    <w:p w14:paraId="38C352E7" w14:textId="77777777" w:rsidR="00E5450D" w:rsidRPr="00F91CC3" w:rsidRDefault="00E5450D" w:rsidP="00E5450D">
      <w:pPr>
        <w:keepLines/>
        <w:rPr>
          <w:rFonts w:ascii="Arial Narrow" w:hAnsi="Arial Narrow"/>
          <w:sz w:val="18"/>
          <w:szCs w:val="18"/>
        </w:rPr>
      </w:pPr>
      <w:r w:rsidRPr="00F91CC3">
        <w:rPr>
          <w:rFonts w:ascii="Arial Narrow" w:hAnsi="Arial Narrow"/>
          <w:sz w:val="18"/>
          <w:szCs w:val="18"/>
        </w:rPr>
        <w:t>Source: developed for the Commentary using information in Sections 1.2.1 and 1.2.2 of the submission.</w:t>
      </w:r>
    </w:p>
    <w:p w14:paraId="385030C0" w14:textId="13C480A5" w:rsidR="00E5450D" w:rsidRPr="00F91CC3" w:rsidRDefault="00E5450D" w:rsidP="00E5450D">
      <w:pPr>
        <w:keepLines/>
        <w:rPr>
          <w:rFonts w:ascii="Arial Narrow" w:hAnsi="Arial Narrow"/>
          <w:sz w:val="18"/>
          <w:szCs w:val="18"/>
        </w:rPr>
      </w:pPr>
      <w:r w:rsidRPr="00F91CC3">
        <w:rPr>
          <w:rFonts w:ascii="Arial Narrow" w:hAnsi="Arial Narrow"/>
          <w:sz w:val="18"/>
          <w:szCs w:val="18"/>
        </w:rPr>
        <w:t xml:space="preserve">ELX/TEZ/IVA = elexacaftor/tezacaftor/ivacaftor; F = F508del mutation present in the </w:t>
      </w:r>
      <w:r w:rsidR="00F91CC3" w:rsidRPr="00F91CC3">
        <w:rPr>
          <w:rFonts w:ascii="Arial Narrow" w:hAnsi="Arial Narrow"/>
          <w:sz w:val="18"/>
          <w:szCs w:val="18"/>
        </w:rPr>
        <w:t>CFTR</w:t>
      </w:r>
      <w:r w:rsidRPr="00F91CC3">
        <w:rPr>
          <w:rFonts w:ascii="Arial Narrow" w:hAnsi="Arial Narrow"/>
          <w:sz w:val="18"/>
          <w:szCs w:val="18"/>
        </w:rPr>
        <w:t xml:space="preserve"> gene on the other allele; IVA = ivacaftor; non-F = no F508del mutation present in the </w:t>
      </w:r>
      <w:r w:rsidR="00F91CC3" w:rsidRPr="00F91CC3">
        <w:rPr>
          <w:rFonts w:ascii="Arial Narrow" w:hAnsi="Arial Narrow"/>
          <w:sz w:val="18"/>
          <w:szCs w:val="18"/>
        </w:rPr>
        <w:t>CFTR</w:t>
      </w:r>
      <w:r w:rsidRPr="00F91CC3">
        <w:rPr>
          <w:rFonts w:ascii="Arial Narrow" w:hAnsi="Arial Narrow"/>
          <w:sz w:val="18"/>
          <w:szCs w:val="18"/>
        </w:rPr>
        <w:t xml:space="preserve"> gene on the other allele; PBS = Pharmaceutical Benefits Scheme; TEZ/IVA = tezacaftor/ivacaftor.</w:t>
      </w:r>
    </w:p>
    <w:p w14:paraId="776AFE81" w14:textId="5CA747F7" w:rsidR="00E5450D" w:rsidRPr="00F91CC3" w:rsidRDefault="00E5450D" w:rsidP="00E5450D">
      <w:pPr>
        <w:rPr>
          <w:rFonts w:ascii="Arial Narrow" w:hAnsi="Arial Narrow"/>
          <w:sz w:val="18"/>
          <w:szCs w:val="18"/>
        </w:rPr>
      </w:pPr>
      <w:r w:rsidRPr="00F91CC3">
        <w:rPr>
          <w:rFonts w:ascii="Arial Narrow" w:hAnsi="Arial Narrow"/>
          <w:sz w:val="18"/>
          <w:szCs w:val="18"/>
        </w:rPr>
        <w:t xml:space="preserve">1. IVA is PBS listed for this population </w:t>
      </w:r>
    </w:p>
    <w:p w14:paraId="1880C2F2" w14:textId="488A6033" w:rsidR="00E5450D" w:rsidRPr="00F91CC3" w:rsidRDefault="00E5450D" w:rsidP="00496A1F">
      <w:pPr>
        <w:spacing w:after="120"/>
        <w:rPr>
          <w:rFonts w:ascii="Arial Narrow" w:hAnsi="Arial Narrow"/>
          <w:sz w:val="18"/>
          <w:szCs w:val="18"/>
        </w:rPr>
      </w:pPr>
      <w:r w:rsidRPr="00F91CC3">
        <w:rPr>
          <w:rFonts w:ascii="Arial Narrow" w:hAnsi="Arial Narrow"/>
          <w:sz w:val="18"/>
          <w:szCs w:val="18"/>
        </w:rPr>
        <w:t>2. ELX/TEZ/IVA is currently being evaluated by the TGA for used in CF patients 2 to 5 years heterozygous for the F508del mutation</w:t>
      </w:r>
    </w:p>
    <w:p w14:paraId="1C777638" w14:textId="2AF1CFA4" w:rsidR="001D655D" w:rsidRPr="00F91CC3" w:rsidRDefault="001D655D" w:rsidP="005142A2">
      <w:pPr>
        <w:pStyle w:val="3-BodyText"/>
        <w:snapToGrid w:val="0"/>
      </w:pPr>
      <w:r w:rsidRPr="00F91CC3">
        <w:t xml:space="preserve">The proposed PBS listing provides access for the following additional patient populations: </w:t>
      </w:r>
    </w:p>
    <w:p w14:paraId="21EAAC48" w14:textId="17792EE4" w:rsidR="001D655D" w:rsidRPr="00F91CC3" w:rsidRDefault="001D655D" w:rsidP="005142A2">
      <w:pPr>
        <w:numPr>
          <w:ilvl w:val="0"/>
          <w:numId w:val="16"/>
        </w:numPr>
        <w:snapToGrid w:val="0"/>
        <w:spacing w:after="120"/>
        <w:ind w:left="1134"/>
        <w:rPr>
          <w:rFonts w:asciiTheme="minorHAnsi" w:hAnsiTheme="minorHAnsi" w:cstheme="minorHAnsi"/>
          <w:snapToGrid w:val="0"/>
        </w:rPr>
      </w:pPr>
      <w:r w:rsidRPr="00F91CC3">
        <w:rPr>
          <w:bCs/>
          <w:snapToGrid w:val="0"/>
        </w:rPr>
        <w:t>Gating population aged 4 months to 12 months (</w:t>
      </w:r>
      <w:r w:rsidR="001E5525" w:rsidRPr="00F91CC3">
        <w:rPr>
          <w:bCs/>
          <w:snapToGrid w:val="0"/>
        </w:rPr>
        <w:t xml:space="preserve">which represents </w:t>
      </w:r>
      <w:r w:rsidRPr="00F91CC3">
        <w:rPr>
          <w:bCs/>
          <w:snapToGrid w:val="0"/>
        </w:rPr>
        <w:t>3% of the additional</w:t>
      </w:r>
      <w:r w:rsidR="00752600" w:rsidRPr="00F91CC3">
        <w:rPr>
          <w:bCs/>
          <w:snapToGrid w:val="0"/>
        </w:rPr>
        <w:t xml:space="preserve"> </w:t>
      </w:r>
      <w:r w:rsidR="001D5E98" w:rsidRPr="00F91CC3">
        <w:rPr>
          <w:bCs/>
          <w:snapToGrid w:val="0"/>
        </w:rPr>
        <w:t>patient population</w:t>
      </w:r>
      <w:r w:rsidR="00673E33" w:rsidRPr="00F91CC3">
        <w:rPr>
          <w:bCs/>
          <w:snapToGrid w:val="0"/>
        </w:rPr>
        <w:t xml:space="preserve"> in Year 1 of PBS listing</w:t>
      </w:r>
      <w:r w:rsidRPr="00F91CC3">
        <w:rPr>
          <w:bCs/>
          <w:snapToGrid w:val="0"/>
        </w:rPr>
        <w:t>);</w:t>
      </w:r>
    </w:p>
    <w:p w14:paraId="293913A6" w14:textId="77777777" w:rsidR="001D655D" w:rsidRPr="00F91CC3" w:rsidRDefault="001D655D" w:rsidP="005142A2">
      <w:pPr>
        <w:numPr>
          <w:ilvl w:val="0"/>
          <w:numId w:val="16"/>
        </w:numPr>
        <w:snapToGrid w:val="0"/>
        <w:spacing w:after="120"/>
        <w:ind w:left="1134"/>
        <w:rPr>
          <w:rFonts w:asciiTheme="minorHAnsi" w:hAnsiTheme="minorHAnsi" w:cstheme="minorHAnsi"/>
          <w:snapToGrid w:val="0"/>
        </w:rPr>
      </w:pPr>
      <w:r w:rsidRPr="00F91CC3">
        <w:rPr>
          <w:bCs/>
          <w:snapToGrid w:val="0"/>
        </w:rPr>
        <w:t>F/(R117H or RF) aged 4 months to 6 years (41%);</w:t>
      </w:r>
    </w:p>
    <w:p w14:paraId="7442BEFA" w14:textId="77777777" w:rsidR="001D655D" w:rsidRPr="00F91CC3" w:rsidRDefault="001D655D" w:rsidP="005142A2">
      <w:pPr>
        <w:numPr>
          <w:ilvl w:val="0"/>
          <w:numId w:val="16"/>
        </w:numPr>
        <w:snapToGrid w:val="0"/>
        <w:spacing w:after="120"/>
        <w:ind w:left="1134"/>
        <w:rPr>
          <w:rFonts w:asciiTheme="minorHAnsi" w:hAnsiTheme="minorHAnsi" w:cstheme="minorHAnsi"/>
          <w:snapToGrid w:val="0"/>
        </w:rPr>
      </w:pPr>
      <w:r w:rsidRPr="00F91CC3">
        <w:rPr>
          <w:bCs/>
          <w:snapToGrid w:val="0"/>
        </w:rPr>
        <w:t>non-F/RF aged 4 months to 12 years (7%);</w:t>
      </w:r>
    </w:p>
    <w:p w14:paraId="21C8624B" w14:textId="3EC23773" w:rsidR="001D655D" w:rsidRPr="00F91CC3" w:rsidRDefault="001D655D" w:rsidP="005142A2">
      <w:pPr>
        <w:numPr>
          <w:ilvl w:val="0"/>
          <w:numId w:val="16"/>
        </w:numPr>
        <w:snapToGrid w:val="0"/>
        <w:spacing w:after="120"/>
        <w:ind w:left="1134"/>
        <w:rPr>
          <w:rFonts w:asciiTheme="minorHAnsi" w:hAnsiTheme="minorHAnsi" w:cstheme="minorHAnsi"/>
          <w:snapToGrid w:val="0"/>
        </w:rPr>
      </w:pPr>
      <w:r w:rsidRPr="00F91CC3">
        <w:rPr>
          <w:bCs/>
          <w:snapToGrid w:val="0"/>
        </w:rPr>
        <w:t xml:space="preserve">non-F/R117H aged 4 months and over (35%); </w:t>
      </w:r>
    </w:p>
    <w:p w14:paraId="1350CEAD" w14:textId="0E24F0DE" w:rsidR="001D655D" w:rsidRPr="00F91CC3" w:rsidRDefault="001D655D" w:rsidP="005142A2">
      <w:pPr>
        <w:numPr>
          <w:ilvl w:val="0"/>
          <w:numId w:val="16"/>
        </w:numPr>
        <w:snapToGrid w:val="0"/>
        <w:spacing w:after="120"/>
        <w:ind w:left="1134"/>
        <w:rPr>
          <w:rFonts w:asciiTheme="minorHAnsi" w:hAnsiTheme="minorHAnsi" w:cstheme="minorHAnsi"/>
          <w:snapToGrid w:val="0"/>
        </w:rPr>
      </w:pPr>
      <w:r w:rsidRPr="00F91CC3">
        <w:rPr>
          <w:bCs/>
          <w:snapToGrid w:val="0"/>
        </w:rPr>
        <w:t>F/in vitro responsive aged 4 months to 6 years (4%); and</w:t>
      </w:r>
    </w:p>
    <w:p w14:paraId="38D35FE8" w14:textId="53C83FE9" w:rsidR="001D655D" w:rsidRPr="00F91CC3" w:rsidRDefault="001D655D" w:rsidP="005142A2">
      <w:pPr>
        <w:numPr>
          <w:ilvl w:val="0"/>
          <w:numId w:val="16"/>
        </w:numPr>
        <w:snapToGrid w:val="0"/>
        <w:spacing w:after="120"/>
        <w:ind w:left="1134"/>
        <w:rPr>
          <w:rFonts w:asciiTheme="minorHAnsi" w:hAnsiTheme="minorHAnsi" w:cstheme="minorHAnsi"/>
          <w:snapToGrid w:val="0"/>
        </w:rPr>
      </w:pPr>
      <w:r w:rsidRPr="00F91CC3">
        <w:rPr>
          <w:bCs/>
          <w:snapToGrid w:val="0"/>
        </w:rPr>
        <w:t>non-F/in vitro responsive aged 4 months and over (10%).</w:t>
      </w:r>
    </w:p>
    <w:p w14:paraId="4A2FB781" w14:textId="178CCDCB" w:rsidR="00712DD7" w:rsidRPr="00F91CC3" w:rsidRDefault="00712DD7" w:rsidP="005142A2">
      <w:pPr>
        <w:pStyle w:val="2-SectionHeading"/>
      </w:pPr>
      <w:bookmarkStart w:id="21" w:name="_Toc107927622"/>
      <w:bookmarkStart w:id="22" w:name="_Toc145484389"/>
      <w:r w:rsidRPr="00F91CC3">
        <w:t>Requested listing</w:t>
      </w:r>
      <w:bookmarkEnd w:id="21"/>
      <w:bookmarkEnd w:id="22"/>
    </w:p>
    <w:p w14:paraId="0FBFB440" w14:textId="4C036AD7" w:rsidR="007240AF" w:rsidRPr="00F91CC3" w:rsidRDefault="007240AF" w:rsidP="007240AF">
      <w:pPr>
        <w:pStyle w:val="3-BodyText"/>
      </w:pPr>
      <w:r w:rsidRPr="00F91CC3">
        <w:t>Suggestions and additions proposed by the Secretariat are added in italics and suggested deletions are crossed out with strikethrough.</w:t>
      </w:r>
    </w:p>
    <w:tbl>
      <w:tblPr>
        <w:tblW w:w="511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0"/>
        <w:gridCol w:w="1814"/>
        <w:gridCol w:w="829"/>
        <w:gridCol w:w="828"/>
        <w:gridCol w:w="829"/>
        <w:gridCol w:w="1885"/>
      </w:tblGrid>
      <w:tr w:rsidR="00712DD7" w:rsidRPr="00F91CC3" w14:paraId="400177FD" w14:textId="77777777" w:rsidTr="00FD2D49">
        <w:trPr>
          <w:cantSplit/>
          <w:trHeight w:val="20"/>
        </w:trPr>
        <w:tc>
          <w:tcPr>
            <w:tcW w:w="3029" w:type="dxa"/>
            <w:tcBorders>
              <w:top w:val="single" w:sz="4" w:space="0" w:color="auto"/>
              <w:left w:val="single" w:sz="4" w:space="0" w:color="auto"/>
              <w:bottom w:val="single" w:sz="4" w:space="0" w:color="auto"/>
              <w:right w:val="single" w:sz="4" w:space="0" w:color="auto"/>
            </w:tcBorders>
            <w:vAlign w:val="center"/>
            <w:hideMark/>
          </w:tcPr>
          <w:p w14:paraId="239F9D6B" w14:textId="77777777" w:rsidR="00712DD7" w:rsidRPr="00F91CC3" w:rsidRDefault="00712DD7" w:rsidP="00F3009B">
            <w:pPr>
              <w:keepNext/>
              <w:keepLines/>
              <w:rPr>
                <w:rFonts w:ascii="Arial Narrow" w:hAnsi="Arial Narrow"/>
                <w:b/>
                <w:bCs/>
                <w:sz w:val="20"/>
                <w:szCs w:val="20"/>
              </w:rPr>
            </w:pPr>
            <w:r w:rsidRPr="00F91CC3">
              <w:rPr>
                <w:rFonts w:ascii="Arial Narrow" w:hAnsi="Arial Narrow"/>
                <w:b/>
                <w:bCs/>
                <w:sz w:val="20"/>
                <w:szCs w:val="20"/>
              </w:rPr>
              <w:t>MEDICINAL PRODUCT</w:t>
            </w:r>
          </w:p>
          <w:p w14:paraId="3D66C546" w14:textId="77777777" w:rsidR="00712DD7" w:rsidRPr="00F91CC3" w:rsidRDefault="00712DD7" w:rsidP="00F3009B">
            <w:pPr>
              <w:keepNext/>
              <w:keepLines/>
              <w:rPr>
                <w:rFonts w:ascii="Arial Narrow" w:hAnsi="Arial Narrow"/>
                <w:b/>
                <w:sz w:val="20"/>
                <w:szCs w:val="20"/>
              </w:rPr>
            </w:pPr>
            <w:r w:rsidRPr="00F91CC3">
              <w:rPr>
                <w:rFonts w:ascii="Arial Narrow" w:hAnsi="Arial Narrow"/>
                <w:b/>
                <w:bCs/>
                <w:sz w:val="20"/>
                <w:szCs w:val="20"/>
              </w:rPr>
              <w:t>medicinal product pack</w:t>
            </w:r>
          </w:p>
        </w:tc>
        <w:tc>
          <w:tcPr>
            <w:tcW w:w="1814" w:type="dxa"/>
            <w:tcBorders>
              <w:top w:val="single" w:sz="4" w:space="0" w:color="auto"/>
              <w:left w:val="single" w:sz="4" w:space="0" w:color="auto"/>
              <w:bottom w:val="single" w:sz="4" w:space="0" w:color="auto"/>
              <w:right w:val="single" w:sz="4" w:space="0" w:color="auto"/>
            </w:tcBorders>
            <w:vAlign w:val="center"/>
            <w:hideMark/>
          </w:tcPr>
          <w:p w14:paraId="2AAAD923" w14:textId="77777777" w:rsidR="00712DD7" w:rsidRPr="00F91CC3" w:rsidRDefault="00712DD7" w:rsidP="00F3009B">
            <w:pPr>
              <w:pStyle w:val="TableText0"/>
              <w:keepLines/>
              <w:rPr>
                <w:b/>
                <w:bCs w:val="0"/>
                <w:szCs w:val="20"/>
              </w:rPr>
            </w:pPr>
            <w:r w:rsidRPr="00F91CC3">
              <w:rPr>
                <w:b/>
                <w:bCs w:val="0"/>
                <w:snapToGrid w:val="0"/>
              </w:rPr>
              <w:t xml:space="preserve">Dispensed Price for Max. Qty </w:t>
            </w:r>
          </w:p>
        </w:tc>
        <w:tc>
          <w:tcPr>
            <w:tcW w:w="829" w:type="dxa"/>
            <w:tcBorders>
              <w:top w:val="single" w:sz="4" w:space="0" w:color="auto"/>
              <w:left w:val="single" w:sz="4" w:space="0" w:color="auto"/>
              <w:bottom w:val="single" w:sz="4" w:space="0" w:color="auto"/>
              <w:right w:val="single" w:sz="4" w:space="0" w:color="auto"/>
            </w:tcBorders>
            <w:vAlign w:val="center"/>
            <w:hideMark/>
          </w:tcPr>
          <w:p w14:paraId="7758CADC" w14:textId="77777777" w:rsidR="00712DD7" w:rsidRPr="00F91CC3" w:rsidRDefault="00712DD7" w:rsidP="00F3009B">
            <w:pPr>
              <w:keepNext/>
              <w:keepLines/>
              <w:jc w:val="center"/>
              <w:rPr>
                <w:rFonts w:ascii="Arial Narrow" w:hAnsi="Arial Narrow"/>
                <w:b/>
                <w:sz w:val="20"/>
                <w:szCs w:val="20"/>
              </w:rPr>
            </w:pPr>
            <w:r w:rsidRPr="00F91CC3">
              <w:rPr>
                <w:rFonts w:ascii="Arial Narrow" w:hAnsi="Arial Narrow"/>
                <w:b/>
                <w:sz w:val="20"/>
                <w:szCs w:val="20"/>
              </w:rPr>
              <w:t>Max. qty packs</w:t>
            </w:r>
          </w:p>
        </w:tc>
        <w:tc>
          <w:tcPr>
            <w:tcW w:w="828" w:type="dxa"/>
            <w:tcBorders>
              <w:top w:val="single" w:sz="4" w:space="0" w:color="auto"/>
              <w:left w:val="single" w:sz="4" w:space="0" w:color="auto"/>
              <w:bottom w:val="single" w:sz="4" w:space="0" w:color="auto"/>
              <w:right w:val="single" w:sz="4" w:space="0" w:color="auto"/>
            </w:tcBorders>
            <w:vAlign w:val="center"/>
            <w:hideMark/>
          </w:tcPr>
          <w:p w14:paraId="246B4E23" w14:textId="77777777" w:rsidR="00712DD7" w:rsidRPr="00F91CC3" w:rsidRDefault="00712DD7" w:rsidP="00F3009B">
            <w:pPr>
              <w:keepNext/>
              <w:keepLines/>
              <w:jc w:val="center"/>
              <w:rPr>
                <w:rFonts w:ascii="Arial Narrow" w:hAnsi="Arial Narrow"/>
                <w:b/>
                <w:sz w:val="20"/>
                <w:szCs w:val="20"/>
              </w:rPr>
            </w:pPr>
            <w:r w:rsidRPr="00F91CC3">
              <w:rPr>
                <w:rFonts w:ascii="Arial Narrow" w:hAnsi="Arial Narrow"/>
                <w:b/>
                <w:sz w:val="20"/>
                <w:szCs w:val="20"/>
              </w:rPr>
              <w:t>Max. qty units</w:t>
            </w:r>
          </w:p>
        </w:tc>
        <w:tc>
          <w:tcPr>
            <w:tcW w:w="829" w:type="dxa"/>
            <w:tcBorders>
              <w:top w:val="single" w:sz="4" w:space="0" w:color="auto"/>
              <w:left w:val="single" w:sz="4" w:space="0" w:color="auto"/>
              <w:bottom w:val="single" w:sz="4" w:space="0" w:color="auto"/>
              <w:right w:val="single" w:sz="4" w:space="0" w:color="auto"/>
            </w:tcBorders>
            <w:vAlign w:val="center"/>
            <w:hideMark/>
          </w:tcPr>
          <w:p w14:paraId="43A16410" w14:textId="77777777" w:rsidR="00712DD7" w:rsidRPr="00F91CC3" w:rsidRDefault="00712DD7" w:rsidP="00F3009B">
            <w:pPr>
              <w:keepNext/>
              <w:keepLines/>
              <w:jc w:val="center"/>
              <w:rPr>
                <w:rFonts w:ascii="Arial Narrow" w:hAnsi="Arial Narrow"/>
                <w:b/>
                <w:sz w:val="20"/>
                <w:szCs w:val="20"/>
              </w:rPr>
            </w:pPr>
            <w:r w:rsidRPr="00F91CC3">
              <w:rPr>
                <w:rFonts w:ascii="Arial Narrow" w:hAnsi="Arial Narrow"/>
                <w:b/>
                <w:sz w:val="20"/>
                <w:szCs w:val="20"/>
              </w:rPr>
              <w:t>№.of</w:t>
            </w:r>
          </w:p>
          <w:p w14:paraId="2188A15E" w14:textId="77777777" w:rsidR="00712DD7" w:rsidRPr="00F91CC3" w:rsidRDefault="00712DD7" w:rsidP="00F3009B">
            <w:pPr>
              <w:keepNext/>
              <w:keepLines/>
              <w:jc w:val="center"/>
              <w:rPr>
                <w:rFonts w:ascii="Arial Narrow" w:hAnsi="Arial Narrow"/>
                <w:b/>
                <w:sz w:val="20"/>
                <w:szCs w:val="20"/>
              </w:rPr>
            </w:pPr>
            <w:r w:rsidRPr="00F91CC3">
              <w:rPr>
                <w:rFonts w:ascii="Arial Narrow" w:hAnsi="Arial Narrow"/>
                <w:b/>
                <w:sz w:val="20"/>
                <w:szCs w:val="20"/>
              </w:rPr>
              <w:t>Rpts</w:t>
            </w:r>
          </w:p>
        </w:tc>
        <w:tc>
          <w:tcPr>
            <w:tcW w:w="1885" w:type="dxa"/>
            <w:tcBorders>
              <w:top w:val="single" w:sz="4" w:space="0" w:color="auto"/>
              <w:left w:val="single" w:sz="4" w:space="0" w:color="auto"/>
              <w:bottom w:val="single" w:sz="4" w:space="0" w:color="auto"/>
              <w:right w:val="single" w:sz="4" w:space="0" w:color="auto"/>
            </w:tcBorders>
            <w:vAlign w:val="center"/>
            <w:hideMark/>
          </w:tcPr>
          <w:p w14:paraId="11A347AD" w14:textId="77777777" w:rsidR="00712DD7" w:rsidRPr="00F91CC3" w:rsidRDefault="00712DD7" w:rsidP="00F3009B">
            <w:pPr>
              <w:keepNext/>
              <w:keepLines/>
              <w:rPr>
                <w:rFonts w:ascii="Arial Narrow" w:hAnsi="Arial Narrow"/>
                <w:b/>
                <w:sz w:val="20"/>
                <w:szCs w:val="20"/>
              </w:rPr>
            </w:pPr>
            <w:r w:rsidRPr="00F91CC3">
              <w:rPr>
                <w:rFonts w:ascii="Arial Narrow" w:hAnsi="Arial Narrow"/>
                <w:b/>
                <w:sz w:val="20"/>
                <w:szCs w:val="20"/>
              </w:rPr>
              <w:t>Available brands</w:t>
            </w:r>
          </w:p>
        </w:tc>
      </w:tr>
      <w:tr w:rsidR="00FD2D49" w:rsidRPr="00F91CC3" w14:paraId="53B1BF32" w14:textId="77777777" w:rsidTr="00F3009B">
        <w:trPr>
          <w:cantSplit/>
          <w:trHeight w:val="20"/>
        </w:trPr>
        <w:tc>
          <w:tcPr>
            <w:tcW w:w="3029" w:type="dxa"/>
            <w:tcBorders>
              <w:top w:val="single" w:sz="4" w:space="0" w:color="auto"/>
              <w:left w:val="single" w:sz="4" w:space="0" w:color="auto"/>
              <w:bottom w:val="single" w:sz="4" w:space="0" w:color="auto"/>
              <w:right w:val="single" w:sz="4" w:space="0" w:color="auto"/>
            </w:tcBorders>
            <w:vAlign w:val="center"/>
            <w:hideMark/>
          </w:tcPr>
          <w:p w14:paraId="1364EAF9" w14:textId="77777777" w:rsidR="00FD2D49" w:rsidRPr="00F91CC3" w:rsidRDefault="00FD2D49" w:rsidP="00F3009B">
            <w:pPr>
              <w:keepNext/>
              <w:keepLines/>
              <w:rPr>
                <w:rFonts w:ascii="Arial Narrow" w:hAnsi="Arial Narrow"/>
                <w:color w:val="0066FF"/>
                <w:sz w:val="20"/>
                <w:szCs w:val="20"/>
              </w:rPr>
            </w:pPr>
            <w:r w:rsidRPr="00F91CC3">
              <w:rPr>
                <w:rFonts w:ascii="Arial Narrow" w:hAnsi="Arial Narrow"/>
                <w:sz w:val="20"/>
                <w:szCs w:val="20"/>
              </w:rPr>
              <w:t>IVACAFTOR, 25 mg granules, 4 x 14 sachets</w:t>
            </w:r>
          </w:p>
        </w:tc>
        <w:tc>
          <w:tcPr>
            <w:tcW w:w="1814" w:type="dxa"/>
            <w:vMerge w:val="restart"/>
            <w:tcBorders>
              <w:top w:val="single" w:sz="4" w:space="0" w:color="auto"/>
              <w:left w:val="single" w:sz="4" w:space="0" w:color="auto"/>
              <w:right w:val="single" w:sz="4" w:space="0" w:color="auto"/>
            </w:tcBorders>
            <w:hideMark/>
          </w:tcPr>
          <w:p w14:paraId="2196FF91" w14:textId="7404A76D" w:rsidR="00FD2D49" w:rsidRPr="00F91CC3" w:rsidRDefault="00FD2D49" w:rsidP="00F3009B">
            <w:pPr>
              <w:pStyle w:val="TableText0"/>
              <w:keepLines/>
              <w:jc w:val="center"/>
            </w:pPr>
            <w:r w:rsidRPr="00F91CC3">
              <w:t xml:space="preserve">Published (public): $21,375.00 </w:t>
            </w:r>
          </w:p>
          <w:p w14:paraId="27E595A9" w14:textId="17EB688E" w:rsidR="00FD2D49" w:rsidRPr="00F91CC3" w:rsidRDefault="00FD2D49" w:rsidP="00FD2D49">
            <w:pPr>
              <w:pStyle w:val="TableText0"/>
              <w:keepLines/>
              <w:jc w:val="center"/>
            </w:pPr>
            <w:r w:rsidRPr="00F91CC3">
              <w:t xml:space="preserve">Published (private): $21,423.37 </w:t>
            </w:r>
          </w:p>
          <w:p w14:paraId="7B138959" w14:textId="37D2559C" w:rsidR="00FD2D49" w:rsidRPr="00F91CC3" w:rsidRDefault="00FD2D49" w:rsidP="00F3009B">
            <w:pPr>
              <w:pStyle w:val="TableText0"/>
              <w:keepLines/>
              <w:jc w:val="center"/>
              <w:rPr>
                <w:szCs w:val="20"/>
              </w:rPr>
            </w:pPr>
            <w:r w:rsidRPr="00F91CC3">
              <w:t>Effective (public): $</w:t>
            </w:r>
            <w:r w:rsidR="004E53B2">
              <w:t xml:space="preserve"> </w:t>
            </w:r>
            <w:r w:rsidR="004E53B2" w:rsidRPr="004E53B2">
              <w:rPr>
                <w:color w:val="000000"/>
                <w:shd w:val="solid" w:color="000000" w:fill="000000"/>
                <w14:textFill>
                  <w14:solidFill>
                    <w14:srgbClr w14:val="000000">
                      <w14:alpha w14:val="100000"/>
                    </w14:srgbClr>
                  </w14:solidFill>
                </w14:textFill>
              </w:rPr>
              <w:t>|</w:t>
            </w:r>
            <w:r w:rsidRPr="00F91CC3">
              <w:t xml:space="preserve"> </w:t>
            </w:r>
          </w:p>
          <w:p w14:paraId="11697E23" w14:textId="77777777" w:rsidR="00FD2D49" w:rsidRPr="00F91CC3" w:rsidRDefault="00FD2D49" w:rsidP="00FD2D49">
            <w:pPr>
              <w:pStyle w:val="TableText0"/>
              <w:keepLines/>
              <w:jc w:val="center"/>
            </w:pPr>
            <w:r w:rsidRPr="00F91CC3">
              <w:t xml:space="preserve">Effective (private): </w:t>
            </w:r>
          </w:p>
          <w:p w14:paraId="38D71E7D" w14:textId="66E79B40" w:rsidR="00FD2D49" w:rsidRPr="00F91CC3" w:rsidRDefault="00FD2D49" w:rsidP="00FD2D49">
            <w:pPr>
              <w:pStyle w:val="TableText0"/>
              <w:keepLines/>
              <w:jc w:val="center"/>
            </w:pPr>
            <w:r w:rsidRPr="00F91CC3">
              <w:t>$</w:t>
            </w:r>
            <w:r w:rsidR="004E53B2">
              <w:t xml:space="preserve"> </w:t>
            </w:r>
            <w:r w:rsidR="004E53B2" w:rsidRPr="004E53B2">
              <w:rPr>
                <w:color w:val="000000"/>
                <w:shd w:val="solid" w:color="000000" w:fill="000000"/>
                <w14:textFill>
                  <w14:solidFill>
                    <w14:srgbClr w14:val="000000">
                      <w14:alpha w14:val="100000"/>
                    </w14:srgbClr>
                  </w14:solidFill>
                </w14:textFill>
              </w:rPr>
              <w:t>|</w:t>
            </w:r>
            <w:r w:rsidRPr="00F91CC3">
              <w:rPr>
                <w:vertAlign w:val="superscript"/>
              </w:rPr>
              <w:t>a</w:t>
            </w:r>
          </w:p>
        </w:tc>
        <w:tc>
          <w:tcPr>
            <w:tcW w:w="829" w:type="dxa"/>
            <w:tcBorders>
              <w:top w:val="single" w:sz="4" w:space="0" w:color="auto"/>
              <w:left w:val="single" w:sz="4" w:space="0" w:color="auto"/>
              <w:bottom w:val="single" w:sz="4" w:space="0" w:color="auto"/>
              <w:right w:val="single" w:sz="4" w:space="0" w:color="auto"/>
            </w:tcBorders>
            <w:vAlign w:val="center"/>
            <w:hideMark/>
          </w:tcPr>
          <w:p w14:paraId="2FB97FD2" w14:textId="77777777" w:rsidR="00FD2D49" w:rsidRPr="00F91CC3" w:rsidRDefault="00FD2D49" w:rsidP="00F3009B">
            <w:pPr>
              <w:keepNext/>
              <w:keepLines/>
              <w:jc w:val="center"/>
              <w:rPr>
                <w:rFonts w:ascii="Arial Narrow" w:hAnsi="Arial Narrow"/>
                <w:sz w:val="20"/>
                <w:szCs w:val="20"/>
              </w:rPr>
            </w:pPr>
            <w:r w:rsidRPr="00F91CC3">
              <w:rPr>
                <w:rFonts w:ascii="Arial Narrow" w:hAnsi="Arial Narrow"/>
                <w:sz w:val="20"/>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7A697008" w14:textId="77777777" w:rsidR="00FD2D49" w:rsidRPr="00F91CC3" w:rsidRDefault="00FD2D49" w:rsidP="00F3009B">
            <w:pPr>
              <w:keepNext/>
              <w:keepLines/>
              <w:jc w:val="center"/>
              <w:rPr>
                <w:rFonts w:ascii="Arial Narrow" w:hAnsi="Arial Narrow"/>
                <w:sz w:val="20"/>
                <w:szCs w:val="20"/>
              </w:rPr>
            </w:pPr>
            <w:r w:rsidRPr="00F91CC3">
              <w:rPr>
                <w:rFonts w:ascii="Arial Narrow" w:hAnsi="Arial Narrow"/>
                <w:sz w:val="20"/>
              </w:rPr>
              <w:t>56</w:t>
            </w:r>
          </w:p>
        </w:tc>
        <w:tc>
          <w:tcPr>
            <w:tcW w:w="829" w:type="dxa"/>
            <w:tcBorders>
              <w:top w:val="single" w:sz="4" w:space="0" w:color="auto"/>
              <w:left w:val="single" w:sz="4" w:space="0" w:color="auto"/>
              <w:bottom w:val="single" w:sz="4" w:space="0" w:color="auto"/>
              <w:right w:val="single" w:sz="4" w:space="0" w:color="auto"/>
            </w:tcBorders>
            <w:vAlign w:val="center"/>
            <w:hideMark/>
          </w:tcPr>
          <w:p w14:paraId="39FBCD74" w14:textId="77777777" w:rsidR="00FD2D49" w:rsidRPr="00F91CC3" w:rsidRDefault="00FD2D49" w:rsidP="00F3009B">
            <w:pPr>
              <w:keepNext/>
              <w:keepLines/>
              <w:jc w:val="center"/>
              <w:rPr>
                <w:rFonts w:ascii="Arial Narrow" w:hAnsi="Arial Narrow"/>
                <w:sz w:val="20"/>
                <w:szCs w:val="20"/>
              </w:rPr>
            </w:pPr>
            <w:r w:rsidRPr="00F91CC3">
              <w:rPr>
                <w:rFonts w:ascii="Arial Narrow" w:hAnsi="Arial Narrow"/>
                <w:sz w:val="20"/>
              </w:rPr>
              <w:t>5</w:t>
            </w:r>
          </w:p>
        </w:tc>
        <w:tc>
          <w:tcPr>
            <w:tcW w:w="1885" w:type="dxa"/>
            <w:tcBorders>
              <w:top w:val="single" w:sz="4" w:space="0" w:color="auto"/>
              <w:left w:val="single" w:sz="4" w:space="0" w:color="auto"/>
              <w:bottom w:val="single" w:sz="4" w:space="0" w:color="auto"/>
              <w:right w:val="single" w:sz="4" w:space="0" w:color="auto"/>
            </w:tcBorders>
            <w:vAlign w:val="center"/>
            <w:hideMark/>
          </w:tcPr>
          <w:p w14:paraId="0C05C05F" w14:textId="77777777" w:rsidR="00FD2D49" w:rsidRPr="00F91CC3" w:rsidRDefault="00FD2D49" w:rsidP="00F3009B">
            <w:pPr>
              <w:keepNext/>
              <w:keepLines/>
              <w:rPr>
                <w:rFonts w:ascii="Arial Narrow" w:hAnsi="Arial Narrow"/>
                <w:color w:val="0066FF"/>
                <w:sz w:val="20"/>
                <w:szCs w:val="20"/>
              </w:rPr>
            </w:pPr>
            <w:r w:rsidRPr="00F91CC3">
              <w:rPr>
                <w:rFonts w:ascii="Arial Narrow" w:hAnsi="Arial Narrow"/>
                <w:sz w:val="20"/>
                <w:szCs w:val="20"/>
              </w:rPr>
              <w:t>Kalydeco</w:t>
            </w:r>
          </w:p>
        </w:tc>
      </w:tr>
      <w:tr w:rsidR="00FD2D49" w:rsidRPr="00F91CC3" w14:paraId="2787FADE" w14:textId="77777777" w:rsidTr="00F3009B">
        <w:trPr>
          <w:cantSplit/>
          <w:trHeight w:val="20"/>
        </w:trPr>
        <w:tc>
          <w:tcPr>
            <w:tcW w:w="3029" w:type="dxa"/>
            <w:tcBorders>
              <w:top w:val="single" w:sz="4" w:space="0" w:color="auto"/>
              <w:left w:val="single" w:sz="4" w:space="0" w:color="auto"/>
              <w:bottom w:val="single" w:sz="4" w:space="0" w:color="auto"/>
              <w:right w:val="single" w:sz="4" w:space="0" w:color="auto"/>
            </w:tcBorders>
            <w:vAlign w:val="center"/>
            <w:hideMark/>
          </w:tcPr>
          <w:p w14:paraId="6500D454" w14:textId="77777777" w:rsidR="00FD2D49" w:rsidRPr="00F91CC3" w:rsidRDefault="00FD2D49" w:rsidP="00F3009B">
            <w:pPr>
              <w:keepNext/>
              <w:keepLines/>
              <w:rPr>
                <w:rFonts w:ascii="Arial Narrow" w:hAnsi="Arial Narrow"/>
                <w:color w:val="0066FF"/>
                <w:sz w:val="20"/>
                <w:szCs w:val="20"/>
              </w:rPr>
            </w:pPr>
            <w:r w:rsidRPr="00F91CC3">
              <w:rPr>
                <w:rFonts w:ascii="Arial Narrow" w:hAnsi="Arial Narrow"/>
                <w:sz w:val="20"/>
                <w:szCs w:val="20"/>
              </w:rPr>
              <w:t>IVACAFTOR, 50 mg granules, 4 x 14 sachets</w:t>
            </w:r>
          </w:p>
        </w:tc>
        <w:tc>
          <w:tcPr>
            <w:tcW w:w="1814" w:type="dxa"/>
            <w:vMerge/>
            <w:tcBorders>
              <w:left w:val="single" w:sz="4" w:space="0" w:color="auto"/>
              <w:right w:val="single" w:sz="4" w:space="0" w:color="auto"/>
            </w:tcBorders>
            <w:hideMark/>
          </w:tcPr>
          <w:p w14:paraId="512DECB4" w14:textId="45557919" w:rsidR="00FD2D49" w:rsidRPr="00F91CC3" w:rsidRDefault="00FD2D49" w:rsidP="00F3009B">
            <w:pPr>
              <w:keepNext/>
              <w:keepLines/>
              <w:jc w:val="center"/>
              <w:rPr>
                <w:szCs w:val="20"/>
              </w:rPr>
            </w:pPr>
          </w:p>
        </w:tc>
        <w:tc>
          <w:tcPr>
            <w:tcW w:w="829" w:type="dxa"/>
            <w:tcBorders>
              <w:top w:val="single" w:sz="4" w:space="0" w:color="auto"/>
              <w:left w:val="single" w:sz="4" w:space="0" w:color="auto"/>
              <w:bottom w:val="single" w:sz="4" w:space="0" w:color="auto"/>
              <w:right w:val="single" w:sz="4" w:space="0" w:color="auto"/>
            </w:tcBorders>
            <w:vAlign w:val="center"/>
            <w:hideMark/>
          </w:tcPr>
          <w:p w14:paraId="69DE8F3A" w14:textId="77777777" w:rsidR="00FD2D49" w:rsidRPr="00F91CC3" w:rsidRDefault="00FD2D49" w:rsidP="00F3009B">
            <w:pPr>
              <w:keepNext/>
              <w:keepLines/>
              <w:jc w:val="center"/>
              <w:rPr>
                <w:rFonts w:ascii="Arial Narrow" w:hAnsi="Arial Narrow"/>
                <w:sz w:val="20"/>
                <w:szCs w:val="20"/>
              </w:rPr>
            </w:pPr>
            <w:r w:rsidRPr="00F91CC3">
              <w:rPr>
                <w:rFonts w:ascii="Arial Narrow" w:hAnsi="Arial Narrow"/>
                <w:sz w:val="20"/>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1A299C1C" w14:textId="77777777" w:rsidR="00FD2D49" w:rsidRPr="00F91CC3" w:rsidRDefault="00FD2D49" w:rsidP="00F3009B">
            <w:pPr>
              <w:keepNext/>
              <w:keepLines/>
              <w:jc w:val="center"/>
              <w:rPr>
                <w:rFonts w:ascii="Arial Narrow" w:hAnsi="Arial Narrow"/>
                <w:sz w:val="20"/>
                <w:szCs w:val="20"/>
              </w:rPr>
            </w:pPr>
            <w:r w:rsidRPr="00F91CC3">
              <w:rPr>
                <w:rFonts w:ascii="Arial Narrow" w:hAnsi="Arial Narrow"/>
                <w:sz w:val="20"/>
              </w:rPr>
              <w:t>56</w:t>
            </w:r>
          </w:p>
        </w:tc>
        <w:tc>
          <w:tcPr>
            <w:tcW w:w="829" w:type="dxa"/>
            <w:tcBorders>
              <w:top w:val="single" w:sz="4" w:space="0" w:color="auto"/>
              <w:left w:val="single" w:sz="4" w:space="0" w:color="auto"/>
              <w:bottom w:val="single" w:sz="4" w:space="0" w:color="auto"/>
              <w:right w:val="single" w:sz="4" w:space="0" w:color="auto"/>
            </w:tcBorders>
            <w:vAlign w:val="center"/>
            <w:hideMark/>
          </w:tcPr>
          <w:p w14:paraId="49569133" w14:textId="77777777" w:rsidR="00FD2D49" w:rsidRPr="00F91CC3" w:rsidRDefault="00FD2D49" w:rsidP="00F3009B">
            <w:pPr>
              <w:keepNext/>
              <w:keepLines/>
              <w:jc w:val="center"/>
              <w:rPr>
                <w:rFonts w:ascii="Arial Narrow" w:hAnsi="Arial Narrow"/>
                <w:sz w:val="20"/>
                <w:szCs w:val="20"/>
              </w:rPr>
            </w:pPr>
            <w:r w:rsidRPr="00F91CC3">
              <w:rPr>
                <w:rFonts w:ascii="Arial Narrow" w:hAnsi="Arial Narrow"/>
                <w:sz w:val="20"/>
              </w:rPr>
              <w:t>5</w:t>
            </w:r>
          </w:p>
        </w:tc>
        <w:tc>
          <w:tcPr>
            <w:tcW w:w="1885" w:type="dxa"/>
            <w:tcBorders>
              <w:top w:val="single" w:sz="4" w:space="0" w:color="auto"/>
              <w:left w:val="single" w:sz="4" w:space="0" w:color="auto"/>
              <w:bottom w:val="single" w:sz="4" w:space="0" w:color="auto"/>
              <w:right w:val="single" w:sz="4" w:space="0" w:color="auto"/>
            </w:tcBorders>
            <w:vAlign w:val="center"/>
            <w:hideMark/>
          </w:tcPr>
          <w:p w14:paraId="190D1FC1" w14:textId="77777777" w:rsidR="00FD2D49" w:rsidRPr="00F91CC3" w:rsidRDefault="00FD2D49" w:rsidP="00F3009B">
            <w:pPr>
              <w:keepNext/>
              <w:keepLines/>
              <w:rPr>
                <w:rFonts w:ascii="Arial Narrow" w:hAnsi="Arial Narrow"/>
                <w:color w:val="0066FF"/>
                <w:sz w:val="20"/>
                <w:szCs w:val="20"/>
              </w:rPr>
            </w:pPr>
            <w:r w:rsidRPr="00F91CC3">
              <w:rPr>
                <w:rFonts w:ascii="Arial Narrow" w:hAnsi="Arial Narrow"/>
                <w:sz w:val="20"/>
                <w:szCs w:val="20"/>
              </w:rPr>
              <w:t>Kalydeco</w:t>
            </w:r>
          </w:p>
        </w:tc>
      </w:tr>
      <w:tr w:rsidR="00FD2D49" w:rsidRPr="00F91CC3" w14:paraId="56C183E2" w14:textId="77777777" w:rsidTr="00F3009B">
        <w:trPr>
          <w:cantSplit/>
          <w:trHeight w:val="20"/>
        </w:trPr>
        <w:tc>
          <w:tcPr>
            <w:tcW w:w="3029" w:type="dxa"/>
            <w:tcBorders>
              <w:top w:val="single" w:sz="4" w:space="0" w:color="auto"/>
              <w:left w:val="single" w:sz="4" w:space="0" w:color="auto"/>
              <w:bottom w:val="single" w:sz="4" w:space="0" w:color="auto"/>
              <w:right w:val="single" w:sz="4" w:space="0" w:color="auto"/>
            </w:tcBorders>
            <w:vAlign w:val="center"/>
            <w:hideMark/>
          </w:tcPr>
          <w:p w14:paraId="26AFE2A1" w14:textId="77777777" w:rsidR="00FD2D49" w:rsidRPr="00F91CC3" w:rsidRDefault="00FD2D49" w:rsidP="00F3009B">
            <w:pPr>
              <w:keepNext/>
              <w:keepLines/>
              <w:tabs>
                <w:tab w:val="left" w:pos="1077"/>
              </w:tabs>
              <w:rPr>
                <w:rFonts w:ascii="Arial Narrow" w:hAnsi="Arial Narrow"/>
                <w:color w:val="0066FF"/>
                <w:sz w:val="20"/>
                <w:szCs w:val="20"/>
              </w:rPr>
            </w:pPr>
            <w:r w:rsidRPr="00F91CC3">
              <w:rPr>
                <w:rFonts w:ascii="Arial Narrow" w:hAnsi="Arial Narrow"/>
                <w:sz w:val="20"/>
                <w:szCs w:val="20"/>
              </w:rPr>
              <w:t>IVACAFTOR, 75 mg granules, 4 x 14 sachets</w:t>
            </w:r>
          </w:p>
        </w:tc>
        <w:tc>
          <w:tcPr>
            <w:tcW w:w="1814" w:type="dxa"/>
            <w:vMerge/>
            <w:tcBorders>
              <w:left w:val="single" w:sz="4" w:space="0" w:color="auto"/>
              <w:right w:val="single" w:sz="4" w:space="0" w:color="auto"/>
            </w:tcBorders>
            <w:vAlign w:val="center"/>
            <w:hideMark/>
          </w:tcPr>
          <w:p w14:paraId="47E5223F" w14:textId="2A1FA6C5" w:rsidR="00FD2D49" w:rsidRPr="00F91CC3" w:rsidRDefault="00FD2D49" w:rsidP="00F3009B">
            <w:pPr>
              <w:keepNext/>
              <w:keepLines/>
              <w:jc w:val="center"/>
              <w:rPr>
                <w:rFonts w:ascii="Arial Narrow" w:hAnsi="Arial Narrow"/>
                <w:sz w:val="20"/>
                <w:szCs w:val="20"/>
              </w:rPr>
            </w:pPr>
          </w:p>
        </w:tc>
        <w:tc>
          <w:tcPr>
            <w:tcW w:w="829" w:type="dxa"/>
            <w:tcBorders>
              <w:top w:val="single" w:sz="4" w:space="0" w:color="auto"/>
              <w:left w:val="single" w:sz="4" w:space="0" w:color="auto"/>
              <w:bottom w:val="single" w:sz="4" w:space="0" w:color="auto"/>
              <w:right w:val="single" w:sz="4" w:space="0" w:color="auto"/>
            </w:tcBorders>
            <w:vAlign w:val="center"/>
            <w:hideMark/>
          </w:tcPr>
          <w:p w14:paraId="3C5FA088" w14:textId="77777777" w:rsidR="00FD2D49" w:rsidRPr="00F91CC3" w:rsidRDefault="00FD2D49" w:rsidP="00F3009B">
            <w:pPr>
              <w:keepNext/>
              <w:keepLines/>
              <w:jc w:val="center"/>
              <w:rPr>
                <w:rFonts w:ascii="Arial Narrow" w:hAnsi="Arial Narrow"/>
                <w:sz w:val="20"/>
                <w:szCs w:val="20"/>
              </w:rPr>
            </w:pPr>
            <w:r w:rsidRPr="00F91CC3">
              <w:rPr>
                <w:rFonts w:ascii="Arial Narrow" w:hAnsi="Arial Narrow"/>
                <w:sz w:val="20"/>
                <w:szCs w:val="20"/>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3B9E4C7C" w14:textId="77777777" w:rsidR="00FD2D49" w:rsidRPr="00F91CC3" w:rsidRDefault="00FD2D49" w:rsidP="00F3009B">
            <w:pPr>
              <w:keepNext/>
              <w:keepLines/>
              <w:jc w:val="center"/>
              <w:rPr>
                <w:rFonts w:ascii="Arial Narrow" w:hAnsi="Arial Narrow"/>
                <w:sz w:val="20"/>
                <w:szCs w:val="20"/>
              </w:rPr>
            </w:pPr>
            <w:r w:rsidRPr="00F91CC3">
              <w:rPr>
                <w:rFonts w:ascii="Arial Narrow" w:hAnsi="Arial Narrow"/>
                <w:sz w:val="20"/>
              </w:rPr>
              <w:t>56</w:t>
            </w:r>
          </w:p>
        </w:tc>
        <w:tc>
          <w:tcPr>
            <w:tcW w:w="829" w:type="dxa"/>
            <w:tcBorders>
              <w:top w:val="single" w:sz="4" w:space="0" w:color="auto"/>
              <w:left w:val="single" w:sz="4" w:space="0" w:color="auto"/>
              <w:bottom w:val="single" w:sz="4" w:space="0" w:color="auto"/>
              <w:right w:val="single" w:sz="4" w:space="0" w:color="auto"/>
            </w:tcBorders>
            <w:vAlign w:val="center"/>
            <w:hideMark/>
          </w:tcPr>
          <w:p w14:paraId="42E90B09" w14:textId="77777777" w:rsidR="00FD2D49" w:rsidRPr="00F91CC3" w:rsidRDefault="00FD2D49" w:rsidP="00F3009B">
            <w:pPr>
              <w:keepNext/>
              <w:keepLines/>
              <w:jc w:val="center"/>
              <w:rPr>
                <w:rFonts w:ascii="Arial Narrow" w:hAnsi="Arial Narrow"/>
                <w:sz w:val="20"/>
                <w:szCs w:val="20"/>
              </w:rPr>
            </w:pPr>
            <w:r w:rsidRPr="00F91CC3">
              <w:rPr>
                <w:rFonts w:ascii="Arial Narrow" w:hAnsi="Arial Narrow"/>
                <w:sz w:val="20"/>
                <w:szCs w:val="20"/>
              </w:rPr>
              <w:t>5</w:t>
            </w:r>
          </w:p>
        </w:tc>
        <w:tc>
          <w:tcPr>
            <w:tcW w:w="1885" w:type="dxa"/>
            <w:tcBorders>
              <w:top w:val="single" w:sz="4" w:space="0" w:color="auto"/>
              <w:left w:val="single" w:sz="4" w:space="0" w:color="auto"/>
              <w:bottom w:val="single" w:sz="4" w:space="0" w:color="auto"/>
              <w:right w:val="single" w:sz="4" w:space="0" w:color="auto"/>
            </w:tcBorders>
            <w:vAlign w:val="center"/>
            <w:hideMark/>
          </w:tcPr>
          <w:p w14:paraId="015937E2" w14:textId="77777777" w:rsidR="00FD2D49" w:rsidRPr="00F91CC3" w:rsidRDefault="00FD2D49" w:rsidP="00F3009B">
            <w:pPr>
              <w:keepNext/>
              <w:keepLines/>
              <w:rPr>
                <w:rFonts w:ascii="Arial Narrow" w:hAnsi="Arial Narrow"/>
                <w:sz w:val="20"/>
                <w:szCs w:val="20"/>
              </w:rPr>
            </w:pPr>
            <w:r w:rsidRPr="00F91CC3">
              <w:rPr>
                <w:rFonts w:ascii="Arial Narrow" w:hAnsi="Arial Narrow"/>
                <w:sz w:val="20"/>
                <w:szCs w:val="20"/>
              </w:rPr>
              <w:t>Kalydeco</w:t>
            </w:r>
          </w:p>
        </w:tc>
      </w:tr>
      <w:tr w:rsidR="00FD2D49" w:rsidRPr="00F91CC3" w14:paraId="0B6A2E7B" w14:textId="77777777" w:rsidTr="00F3009B">
        <w:trPr>
          <w:cantSplit/>
          <w:trHeight w:val="20"/>
        </w:trPr>
        <w:tc>
          <w:tcPr>
            <w:tcW w:w="3029" w:type="dxa"/>
            <w:tcBorders>
              <w:top w:val="single" w:sz="4" w:space="0" w:color="auto"/>
              <w:left w:val="single" w:sz="4" w:space="0" w:color="auto"/>
              <w:bottom w:val="single" w:sz="4" w:space="0" w:color="auto"/>
              <w:right w:val="single" w:sz="4" w:space="0" w:color="auto"/>
            </w:tcBorders>
            <w:vAlign w:val="center"/>
            <w:hideMark/>
          </w:tcPr>
          <w:p w14:paraId="58ED6A70" w14:textId="77777777" w:rsidR="00FD2D49" w:rsidRPr="00F91CC3" w:rsidRDefault="00FD2D49" w:rsidP="00F3009B">
            <w:pPr>
              <w:keepNext/>
              <w:keepLines/>
              <w:tabs>
                <w:tab w:val="left" w:pos="1077"/>
              </w:tabs>
              <w:rPr>
                <w:rFonts w:ascii="Arial Narrow" w:hAnsi="Arial Narrow"/>
                <w:color w:val="0066FF"/>
                <w:sz w:val="20"/>
                <w:szCs w:val="20"/>
              </w:rPr>
            </w:pPr>
            <w:r w:rsidRPr="00F91CC3">
              <w:rPr>
                <w:rFonts w:ascii="Arial Narrow" w:hAnsi="Arial Narrow"/>
                <w:sz w:val="20"/>
                <w:szCs w:val="20"/>
              </w:rPr>
              <w:t>IVACAFTOR, 150 mg film-coated tablets</w:t>
            </w:r>
          </w:p>
        </w:tc>
        <w:tc>
          <w:tcPr>
            <w:tcW w:w="1814" w:type="dxa"/>
            <w:vMerge/>
            <w:tcBorders>
              <w:left w:val="single" w:sz="4" w:space="0" w:color="auto"/>
              <w:bottom w:val="single" w:sz="4" w:space="0" w:color="auto"/>
              <w:right w:val="single" w:sz="4" w:space="0" w:color="auto"/>
            </w:tcBorders>
            <w:vAlign w:val="center"/>
            <w:hideMark/>
          </w:tcPr>
          <w:p w14:paraId="0EE80F30" w14:textId="28A3D602" w:rsidR="00FD2D49" w:rsidRPr="00F91CC3" w:rsidRDefault="00FD2D49" w:rsidP="00F3009B">
            <w:pPr>
              <w:keepNext/>
              <w:keepLines/>
              <w:jc w:val="center"/>
              <w:rPr>
                <w:rFonts w:ascii="Arial Narrow" w:hAnsi="Arial Narrow"/>
                <w:sz w:val="20"/>
                <w:szCs w:val="20"/>
              </w:rPr>
            </w:pPr>
          </w:p>
        </w:tc>
        <w:tc>
          <w:tcPr>
            <w:tcW w:w="829" w:type="dxa"/>
            <w:tcBorders>
              <w:top w:val="single" w:sz="4" w:space="0" w:color="auto"/>
              <w:left w:val="single" w:sz="4" w:space="0" w:color="auto"/>
              <w:bottom w:val="single" w:sz="4" w:space="0" w:color="auto"/>
              <w:right w:val="single" w:sz="4" w:space="0" w:color="auto"/>
            </w:tcBorders>
            <w:vAlign w:val="center"/>
            <w:hideMark/>
          </w:tcPr>
          <w:p w14:paraId="779B51FE" w14:textId="77777777" w:rsidR="00FD2D49" w:rsidRPr="00F91CC3" w:rsidRDefault="00FD2D49" w:rsidP="00F3009B">
            <w:pPr>
              <w:keepNext/>
              <w:keepLines/>
              <w:jc w:val="center"/>
              <w:rPr>
                <w:rFonts w:ascii="Arial Narrow" w:hAnsi="Arial Narrow"/>
                <w:sz w:val="20"/>
                <w:szCs w:val="20"/>
              </w:rPr>
            </w:pPr>
            <w:r w:rsidRPr="00F91CC3">
              <w:rPr>
                <w:rFonts w:ascii="Arial Narrow" w:hAnsi="Arial Narrow"/>
                <w:sz w:val="20"/>
                <w:szCs w:val="20"/>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1CA567E6" w14:textId="77777777" w:rsidR="00FD2D49" w:rsidRPr="00F91CC3" w:rsidRDefault="00FD2D49" w:rsidP="00F3009B">
            <w:pPr>
              <w:keepNext/>
              <w:keepLines/>
              <w:jc w:val="center"/>
              <w:rPr>
                <w:rFonts w:ascii="Arial Narrow" w:hAnsi="Arial Narrow"/>
                <w:sz w:val="20"/>
                <w:szCs w:val="20"/>
              </w:rPr>
            </w:pPr>
            <w:r w:rsidRPr="00F91CC3">
              <w:rPr>
                <w:rFonts w:ascii="Arial Narrow" w:hAnsi="Arial Narrow"/>
                <w:sz w:val="20"/>
              </w:rPr>
              <w:t>56</w:t>
            </w:r>
          </w:p>
        </w:tc>
        <w:tc>
          <w:tcPr>
            <w:tcW w:w="829" w:type="dxa"/>
            <w:tcBorders>
              <w:top w:val="single" w:sz="4" w:space="0" w:color="auto"/>
              <w:left w:val="single" w:sz="4" w:space="0" w:color="auto"/>
              <w:bottom w:val="single" w:sz="4" w:space="0" w:color="auto"/>
              <w:right w:val="single" w:sz="4" w:space="0" w:color="auto"/>
            </w:tcBorders>
            <w:vAlign w:val="center"/>
            <w:hideMark/>
          </w:tcPr>
          <w:p w14:paraId="108FA851" w14:textId="77777777" w:rsidR="00FD2D49" w:rsidRPr="00F91CC3" w:rsidRDefault="00FD2D49" w:rsidP="00F3009B">
            <w:pPr>
              <w:keepNext/>
              <w:keepLines/>
              <w:jc w:val="center"/>
              <w:rPr>
                <w:rFonts w:ascii="Arial Narrow" w:hAnsi="Arial Narrow"/>
                <w:sz w:val="20"/>
                <w:szCs w:val="20"/>
              </w:rPr>
            </w:pPr>
            <w:r w:rsidRPr="00F91CC3">
              <w:rPr>
                <w:rFonts w:ascii="Arial Narrow" w:hAnsi="Arial Narrow"/>
                <w:sz w:val="20"/>
                <w:szCs w:val="20"/>
              </w:rPr>
              <w:t>5</w:t>
            </w:r>
          </w:p>
        </w:tc>
        <w:tc>
          <w:tcPr>
            <w:tcW w:w="1885" w:type="dxa"/>
            <w:tcBorders>
              <w:top w:val="single" w:sz="4" w:space="0" w:color="auto"/>
              <w:left w:val="single" w:sz="4" w:space="0" w:color="auto"/>
              <w:bottom w:val="single" w:sz="4" w:space="0" w:color="auto"/>
              <w:right w:val="single" w:sz="4" w:space="0" w:color="auto"/>
            </w:tcBorders>
            <w:vAlign w:val="center"/>
            <w:hideMark/>
          </w:tcPr>
          <w:p w14:paraId="7238E305" w14:textId="77777777" w:rsidR="00FD2D49" w:rsidRPr="00F91CC3" w:rsidRDefault="00FD2D49" w:rsidP="00F3009B">
            <w:pPr>
              <w:keepNext/>
              <w:keepLines/>
              <w:rPr>
                <w:rFonts w:ascii="Arial Narrow" w:hAnsi="Arial Narrow"/>
                <w:sz w:val="20"/>
                <w:szCs w:val="20"/>
              </w:rPr>
            </w:pPr>
            <w:r w:rsidRPr="00F91CC3">
              <w:rPr>
                <w:rFonts w:ascii="Arial Narrow" w:hAnsi="Arial Narrow"/>
                <w:sz w:val="20"/>
                <w:szCs w:val="20"/>
              </w:rPr>
              <w:t>Kalydeco</w:t>
            </w:r>
          </w:p>
        </w:tc>
      </w:tr>
    </w:tbl>
    <w:p w14:paraId="576C1F8B" w14:textId="77777777" w:rsidR="007240AF" w:rsidRPr="00F91CC3" w:rsidRDefault="007240AF" w:rsidP="00712DD7">
      <w:pPr>
        <w:pStyle w:val="FooterTableFigure"/>
        <w:rPr>
          <w:rFonts w:eastAsiaTheme="majorEastAsia" w:cstheme="majorBidi"/>
          <w:b/>
          <w:bCs/>
          <w:snapToGrid/>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7240AF" w:rsidRPr="00F91CC3" w14:paraId="00E4B9C5" w14:textId="77777777" w:rsidTr="007240A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A63C762" w14:textId="77777777" w:rsidR="007240AF" w:rsidRPr="00F91CC3" w:rsidRDefault="007240AF" w:rsidP="00B964B0">
            <w:pPr>
              <w:rPr>
                <w:rFonts w:ascii="Arial Narrow" w:hAnsi="Arial Narrow"/>
                <w:sz w:val="20"/>
                <w:szCs w:val="20"/>
              </w:rPr>
            </w:pPr>
            <w:r w:rsidRPr="00F91CC3">
              <w:rPr>
                <w:rFonts w:ascii="Arial Narrow" w:hAnsi="Arial Narrow"/>
                <w:b/>
                <w:sz w:val="20"/>
                <w:szCs w:val="20"/>
              </w:rPr>
              <w:lastRenderedPageBreak/>
              <w:t xml:space="preserve">Category / Program: </w:t>
            </w:r>
            <w:r w:rsidRPr="00F91CC3">
              <w:rPr>
                <w:rFonts w:ascii="Arial Narrow" w:hAnsi="Arial Narrow"/>
                <w:sz w:val="20"/>
                <w:szCs w:val="20"/>
              </w:rPr>
              <w:t xml:space="preserve">Section 100 – Highly Specialised Drugs Program </w:t>
            </w:r>
          </w:p>
        </w:tc>
      </w:tr>
      <w:tr w:rsidR="007240AF" w:rsidRPr="00F91CC3" w14:paraId="6FA12D15" w14:textId="77777777" w:rsidTr="007240AF">
        <w:trPr>
          <w:trHeight w:val="240"/>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5BA8585" w14:textId="77777777" w:rsidR="007240AF" w:rsidRPr="00F91CC3" w:rsidRDefault="007240AF" w:rsidP="00B964B0">
            <w:pPr>
              <w:rPr>
                <w:rFonts w:ascii="Arial Narrow" w:hAnsi="Arial Narrow"/>
                <w:b/>
                <w:sz w:val="20"/>
                <w:szCs w:val="20"/>
              </w:rPr>
            </w:pPr>
            <w:r w:rsidRPr="00F91CC3">
              <w:rPr>
                <w:rFonts w:ascii="Arial Narrow" w:hAnsi="Arial Narrow"/>
                <w:b/>
                <w:sz w:val="20"/>
                <w:szCs w:val="20"/>
              </w:rPr>
              <w:t xml:space="preserve">Prescriber type: </w:t>
            </w:r>
            <w:r w:rsidRPr="00F91CC3">
              <w:rPr>
                <w:rFonts w:ascii="Arial Narrow" w:hAnsi="Arial Narrow"/>
                <w:sz w:val="20"/>
                <w:szCs w:val="20"/>
              </w:rPr>
              <w:fldChar w:fldCharType="begin">
                <w:ffData>
                  <w:name w:val=""/>
                  <w:enabled/>
                  <w:calcOnExit w:val="0"/>
                  <w:checkBox>
                    <w:sizeAuto/>
                    <w:default w:val="1"/>
                  </w:checkBox>
                </w:ffData>
              </w:fldChar>
            </w:r>
            <w:r w:rsidRPr="00F91CC3">
              <w:rPr>
                <w:rFonts w:ascii="Arial Narrow" w:hAnsi="Arial Narrow"/>
                <w:sz w:val="20"/>
                <w:szCs w:val="20"/>
              </w:rPr>
              <w:instrText xml:space="preserve"> FORMCHECKBOX </w:instrText>
            </w:r>
            <w:r w:rsidR="008D6198">
              <w:rPr>
                <w:rFonts w:ascii="Arial Narrow" w:hAnsi="Arial Narrow"/>
                <w:sz w:val="20"/>
                <w:szCs w:val="20"/>
              </w:rPr>
            </w:r>
            <w:r w:rsidR="008D6198">
              <w:rPr>
                <w:rFonts w:ascii="Arial Narrow" w:hAnsi="Arial Narrow"/>
                <w:sz w:val="20"/>
                <w:szCs w:val="20"/>
              </w:rPr>
              <w:fldChar w:fldCharType="separate"/>
            </w:r>
            <w:r w:rsidRPr="00F91CC3">
              <w:rPr>
                <w:rFonts w:ascii="Arial Narrow" w:hAnsi="Arial Narrow"/>
                <w:sz w:val="20"/>
                <w:szCs w:val="20"/>
              </w:rPr>
              <w:fldChar w:fldCharType="end"/>
            </w:r>
            <w:r w:rsidRPr="00F91CC3">
              <w:rPr>
                <w:rFonts w:ascii="Arial Narrow" w:hAnsi="Arial Narrow"/>
                <w:sz w:val="20"/>
                <w:szCs w:val="20"/>
              </w:rPr>
              <w:t xml:space="preserve">Medical Practitioners </w:t>
            </w:r>
          </w:p>
        </w:tc>
      </w:tr>
      <w:tr w:rsidR="007240AF" w:rsidRPr="00F91CC3" w14:paraId="693D4F51" w14:textId="77777777" w:rsidTr="007240AF">
        <w:trPr>
          <w:trHeight w:val="392"/>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CE5DC33" w14:textId="77777777" w:rsidR="007240AF" w:rsidRPr="00F91CC3" w:rsidRDefault="007240AF" w:rsidP="00B964B0">
            <w:pPr>
              <w:rPr>
                <w:rFonts w:ascii="Arial Narrow" w:hAnsi="Arial Narrow"/>
                <w:sz w:val="20"/>
                <w:szCs w:val="20"/>
              </w:rPr>
            </w:pPr>
            <w:r w:rsidRPr="00F91CC3">
              <w:rPr>
                <w:rFonts w:ascii="Arial Narrow" w:hAnsi="Arial Narrow"/>
                <w:b/>
                <w:sz w:val="20"/>
                <w:szCs w:val="20"/>
              </w:rPr>
              <w:t xml:space="preserve">Restriction Type – </w:t>
            </w:r>
            <w:r w:rsidRPr="00F91CC3">
              <w:rPr>
                <w:rFonts w:ascii="Arial Narrow" w:hAnsi="Arial Narrow"/>
                <w:sz w:val="20"/>
                <w:szCs w:val="20"/>
              </w:rPr>
              <w:fldChar w:fldCharType="begin">
                <w:ffData>
                  <w:name w:val=""/>
                  <w:enabled/>
                  <w:calcOnExit w:val="0"/>
                  <w:checkBox>
                    <w:sizeAuto/>
                    <w:default w:val="1"/>
                  </w:checkBox>
                </w:ffData>
              </w:fldChar>
            </w:r>
            <w:r w:rsidRPr="00F91CC3">
              <w:rPr>
                <w:rFonts w:ascii="Arial Narrow" w:hAnsi="Arial Narrow"/>
                <w:sz w:val="20"/>
                <w:szCs w:val="20"/>
              </w:rPr>
              <w:instrText xml:space="preserve"> FORMCHECKBOX </w:instrText>
            </w:r>
            <w:r w:rsidR="008D6198">
              <w:rPr>
                <w:rFonts w:ascii="Arial Narrow" w:hAnsi="Arial Narrow"/>
                <w:sz w:val="20"/>
                <w:szCs w:val="20"/>
              </w:rPr>
            </w:r>
            <w:r w:rsidR="008D6198">
              <w:rPr>
                <w:rFonts w:ascii="Arial Narrow" w:hAnsi="Arial Narrow"/>
                <w:sz w:val="20"/>
                <w:szCs w:val="20"/>
              </w:rPr>
              <w:fldChar w:fldCharType="separate"/>
            </w:r>
            <w:r w:rsidRPr="00F91CC3">
              <w:rPr>
                <w:rFonts w:ascii="Arial Narrow" w:hAnsi="Arial Narrow"/>
                <w:sz w:val="20"/>
                <w:szCs w:val="20"/>
              </w:rPr>
              <w:fldChar w:fldCharType="end"/>
            </w:r>
            <w:r w:rsidRPr="00F91CC3">
              <w:rPr>
                <w:rFonts w:ascii="Arial Narrow" w:hAnsi="Arial Narrow"/>
                <w:sz w:val="20"/>
                <w:szCs w:val="20"/>
              </w:rPr>
              <w:t xml:space="preserve">Authority Required – non-immediate/delayed assessment by Services Australia </w:t>
            </w:r>
          </w:p>
        </w:tc>
      </w:tr>
      <w:tr w:rsidR="007240AF" w:rsidRPr="00F91CC3" w14:paraId="3334434F" w14:textId="77777777" w:rsidTr="007240A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6B2425" w14:textId="77777777" w:rsidR="007240AF" w:rsidRPr="00F91CC3" w:rsidRDefault="007240AF" w:rsidP="00B964B0">
            <w:pPr>
              <w:pStyle w:val="NormalWeb"/>
              <w:shd w:val="clear" w:color="auto" w:fill="FFFFFF"/>
              <w:spacing w:before="0" w:after="0"/>
              <w:textAlignment w:val="baseline"/>
              <w:rPr>
                <w:rFonts w:ascii="Arial Narrow" w:hAnsi="Arial Narrow"/>
                <w:i/>
                <w:iCs/>
                <w:color w:val="333333"/>
                <w:sz w:val="20"/>
                <w:szCs w:val="20"/>
                <w:lang w:val="en-AU"/>
              </w:rPr>
            </w:pPr>
            <w:r w:rsidRPr="00F91CC3">
              <w:rPr>
                <w:rFonts w:ascii="Arial Narrow" w:eastAsia="Calibri" w:hAnsi="Arial Narrow"/>
                <w:b/>
                <w:i/>
                <w:iCs/>
                <w:sz w:val="20"/>
                <w:szCs w:val="20"/>
                <w:lang w:val="en-AU" w:eastAsia="en-US"/>
              </w:rPr>
              <w:t>Indication</w:t>
            </w:r>
            <w:r w:rsidRPr="00F91CC3">
              <w:rPr>
                <w:rStyle w:val="Strong"/>
                <w:rFonts w:ascii="Arial Narrow" w:hAnsi="Arial Narrow"/>
                <w:i/>
                <w:iCs/>
                <w:color w:val="333333"/>
                <w:sz w:val="20"/>
                <w:szCs w:val="20"/>
                <w:bdr w:val="none" w:sz="0" w:space="0" w:color="auto" w:frame="1"/>
                <w:lang w:val="en-AU"/>
              </w:rPr>
              <w:t xml:space="preserve">: </w:t>
            </w:r>
            <w:r w:rsidRPr="00F91CC3">
              <w:rPr>
                <w:rFonts w:ascii="Arial Narrow" w:eastAsia="Calibri" w:hAnsi="Arial Narrow"/>
                <w:i/>
                <w:iCs/>
                <w:sz w:val="20"/>
                <w:szCs w:val="20"/>
                <w:lang w:val="en-AU" w:eastAsia="en-US"/>
              </w:rPr>
              <w:t>Cystic fibrosis</w:t>
            </w:r>
          </w:p>
          <w:p w14:paraId="4C56A63D" w14:textId="77777777" w:rsidR="007240AF" w:rsidRPr="00F91CC3" w:rsidRDefault="007240AF" w:rsidP="00B964B0">
            <w:pPr>
              <w:rPr>
                <w:rFonts w:ascii="Arial Narrow" w:hAnsi="Arial Narrow"/>
                <w:bCs/>
                <w:sz w:val="20"/>
                <w:szCs w:val="20"/>
              </w:rPr>
            </w:pPr>
          </w:p>
        </w:tc>
      </w:tr>
      <w:tr w:rsidR="007240AF" w:rsidRPr="00F91CC3" w14:paraId="56FE6027" w14:textId="77777777" w:rsidTr="007240A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183D8E" w14:textId="77777777" w:rsidR="007240AF" w:rsidRPr="00F91CC3" w:rsidRDefault="007240AF" w:rsidP="00B964B0">
            <w:pPr>
              <w:rPr>
                <w:rFonts w:ascii="Arial Narrow" w:hAnsi="Arial Narrow"/>
                <w:b/>
                <w:bCs/>
                <w:sz w:val="20"/>
                <w:szCs w:val="20"/>
              </w:rPr>
            </w:pPr>
            <w:r w:rsidRPr="00F91CC3">
              <w:rPr>
                <w:rFonts w:ascii="Arial Narrow" w:hAnsi="Arial Narrow"/>
                <w:b/>
                <w:bCs/>
                <w:sz w:val="20"/>
                <w:szCs w:val="20"/>
              </w:rPr>
              <w:t>Treatment Phase:</w:t>
            </w:r>
            <w:r w:rsidRPr="00F91CC3">
              <w:rPr>
                <w:rFonts w:ascii="Arial Narrow" w:hAnsi="Arial Narrow"/>
                <w:sz w:val="20"/>
                <w:szCs w:val="20"/>
              </w:rPr>
              <w:t xml:space="preserve"> Initial treatment </w:t>
            </w:r>
            <w:r w:rsidRPr="00F91CC3">
              <w:rPr>
                <w:rFonts w:ascii="Arial Narrow" w:hAnsi="Arial Narrow"/>
                <w:i/>
                <w:iCs/>
                <w:sz w:val="20"/>
                <w:szCs w:val="20"/>
              </w:rPr>
              <w:t>and</w:t>
            </w:r>
            <w:r w:rsidRPr="00F91CC3">
              <w:rPr>
                <w:rFonts w:ascii="Arial Narrow" w:hAnsi="Arial Narrow"/>
                <w:sz w:val="20"/>
                <w:szCs w:val="20"/>
              </w:rPr>
              <w:t xml:space="preserve"> Continuing treatment</w:t>
            </w:r>
          </w:p>
        </w:tc>
      </w:tr>
      <w:tr w:rsidR="007240AF" w:rsidRPr="00F91CC3" w14:paraId="6393B29B" w14:textId="77777777" w:rsidTr="007240A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8669BF" w14:textId="77777777" w:rsidR="007240AF" w:rsidRPr="00F91CC3" w:rsidRDefault="007240AF" w:rsidP="00B964B0">
            <w:pPr>
              <w:rPr>
                <w:rFonts w:ascii="Arial Narrow" w:hAnsi="Arial Narrow"/>
                <w:b/>
                <w:bCs/>
                <w:strike/>
                <w:sz w:val="20"/>
                <w:szCs w:val="20"/>
              </w:rPr>
            </w:pPr>
            <w:r w:rsidRPr="00F91CC3">
              <w:rPr>
                <w:rFonts w:ascii="Arial Narrow" w:hAnsi="Arial Narrow"/>
                <w:b/>
                <w:bCs/>
                <w:strike/>
                <w:sz w:val="20"/>
                <w:szCs w:val="20"/>
              </w:rPr>
              <w:t>Treatment criteria:</w:t>
            </w:r>
          </w:p>
        </w:tc>
      </w:tr>
      <w:tr w:rsidR="007240AF" w:rsidRPr="00F91CC3" w14:paraId="2CD643C7" w14:textId="77777777" w:rsidTr="007240A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A5FC8B" w14:textId="77777777" w:rsidR="007240AF" w:rsidRPr="00F91CC3" w:rsidRDefault="007240AF" w:rsidP="00B964B0">
            <w:pPr>
              <w:rPr>
                <w:rFonts w:ascii="Arial Narrow" w:hAnsi="Arial Narrow"/>
                <w:strike/>
                <w:sz w:val="20"/>
                <w:szCs w:val="20"/>
              </w:rPr>
            </w:pPr>
            <w:r w:rsidRPr="00F91CC3">
              <w:rPr>
                <w:rFonts w:ascii="Arial Narrow" w:hAnsi="Arial Narrow"/>
                <w:strike/>
                <w:sz w:val="20"/>
                <w:szCs w:val="20"/>
              </w:rPr>
              <w:t>Must be treated by a specialist respiratory physician with expertise in cystic fibrosis or in consultation with a specialist respiratory physician with expertise in cystic fibrosis if attendance is not possible due to geographic isolation</w:t>
            </w:r>
          </w:p>
        </w:tc>
      </w:tr>
      <w:tr w:rsidR="007240AF" w:rsidRPr="00F91CC3" w14:paraId="506108D4" w14:textId="77777777" w:rsidTr="007240AF">
        <w:trPr>
          <w:trHeight w:val="240"/>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EBF69F" w14:textId="77777777" w:rsidR="007240AF" w:rsidRPr="00F91CC3" w:rsidRDefault="007240AF" w:rsidP="00B964B0">
            <w:pPr>
              <w:rPr>
                <w:rFonts w:ascii="Arial Narrow" w:hAnsi="Arial Narrow"/>
                <w:strike/>
                <w:sz w:val="20"/>
                <w:szCs w:val="20"/>
              </w:rPr>
            </w:pPr>
            <w:r w:rsidRPr="00F91CC3">
              <w:rPr>
                <w:rFonts w:ascii="Arial Narrow" w:hAnsi="Arial Narrow"/>
                <w:b/>
                <w:bCs/>
                <w:strike/>
                <w:sz w:val="20"/>
                <w:szCs w:val="20"/>
              </w:rPr>
              <w:t>AND</w:t>
            </w:r>
          </w:p>
        </w:tc>
      </w:tr>
      <w:tr w:rsidR="007240AF" w:rsidRPr="00F91CC3" w14:paraId="07092E1C" w14:textId="77777777" w:rsidTr="007240A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500CD5" w14:textId="77777777" w:rsidR="007240AF" w:rsidRPr="00F91CC3" w:rsidRDefault="007240AF" w:rsidP="00B964B0">
            <w:pPr>
              <w:rPr>
                <w:rFonts w:ascii="Arial Narrow" w:hAnsi="Arial Narrow"/>
                <w:b/>
                <w:bCs/>
                <w:strike/>
                <w:sz w:val="20"/>
                <w:szCs w:val="20"/>
              </w:rPr>
            </w:pPr>
            <w:r w:rsidRPr="00F91CC3">
              <w:rPr>
                <w:rFonts w:ascii="Arial Narrow" w:hAnsi="Arial Narrow"/>
                <w:b/>
                <w:bCs/>
                <w:strike/>
                <w:sz w:val="20"/>
                <w:szCs w:val="20"/>
              </w:rPr>
              <w:t>Treatment criteria:</w:t>
            </w:r>
          </w:p>
        </w:tc>
      </w:tr>
      <w:tr w:rsidR="007240AF" w:rsidRPr="00F91CC3" w14:paraId="53BC8492" w14:textId="77777777" w:rsidTr="007240A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9D1F0A" w14:textId="77777777" w:rsidR="007240AF" w:rsidRPr="00F91CC3" w:rsidRDefault="007240AF" w:rsidP="00B964B0">
            <w:pPr>
              <w:rPr>
                <w:rFonts w:ascii="Arial Narrow" w:hAnsi="Arial Narrow"/>
                <w:strike/>
                <w:sz w:val="20"/>
                <w:szCs w:val="20"/>
              </w:rPr>
            </w:pPr>
            <w:r w:rsidRPr="00F91CC3">
              <w:rPr>
                <w:rFonts w:ascii="Arial Narrow" w:hAnsi="Arial Narrow"/>
                <w:strike/>
                <w:sz w:val="20"/>
                <w:szCs w:val="20"/>
              </w:rPr>
              <w:t>Must be treated in a centre with expertise in cystic fibrosis or in consultation with a centre with expertise in cystic fibrosis if attendance is not possible due to geographic isolation</w:t>
            </w:r>
          </w:p>
        </w:tc>
      </w:tr>
      <w:tr w:rsidR="007240AF" w:rsidRPr="00F91CC3" w:rsidDel="00325CEB" w14:paraId="5ABDE148" w14:textId="77777777" w:rsidTr="007240A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F9C9C3" w14:textId="77777777" w:rsidR="007240AF" w:rsidRPr="00F91CC3" w:rsidDel="00325CEB" w:rsidRDefault="007240AF" w:rsidP="00B964B0">
            <w:pPr>
              <w:rPr>
                <w:rFonts w:ascii="Arial Narrow" w:hAnsi="Arial Narrow"/>
                <w:i/>
                <w:iCs/>
                <w:sz w:val="20"/>
                <w:szCs w:val="20"/>
              </w:rPr>
            </w:pPr>
            <w:r w:rsidRPr="00F91CC3">
              <w:rPr>
                <w:rFonts w:ascii="Arial Narrow" w:hAnsi="Arial Narrow"/>
                <w:i/>
                <w:iCs/>
                <w:sz w:val="20"/>
                <w:szCs w:val="20"/>
              </w:rPr>
              <w:t>Patient must be assessed through a cystic fibrosis clinic/centre which is under the control of specialist respiratory physicians with experience and expertise in the management of cystic fibrosis. If attendance at such a unit is not possible because of geographical isolation, management (including prescribing) may be in consultation with such a unit</w:t>
            </w:r>
          </w:p>
        </w:tc>
      </w:tr>
      <w:tr w:rsidR="007240AF" w:rsidRPr="00F91CC3" w14:paraId="21094A0A" w14:textId="77777777" w:rsidTr="007240A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246A28" w14:textId="77777777" w:rsidR="007240AF" w:rsidRPr="00F91CC3" w:rsidRDefault="007240AF" w:rsidP="00B964B0">
            <w:pPr>
              <w:rPr>
                <w:rFonts w:ascii="Arial Narrow" w:hAnsi="Arial Narrow"/>
                <w:i/>
                <w:iCs/>
                <w:sz w:val="20"/>
                <w:szCs w:val="20"/>
              </w:rPr>
            </w:pPr>
            <w:r w:rsidRPr="00F91CC3">
              <w:rPr>
                <w:rFonts w:ascii="Arial Narrow" w:hAnsi="Arial Narrow"/>
                <w:i/>
                <w:iCs/>
                <w:sz w:val="20"/>
                <w:szCs w:val="20"/>
              </w:rPr>
              <w:t>AND</w:t>
            </w:r>
          </w:p>
        </w:tc>
      </w:tr>
      <w:tr w:rsidR="007240AF" w:rsidRPr="00F91CC3" w14:paraId="6B46EB53" w14:textId="77777777" w:rsidTr="007240A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CF784D" w14:textId="77777777" w:rsidR="007240AF" w:rsidRPr="00F91CC3" w:rsidRDefault="007240AF" w:rsidP="00B964B0">
            <w:pPr>
              <w:rPr>
                <w:rFonts w:ascii="Arial Narrow" w:hAnsi="Arial Narrow"/>
                <w:i/>
                <w:iCs/>
                <w:sz w:val="20"/>
                <w:szCs w:val="20"/>
              </w:rPr>
            </w:pPr>
            <w:r w:rsidRPr="00F91CC3">
              <w:rPr>
                <w:rFonts w:ascii="Arial Narrow" w:hAnsi="Arial Narrow"/>
                <w:b/>
                <w:bCs/>
                <w:i/>
                <w:iCs/>
                <w:sz w:val="20"/>
                <w:szCs w:val="20"/>
              </w:rPr>
              <w:t>Clinical criteria:</w:t>
            </w:r>
          </w:p>
        </w:tc>
      </w:tr>
      <w:tr w:rsidR="007240AF" w:rsidRPr="00F91CC3" w14:paraId="5A2B79CB" w14:textId="77777777" w:rsidTr="007240A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25D364" w14:textId="77777777" w:rsidR="007240AF" w:rsidRPr="00F91CC3" w:rsidRDefault="007240AF" w:rsidP="00B964B0">
            <w:pPr>
              <w:rPr>
                <w:rFonts w:ascii="Arial Narrow" w:hAnsi="Arial Narrow"/>
                <w:i/>
                <w:iCs/>
                <w:sz w:val="20"/>
                <w:szCs w:val="20"/>
              </w:rPr>
            </w:pPr>
            <w:r w:rsidRPr="00F91CC3">
              <w:rPr>
                <w:rFonts w:ascii="Arial Narrow" w:hAnsi="Arial Narrow"/>
                <w:i/>
                <w:iCs/>
                <w:sz w:val="20"/>
                <w:szCs w:val="20"/>
              </w:rPr>
              <w:t>Patient must have a sweat chloride value of at least 60 mmol/L by quantitative pilocarpine iontophoresis</w:t>
            </w:r>
          </w:p>
        </w:tc>
      </w:tr>
      <w:tr w:rsidR="007240AF" w:rsidRPr="00F91CC3" w14:paraId="2CD72C51" w14:textId="77777777" w:rsidTr="007240A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16F58F" w14:textId="77777777" w:rsidR="007240AF" w:rsidRPr="00F91CC3" w:rsidRDefault="007240AF" w:rsidP="00B964B0">
            <w:pPr>
              <w:rPr>
                <w:rFonts w:ascii="Arial Narrow" w:hAnsi="Arial Narrow"/>
                <w:b/>
                <w:bCs/>
                <w:sz w:val="20"/>
                <w:szCs w:val="20"/>
              </w:rPr>
            </w:pPr>
            <w:r w:rsidRPr="00F91CC3">
              <w:rPr>
                <w:rFonts w:ascii="Arial Narrow" w:hAnsi="Arial Narrow"/>
                <w:b/>
                <w:bCs/>
                <w:sz w:val="20"/>
                <w:szCs w:val="20"/>
              </w:rPr>
              <w:t>AND</w:t>
            </w:r>
          </w:p>
        </w:tc>
      </w:tr>
      <w:tr w:rsidR="007240AF" w:rsidRPr="00F91CC3" w14:paraId="78766A7E" w14:textId="77777777" w:rsidTr="007240A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CAA707" w14:textId="77777777" w:rsidR="007240AF" w:rsidRPr="00F91CC3" w:rsidRDefault="007240AF" w:rsidP="00B964B0">
            <w:pPr>
              <w:rPr>
                <w:rFonts w:ascii="Arial Narrow" w:hAnsi="Arial Narrow"/>
                <w:b/>
                <w:bCs/>
                <w:sz w:val="20"/>
                <w:szCs w:val="20"/>
              </w:rPr>
            </w:pPr>
            <w:r w:rsidRPr="00F91CC3">
              <w:rPr>
                <w:rFonts w:ascii="Arial Narrow" w:hAnsi="Arial Narrow"/>
                <w:b/>
                <w:bCs/>
                <w:sz w:val="20"/>
                <w:szCs w:val="20"/>
              </w:rPr>
              <w:t>Clinical criteria:</w:t>
            </w:r>
          </w:p>
        </w:tc>
      </w:tr>
      <w:tr w:rsidR="007240AF" w:rsidRPr="00F91CC3" w14:paraId="0E24E93A" w14:textId="77777777" w:rsidTr="007240A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9F5FA4" w14:textId="77777777" w:rsidR="007240AF" w:rsidRPr="00F91CC3" w:rsidRDefault="007240AF" w:rsidP="00B964B0">
            <w:pPr>
              <w:rPr>
                <w:rFonts w:ascii="Arial Narrow" w:hAnsi="Arial Narrow"/>
                <w:sz w:val="20"/>
                <w:szCs w:val="20"/>
              </w:rPr>
            </w:pPr>
            <w:r w:rsidRPr="00F91CC3">
              <w:rPr>
                <w:rFonts w:ascii="Arial Narrow" w:hAnsi="Arial Narrow"/>
                <w:sz w:val="20"/>
                <w:szCs w:val="20"/>
              </w:rPr>
              <w:t xml:space="preserve">Patient must have at least one mutation in the </w:t>
            </w:r>
            <w:r w:rsidRPr="00F91CC3">
              <w:rPr>
                <w:rFonts w:ascii="Arial Narrow" w:hAnsi="Arial Narrow"/>
                <w:i/>
                <w:iCs/>
                <w:sz w:val="20"/>
                <w:szCs w:val="20"/>
              </w:rPr>
              <w:t>CFTR</w:t>
            </w:r>
            <w:r w:rsidRPr="00F91CC3">
              <w:rPr>
                <w:rFonts w:ascii="Arial Narrow" w:hAnsi="Arial Narrow"/>
                <w:sz w:val="20"/>
                <w:szCs w:val="20"/>
              </w:rPr>
              <w:t xml:space="preserve"> gene that is responsive to ivacaftor potentiation based on clinical and/or </w:t>
            </w:r>
            <w:r w:rsidRPr="00F91CC3">
              <w:rPr>
                <w:rFonts w:ascii="Arial Narrow" w:hAnsi="Arial Narrow"/>
                <w:i/>
                <w:sz w:val="20"/>
                <w:szCs w:val="20"/>
              </w:rPr>
              <w:t>in vitro</w:t>
            </w:r>
            <w:r w:rsidRPr="00F91CC3">
              <w:rPr>
                <w:rFonts w:ascii="Arial Narrow" w:hAnsi="Arial Narrow"/>
                <w:sz w:val="20"/>
                <w:szCs w:val="20"/>
              </w:rPr>
              <w:t xml:space="preserve"> assay data</w:t>
            </w:r>
          </w:p>
        </w:tc>
      </w:tr>
      <w:tr w:rsidR="007240AF" w:rsidRPr="00F91CC3" w14:paraId="684C7239" w14:textId="77777777" w:rsidTr="007240A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C19A62" w14:textId="77777777" w:rsidR="007240AF" w:rsidRPr="00F91CC3" w:rsidRDefault="007240AF" w:rsidP="00B964B0">
            <w:pPr>
              <w:rPr>
                <w:rFonts w:ascii="Arial Narrow" w:hAnsi="Arial Narrow"/>
                <w:sz w:val="20"/>
                <w:szCs w:val="20"/>
              </w:rPr>
            </w:pPr>
            <w:r w:rsidRPr="00F91CC3">
              <w:rPr>
                <w:rFonts w:ascii="Arial Narrow" w:hAnsi="Arial Narrow"/>
                <w:b/>
                <w:bCs/>
                <w:sz w:val="20"/>
                <w:szCs w:val="20"/>
              </w:rPr>
              <w:t>AND</w:t>
            </w:r>
          </w:p>
        </w:tc>
      </w:tr>
      <w:tr w:rsidR="007240AF" w:rsidRPr="00F91CC3" w14:paraId="149463DF" w14:textId="77777777" w:rsidTr="007240A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7E050D" w14:textId="77777777" w:rsidR="007240AF" w:rsidRPr="00F91CC3" w:rsidRDefault="007240AF" w:rsidP="00B964B0">
            <w:pPr>
              <w:rPr>
                <w:rFonts w:ascii="Arial Narrow" w:hAnsi="Arial Narrow"/>
                <w:sz w:val="20"/>
                <w:szCs w:val="20"/>
              </w:rPr>
            </w:pPr>
            <w:r w:rsidRPr="00F91CC3">
              <w:rPr>
                <w:rFonts w:ascii="Arial Narrow" w:hAnsi="Arial Narrow"/>
                <w:b/>
                <w:bCs/>
                <w:sz w:val="20"/>
                <w:szCs w:val="20"/>
              </w:rPr>
              <w:t>Clinical criteria:</w:t>
            </w:r>
          </w:p>
        </w:tc>
      </w:tr>
      <w:tr w:rsidR="007240AF" w:rsidRPr="00F91CC3" w14:paraId="0A539349" w14:textId="77777777" w:rsidTr="007240A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7D1320" w14:textId="77777777" w:rsidR="007240AF" w:rsidRPr="00F91CC3" w:rsidRDefault="007240AF" w:rsidP="00B964B0">
            <w:pPr>
              <w:rPr>
                <w:rFonts w:ascii="Arial Narrow" w:hAnsi="Arial Narrow"/>
                <w:sz w:val="20"/>
                <w:szCs w:val="20"/>
              </w:rPr>
            </w:pPr>
            <w:r w:rsidRPr="00F91CC3">
              <w:rPr>
                <w:rFonts w:ascii="Arial Narrow" w:hAnsi="Arial Narrow"/>
                <w:sz w:val="20"/>
                <w:szCs w:val="20"/>
              </w:rPr>
              <w:t>The treatment must be given concomitantly with standard therapy for this condition.</w:t>
            </w:r>
          </w:p>
        </w:tc>
      </w:tr>
      <w:tr w:rsidR="007240AF" w:rsidRPr="00F91CC3" w14:paraId="55C17460" w14:textId="77777777" w:rsidTr="007240A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F2555B" w14:textId="77777777" w:rsidR="007240AF" w:rsidRPr="00F91CC3" w:rsidRDefault="007240AF" w:rsidP="00B964B0">
            <w:pPr>
              <w:rPr>
                <w:rFonts w:ascii="Arial Narrow" w:hAnsi="Arial Narrow"/>
                <w:b/>
                <w:bCs/>
                <w:i/>
                <w:iCs/>
                <w:sz w:val="20"/>
                <w:szCs w:val="20"/>
              </w:rPr>
            </w:pPr>
            <w:r w:rsidRPr="00F91CC3">
              <w:rPr>
                <w:rFonts w:ascii="Arial Narrow" w:hAnsi="Arial Narrow"/>
                <w:b/>
                <w:bCs/>
                <w:i/>
                <w:iCs/>
                <w:sz w:val="20"/>
                <w:szCs w:val="20"/>
              </w:rPr>
              <w:t>Clinical criteria:</w:t>
            </w:r>
          </w:p>
        </w:tc>
      </w:tr>
      <w:tr w:rsidR="007240AF" w:rsidRPr="00F91CC3" w14:paraId="7787F41C" w14:textId="77777777" w:rsidTr="007240A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9627F7" w14:textId="77777777" w:rsidR="007240AF" w:rsidRPr="00F91CC3" w:rsidRDefault="007240AF" w:rsidP="00B964B0">
            <w:pPr>
              <w:rPr>
                <w:rFonts w:ascii="Arial Narrow" w:hAnsi="Arial Narrow"/>
                <w:i/>
                <w:iCs/>
                <w:sz w:val="20"/>
                <w:szCs w:val="20"/>
              </w:rPr>
            </w:pPr>
            <w:r w:rsidRPr="00F91CC3">
              <w:rPr>
                <w:rFonts w:ascii="Arial Narrow" w:hAnsi="Arial Narrow"/>
                <w:i/>
                <w:iCs/>
                <w:sz w:val="20"/>
                <w:szCs w:val="20"/>
              </w:rPr>
              <w:t xml:space="preserve">Patient must not receive more than 24 weeks of treatment per treatment course authorised under this restriction </w:t>
            </w:r>
          </w:p>
        </w:tc>
      </w:tr>
      <w:tr w:rsidR="007240AF" w:rsidRPr="00F91CC3" w14:paraId="567ECEF7" w14:textId="77777777" w:rsidTr="007240A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CE256E" w14:textId="77777777" w:rsidR="007240AF" w:rsidRPr="00F91CC3" w:rsidRDefault="007240AF" w:rsidP="00B964B0">
            <w:pPr>
              <w:rPr>
                <w:rFonts w:ascii="Arial Narrow" w:hAnsi="Arial Narrow"/>
                <w:b/>
                <w:bCs/>
                <w:sz w:val="20"/>
                <w:szCs w:val="20"/>
              </w:rPr>
            </w:pPr>
            <w:r w:rsidRPr="00F91CC3">
              <w:rPr>
                <w:rFonts w:ascii="Arial Narrow" w:hAnsi="Arial Narrow"/>
                <w:b/>
                <w:bCs/>
                <w:sz w:val="20"/>
                <w:szCs w:val="20"/>
              </w:rPr>
              <w:t>AND</w:t>
            </w:r>
          </w:p>
        </w:tc>
      </w:tr>
      <w:tr w:rsidR="007240AF" w:rsidRPr="00F91CC3" w14:paraId="706C6BB4" w14:textId="77777777" w:rsidTr="007240A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1212EA" w14:textId="77777777" w:rsidR="007240AF" w:rsidRPr="00F91CC3" w:rsidRDefault="007240AF" w:rsidP="00B964B0">
            <w:pPr>
              <w:rPr>
                <w:rFonts w:ascii="Arial Narrow" w:hAnsi="Arial Narrow"/>
                <w:sz w:val="20"/>
                <w:szCs w:val="20"/>
              </w:rPr>
            </w:pPr>
            <w:r w:rsidRPr="00F91CC3">
              <w:rPr>
                <w:rFonts w:ascii="Arial Narrow" w:hAnsi="Arial Narrow"/>
                <w:b/>
                <w:bCs/>
                <w:sz w:val="20"/>
                <w:szCs w:val="20"/>
              </w:rPr>
              <w:t>Population criteria:</w:t>
            </w:r>
          </w:p>
        </w:tc>
      </w:tr>
      <w:tr w:rsidR="007240AF" w:rsidRPr="00F91CC3" w14:paraId="2C11D31A" w14:textId="77777777" w:rsidTr="007240A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990998" w14:textId="77777777" w:rsidR="007240AF" w:rsidRPr="00F91CC3" w:rsidRDefault="007240AF" w:rsidP="00B964B0">
            <w:pPr>
              <w:rPr>
                <w:rFonts w:ascii="Arial Narrow" w:hAnsi="Arial Narrow"/>
                <w:sz w:val="20"/>
                <w:szCs w:val="20"/>
              </w:rPr>
            </w:pPr>
            <w:r w:rsidRPr="00F91CC3">
              <w:rPr>
                <w:rFonts w:ascii="Arial Narrow" w:hAnsi="Arial Narrow"/>
                <w:sz w:val="20"/>
                <w:szCs w:val="20"/>
              </w:rPr>
              <w:t>Patient must be aged 4 months or older</w:t>
            </w:r>
          </w:p>
        </w:tc>
      </w:tr>
      <w:tr w:rsidR="007240AF" w:rsidRPr="00F91CC3" w14:paraId="3E342E98" w14:textId="77777777" w:rsidTr="007240A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559B51" w14:textId="77777777" w:rsidR="007240AF" w:rsidRPr="00F91CC3" w:rsidRDefault="007240AF" w:rsidP="00B964B0">
            <w:pPr>
              <w:rPr>
                <w:rFonts w:ascii="Arial Narrow" w:hAnsi="Arial Narrow"/>
                <w:sz w:val="20"/>
                <w:szCs w:val="20"/>
              </w:rPr>
            </w:pPr>
            <w:r w:rsidRPr="00F91CC3">
              <w:rPr>
                <w:rFonts w:ascii="Arial Narrow" w:hAnsi="Arial Narrow"/>
                <w:b/>
                <w:bCs/>
                <w:sz w:val="20"/>
                <w:szCs w:val="20"/>
              </w:rPr>
              <w:t>Prescribing Instructions:</w:t>
            </w:r>
            <w:r w:rsidRPr="00F91CC3">
              <w:rPr>
                <w:rFonts w:ascii="Arial Narrow" w:hAnsi="Arial Narrow"/>
                <w:sz w:val="20"/>
                <w:szCs w:val="20"/>
              </w:rPr>
              <w:t xml:space="preserve"> </w:t>
            </w:r>
          </w:p>
        </w:tc>
      </w:tr>
      <w:tr w:rsidR="007240AF" w:rsidRPr="00F91CC3" w14:paraId="5AC7C8B5" w14:textId="77777777" w:rsidTr="007240A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02D58F" w14:textId="77777777" w:rsidR="007240AF" w:rsidRPr="00F91CC3" w:rsidRDefault="007240AF" w:rsidP="00B964B0">
            <w:pPr>
              <w:rPr>
                <w:rFonts w:ascii="Arial Narrow" w:hAnsi="Arial Narrow"/>
                <w:sz w:val="20"/>
                <w:szCs w:val="20"/>
              </w:rPr>
            </w:pPr>
            <w:r w:rsidRPr="00F91CC3">
              <w:rPr>
                <w:rFonts w:ascii="Arial Narrow" w:hAnsi="Arial Narrow"/>
                <w:sz w:val="20"/>
                <w:szCs w:val="20"/>
              </w:rPr>
              <w:t>For the purposes of this restriction, the list of mutations considered to be responsive to ivacaftor is defined in the TGA approved product information</w:t>
            </w:r>
          </w:p>
        </w:tc>
      </w:tr>
      <w:tr w:rsidR="007240AF" w:rsidRPr="00F91CC3" w14:paraId="0B711503" w14:textId="77777777" w:rsidTr="007240AF">
        <w:trPr>
          <w:trHeight w:val="2145"/>
        </w:trPr>
        <w:tc>
          <w:tcPr>
            <w:tcW w:w="5000" w:type="pc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661A4AC4" w14:textId="77777777" w:rsidR="007240AF" w:rsidRPr="00F91CC3" w:rsidRDefault="007240AF" w:rsidP="00B964B0">
            <w:pPr>
              <w:rPr>
                <w:rFonts w:ascii="Arial Narrow" w:hAnsi="Arial Narrow"/>
                <w:sz w:val="20"/>
                <w:szCs w:val="20"/>
              </w:rPr>
            </w:pPr>
            <w:r w:rsidRPr="00F91CC3">
              <w:rPr>
                <w:rFonts w:ascii="Arial Narrow" w:hAnsi="Arial Narrow"/>
                <w:sz w:val="20"/>
                <w:szCs w:val="20"/>
              </w:rPr>
              <w:t>Dosage of ivacaftor must not exceed the dose of one tablet (150 mg) or one sachet twice a week, if the patient is concomitantly receiving one of the following strong CYP3A4 drugs inhibitors: boceprevir, clarithromycin, conivaptan, indinavir, itraconazole, ketoconazole, lopinavir/ritonavir, mibefradil, nefazodone, nelfinavir, posaconazole, ritonavir, saquinavir, telaprevir, telithromycin, voriconazole. Where a patient is concomitantly receiving a strong CYP3A4 inhibitor, a single supply of 56 tablets or sachets of ivacaftor will last for 28 weeks.</w:t>
            </w:r>
          </w:p>
          <w:p w14:paraId="19B337D1" w14:textId="77777777" w:rsidR="007240AF" w:rsidRPr="00F91CC3" w:rsidRDefault="007240AF" w:rsidP="00B964B0">
            <w:pPr>
              <w:rPr>
                <w:rFonts w:ascii="Arial Narrow" w:hAnsi="Arial Narrow"/>
                <w:sz w:val="20"/>
                <w:szCs w:val="20"/>
              </w:rPr>
            </w:pPr>
            <w:r w:rsidRPr="00F91CC3">
              <w:rPr>
                <w:rFonts w:ascii="Arial Narrow" w:hAnsi="Arial Narrow"/>
                <w:sz w:val="20"/>
                <w:szCs w:val="20"/>
              </w:rPr>
              <w:t>Dosage of ivacaftor must not exceed the dose of one tablet (150 mg) or one sachet once daily, if the patient is concomitantly receiving one of the following moderate CYP3A4 inhibitors: amprenavir, aprepitant, atazanavir, darunavir/ritonavir, diltiazem, erythromycin, fluconazole, fosamprenavir, imatinib, verapamil. Where a patient is concomitantly receiving a moderate CYP3A4 inhibitor, a single supply of 56 tablets or sachets of ivacaftor will last for 8 weeks.</w:t>
            </w:r>
          </w:p>
        </w:tc>
      </w:tr>
      <w:tr w:rsidR="007240AF" w:rsidRPr="00F91CC3" w14:paraId="441EDE49" w14:textId="77777777" w:rsidTr="007240A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56A8AE" w14:textId="77777777" w:rsidR="007240AF" w:rsidRPr="00F91CC3" w:rsidRDefault="007240AF" w:rsidP="00B964B0">
            <w:pPr>
              <w:rPr>
                <w:rFonts w:ascii="Arial Narrow" w:hAnsi="Arial Narrow"/>
                <w:sz w:val="20"/>
                <w:szCs w:val="20"/>
              </w:rPr>
            </w:pPr>
            <w:r w:rsidRPr="00F91CC3">
              <w:rPr>
                <w:rFonts w:ascii="Arial Narrow" w:hAnsi="Arial Narrow"/>
                <w:sz w:val="20"/>
                <w:szCs w:val="20"/>
              </w:rPr>
              <w:t>Ivacaftor is not PBS-subsidised for this condition as a sole therapy.</w:t>
            </w:r>
          </w:p>
          <w:p w14:paraId="0B91DD60" w14:textId="77777777" w:rsidR="007240AF" w:rsidRPr="00F91CC3" w:rsidRDefault="007240AF" w:rsidP="00B964B0">
            <w:pPr>
              <w:rPr>
                <w:rFonts w:ascii="Arial Narrow" w:hAnsi="Arial Narrow"/>
                <w:sz w:val="20"/>
                <w:szCs w:val="20"/>
              </w:rPr>
            </w:pPr>
          </w:p>
          <w:p w14:paraId="75E66E42" w14:textId="77777777" w:rsidR="007240AF" w:rsidRPr="00F91CC3" w:rsidRDefault="007240AF" w:rsidP="00B964B0">
            <w:pPr>
              <w:rPr>
                <w:rFonts w:ascii="Arial Narrow" w:hAnsi="Arial Narrow"/>
                <w:sz w:val="20"/>
                <w:szCs w:val="20"/>
              </w:rPr>
            </w:pPr>
            <w:r w:rsidRPr="00F91CC3">
              <w:rPr>
                <w:rFonts w:ascii="Arial Narrow" w:hAnsi="Arial Narrow"/>
                <w:sz w:val="20"/>
                <w:szCs w:val="20"/>
              </w:rPr>
              <w:t>Ivacaftor is not PBS-subsidised for this condition in a patient who is currently receiving one of the following CYP3A4 inducers:</w:t>
            </w:r>
          </w:p>
          <w:p w14:paraId="2420D7A2" w14:textId="77777777" w:rsidR="007240AF" w:rsidRPr="00F91CC3" w:rsidRDefault="007240AF" w:rsidP="00B964B0">
            <w:pPr>
              <w:rPr>
                <w:rFonts w:ascii="Arial Narrow" w:hAnsi="Arial Narrow"/>
                <w:sz w:val="20"/>
                <w:szCs w:val="20"/>
              </w:rPr>
            </w:pPr>
          </w:p>
          <w:p w14:paraId="1AFD2CDB" w14:textId="77777777" w:rsidR="007240AF" w:rsidRPr="00F91CC3" w:rsidRDefault="007240AF" w:rsidP="00B964B0">
            <w:pPr>
              <w:rPr>
                <w:rFonts w:ascii="Arial Narrow" w:hAnsi="Arial Narrow"/>
                <w:sz w:val="20"/>
                <w:szCs w:val="20"/>
              </w:rPr>
            </w:pPr>
            <w:r w:rsidRPr="00F91CC3">
              <w:rPr>
                <w:rFonts w:ascii="Arial Narrow" w:hAnsi="Arial Narrow"/>
                <w:sz w:val="20"/>
                <w:szCs w:val="20"/>
              </w:rPr>
              <w:t>Strong CYP3A4 inducers: avasimibe, carbamazepine, phenobarbital, phenytoin, rifabutin, rifampicin, St. John's wort</w:t>
            </w:r>
          </w:p>
          <w:p w14:paraId="7DAEA093" w14:textId="77777777" w:rsidR="007240AF" w:rsidRPr="00F91CC3" w:rsidRDefault="007240AF" w:rsidP="00B964B0">
            <w:pPr>
              <w:rPr>
                <w:rFonts w:ascii="Arial Narrow" w:hAnsi="Arial Narrow"/>
                <w:sz w:val="20"/>
                <w:szCs w:val="20"/>
              </w:rPr>
            </w:pPr>
          </w:p>
          <w:p w14:paraId="2F53317F" w14:textId="77777777" w:rsidR="007240AF" w:rsidRPr="00F91CC3" w:rsidRDefault="007240AF" w:rsidP="00B964B0">
            <w:pPr>
              <w:rPr>
                <w:rFonts w:ascii="Arial Narrow" w:hAnsi="Arial Narrow"/>
                <w:sz w:val="20"/>
                <w:szCs w:val="20"/>
              </w:rPr>
            </w:pPr>
            <w:r w:rsidRPr="00F91CC3">
              <w:rPr>
                <w:rFonts w:ascii="Arial Narrow" w:hAnsi="Arial Narrow"/>
                <w:sz w:val="20"/>
                <w:szCs w:val="20"/>
              </w:rPr>
              <w:lastRenderedPageBreak/>
              <w:t>Moderate CYP3A4 inducers: bosentan, efavirenz, etravirine, modafinil, nafcillin</w:t>
            </w:r>
          </w:p>
          <w:p w14:paraId="259EA5FC" w14:textId="77777777" w:rsidR="007240AF" w:rsidRPr="00F91CC3" w:rsidRDefault="007240AF" w:rsidP="00B964B0">
            <w:pPr>
              <w:rPr>
                <w:rFonts w:ascii="Arial Narrow" w:hAnsi="Arial Narrow"/>
                <w:sz w:val="20"/>
                <w:szCs w:val="20"/>
              </w:rPr>
            </w:pPr>
          </w:p>
          <w:p w14:paraId="52528E03" w14:textId="77777777" w:rsidR="007240AF" w:rsidRPr="00F91CC3" w:rsidRDefault="007240AF" w:rsidP="00B964B0">
            <w:pPr>
              <w:rPr>
                <w:rFonts w:ascii="Arial Narrow" w:hAnsi="Arial Narrow"/>
                <w:sz w:val="20"/>
                <w:szCs w:val="20"/>
              </w:rPr>
            </w:pPr>
            <w:r w:rsidRPr="00F91CC3">
              <w:rPr>
                <w:rFonts w:ascii="Arial Narrow" w:hAnsi="Arial Narrow"/>
                <w:sz w:val="20"/>
                <w:szCs w:val="20"/>
              </w:rPr>
              <w:t>Weak CYP3A4 inducers: armodafinil, echinacea, pioglitazone, rufinamide.</w:t>
            </w:r>
          </w:p>
        </w:tc>
      </w:tr>
      <w:tr w:rsidR="007240AF" w:rsidRPr="00F91CC3" w14:paraId="6EF6BD0E" w14:textId="77777777" w:rsidTr="007240AF">
        <w:trPr>
          <w:trHeight w:val="831"/>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E10909" w14:textId="77777777" w:rsidR="007240AF" w:rsidRPr="00F91CC3" w:rsidRDefault="007240AF" w:rsidP="00B964B0">
            <w:pPr>
              <w:rPr>
                <w:rFonts w:ascii="Arial Narrow" w:hAnsi="Arial Narrow"/>
                <w:sz w:val="20"/>
                <w:szCs w:val="20"/>
              </w:rPr>
            </w:pPr>
            <w:r w:rsidRPr="00F91CC3">
              <w:rPr>
                <w:rFonts w:ascii="Arial Narrow" w:hAnsi="Arial Narrow"/>
                <w:sz w:val="20"/>
                <w:szCs w:val="20"/>
              </w:rPr>
              <w:lastRenderedPageBreak/>
              <w:t>The authority application must be in writing and must include:</w:t>
            </w:r>
          </w:p>
          <w:p w14:paraId="2D24581E" w14:textId="77777777" w:rsidR="007240AF" w:rsidRPr="00F91CC3" w:rsidRDefault="007240AF" w:rsidP="00B964B0">
            <w:pPr>
              <w:rPr>
                <w:rFonts w:ascii="Arial Narrow" w:hAnsi="Arial Narrow"/>
                <w:sz w:val="20"/>
                <w:szCs w:val="20"/>
              </w:rPr>
            </w:pPr>
          </w:p>
          <w:p w14:paraId="66553310" w14:textId="77777777" w:rsidR="007240AF" w:rsidRPr="00F91CC3" w:rsidRDefault="007240AF" w:rsidP="00B964B0">
            <w:pPr>
              <w:rPr>
                <w:rFonts w:ascii="Arial Narrow" w:hAnsi="Arial Narrow"/>
                <w:sz w:val="20"/>
                <w:szCs w:val="20"/>
              </w:rPr>
            </w:pPr>
            <w:r w:rsidRPr="00F91CC3">
              <w:rPr>
                <w:rFonts w:ascii="Arial Narrow" w:hAnsi="Arial Narrow"/>
                <w:sz w:val="20"/>
                <w:szCs w:val="20"/>
              </w:rPr>
              <w:t>(1) a completed authority prescription; and</w:t>
            </w:r>
          </w:p>
          <w:p w14:paraId="6D94E78B" w14:textId="77777777" w:rsidR="007240AF" w:rsidRPr="00F91CC3" w:rsidRDefault="007240AF" w:rsidP="00B964B0">
            <w:pPr>
              <w:rPr>
                <w:rFonts w:ascii="Arial Narrow" w:hAnsi="Arial Narrow"/>
                <w:sz w:val="20"/>
                <w:szCs w:val="20"/>
              </w:rPr>
            </w:pPr>
          </w:p>
          <w:p w14:paraId="0483AD92" w14:textId="77777777" w:rsidR="007240AF" w:rsidRPr="00F91CC3" w:rsidRDefault="007240AF" w:rsidP="00B964B0">
            <w:pPr>
              <w:rPr>
                <w:rFonts w:ascii="Arial Narrow" w:hAnsi="Arial Narrow"/>
                <w:sz w:val="20"/>
                <w:szCs w:val="20"/>
              </w:rPr>
            </w:pPr>
            <w:r w:rsidRPr="00F91CC3">
              <w:rPr>
                <w:rFonts w:ascii="Arial Narrow" w:hAnsi="Arial Narrow"/>
                <w:sz w:val="20"/>
                <w:szCs w:val="20"/>
              </w:rPr>
              <w:t>(2) a completed Cystic Fibrosis Authority Application Supporting Information Form; and</w:t>
            </w:r>
          </w:p>
          <w:p w14:paraId="4AA66712" w14:textId="77777777" w:rsidR="007240AF" w:rsidRPr="00F91CC3" w:rsidRDefault="007240AF" w:rsidP="00B964B0">
            <w:pPr>
              <w:rPr>
                <w:rFonts w:ascii="Arial Narrow" w:hAnsi="Arial Narrow"/>
                <w:sz w:val="20"/>
                <w:szCs w:val="20"/>
              </w:rPr>
            </w:pPr>
          </w:p>
          <w:p w14:paraId="6CCCFDBF" w14:textId="77777777" w:rsidR="007240AF" w:rsidRPr="00F91CC3" w:rsidRDefault="007240AF" w:rsidP="00B964B0">
            <w:pPr>
              <w:rPr>
                <w:rFonts w:ascii="Arial Narrow" w:hAnsi="Arial Narrow"/>
                <w:sz w:val="20"/>
                <w:szCs w:val="20"/>
              </w:rPr>
            </w:pPr>
            <w:r w:rsidRPr="00F91CC3">
              <w:rPr>
                <w:rFonts w:ascii="Arial Narrow" w:hAnsi="Arial Narrow"/>
                <w:sz w:val="20"/>
                <w:szCs w:val="20"/>
              </w:rPr>
              <w:t xml:space="preserve">(3) details of the pathology report substantiating </w:t>
            </w:r>
            <w:r w:rsidRPr="00F91CC3">
              <w:rPr>
                <w:rFonts w:ascii="Arial Narrow" w:hAnsi="Arial Narrow"/>
                <w:i/>
                <w:iCs/>
                <w:sz w:val="20"/>
                <w:szCs w:val="20"/>
              </w:rPr>
              <w:t xml:space="preserve">the specific mutation considered to be responsive to ivacaftor as listed in the TGA approved PI </w:t>
            </w:r>
            <w:r w:rsidRPr="00F91CC3">
              <w:rPr>
                <w:rFonts w:ascii="Arial Narrow" w:hAnsi="Arial Narrow"/>
                <w:strike/>
                <w:sz w:val="20"/>
                <w:szCs w:val="20"/>
              </w:rPr>
              <w:t>G551D mutation or other gating (Class III)</w:t>
            </w:r>
            <w:r w:rsidRPr="00F91CC3">
              <w:rPr>
                <w:rFonts w:ascii="Arial Narrow" w:hAnsi="Arial Narrow"/>
                <w:sz w:val="20"/>
                <w:szCs w:val="20"/>
              </w:rPr>
              <w:t xml:space="preserve"> mutation on the CFTR gene - quote each of the: (i) name of the pathology report provider, (ii) date of pathology report, (iii) unique identifying number/code that links the pathology result to the individual patient</w:t>
            </w:r>
            <w:r w:rsidRPr="00F91CC3">
              <w:rPr>
                <w:rFonts w:ascii="Arial Narrow" w:hAnsi="Arial Narrow"/>
                <w:i/>
                <w:iCs/>
                <w:sz w:val="20"/>
                <w:szCs w:val="20"/>
              </w:rPr>
              <w:t xml:space="preserve">, </w:t>
            </w:r>
            <w:r w:rsidRPr="00F91CC3">
              <w:rPr>
                <w:rFonts w:ascii="Arial Narrow" w:hAnsi="Arial Narrow"/>
                <w:sz w:val="20"/>
                <w:szCs w:val="20"/>
              </w:rPr>
              <w:t>and</w:t>
            </w:r>
          </w:p>
          <w:p w14:paraId="0F2F6AEC" w14:textId="77777777" w:rsidR="007240AF" w:rsidRPr="00F91CC3" w:rsidRDefault="007240AF" w:rsidP="00B964B0">
            <w:pPr>
              <w:rPr>
                <w:rFonts w:ascii="Arial Narrow" w:hAnsi="Arial Narrow"/>
                <w:sz w:val="20"/>
                <w:szCs w:val="20"/>
              </w:rPr>
            </w:pPr>
          </w:p>
          <w:p w14:paraId="29258DD1" w14:textId="77777777" w:rsidR="007240AF" w:rsidRPr="00F91CC3" w:rsidRDefault="007240AF" w:rsidP="00B964B0">
            <w:pPr>
              <w:rPr>
                <w:rFonts w:ascii="Arial Narrow" w:hAnsi="Arial Narrow"/>
                <w:sz w:val="20"/>
                <w:szCs w:val="20"/>
              </w:rPr>
            </w:pPr>
            <w:r w:rsidRPr="00F91CC3">
              <w:rPr>
                <w:rFonts w:ascii="Arial Narrow" w:hAnsi="Arial Narrow"/>
                <w:sz w:val="20"/>
                <w:szCs w:val="20"/>
              </w:rPr>
              <w:t>(4) current CYP3A4 inhibitors, CYP3A4 inducers and IV antibiotics; and</w:t>
            </w:r>
          </w:p>
          <w:p w14:paraId="20BE599A" w14:textId="77777777" w:rsidR="007240AF" w:rsidRPr="00F91CC3" w:rsidRDefault="007240AF" w:rsidP="00B964B0">
            <w:pPr>
              <w:rPr>
                <w:rFonts w:ascii="Arial Narrow" w:hAnsi="Arial Narrow"/>
                <w:sz w:val="20"/>
                <w:szCs w:val="20"/>
              </w:rPr>
            </w:pPr>
          </w:p>
          <w:p w14:paraId="41803825" w14:textId="77777777" w:rsidR="007240AF" w:rsidRPr="00F91CC3" w:rsidRDefault="007240AF" w:rsidP="00B964B0">
            <w:pPr>
              <w:rPr>
                <w:rFonts w:ascii="Arial Narrow" w:hAnsi="Arial Narrow"/>
                <w:sz w:val="20"/>
                <w:szCs w:val="20"/>
              </w:rPr>
            </w:pPr>
            <w:r w:rsidRPr="00F91CC3">
              <w:rPr>
                <w:rFonts w:ascii="Arial Narrow" w:hAnsi="Arial Narrow"/>
                <w:sz w:val="20"/>
                <w:szCs w:val="20"/>
              </w:rPr>
              <w:t>(5) sweat chloride result.</w:t>
            </w:r>
          </w:p>
        </w:tc>
      </w:tr>
    </w:tbl>
    <w:p w14:paraId="3D4BA23F" w14:textId="58629D17" w:rsidR="00712DD7" w:rsidRPr="00F91CC3" w:rsidRDefault="00712DD7" w:rsidP="00712DD7">
      <w:pPr>
        <w:pStyle w:val="FooterTableFigure"/>
      </w:pPr>
      <w:r w:rsidRPr="00F91CC3">
        <w:t xml:space="preserve">Source: </w:t>
      </w:r>
      <w:r w:rsidR="00FD2D49" w:rsidRPr="00F91CC3">
        <w:t xml:space="preserve">Table 1.4.1, p50 of the submission, Table 4.4.4, p218 of the submission; </w:t>
      </w:r>
      <w:r w:rsidRPr="00F91CC3">
        <w:t xml:space="preserve">Unlabelled Table, pp51-52 of the submission. </w:t>
      </w:r>
    </w:p>
    <w:p w14:paraId="199C1990" w14:textId="6F6EB68C" w:rsidR="00712DD7" w:rsidRPr="00F91CC3" w:rsidRDefault="00712DD7" w:rsidP="00712DD7">
      <w:pPr>
        <w:pStyle w:val="FooterTableFigure"/>
      </w:pPr>
      <w:r w:rsidRPr="00F91CC3">
        <w:t>CFTR = Cystic fibrosis transmembrane conductance regulator; IV = intravenous; PBS = Pharmaceutical Benefits Scheme.</w:t>
      </w:r>
    </w:p>
    <w:p w14:paraId="055E1BD7" w14:textId="682427CB" w:rsidR="00FD2D49" w:rsidRPr="00F91CC3" w:rsidRDefault="00FD2D49" w:rsidP="00712DD7">
      <w:pPr>
        <w:pStyle w:val="FooterTableFigure"/>
      </w:pPr>
      <w:r w:rsidRPr="00F91CC3">
        <w:rPr>
          <w:vertAlign w:val="superscript"/>
        </w:rPr>
        <w:t>a</w:t>
      </w:r>
      <w:r w:rsidRPr="00F91CC3">
        <w:t xml:space="preserve"> calculated during the evaluation as the public effective price plus the PBS ready dispensing fee and $40 mark-up.</w:t>
      </w:r>
    </w:p>
    <w:p w14:paraId="64CE9505" w14:textId="2EA2A770" w:rsidR="00712DD7" w:rsidRPr="00F91CC3" w:rsidRDefault="00712DD7" w:rsidP="005142A2">
      <w:pPr>
        <w:pStyle w:val="3-BodyText"/>
        <w:rPr>
          <w:i/>
          <w:iCs/>
        </w:rPr>
      </w:pPr>
      <w:r w:rsidRPr="00F91CC3">
        <w:t xml:space="preserve">The submission proposed a </w:t>
      </w:r>
      <w:r w:rsidR="00F91CC3">
        <w:t>S</w:t>
      </w:r>
      <w:r w:rsidR="00F91CC3" w:rsidRPr="00F91CC3">
        <w:t xml:space="preserve">pecial </w:t>
      </w:r>
      <w:r w:rsidR="00F91CC3">
        <w:t>P</w:t>
      </w:r>
      <w:r w:rsidR="00F91CC3" w:rsidRPr="00F91CC3">
        <w:t xml:space="preserve">ricing </w:t>
      </w:r>
      <w:r w:rsidR="00F91CC3">
        <w:t>A</w:t>
      </w:r>
      <w:r w:rsidR="00F91CC3" w:rsidRPr="00F91CC3">
        <w:t xml:space="preserve">rrangement </w:t>
      </w:r>
      <w:r w:rsidR="00C4106C" w:rsidRPr="00F91CC3">
        <w:t xml:space="preserve">(SPA) </w:t>
      </w:r>
      <w:r w:rsidRPr="00F91CC3">
        <w:t>with published and effective prices</w:t>
      </w:r>
      <w:r w:rsidR="00B34401" w:rsidRPr="00F91CC3">
        <w:t>.</w:t>
      </w:r>
      <w:r w:rsidRPr="00F91CC3">
        <w:t xml:space="preserve"> </w:t>
      </w:r>
    </w:p>
    <w:p w14:paraId="448BF13B" w14:textId="0884E5F4" w:rsidR="007240AF" w:rsidRPr="00F91CC3" w:rsidRDefault="007240AF" w:rsidP="007240AF">
      <w:pPr>
        <w:pStyle w:val="3-BodyText"/>
      </w:pPr>
      <w:r w:rsidRPr="00F91CC3">
        <w:t xml:space="preserve">The proposed restriction did not include the clinical criteria: ‘Patient must have a sweat chloride value of at least 60 mmol/L by quantitative pilocarpine iontophoresis’. The pre-PBAC response stated inclusion of a clinical criterion for sweat chloride in the restriction is historical as ivacaftor was the first PBS listed CFTR modulator and the more recent restrictions for the other CFTR modulators do not include this criterion. </w:t>
      </w:r>
    </w:p>
    <w:p w14:paraId="2037B6D9" w14:textId="2D2594BC" w:rsidR="007240AF" w:rsidRPr="00F91CC3" w:rsidRDefault="007240AF" w:rsidP="007240AF">
      <w:pPr>
        <w:pStyle w:val="3-BodyText"/>
      </w:pPr>
      <w:r w:rsidRPr="00F91CC3">
        <w:t>The submission proposed a combined restriction for initial and continuing treatment</w:t>
      </w:r>
      <w:r w:rsidR="00A146B5" w:rsidRPr="00F91CC3">
        <w:t>, while all currently listed CFTR modulators include a</w:t>
      </w:r>
      <w:r w:rsidR="006E6A13" w:rsidRPr="00F91CC3">
        <w:t xml:space="preserve"> separate</w:t>
      </w:r>
      <w:r w:rsidR="00A146B5" w:rsidRPr="00F91CC3">
        <w:t xml:space="preserve"> initial and continuing restriction</w:t>
      </w:r>
      <w:r w:rsidRPr="00F91CC3">
        <w:t xml:space="preserve">. The current ivacaftor initial restriction requests prescribers provide (i) details of pathology report substantiating mutation and (ii) sweat chloride result. The continuing restrictions do not have such requirements. The proposed combined listing requires prescribers to provide this information with all authority applications. </w:t>
      </w:r>
    </w:p>
    <w:p w14:paraId="2349DCBD" w14:textId="2B004838" w:rsidR="0007621A" w:rsidRPr="00F91CC3" w:rsidRDefault="0007621A" w:rsidP="0007621A">
      <w:pPr>
        <w:pStyle w:val="3-BodyText"/>
        <w:numPr>
          <w:ilvl w:val="0"/>
          <w:numId w:val="0"/>
        </w:numPr>
        <w:ind w:left="720"/>
        <w:rPr>
          <w:i/>
          <w:iCs/>
        </w:rPr>
      </w:pPr>
      <w:r w:rsidRPr="00F91CC3">
        <w:rPr>
          <w:i/>
          <w:iCs/>
        </w:rPr>
        <w:t>For more detail on PBAC’s view, see section 7 PBAC outcome.</w:t>
      </w:r>
    </w:p>
    <w:p w14:paraId="6437C691" w14:textId="77777777" w:rsidR="00712DD7" w:rsidRPr="00F91CC3" w:rsidDel="00195452" w:rsidRDefault="00712DD7" w:rsidP="005142A2">
      <w:pPr>
        <w:pStyle w:val="2-SectionHeading"/>
      </w:pPr>
      <w:bookmarkStart w:id="23" w:name="_Toc145484390"/>
      <w:r w:rsidRPr="00F91CC3" w:rsidDel="00195452">
        <w:t>Population and disease</w:t>
      </w:r>
      <w:bookmarkEnd w:id="23"/>
    </w:p>
    <w:p w14:paraId="4AC99C24" w14:textId="6016A528" w:rsidR="00712DD7" w:rsidRPr="00F91CC3" w:rsidRDefault="00712DD7" w:rsidP="005142A2">
      <w:pPr>
        <w:pStyle w:val="3-BodyText"/>
      </w:pPr>
      <w:r w:rsidRPr="00F91CC3">
        <w:t>CF is a rare genetic disease that is caused by mutations in the CFTR gene which impair ion transport across epithelial membranes, causing thick mucus to accumulate within the lungs and obstructing the function of the liver, pancreas, and other organs, resulting in significant morbidity, reduced quality of life and premature mortality.</w:t>
      </w:r>
    </w:p>
    <w:p w14:paraId="3377E766" w14:textId="79E4DE2A" w:rsidR="00712DD7" w:rsidRPr="00F91CC3" w:rsidRDefault="00712DD7" w:rsidP="005142A2">
      <w:pPr>
        <w:pStyle w:val="3-BodyText"/>
      </w:pPr>
      <w:bookmarkStart w:id="24" w:name="_Ref143771645"/>
      <w:r w:rsidRPr="00F91CC3">
        <w:t xml:space="preserve">Ivacaftor is a selective potentiator of the CFTR protein. In vitro, ivacaftor increases the open probability of the CFTR channel gate to enhance chloride transport. This has been demonstrated in normal CFTR and in CFTR mutations that have reduced channel-open probability, such as G551D and R117H. The exact mechanism leading ivacaftor to prolong the gating activity in </w:t>
      </w:r>
      <w:r w:rsidR="002B3C95" w:rsidRPr="00F91CC3">
        <w:t xml:space="preserve">other </w:t>
      </w:r>
      <w:r w:rsidR="00C874B3" w:rsidRPr="00F91CC3">
        <w:t>ivacaftor</w:t>
      </w:r>
      <w:r w:rsidRPr="00F91CC3">
        <w:t xml:space="preserve">-responsive mutations has not been </w:t>
      </w:r>
      <w:r w:rsidRPr="00F91CC3">
        <w:lastRenderedPageBreak/>
        <w:t>completely elucidated. Treatment with ivacaftor is ongoing for the lifetime of the patient and is</w:t>
      </w:r>
      <w:r w:rsidRPr="00F91CC3">
        <w:rPr>
          <w:lang w:eastAsia="en-GB"/>
        </w:rPr>
        <w:t xml:space="preserve"> intended for use as an adjunct to therapies used as part of best supportive care (BSC).</w:t>
      </w:r>
      <w:bookmarkEnd w:id="24"/>
    </w:p>
    <w:p w14:paraId="19F4F120" w14:textId="77777777" w:rsidR="00712DD7" w:rsidRPr="00F91CC3" w:rsidRDefault="00712DD7" w:rsidP="005142A2">
      <w:pPr>
        <w:pStyle w:val="3-BodyText"/>
        <w:rPr>
          <w:i/>
          <w:iCs/>
        </w:rPr>
      </w:pPr>
      <w:r w:rsidRPr="00F91CC3">
        <w:t>The submission stated that for the gating population, the proposed clinical management algorithm is the same as that currently applied when patients are aged 12 months and older. This was appropriate.</w:t>
      </w:r>
    </w:p>
    <w:p w14:paraId="64D30D86" w14:textId="0C40E6D3" w:rsidR="00712DD7" w:rsidRPr="00F91CC3" w:rsidRDefault="004F13D8" w:rsidP="005142A2">
      <w:pPr>
        <w:pStyle w:val="3-BodyText"/>
        <w:rPr>
          <w:i/>
          <w:iCs/>
        </w:rPr>
      </w:pPr>
      <w:r w:rsidRPr="00F91CC3">
        <w:t>T</w:t>
      </w:r>
      <w:r w:rsidR="00712DD7" w:rsidRPr="00F91CC3">
        <w:t xml:space="preserve">he submission stated that patients with an F508del mutation (F) in the </w:t>
      </w:r>
      <w:r w:rsidR="00F91CC3" w:rsidRPr="00F91CC3">
        <w:t>CFTR</w:t>
      </w:r>
      <w:r w:rsidR="00712DD7" w:rsidRPr="00F91CC3">
        <w:t xml:space="preserve"> gene on the other allele will have access to </w:t>
      </w:r>
      <w:r w:rsidR="00712DD7" w:rsidRPr="00F91CC3">
        <w:rPr>
          <w:rFonts w:cs="Calibri"/>
        </w:rPr>
        <w:t xml:space="preserve">ELX/TEZ/IVA </w:t>
      </w:r>
      <w:r w:rsidR="00712DD7" w:rsidRPr="00F91CC3">
        <w:t xml:space="preserve">from 6 years of age; it is expected that these patients will switch to </w:t>
      </w:r>
      <w:r w:rsidR="00712DD7" w:rsidRPr="00F91CC3">
        <w:rPr>
          <w:rFonts w:cs="Calibri"/>
        </w:rPr>
        <w:t xml:space="preserve">ELX/TEZ/IVA from ivacaftor </w:t>
      </w:r>
      <w:r w:rsidR="00712DD7" w:rsidRPr="00F91CC3">
        <w:t>when eligible to do so as recommended by the European Cystic Fibrosis Society (ECFS) consensus guidelines</w:t>
      </w:r>
      <w:r w:rsidR="00712DD7" w:rsidRPr="00F91CC3">
        <w:rPr>
          <w:rStyle w:val="FootnoteReference"/>
        </w:rPr>
        <w:footnoteReference w:id="2"/>
      </w:r>
      <w:r w:rsidR="00712DD7" w:rsidRPr="00F91CC3">
        <w:t xml:space="preserve">. This represents approximately 45% of the </w:t>
      </w:r>
      <w:r w:rsidR="00420F5E" w:rsidRPr="00F91CC3">
        <w:t xml:space="preserve">additional </w:t>
      </w:r>
      <w:r w:rsidR="00712DD7" w:rsidRPr="00F91CC3">
        <w:t>patient population</w:t>
      </w:r>
      <w:r w:rsidR="00496A1F" w:rsidRPr="00F91CC3">
        <w:t>.</w:t>
      </w:r>
      <w:r w:rsidR="00712DD7" w:rsidRPr="00F91CC3">
        <w:t xml:space="preserve"> Additionally, </w:t>
      </w:r>
      <w:r w:rsidR="00712DD7" w:rsidRPr="00F91CC3">
        <w:rPr>
          <w:rFonts w:cs="Calibri"/>
        </w:rPr>
        <w:t xml:space="preserve">patients with an identified non-splice RF mutation in the CFTR gene that is responsive to TEZ/IVA will be eligible for PBS-listed TEZ/IVA from 12 years of age; it is expected that these patients will switch from ivacaftor to TEZ/IVA when eligible to do so. This represents approximately 7% of the </w:t>
      </w:r>
      <w:r w:rsidR="00E7722A" w:rsidRPr="00F91CC3">
        <w:rPr>
          <w:rFonts w:cs="Calibri"/>
        </w:rPr>
        <w:t xml:space="preserve">additional </w:t>
      </w:r>
      <w:r w:rsidR="00712DD7" w:rsidRPr="00F91CC3">
        <w:rPr>
          <w:rFonts w:cs="Calibri"/>
        </w:rPr>
        <w:t xml:space="preserve">patient population. </w:t>
      </w:r>
      <w:r w:rsidR="00712DD7" w:rsidRPr="00F91CC3">
        <w:t xml:space="preserve">See </w:t>
      </w:r>
      <w:r w:rsidR="0080102C" w:rsidRPr="00F91CC3">
        <w:rPr>
          <w:rFonts w:cstheme="minorHAnsi"/>
        </w:rPr>
        <w:fldChar w:fldCharType="begin"/>
      </w:r>
      <w:r w:rsidR="0080102C" w:rsidRPr="00F91CC3">
        <w:rPr>
          <w:rFonts w:cstheme="minorHAnsi"/>
        </w:rPr>
        <w:instrText xml:space="preserve"> REF _Ref145496246 \h  \* MERGEFORMAT </w:instrText>
      </w:r>
      <w:r w:rsidR="0080102C" w:rsidRPr="00F91CC3">
        <w:rPr>
          <w:rFonts w:cstheme="minorHAnsi"/>
        </w:rPr>
      </w:r>
      <w:r w:rsidR="0080102C" w:rsidRPr="00F91CC3">
        <w:rPr>
          <w:rFonts w:cstheme="minorHAnsi"/>
        </w:rPr>
        <w:fldChar w:fldCharType="separate"/>
      </w:r>
      <w:r w:rsidR="008D6198" w:rsidRPr="008D6198">
        <w:rPr>
          <w:rFonts w:cstheme="minorHAnsi"/>
        </w:rPr>
        <w:t>Table 2</w:t>
      </w:r>
      <w:r w:rsidR="0080102C" w:rsidRPr="00F91CC3">
        <w:rPr>
          <w:rFonts w:cstheme="minorHAnsi"/>
        </w:rPr>
        <w:fldChar w:fldCharType="end"/>
      </w:r>
      <w:r w:rsidR="00712DD7" w:rsidRPr="00F91CC3">
        <w:rPr>
          <w:rFonts w:cstheme="minorHAnsi"/>
        </w:rPr>
        <w:t xml:space="preserve"> </w:t>
      </w:r>
      <w:r w:rsidR="00712DD7" w:rsidRPr="00F91CC3">
        <w:t xml:space="preserve">for further information. </w:t>
      </w:r>
    </w:p>
    <w:p w14:paraId="0FBAB0AA" w14:textId="77777777" w:rsidR="00712DD7" w:rsidRPr="00F91CC3" w:rsidRDefault="00712DD7" w:rsidP="005142A2">
      <w:pPr>
        <w:pStyle w:val="2-SectionHeading"/>
      </w:pPr>
      <w:bookmarkStart w:id="25" w:name="_Toc107927624"/>
      <w:bookmarkStart w:id="26" w:name="_Toc145484391"/>
      <w:r w:rsidRPr="00F91CC3">
        <w:t>Comparator</w:t>
      </w:r>
      <w:bookmarkEnd w:id="25"/>
      <w:bookmarkEnd w:id="26"/>
    </w:p>
    <w:p w14:paraId="08181B37" w14:textId="0567A77A" w:rsidR="00712DD7" w:rsidRPr="00F91CC3" w:rsidRDefault="00712DD7" w:rsidP="005142A2">
      <w:pPr>
        <w:pStyle w:val="3-BodyText"/>
      </w:pPr>
      <w:r w:rsidRPr="00F91CC3">
        <w:t xml:space="preserve">The submission nominated BSC as the main comparator. BSC in CF includes daily prophylactic medications and supplements such as pancreatic enzymes, nutritional and vitamin supplements, oral or nebulised antibiotics, nebulised mucolytic agents, anti-inflammatories, bronchodilators, and daily physiotherapy. </w:t>
      </w:r>
    </w:p>
    <w:p w14:paraId="7D13B612" w14:textId="5187B35B" w:rsidR="00D84CFA" w:rsidRPr="00F91CC3" w:rsidRDefault="006C2326" w:rsidP="005142A2">
      <w:pPr>
        <w:pStyle w:val="3-BodyText"/>
        <w:rPr>
          <w:i/>
        </w:rPr>
      </w:pPr>
      <w:r w:rsidRPr="00F91CC3">
        <w:rPr>
          <w:iCs/>
        </w:rPr>
        <w:t>G</w:t>
      </w:r>
      <w:r w:rsidR="00712DD7" w:rsidRPr="00F91CC3">
        <w:rPr>
          <w:iCs/>
        </w:rPr>
        <w:t xml:space="preserve">iven that treatment with ivacaftor is ongoing for the lifetime of the patient, the more appropriate comparison for the gating population is of early (4 months of age) versus later (1 year and over) commencement of treatment; this comparison was not addressed by the submission. Similarly, for </w:t>
      </w:r>
      <w:r w:rsidR="00C874B3" w:rsidRPr="00F91CC3">
        <w:rPr>
          <w:iCs/>
        </w:rPr>
        <w:t>patients</w:t>
      </w:r>
      <w:r w:rsidR="00712DD7" w:rsidRPr="00F91CC3">
        <w:rPr>
          <w:iCs/>
        </w:rPr>
        <w:t xml:space="preserve"> who have a non-splice RF mutation or F508del mutation in the CFTR gene on the other allele, the more appropriate comparator for ivacaftor is TEZ/IVA from 12 years of age and ELX/TEZ/IVA from 6 years of age respectively; these comparisons were not addressed by the submission. </w:t>
      </w:r>
    </w:p>
    <w:p w14:paraId="1FD8BBF6" w14:textId="2872DA50" w:rsidR="00712DD7" w:rsidRPr="00F91CC3" w:rsidRDefault="00D84CFA" w:rsidP="00E37DBA">
      <w:pPr>
        <w:pStyle w:val="3-BodyText"/>
        <w:rPr>
          <w:i/>
        </w:rPr>
      </w:pPr>
      <w:r w:rsidRPr="00F91CC3">
        <w:t>The</w:t>
      </w:r>
      <w:r w:rsidR="004C710C">
        <w:t xml:space="preserve"> Economic Sub-Committee (</w:t>
      </w:r>
      <w:r w:rsidRPr="00F91CC3">
        <w:t>ESC</w:t>
      </w:r>
      <w:r w:rsidR="004C710C">
        <w:t>)</w:t>
      </w:r>
      <w:r w:rsidRPr="00F91CC3">
        <w:t xml:space="preserve"> considered</w:t>
      </w:r>
      <w:r w:rsidRPr="00F91CC3">
        <w:rPr>
          <w:i/>
          <w:iCs/>
        </w:rPr>
        <w:t xml:space="preserve"> </w:t>
      </w:r>
      <w:r w:rsidRPr="00F91CC3">
        <w:t>the more appropriate comparator in the proposed setting is that of later commencement of treatment but the submission did not compare the incremental benefit of commencing ivacaftor at 4 months with commencement of CFTR modulator(s) at a later age</w:t>
      </w:r>
      <w:r w:rsidRPr="00F91CC3">
        <w:rPr>
          <w:i/>
          <w:iCs/>
        </w:rPr>
        <w:t xml:space="preserve">. </w:t>
      </w:r>
      <w:r w:rsidR="0033223D" w:rsidRPr="00F91CC3">
        <w:rPr>
          <w:iCs/>
        </w:rPr>
        <w:t xml:space="preserve">The ESC acknowledged the difficulty of conducting a comparative analysis of different initiating ages (as discussed </w:t>
      </w:r>
      <w:r w:rsidR="0033223D" w:rsidRPr="00F91CC3">
        <w:rPr>
          <w:iCs/>
        </w:rPr>
        <w:lastRenderedPageBreak/>
        <w:t>in the P</w:t>
      </w:r>
      <w:r w:rsidR="004C710C">
        <w:rPr>
          <w:iCs/>
        </w:rPr>
        <w:t>re-Sub-Committee Response (P</w:t>
      </w:r>
      <w:r w:rsidR="0033223D" w:rsidRPr="00F91CC3">
        <w:rPr>
          <w:iCs/>
        </w:rPr>
        <w:t>SCR</w:t>
      </w:r>
      <w:r w:rsidR="004C710C">
        <w:rPr>
          <w:iCs/>
        </w:rPr>
        <w:t>)</w:t>
      </w:r>
      <w:r w:rsidR="0033223D" w:rsidRPr="00F91CC3">
        <w:rPr>
          <w:iCs/>
        </w:rPr>
        <w:t xml:space="preserve">); however, the uncertainty regarding the </w:t>
      </w:r>
      <w:r w:rsidR="00B34401" w:rsidRPr="00F91CC3">
        <w:rPr>
          <w:iCs/>
        </w:rPr>
        <w:t xml:space="preserve">clinical </w:t>
      </w:r>
      <w:r w:rsidR="0033223D" w:rsidRPr="00F91CC3">
        <w:rPr>
          <w:iCs/>
        </w:rPr>
        <w:t xml:space="preserve">benefit </w:t>
      </w:r>
      <w:r w:rsidR="00D2602E" w:rsidRPr="00F91CC3">
        <w:rPr>
          <w:iCs/>
        </w:rPr>
        <w:t xml:space="preserve">and cost-effectiveness </w:t>
      </w:r>
      <w:r w:rsidR="0033223D" w:rsidRPr="00F91CC3">
        <w:rPr>
          <w:iCs/>
        </w:rPr>
        <w:t>of starting treatment early remains</w:t>
      </w:r>
      <w:r w:rsidR="00F91CC3">
        <w:rPr>
          <w:iCs/>
        </w:rPr>
        <w:t xml:space="preserve">. </w:t>
      </w:r>
    </w:p>
    <w:p w14:paraId="332D1DDD" w14:textId="402E8AB8" w:rsidR="0007621A" w:rsidRPr="00F91CC3" w:rsidRDefault="0007621A" w:rsidP="0007621A">
      <w:pPr>
        <w:pStyle w:val="3-BodyText"/>
        <w:numPr>
          <w:ilvl w:val="0"/>
          <w:numId w:val="0"/>
        </w:numPr>
        <w:ind w:left="720"/>
        <w:rPr>
          <w:i/>
        </w:rPr>
      </w:pPr>
      <w:r w:rsidRPr="00F91CC3">
        <w:rPr>
          <w:i/>
        </w:rPr>
        <w:t>For more detail on PBAC’s view, see section 7 PBAC outcome</w:t>
      </w:r>
      <w:r w:rsidR="00A146B5" w:rsidRPr="00F91CC3">
        <w:rPr>
          <w:i/>
        </w:rPr>
        <w:t>.</w:t>
      </w:r>
    </w:p>
    <w:p w14:paraId="746DE6C9" w14:textId="66DA1446" w:rsidR="00273AAB" w:rsidRPr="00F91CC3" w:rsidRDefault="00034A31" w:rsidP="005142A2">
      <w:pPr>
        <w:pStyle w:val="2-SectionHeading"/>
      </w:pPr>
      <w:bookmarkStart w:id="27" w:name="_Toc144721030"/>
      <w:bookmarkStart w:id="28" w:name="_Toc145484392"/>
      <w:r w:rsidRPr="00F91CC3">
        <w:t>Consideration of the evidence</w:t>
      </w:r>
      <w:bookmarkEnd w:id="27"/>
      <w:bookmarkEnd w:id="28"/>
    </w:p>
    <w:p w14:paraId="59747C63" w14:textId="77777777" w:rsidR="0007621A" w:rsidRPr="00F91CC3" w:rsidRDefault="0007621A" w:rsidP="0007621A">
      <w:pPr>
        <w:keepNext/>
        <w:spacing w:before="120" w:after="120"/>
        <w:outlineLvl w:val="1"/>
        <w:rPr>
          <w:rFonts w:asciiTheme="minorHAnsi" w:eastAsiaTheme="majorEastAsia" w:hAnsiTheme="minorHAnsi" w:cstheme="majorBidi"/>
          <w:b/>
          <w:i/>
          <w:spacing w:val="5"/>
          <w:kern w:val="28"/>
          <w:sz w:val="28"/>
          <w:szCs w:val="36"/>
        </w:rPr>
      </w:pPr>
      <w:bookmarkStart w:id="29" w:name="_Toc145484393"/>
      <w:bookmarkStart w:id="30" w:name="_Toc22897645"/>
      <w:r w:rsidRPr="00F91CC3">
        <w:rPr>
          <w:rFonts w:asciiTheme="minorHAnsi" w:eastAsiaTheme="majorEastAsia" w:hAnsiTheme="minorHAnsi" w:cstheme="majorBidi"/>
          <w:b/>
          <w:i/>
          <w:spacing w:val="5"/>
          <w:kern w:val="28"/>
          <w:sz w:val="28"/>
          <w:szCs w:val="36"/>
        </w:rPr>
        <w:t>Sponsor hearing</w:t>
      </w:r>
    </w:p>
    <w:p w14:paraId="64D4D0A2" w14:textId="3C660EA2" w:rsidR="0007621A" w:rsidRPr="00F91CC3" w:rsidRDefault="0007621A" w:rsidP="0007621A">
      <w:pPr>
        <w:widowControl w:val="0"/>
        <w:numPr>
          <w:ilvl w:val="1"/>
          <w:numId w:val="1"/>
        </w:numPr>
        <w:spacing w:after="120"/>
        <w:rPr>
          <w:rFonts w:asciiTheme="minorHAnsi" w:hAnsiTheme="minorHAnsi"/>
          <w:bCs/>
          <w:snapToGrid w:val="0"/>
        </w:rPr>
      </w:pPr>
      <w:bookmarkStart w:id="31" w:name="_Hlk76382586"/>
      <w:r w:rsidRPr="00F91CC3">
        <w:rPr>
          <w:rFonts w:asciiTheme="minorHAnsi" w:hAnsiTheme="minorHAnsi"/>
          <w:bCs/>
          <w:snapToGrid w:val="0"/>
        </w:rPr>
        <w:t>The sponsor requested a hearing for this item. The</w:t>
      </w:r>
      <w:r w:rsidR="00E37DBA" w:rsidRPr="00F91CC3">
        <w:rPr>
          <w:rFonts w:asciiTheme="minorHAnsi" w:hAnsiTheme="minorHAnsi"/>
          <w:bCs/>
          <w:snapToGrid w:val="0"/>
        </w:rPr>
        <w:t xml:space="preserve"> sponsor</w:t>
      </w:r>
      <w:r w:rsidRPr="00F91CC3">
        <w:rPr>
          <w:rFonts w:asciiTheme="minorHAnsi" w:hAnsiTheme="minorHAnsi"/>
          <w:bCs/>
          <w:snapToGrid w:val="0"/>
        </w:rPr>
        <w:t xml:space="preserve"> </w:t>
      </w:r>
      <w:r w:rsidR="00A146B5" w:rsidRPr="00F91CC3">
        <w:rPr>
          <w:rFonts w:asciiTheme="minorHAnsi" w:hAnsiTheme="minorHAnsi"/>
          <w:bCs/>
          <w:snapToGrid w:val="0"/>
        </w:rPr>
        <w:t>discussed the current and future treatment landscape for CF. The</w:t>
      </w:r>
      <w:r w:rsidR="00E37DBA" w:rsidRPr="00F91CC3">
        <w:rPr>
          <w:rFonts w:asciiTheme="minorHAnsi" w:hAnsiTheme="minorHAnsi"/>
          <w:bCs/>
          <w:snapToGrid w:val="0"/>
        </w:rPr>
        <w:t xml:space="preserve"> sponsor</w:t>
      </w:r>
      <w:r w:rsidR="00A146B5" w:rsidRPr="00F91CC3">
        <w:rPr>
          <w:rFonts w:asciiTheme="minorHAnsi" w:hAnsiTheme="minorHAnsi"/>
          <w:bCs/>
          <w:snapToGrid w:val="0"/>
        </w:rPr>
        <w:t xml:space="preserve"> noted that approximately 5% of patients with CF will not benefit from a CFTR modulator as they do not make CFTR protein. The</w:t>
      </w:r>
      <w:r w:rsidR="00E37DBA" w:rsidRPr="00F91CC3">
        <w:rPr>
          <w:rFonts w:asciiTheme="minorHAnsi" w:hAnsiTheme="minorHAnsi"/>
          <w:bCs/>
          <w:snapToGrid w:val="0"/>
        </w:rPr>
        <w:t xml:space="preserve"> sponsor</w:t>
      </w:r>
      <w:r w:rsidR="00A146B5" w:rsidRPr="00F91CC3">
        <w:rPr>
          <w:rFonts w:asciiTheme="minorHAnsi" w:hAnsiTheme="minorHAnsi"/>
          <w:bCs/>
          <w:snapToGrid w:val="0"/>
        </w:rPr>
        <w:t xml:space="preserve"> </w:t>
      </w:r>
      <w:r w:rsidRPr="00F91CC3">
        <w:rPr>
          <w:rFonts w:asciiTheme="minorHAnsi" w:hAnsiTheme="minorHAnsi"/>
          <w:bCs/>
          <w:snapToGrid w:val="0"/>
        </w:rPr>
        <w:t xml:space="preserve">presented </w:t>
      </w:r>
      <w:r w:rsidR="00A146B5" w:rsidRPr="00F91CC3">
        <w:rPr>
          <w:rFonts w:asciiTheme="minorHAnsi" w:hAnsiTheme="minorHAnsi"/>
          <w:bCs/>
          <w:snapToGrid w:val="0"/>
        </w:rPr>
        <w:t xml:space="preserve">two </w:t>
      </w:r>
      <w:r w:rsidRPr="00F91CC3">
        <w:rPr>
          <w:rFonts w:asciiTheme="minorHAnsi" w:hAnsiTheme="minorHAnsi"/>
          <w:bCs/>
          <w:snapToGrid w:val="0"/>
        </w:rPr>
        <w:t xml:space="preserve">case studies </w:t>
      </w:r>
      <w:r w:rsidR="00A146B5" w:rsidRPr="00F91CC3">
        <w:rPr>
          <w:rFonts w:asciiTheme="minorHAnsi" w:hAnsiTheme="minorHAnsi"/>
          <w:bCs/>
          <w:snapToGrid w:val="0"/>
        </w:rPr>
        <w:t>that supported access to ivacaftor</w:t>
      </w:r>
      <w:r w:rsidR="00F91CC3">
        <w:rPr>
          <w:rFonts w:asciiTheme="minorHAnsi" w:hAnsiTheme="minorHAnsi"/>
          <w:bCs/>
          <w:snapToGrid w:val="0"/>
        </w:rPr>
        <w:t xml:space="preserve">. </w:t>
      </w:r>
      <w:r w:rsidR="00A146B5" w:rsidRPr="00F91CC3">
        <w:rPr>
          <w:rFonts w:asciiTheme="minorHAnsi" w:hAnsiTheme="minorHAnsi"/>
          <w:bCs/>
          <w:snapToGrid w:val="0"/>
        </w:rPr>
        <w:t>The</w:t>
      </w:r>
      <w:r w:rsidR="00E37DBA" w:rsidRPr="00F91CC3">
        <w:rPr>
          <w:rFonts w:asciiTheme="minorHAnsi" w:hAnsiTheme="minorHAnsi"/>
          <w:bCs/>
          <w:snapToGrid w:val="0"/>
        </w:rPr>
        <w:t xml:space="preserve"> sponsor</w:t>
      </w:r>
      <w:r w:rsidR="00A146B5" w:rsidRPr="00F91CC3">
        <w:rPr>
          <w:rFonts w:asciiTheme="minorHAnsi" w:hAnsiTheme="minorHAnsi"/>
          <w:bCs/>
          <w:snapToGrid w:val="0"/>
        </w:rPr>
        <w:t xml:space="preserve"> noted that patient</w:t>
      </w:r>
      <w:r w:rsidR="0088535C" w:rsidRPr="00F91CC3">
        <w:rPr>
          <w:rFonts w:asciiTheme="minorHAnsi" w:hAnsiTheme="minorHAnsi"/>
          <w:bCs/>
          <w:snapToGrid w:val="0"/>
        </w:rPr>
        <w:t>s</w:t>
      </w:r>
      <w:r w:rsidR="00A146B5" w:rsidRPr="00F91CC3">
        <w:rPr>
          <w:rFonts w:asciiTheme="minorHAnsi" w:hAnsiTheme="minorHAnsi"/>
          <w:bCs/>
          <w:snapToGrid w:val="0"/>
        </w:rPr>
        <w:t xml:space="preserve"> who respond to ivacaftor will also respond to ELX/TEZ/IVA and clinical data supporting a</w:t>
      </w:r>
      <w:r w:rsidR="00D84CFA" w:rsidRPr="00F91CC3">
        <w:rPr>
          <w:rFonts w:asciiTheme="minorHAnsi" w:hAnsiTheme="minorHAnsi"/>
          <w:bCs/>
          <w:snapToGrid w:val="0"/>
        </w:rPr>
        <w:t xml:space="preserve"> broad</w:t>
      </w:r>
      <w:r w:rsidR="00A146B5" w:rsidRPr="00F91CC3">
        <w:rPr>
          <w:rFonts w:asciiTheme="minorHAnsi" w:hAnsiTheme="minorHAnsi"/>
          <w:bCs/>
          <w:snapToGrid w:val="0"/>
        </w:rPr>
        <w:t xml:space="preserve"> listing for ELX/TEZ/IVA </w:t>
      </w:r>
      <w:r w:rsidR="00D84CFA" w:rsidRPr="00F91CC3">
        <w:rPr>
          <w:rFonts w:asciiTheme="minorHAnsi" w:hAnsiTheme="minorHAnsi"/>
          <w:bCs/>
          <w:snapToGrid w:val="0"/>
        </w:rPr>
        <w:t xml:space="preserve">in patients with responsive mutations </w:t>
      </w:r>
      <w:r w:rsidR="00A146B5" w:rsidRPr="00F91CC3">
        <w:rPr>
          <w:rFonts w:asciiTheme="minorHAnsi" w:hAnsiTheme="minorHAnsi"/>
          <w:bCs/>
          <w:snapToGrid w:val="0"/>
        </w:rPr>
        <w:t xml:space="preserve">had recently become available. </w:t>
      </w:r>
    </w:p>
    <w:bookmarkEnd w:id="31"/>
    <w:p w14:paraId="5915AE92" w14:textId="77777777" w:rsidR="0007621A" w:rsidRPr="00F91CC3" w:rsidRDefault="0007621A" w:rsidP="0007621A">
      <w:pPr>
        <w:keepNext/>
        <w:spacing w:before="120" w:after="120"/>
        <w:outlineLvl w:val="1"/>
        <w:rPr>
          <w:rFonts w:asciiTheme="minorHAnsi" w:eastAsiaTheme="majorEastAsia" w:hAnsiTheme="minorHAnsi" w:cstheme="majorBidi"/>
          <w:b/>
          <w:i/>
          <w:spacing w:val="5"/>
          <w:kern w:val="28"/>
          <w:sz w:val="28"/>
          <w:szCs w:val="36"/>
        </w:rPr>
      </w:pPr>
      <w:r w:rsidRPr="00F91CC3">
        <w:rPr>
          <w:rFonts w:asciiTheme="minorHAnsi" w:eastAsiaTheme="majorEastAsia" w:hAnsiTheme="minorHAnsi" w:cstheme="majorBidi"/>
          <w:b/>
          <w:i/>
          <w:spacing w:val="5"/>
          <w:kern w:val="28"/>
          <w:sz w:val="28"/>
          <w:szCs w:val="36"/>
        </w:rPr>
        <w:t>Consumer comments</w:t>
      </w:r>
    </w:p>
    <w:p w14:paraId="340E808D" w14:textId="6B3DD906" w:rsidR="00A500D9" w:rsidRPr="00F91CC3" w:rsidRDefault="0007621A" w:rsidP="0007621A">
      <w:pPr>
        <w:widowControl w:val="0"/>
        <w:numPr>
          <w:ilvl w:val="1"/>
          <w:numId w:val="1"/>
        </w:numPr>
        <w:spacing w:after="120"/>
        <w:rPr>
          <w:rFonts w:asciiTheme="minorHAnsi" w:hAnsiTheme="minorHAnsi"/>
          <w:bCs/>
          <w:snapToGrid w:val="0"/>
        </w:rPr>
      </w:pPr>
      <w:r w:rsidRPr="00F91CC3">
        <w:rPr>
          <w:rFonts w:asciiTheme="minorHAnsi" w:hAnsiTheme="minorHAnsi"/>
          <w:bCs/>
          <w:snapToGrid w:val="0"/>
        </w:rPr>
        <w:t xml:space="preserve">The PBAC noted and welcomed the input from individuals </w:t>
      </w:r>
      <w:r w:rsidR="00A500D9" w:rsidRPr="00F91CC3">
        <w:rPr>
          <w:rFonts w:asciiTheme="minorHAnsi" w:hAnsiTheme="minorHAnsi"/>
          <w:bCs/>
          <w:snapToGrid w:val="0"/>
        </w:rPr>
        <w:t>(11</w:t>
      </w:r>
      <w:r w:rsidRPr="00F91CC3">
        <w:rPr>
          <w:rFonts w:asciiTheme="minorHAnsi" w:hAnsiTheme="minorHAnsi"/>
          <w:bCs/>
          <w:snapToGrid w:val="0"/>
        </w:rPr>
        <w:t>), health care professionals (1) and organisations (</w:t>
      </w:r>
      <w:r w:rsidR="00A500D9" w:rsidRPr="00F91CC3">
        <w:rPr>
          <w:rFonts w:asciiTheme="minorHAnsi" w:hAnsiTheme="minorHAnsi"/>
          <w:bCs/>
          <w:snapToGrid w:val="0"/>
        </w:rPr>
        <w:t>2</w:t>
      </w:r>
      <w:r w:rsidRPr="00F91CC3">
        <w:rPr>
          <w:rFonts w:asciiTheme="minorHAnsi" w:hAnsiTheme="minorHAnsi"/>
          <w:bCs/>
          <w:snapToGrid w:val="0"/>
        </w:rPr>
        <w:t xml:space="preserve">) via the Consumer Comments facility on the PBS website. The comments described </w:t>
      </w:r>
      <w:r w:rsidR="00A500D9" w:rsidRPr="00F91CC3">
        <w:rPr>
          <w:rFonts w:asciiTheme="minorHAnsi" w:hAnsiTheme="minorHAnsi"/>
          <w:bCs/>
          <w:snapToGrid w:val="0"/>
        </w:rPr>
        <w:t>the effectiveness of CFTR modulators (including ivacaftor) to treat individuals with CF. Input described the importance of beginning CTFR modulation early in disease progression, and noted the positive impacts on pancreatic function, lung function, nutrition and growth</w:t>
      </w:r>
      <w:r w:rsidR="007D741A" w:rsidRPr="00F91CC3">
        <w:rPr>
          <w:rFonts w:asciiTheme="minorHAnsi" w:hAnsiTheme="minorHAnsi"/>
          <w:bCs/>
          <w:snapToGrid w:val="0"/>
        </w:rPr>
        <w:t>,</w:t>
      </w:r>
      <w:r w:rsidR="00A500D9" w:rsidRPr="00F91CC3">
        <w:rPr>
          <w:rFonts w:asciiTheme="minorHAnsi" w:hAnsiTheme="minorHAnsi"/>
          <w:bCs/>
          <w:snapToGrid w:val="0"/>
        </w:rPr>
        <w:t xml:space="preserve"> and quality of life observed in those being treated with ivacaftor. Comments noted the manageable safety profile of ivacaftor. Input described the current prohibitive cost of ivacaftor and other CFTR modulators and the importance of equity of access for individuals with rare mutations.</w:t>
      </w:r>
    </w:p>
    <w:p w14:paraId="3EB69F4A" w14:textId="000E580B" w:rsidR="00A500D9" w:rsidRPr="00F91CC3" w:rsidRDefault="00A500D9" w:rsidP="0007621A">
      <w:pPr>
        <w:widowControl w:val="0"/>
        <w:numPr>
          <w:ilvl w:val="1"/>
          <w:numId w:val="1"/>
        </w:numPr>
        <w:spacing w:after="120"/>
        <w:rPr>
          <w:rFonts w:asciiTheme="minorHAnsi" w:hAnsiTheme="minorHAnsi"/>
          <w:bCs/>
          <w:snapToGrid w:val="0"/>
        </w:rPr>
      </w:pPr>
      <w:r w:rsidRPr="00F91CC3">
        <w:rPr>
          <w:rFonts w:asciiTheme="minorHAnsi" w:hAnsiTheme="minorHAnsi"/>
          <w:bCs/>
          <w:snapToGrid w:val="0"/>
        </w:rPr>
        <w:t>The PBAC noted and welcome</w:t>
      </w:r>
      <w:r w:rsidR="0088535C" w:rsidRPr="00F91CC3">
        <w:rPr>
          <w:rFonts w:asciiTheme="minorHAnsi" w:hAnsiTheme="minorHAnsi"/>
          <w:bCs/>
          <w:snapToGrid w:val="0"/>
        </w:rPr>
        <w:t>d</w:t>
      </w:r>
      <w:r w:rsidRPr="00F91CC3">
        <w:rPr>
          <w:rFonts w:asciiTheme="minorHAnsi" w:hAnsiTheme="minorHAnsi"/>
          <w:bCs/>
          <w:snapToGrid w:val="0"/>
        </w:rPr>
        <w:t xml:space="preserve"> the input from Cystic Fibrosis </w:t>
      </w:r>
      <w:r w:rsidR="0088535C" w:rsidRPr="00F91CC3">
        <w:rPr>
          <w:rFonts w:asciiTheme="minorHAnsi" w:hAnsiTheme="minorHAnsi"/>
          <w:bCs/>
          <w:snapToGrid w:val="0"/>
        </w:rPr>
        <w:t xml:space="preserve">Australia </w:t>
      </w:r>
      <w:r w:rsidR="00183E5E" w:rsidRPr="00F91CC3">
        <w:rPr>
          <w:rFonts w:asciiTheme="minorHAnsi" w:hAnsiTheme="minorHAnsi"/>
          <w:bCs/>
          <w:snapToGrid w:val="0"/>
        </w:rPr>
        <w:t xml:space="preserve">(CFA) and the National Paediatric Medicines Forum (NPMF). The CFA </w:t>
      </w:r>
      <w:r w:rsidR="0088535C" w:rsidRPr="00F91CC3">
        <w:rPr>
          <w:rFonts w:asciiTheme="minorHAnsi" w:hAnsiTheme="minorHAnsi"/>
          <w:bCs/>
          <w:snapToGrid w:val="0"/>
        </w:rPr>
        <w:t>were supportive of extending the benefit from treatment with ivacaftor to more patients with CF. The CFA requested the PBAC consider extending the listing of ELX/TEZ/IVA to cover rarer mutations to further increase the number of patients that would benefit from treatment with CFTR modulators.</w:t>
      </w:r>
      <w:r w:rsidR="00183E5E" w:rsidRPr="00F91CC3">
        <w:rPr>
          <w:rFonts w:asciiTheme="minorHAnsi" w:hAnsiTheme="minorHAnsi"/>
          <w:bCs/>
          <w:snapToGrid w:val="0"/>
        </w:rPr>
        <w:t xml:space="preserve"> The NPMF considered expanding the listing of ivacaftor would be beneficial to all paediatric CF patients with research supporting treatment from a young age to slow or prevent the irreversible progression of CF. </w:t>
      </w:r>
    </w:p>
    <w:p w14:paraId="0867BA1B" w14:textId="63878D29" w:rsidR="00034A31" w:rsidRPr="00F91CC3" w:rsidRDefault="00034A31" w:rsidP="00034A31">
      <w:pPr>
        <w:keepNext/>
        <w:spacing w:before="120" w:after="120"/>
        <w:outlineLvl w:val="1"/>
        <w:rPr>
          <w:rFonts w:asciiTheme="minorHAnsi" w:eastAsiaTheme="majorEastAsia" w:hAnsiTheme="minorHAnsi" w:cstheme="majorBidi"/>
          <w:b/>
          <w:i/>
          <w:spacing w:val="5"/>
          <w:kern w:val="28"/>
          <w:sz w:val="28"/>
          <w:szCs w:val="36"/>
        </w:rPr>
      </w:pPr>
      <w:r w:rsidRPr="00F91CC3">
        <w:rPr>
          <w:rFonts w:asciiTheme="minorHAnsi" w:eastAsiaTheme="majorEastAsia" w:hAnsiTheme="minorHAnsi" w:cstheme="majorBidi"/>
          <w:b/>
          <w:i/>
          <w:spacing w:val="5"/>
          <w:kern w:val="28"/>
          <w:sz w:val="28"/>
          <w:szCs w:val="36"/>
        </w:rPr>
        <w:t>Clinical studies</w:t>
      </w:r>
      <w:bookmarkEnd w:id="29"/>
    </w:p>
    <w:p w14:paraId="0E5B4E97" w14:textId="5AC18C60" w:rsidR="00034A31" w:rsidRPr="00F91CC3" w:rsidRDefault="00034A31" w:rsidP="00750C30">
      <w:pPr>
        <w:pStyle w:val="3-BodyText"/>
      </w:pPr>
      <w:r w:rsidRPr="00F91CC3">
        <w:t>The submission was based on evidence from the following studies:</w:t>
      </w:r>
    </w:p>
    <w:p w14:paraId="75BD4597" w14:textId="77777777" w:rsidR="001C46BD" w:rsidRPr="00F91CC3" w:rsidRDefault="00034A31" w:rsidP="005142A2">
      <w:pPr>
        <w:numPr>
          <w:ilvl w:val="0"/>
          <w:numId w:val="12"/>
        </w:numPr>
        <w:spacing w:after="120"/>
        <w:ind w:left="1276"/>
        <w:rPr>
          <w:rFonts w:asciiTheme="minorHAnsi" w:hAnsiTheme="minorHAnsi"/>
          <w:snapToGrid w:val="0"/>
        </w:rPr>
      </w:pPr>
      <w:r w:rsidRPr="00F91CC3">
        <w:rPr>
          <w:rFonts w:asciiTheme="minorHAnsi" w:hAnsiTheme="minorHAnsi"/>
          <w:snapToGrid w:val="0"/>
        </w:rPr>
        <w:t>Gating population</w:t>
      </w:r>
    </w:p>
    <w:p w14:paraId="5FE2B3D8" w14:textId="15E19DD0" w:rsidR="00034A31" w:rsidRPr="00F91CC3" w:rsidRDefault="00034A31" w:rsidP="005142A2">
      <w:pPr>
        <w:numPr>
          <w:ilvl w:val="1"/>
          <w:numId w:val="12"/>
        </w:numPr>
        <w:spacing w:after="120"/>
        <w:rPr>
          <w:rFonts w:asciiTheme="minorHAnsi" w:hAnsiTheme="minorHAnsi"/>
          <w:snapToGrid w:val="0"/>
        </w:rPr>
      </w:pPr>
      <w:r w:rsidRPr="00F91CC3">
        <w:rPr>
          <w:rFonts w:asciiTheme="minorHAnsi" w:hAnsiTheme="minorHAnsi" w:cs="Calibri"/>
        </w:rPr>
        <w:t>Study 124</w:t>
      </w:r>
      <w:r w:rsidR="0014533A" w:rsidRPr="00F91CC3">
        <w:rPr>
          <w:rFonts w:asciiTheme="minorHAnsi" w:hAnsiTheme="minorHAnsi" w:cs="Calibri"/>
        </w:rPr>
        <w:t>, a</w:t>
      </w:r>
      <w:r w:rsidR="00D84CFA" w:rsidRPr="00F91CC3">
        <w:rPr>
          <w:rFonts w:asciiTheme="minorHAnsi" w:hAnsiTheme="minorHAnsi" w:cs="Calibri"/>
        </w:rPr>
        <w:t xml:space="preserve"> </w:t>
      </w:r>
      <w:r w:rsidRPr="00F91CC3">
        <w:rPr>
          <w:rFonts w:asciiTheme="minorHAnsi" w:hAnsiTheme="minorHAnsi" w:cs="Calibri"/>
        </w:rPr>
        <w:t xml:space="preserve"> single arm study that evaluated the </w:t>
      </w:r>
      <w:r w:rsidRPr="00F91CC3">
        <w:rPr>
          <w:rFonts w:asciiTheme="minorHAnsi" w:hAnsiTheme="minorHAnsi"/>
          <w:snapToGrid w:val="0"/>
        </w:rPr>
        <w:t xml:space="preserve">safety and efficacy of ivacaftor granules in patients aged 4 to &lt; 12 months with a gating (class III) mutation. This was a two-part study: Part A (n=12) evaluated safety and </w:t>
      </w:r>
      <w:r w:rsidRPr="00F91CC3">
        <w:rPr>
          <w:rFonts w:asciiTheme="minorHAnsi" w:hAnsiTheme="minorHAnsi"/>
          <w:snapToGrid w:val="0"/>
        </w:rPr>
        <w:lastRenderedPageBreak/>
        <w:t>pharmacokinetics (PK); Part B (n=17) evaluated safety, PK and pharmacodynamics (PD).</w:t>
      </w:r>
    </w:p>
    <w:p w14:paraId="171A6021" w14:textId="6701D4E7" w:rsidR="00034A31" w:rsidRPr="00F91CC3" w:rsidRDefault="00034A31" w:rsidP="005142A2">
      <w:pPr>
        <w:numPr>
          <w:ilvl w:val="0"/>
          <w:numId w:val="12"/>
        </w:numPr>
        <w:spacing w:after="120"/>
        <w:ind w:left="1276"/>
        <w:rPr>
          <w:rFonts w:asciiTheme="minorHAnsi" w:hAnsiTheme="minorHAnsi"/>
          <w:snapToGrid w:val="0"/>
        </w:rPr>
      </w:pPr>
      <w:r w:rsidRPr="00F91CC3">
        <w:rPr>
          <w:rFonts w:asciiTheme="minorHAnsi" w:hAnsiTheme="minorHAnsi"/>
          <w:snapToGrid w:val="0"/>
        </w:rPr>
        <w:t>R117H mutation:</w:t>
      </w:r>
    </w:p>
    <w:p w14:paraId="69E692B9" w14:textId="2464C627" w:rsidR="00034A31" w:rsidRPr="00F91CC3" w:rsidRDefault="00034A31" w:rsidP="005142A2">
      <w:pPr>
        <w:numPr>
          <w:ilvl w:val="1"/>
          <w:numId w:val="12"/>
        </w:numPr>
        <w:spacing w:after="120"/>
        <w:rPr>
          <w:rFonts w:asciiTheme="minorHAnsi" w:hAnsiTheme="minorHAnsi"/>
          <w:snapToGrid w:val="0"/>
        </w:rPr>
      </w:pPr>
      <w:r w:rsidRPr="00F91CC3">
        <w:rPr>
          <w:rFonts w:asciiTheme="minorHAnsi" w:hAnsiTheme="minorHAnsi"/>
          <w:snapToGrid w:val="0"/>
        </w:rPr>
        <w:t>Study 110, a randomised controlled trial (RCT; n=69) that evaluated the safety and efficacy of ivacaftor in patients with the R117H mutation aged ≥ 6 years.</w:t>
      </w:r>
    </w:p>
    <w:p w14:paraId="4D97C103" w14:textId="49127AFE" w:rsidR="00034A31" w:rsidRPr="00F91CC3" w:rsidRDefault="00034A31" w:rsidP="005142A2">
      <w:pPr>
        <w:numPr>
          <w:ilvl w:val="1"/>
          <w:numId w:val="12"/>
        </w:numPr>
        <w:spacing w:after="120"/>
        <w:rPr>
          <w:rFonts w:asciiTheme="minorHAnsi" w:hAnsiTheme="minorHAnsi"/>
          <w:snapToGrid w:val="0"/>
        </w:rPr>
      </w:pPr>
      <w:r w:rsidRPr="00F91CC3">
        <w:rPr>
          <w:rFonts w:asciiTheme="minorHAnsi" w:hAnsiTheme="minorHAnsi"/>
          <w:snapToGrid w:val="0"/>
        </w:rPr>
        <w:t>Study 112, a</w:t>
      </w:r>
      <w:r w:rsidR="00D84CFA" w:rsidRPr="00F91CC3">
        <w:rPr>
          <w:rFonts w:asciiTheme="minorHAnsi" w:hAnsiTheme="minorHAnsi"/>
          <w:snapToGrid w:val="0"/>
        </w:rPr>
        <w:t>n</w:t>
      </w:r>
      <w:r w:rsidRPr="00F91CC3">
        <w:rPr>
          <w:rFonts w:asciiTheme="minorHAnsi" w:hAnsiTheme="minorHAnsi"/>
          <w:snapToGrid w:val="0"/>
        </w:rPr>
        <w:t xml:space="preserve"> open-label extension (OLE) study of patients from Study 110 who rolled over to Study 112 (n=121, Study 110 rollover patients, n=65; observation arm n=4). Results for the observation arm were not included in the submission.</w:t>
      </w:r>
    </w:p>
    <w:p w14:paraId="51D468F4" w14:textId="15335276" w:rsidR="00034A31" w:rsidRPr="00F91CC3" w:rsidRDefault="00034A31" w:rsidP="005142A2">
      <w:pPr>
        <w:numPr>
          <w:ilvl w:val="1"/>
          <w:numId w:val="12"/>
        </w:numPr>
        <w:spacing w:after="120"/>
        <w:rPr>
          <w:rFonts w:asciiTheme="minorHAnsi" w:hAnsiTheme="minorHAnsi"/>
          <w:snapToGrid w:val="0"/>
        </w:rPr>
      </w:pPr>
      <w:r w:rsidRPr="00F91CC3">
        <w:rPr>
          <w:rFonts w:asciiTheme="minorHAnsi" w:hAnsiTheme="minorHAnsi"/>
          <w:snapToGrid w:val="0"/>
        </w:rPr>
        <w:t>Study 122, a</w:t>
      </w:r>
      <w:r w:rsidR="00D84CFA" w:rsidRPr="00F91CC3">
        <w:rPr>
          <w:rFonts w:asciiTheme="minorHAnsi" w:hAnsiTheme="minorHAnsi"/>
          <w:snapToGrid w:val="0"/>
        </w:rPr>
        <w:t>n</w:t>
      </w:r>
      <w:r w:rsidRPr="00F91CC3">
        <w:rPr>
          <w:rFonts w:asciiTheme="minorHAnsi" w:hAnsiTheme="minorHAnsi"/>
          <w:snapToGrid w:val="0"/>
        </w:rPr>
        <w:t xml:space="preserve"> observational study of patients with the R117H mutation aged ≥ 2 years that used the United States Cystic Fibrosis Foundation Patient Registry (US CFFPR) to evaluate the long-term efficacy of ivacaftor (n=369).</w:t>
      </w:r>
      <w:bookmarkStart w:id="32" w:name="_Hlk144498012"/>
      <w:r w:rsidRPr="00F91CC3">
        <w:rPr>
          <w:rFonts w:asciiTheme="minorHAnsi" w:hAnsiTheme="minorHAnsi"/>
          <w:i/>
          <w:snapToGrid w:val="0"/>
        </w:rPr>
        <w:t xml:space="preserve"> </w:t>
      </w:r>
      <w:bookmarkEnd w:id="32"/>
    </w:p>
    <w:p w14:paraId="5CCB42D0" w14:textId="01A7A4B8" w:rsidR="00034A31" w:rsidRPr="00F91CC3" w:rsidRDefault="001C46BD" w:rsidP="005142A2">
      <w:pPr>
        <w:numPr>
          <w:ilvl w:val="0"/>
          <w:numId w:val="12"/>
        </w:numPr>
        <w:spacing w:after="120"/>
        <w:ind w:left="1276"/>
        <w:rPr>
          <w:rFonts w:asciiTheme="minorHAnsi" w:hAnsiTheme="minorHAnsi"/>
          <w:snapToGrid w:val="0"/>
        </w:rPr>
      </w:pPr>
      <w:r w:rsidRPr="00F91CC3">
        <w:rPr>
          <w:rFonts w:asciiTheme="minorHAnsi" w:hAnsiTheme="minorHAnsi"/>
          <w:snapToGrid w:val="0"/>
        </w:rPr>
        <w:t xml:space="preserve">Non-splice </w:t>
      </w:r>
      <w:r w:rsidR="00736AEC" w:rsidRPr="00F91CC3">
        <w:rPr>
          <w:rFonts w:asciiTheme="minorHAnsi" w:hAnsiTheme="minorHAnsi"/>
          <w:snapToGrid w:val="0"/>
        </w:rPr>
        <w:t>RF mutation</w:t>
      </w:r>
      <w:r w:rsidR="00034A31" w:rsidRPr="00F91CC3">
        <w:rPr>
          <w:rFonts w:asciiTheme="minorHAnsi" w:hAnsiTheme="minorHAnsi"/>
          <w:snapToGrid w:val="0"/>
        </w:rPr>
        <w:t>:</w:t>
      </w:r>
    </w:p>
    <w:p w14:paraId="7CCF0E29" w14:textId="2DCA260C" w:rsidR="00034A31" w:rsidRPr="00F91CC3" w:rsidRDefault="00034A31" w:rsidP="005142A2">
      <w:pPr>
        <w:numPr>
          <w:ilvl w:val="1"/>
          <w:numId w:val="12"/>
        </w:numPr>
        <w:spacing w:after="120"/>
        <w:rPr>
          <w:rFonts w:asciiTheme="minorHAnsi" w:hAnsiTheme="minorHAnsi"/>
          <w:snapToGrid w:val="0"/>
        </w:rPr>
      </w:pPr>
      <w:r w:rsidRPr="00F91CC3">
        <w:rPr>
          <w:rFonts w:asciiTheme="minorHAnsi" w:hAnsiTheme="minorHAnsi"/>
          <w:snapToGrid w:val="0"/>
        </w:rPr>
        <w:t xml:space="preserve">Study 108, a RCT </w:t>
      </w:r>
      <w:r w:rsidR="00831AAB" w:rsidRPr="00F91CC3">
        <w:rPr>
          <w:rFonts w:asciiTheme="minorHAnsi" w:hAnsiTheme="minorHAnsi"/>
          <w:snapToGrid w:val="0"/>
        </w:rPr>
        <w:t>crossover</w:t>
      </w:r>
      <w:r w:rsidRPr="00F91CC3">
        <w:rPr>
          <w:rFonts w:asciiTheme="minorHAnsi" w:hAnsiTheme="minorHAnsi"/>
          <w:snapToGrid w:val="0"/>
        </w:rPr>
        <w:t xml:space="preserve"> study of CF patients aged ≥ 12 years who were heterozygous for the F508del-CFTR mutation and an RF mutation (n=248). Study 108 was previously considered by the PBAC as part of the March 2019 submission for TEZ/IVA seeking reimbursement for RF patients.</w:t>
      </w:r>
    </w:p>
    <w:p w14:paraId="2E5F2A9D" w14:textId="3F227326" w:rsidR="00034A31" w:rsidRPr="00F91CC3" w:rsidRDefault="00034A31" w:rsidP="005142A2">
      <w:pPr>
        <w:numPr>
          <w:ilvl w:val="1"/>
          <w:numId w:val="12"/>
        </w:numPr>
        <w:spacing w:after="120"/>
        <w:rPr>
          <w:rFonts w:asciiTheme="minorHAnsi" w:hAnsiTheme="minorHAnsi"/>
          <w:snapToGrid w:val="0"/>
        </w:rPr>
      </w:pPr>
      <w:r w:rsidRPr="00F91CC3">
        <w:rPr>
          <w:rFonts w:asciiTheme="minorHAnsi" w:hAnsiTheme="minorHAnsi"/>
          <w:snapToGrid w:val="0"/>
        </w:rPr>
        <w:t xml:space="preserve">Study 113, a RCT </w:t>
      </w:r>
      <w:r w:rsidR="00831AAB" w:rsidRPr="00F91CC3">
        <w:rPr>
          <w:rFonts w:asciiTheme="minorHAnsi" w:hAnsiTheme="minorHAnsi"/>
          <w:snapToGrid w:val="0"/>
        </w:rPr>
        <w:t>crossover</w:t>
      </w:r>
      <w:r w:rsidRPr="00F91CC3">
        <w:rPr>
          <w:rFonts w:asciiTheme="minorHAnsi" w:hAnsiTheme="minorHAnsi"/>
          <w:snapToGrid w:val="0"/>
        </w:rPr>
        <w:t xml:space="preserve"> study of patients aged ≥</w:t>
      </w:r>
      <w:r w:rsidR="00736AEC" w:rsidRPr="00F91CC3">
        <w:rPr>
          <w:rFonts w:asciiTheme="minorHAnsi" w:hAnsiTheme="minorHAnsi"/>
          <w:snapToGrid w:val="0"/>
        </w:rPr>
        <w:t xml:space="preserve"> </w:t>
      </w:r>
      <w:r w:rsidRPr="00F91CC3">
        <w:rPr>
          <w:rFonts w:asciiTheme="minorHAnsi" w:hAnsiTheme="minorHAnsi"/>
          <w:snapToGrid w:val="0"/>
        </w:rPr>
        <w:t>12 years with CF with clinical or molecular evidence of an RF mutation (n=24).</w:t>
      </w:r>
    </w:p>
    <w:p w14:paraId="13F29C49" w14:textId="17E61AB9" w:rsidR="00034A31" w:rsidRPr="00F91CC3" w:rsidRDefault="00034A31" w:rsidP="005142A2">
      <w:pPr>
        <w:numPr>
          <w:ilvl w:val="1"/>
          <w:numId w:val="12"/>
        </w:numPr>
        <w:spacing w:after="120"/>
        <w:rPr>
          <w:rFonts w:asciiTheme="minorHAnsi" w:hAnsiTheme="minorHAnsi"/>
          <w:snapToGrid w:val="0"/>
        </w:rPr>
      </w:pPr>
      <w:r w:rsidRPr="00F91CC3">
        <w:rPr>
          <w:rFonts w:asciiTheme="minorHAnsi" w:hAnsiTheme="minorHAnsi"/>
          <w:snapToGrid w:val="0"/>
        </w:rPr>
        <w:t xml:space="preserve">Study 127, a RCT </w:t>
      </w:r>
      <w:r w:rsidR="00831AAB" w:rsidRPr="00F91CC3">
        <w:rPr>
          <w:rFonts w:asciiTheme="minorHAnsi" w:hAnsiTheme="minorHAnsi"/>
          <w:snapToGrid w:val="0"/>
        </w:rPr>
        <w:t>crossover</w:t>
      </w:r>
      <w:r w:rsidRPr="00F91CC3">
        <w:rPr>
          <w:rFonts w:asciiTheme="minorHAnsi" w:hAnsiTheme="minorHAnsi"/>
          <w:snapToGrid w:val="0"/>
        </w:rPr>
        <w:t xml:space="preserve"> study of patients with CF aged ≥ 6 years who have a 3849 + 10KB C→T or D1152H-CFTR mutation.</w:t>
      </w:r>
    </w:p>
    <w:p w14:paraId="63593803" w14:textId="77777777" w:rsidR="001C46BD" w:rsidRPr="00F91CC3" w:rsidRDefault="00034A31" w:rsidP="005142A2">
      <w:pPr>
        <w:numPr>
          <w:ilvl w:val="1"/>
          <w:numId w:val="12"/>
        </w:numPr>
        <w:spacing w:after="120"/>
        <w:rPr>
          <w:rFonts w:asciiTheme="minorHAnsi" w:hAnsiTheme="minorHAnsi"/>
          <w:snapToGrid w:val="0"/>
        </w:rPr>
      </w:pPr>
      <w:r w:rsidRPr="00F91CC3">
        <w:rPr>
          <w:rFonts w:asciiTheme="minorHAnsi" w:hAnsiTheme="minorHAnsi"/>
          <w:snapToGrid w:val="0"/>
        </w:rPr>
        <w:t>Study 128, a 3-year observational study of CF patients aged ≥ 2 years with CFTR mutations that are IVA-responsive based on in vitro and/or clinical evidence (n=349), using data from the US CFFPR.</w:t>
      </w:r>
      <w:r w:rsidR="001C46BD" w:rsidRPr="00F91CC3">
        <w:rPr>
          <w:rFonts w:asciiTheme="minorHAnsi" w:hAnsiTheme="minorHAnsi"/>
          <w:i/>
          <w:iCs/>
          <w:snapToGrid w:val="0"/>
        </w:rPr>
        <w:t xml:space="preserve"> </w:t>
      </w:r>
    </w:p>
    <w:p w14:paraId="5D62486D" w14:textId="058732CE" w:rsidR="00034A31" w:rsidRPr="00F91CC3" w:rsidRDefault="001C46BD" w:rsidP="005142A2">
      <w:pPr>
        <w:numPr>
          <w:ilvl w:val="1"/>
          <w:numId w:val="12"/>
        </w:numPr>
        <w:spacing w:after="120"/>
        <w:rPr>
          <w:rFonts w:asciiTheme="minorHAnsi" w:hAnsiTheme="minorHAnsi"/>
          <w:snapToGrid w:val="0"/>
        </w:rPr>
      </w:pPr>
      <w:r w:rsidRPr="00F91CC3">
        <w:rPr>
          <w:rFonts w:asciiTheme="minorHAnsi" w:hAnsiTheme="minorHAnsi"/>
          <w:snapToGrid w:val="0"/>
        </w:rPr>
        <w:t>The above studies were presented to provide evidence for the correlation of in vitro with in vivo response for</w:t>
      </w:r>
      <w:r w:rsidR="00923664" w:rsidRPr="00F91CC3">
        <w:rPr>
          <w:rFonts w:asciiTheme="minorHAnsi" w:hAnsiTheme="minorHAnsi"/>
          <w:snapToGrid w:val="0"/>
        </w:rPr>
        <w:t xml:space="preserve"> non-splice</w:t>
      </w:r>
      <w:r w:rsidRPr="00F91CC3">
        <w:rPr>
          <w:rFonts w:asciiTheme="minorHAnsi" w:hAnsiTheme="minorHAnsi"/>
          <w:snapToGrid w:val="0"/>
        </w:rPr>
        <w:t xml:space="preserve"> RF mutations, but Study 108, 113 and</w:t>
      </w:r>
      <w:r w:rsidRPr="00F91CC3">
        <w:rPr>
          <w:rFonts w:asciiTheme="minorHAnsi" w:hAnsiTheme="minorHAnsi"/>
          <w:i/>
          <w:iCs/>
          <w:snapToGrid w:val="0"/>
        </w:rPr>
        <w:t xml:space="preserve"> </w:t>
      </w:r>
      <w:r w:rsidRPr="00F91CC3">
        <w:rPr>
          <w:rFonts w:asciiTheme="minorHAnsi" w:hAnsiTheme="minorHAnsi"/>
          <w:snapToGrid w:val="0"/>
        </w:rPr>
        <w:t>127 included patients who had a splice mutation which is not approved for use with ivacaftor</w:t>
      </w:r>
      <w:r w:rsidRPr="00F91CC3">
        <w:rPr>
          <w:rFonts w:asciiTheme="minorHAnsi" w:hAnsiTheme="minorHAnsi" w:cs="Times New Roman"/>
          <w:snapToGrid w:val="0"/>
          <w:vertAlign w:val="superscript"/>
        </w:rPr>
        <w:footnoteReference w:id="3"/>
      </w:r>
      <w:r w:rsidRPr="00F91CC3">
        <w:rPr>
          <w:rFonts w:asciiTheme="minorHAnsi" w:hAnsiTheme="minorHAnsi"/>
          <w:snapToGrid w:val="0"/>
        </w:rPr>
        <w:t>.</w:t>
      </w:r>
    </w:p>
    <w:p w14:paraId="1E81685F" w14:textId="52767DF1" w:rsidR="00034A31" w:rsidRPr="00F91CC3" w:rsidRDefault="00D96086" w:rsidP="005142A2">
      <w:pPr>
        <w:numPr>
          <w:ilvl w:val="0"/>
          <w:numId w:val="12"/>
        </w:numPr>
        <w:spacing w:after="120"/>
        <w:ind w:left="1134"/>
        <w:rPr>
          <w:rFonts w:asciiTheme="minorHAnsi" w:hAnsiTheme="minorHAnsi"/>
          <w:snapToGrid w:val="0"/>
        </w:rPr>
      </w:pPr>
      <w:r w:rsidRPr="00F91CC3">
        <w:t>IVA-responsive</w:t>
      </w:r>
      <w:r w:rsidR="002B3C95" w:rsidRPr="00F91CC3">
        <w:t xml:space="preserve"> rare</w:t>
      </w:r>
      <w:r w:rsidR="00757CE7" w:rsidRPr="00F91CC3">
        <w:t xml:space="preserve"> mutation</w:t>
      </w:r>
      <w:r w:rsidR="002B3C95" w:rsidRPr="00F91CC3">
        <w:t>s</w:t>
      </w:r>
      <w:r w:rsidRPr="00F91CC3">
        <w:t xml:space="preserve"> population </w:t>
      </w:r>
      <w:r w:rsidR="00034A31" w:rsidRPr="00F91CC3">
        <w:rPr>
          <w:rFonts w:asciiTheme="minorHAnsi" w:hAnsiTheme="minorHAnsi"/>
          <w:snapToGrid w:val="0"/>
        </w:rPr>
        <w:t>(non-clinical studies):</w:t>
      </w:r>
    </w:p>
    <w:p w14:paraId="658DD821" w14:textId="77777777" w:rsidR="00034A31" w:rsidRPr="00F91CC3" w:rsidRDefault="00034A31" w:rsidP="005142A2">
      <w:pPr>
        <w:numPr>
          <w:ilvl w:val="1"/>
          <w:numId w:val="12"/>
        </w:numPr>
        <w:spacing w:after="120"/>
        <w:rPr>
          <w:rFonts w:asciiTheme="minorHAnsi" w:hAnsiTheme="minorHAnsi"/>
          <w:snapToGrid w:val="0"/>
        </w:rPr>
      </w:pPr>
      <w:r w:rsidRPr="00F91CC3">
        <w:rPr>
          <w:rFonts w:asciiTheme="minorHAnsi" w:hAnsiTheme="minorHAnsi"/>
          <w:snapToGrid w:val="0"/>
        </w:rPr>
        <w:t>Three non-clinical studies that evaluated the in vitro responsiveness of CFTR mutations to ivacaftor potentiation (Yu et al. (2012), Van Goor et al. (2014), and Report P289).</w:t>
      </w:r>
    </w:p>
    <w:p w14:paraId="1472D6A4" w14:textId="2DE14F5A" w:rsidR="006B2134" w:rsidRDefault="00034A31" w:rsidP="005779C9">
      <w:pPr>
        <w:numPr>
          <w:ilvl w:val="1"/>
          <w:numId w:val="1"/>
        </w:numPr>
        <w:spacing w:after="120"/>
        <w:rPr>
          <w:rFonts w:asciiTheme="minorHAnsi" w:hAnsiTheme="minorHAnsi"/>
          <w:snapToGrid w:val="0"/>
        </w:rPr>
      </w:pPr>
      <w:r w:rsidRPr="006B2134">
        <w:rPr>
          <w:rFonts w:asciiTheme="minorHAnsi" w:hAnsiTheme="minorHAnsi"/>
        </w:rPr>
        <w:t xml:space="preserve">Details of the studies presented in the submission are provided </w:t>
      </w:r>
      <w:r w:rsidRPr="006B2134">
        <w:rPr>
          <w:rFonts w:asciiTheme="minorHAnsi" w:hAnsiTheme="minorHAnsi"/>
          <w:snapToGrid w:val="0"/>
        </w:rPr>
        <w:t xml:space="preserve">in </w:t>
      </w:r>
      <w:bookmarkStart w:id="33" w:name="_Ref145496326"/>
      <w:r w:rsidR="006B2134">
        <w:rPr>
          <w:rFonts w:asciiTheme="minorHAnsi" w:hAnsiTheme="minorHAnsi"/>
          <w:snapToGrid w:val="0"/>
        </w:rPr>
        <w:t>Table 3.</w:t>
      </w:r>
    </w:p>
    <w:p w14:paraId="4D616EB7" w14:textId="2A40837D" w:rsidR="004E3962" w:rsidRPr="006B2134" w:rsidRDefault="006B2134" w:rsidP="006B2134">
      <w:pPr>
        <w:jc w:val="left"/>
        <w:rPr>
          <w:rFonts w:asciiTheme="minorHAnsi" w:hAnsiTheme="minorHAnsi"/>
          <w:snapToGrid w:val="0"/>
        </w:rPr>
      </w:pPr>
      <w:r>
        <w:rPr>
          <w:rFonts w:asciiTheme="minorHAnsi" w:hAnsiTheme="minorHAnsi"/>
          <w:snapToGrid w:val="0"/>
        </w:rPr>
        <w:br w:type="page"/>
      </w:r>
    </w:p>
    <w:p w14:paraId="35B23E9D" w14:textId="523F2782" w:rsidR="00034A31" w:rsidRPr="00F91CC3" w:rsidRDefault="00034A31" w:rsidP="00034A31">
      <w:pPr>
        <w:keepNext/>
        <w:jc w:val="left"/>
        <w:rPr>
          <w:rFonts w:ascii="Arial Narrow" w:eastAsiaTheme="majorEastAsia" w:hAnsi="Arial Narrow" w:cstheme="majorBidi"/>
          <w:b/>
          <w:bCs/>
          <w:sz w:val="20"/>
        </w:rPr>
      </w:pPr>
      <w:r w:rsidRPr="00F91CC3">
        <w:rPr>
          <w:rFonts w:ascii="Arial Narrow" w:eastAsiaTheme="majorEastAsia" w:hAnsi="Arial Narrow" w:cstheme="majorBidi"/>
          <w:b/>
          <w:bCs/>
          <w:sz w:val="20"/>
        </w:rPr>
        <w:lastRenderedPageBreak/>
        <w:t xml:space="preserve">Table </w:t>
      </w:r>
      <w:r w:rsidRPr="00F91CC3">
        <w:rPr>
          <w:rFonts w:ascii="Arial Narrow" w:eastAsiaTheme="majorEastAsia" w:hAnsi="Arial Narrow" w:cstheme="majorBidi"/>
          <w:b/>
          <w:bCs/>
          <w:sz w:val="20"/>
        </w:rPr>
        <w:fldChar w:fldCharType="begin"/>
      </w:r>
      <w:r w:rsidRPr="00F91CC3">
        <w:rPr>
          <w:rFonts w:ascii="Arial Narrow" w:eastAsiaTheme="majorEastAsia" w:hAnsi="Arial Narrow" w:cstheme="majorBidi"/>
          <w:b/>
          <w:bCs/>
          <w:sz w:val="20"/>
        </w:rPr>
        <w:instrText xml:space="preserve"> SEQ Table \* ARABIC </w:instrText>
      </w:r>
      <w:r w:rsidRPr="00F91CC3">
        <w:rPr>
          <w:rFonts w:ascii="Arial Narrow" w:eastAsiaTheme="majorEastAsia" w:hAnsi="Arial Narrow" w:cstheme="majorBidi"/>
          <w:b/>
          <w:bCs/>
          <w:sz w:val="20"/>
        </w:rPr>
        <w:fldChar w:fldCharType="separate"/>
      </w:r>
      <w:r w:rsidR="008D6198">
        <w:rPr>
          <w:rFonts w:ascii="Arial Narrow" w:eastAsiaTheme="majorEastAsia" w:hAnsi="Arial Narrow" w:cstheme="majorBidi"/>
          <w:b/>
          <w:bCs/>
          <w:noProof/>
          <w:sz w:val="20"/>
        </w:rPr>
        <w:t>3</w:t>
      </w:r>
      <w:r w:rsidRPr="00F91CC3">
        <w:rPr>
          <w:rFonts w:ascii="Arial Narrow" w:eastAsiaTheme="majorEastAsia" w:hAnsi="Arial Narrow" w:cstheme="majorBidi"/>
          <w:b/>
          <w:bCs/>
          <w:sz w:val="20"/>
        </w:rPr>
        <w:fldChar w:fldCharType="end"/>
      </w:r>
      <w:bookmarkEnd w:id="33"/>
      <w:r w:rsidRPr="00F91CC3">
        <w:rPr>
          <w:rFonts w:ascii="Arial Narrow" w:eastAsiaTheme="majorEastAsia" w:hAnsi="Arial Narrow" w:cstheme="majorBidi"/>
          <w:b/>
          <w:bCs/>
          <w:sz w:val="20"/>
        </w:rPr>
        <w:t>: Studies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034A31" w:rsidRPr="00F91CC3" w14:paraId="305E9237" w14:textId="77777777" w:rsidTr="002A2AB2">
        <w:trPr>
          <w:tblHeader/>
        </w:trPr>
        <w:tc>
          <w:tcPr>
            <w:tcW w:w="796" w:type="pct"/>
            <w:vAlign w:val="center"/>
          </w:tcPr>
          <w:p w14:paraId="1218E288" w14:textId="77777777" w:rsidR="00034A31" w:rsidRPr="00F91CC3" w:rsidRDefault="00034A31" w:rsidP="00034A31">
            <w:pPr>
              <w:widowControl w:val="0"/>
              <w:jc w:val="left"/>
              <w:rPr>
                <w:rFonts w:ascii="Arial Narrow" w:eastAsiaTheme="majorEastAsia" w:hAnsi="Arial Narrow" w:cstheme="majorBidi"/>
                <w:b/>
                <w:sz w:val="20"/>
                <w:szCs w:val="20"/>
              </w:rPr>
            </w:pPr>
            <w:r w:rsidRPr="00F91CC3">
              <w:rPr>
                <w:rFonts w:ascii="Arial Narrow" w:eastAsiaTheme="majorEastAsia" w:hAnsi="Arial Narrow" w:cstheme="majorBidi"/>
                <w:b/>
                <w:sz w:val="20"/>
                <w:szCs w:val="20"/>
              </w:rPr>
              <w:t>Trial ID</w:t>
            </w:r>
          </w:p>
        </w:tc>
        <w:tc>
          <w:tcPr>
            <w:tcW w:w="3027" w:type="pct"/>
          </w:tcPr>
          <w:p w14:paraId="5FB7388C" w14:textId="77777777" w:rsidR="00034A31" w:rsidRPr="00F91CC3" w:rsidRDefault="00034A31" w:rsidP="00034A31">
            <w:pPr>
              <w:widowControl w:val="0"/>
              <w:jc w:val="left"/>
              <w:rPr>
                <w:rFonts w:ascii="Arial Narrow" w:eastAsiaTheme="majorEastAsia" w:hAnsi="Arial Narrow" w:cstheme="majorBidi"/>
                <w:b/>
                <w:sz w:val="20"/>
                <w:szCs w:val="20"/>
              </w:rPr>
            </w:pPr>
            <w:r w:rsidRPr="00F91CC3">
              <w:rPr>
                <w:rFonts w:ascii="Arial Narrow" w:eastAsiaTheme="majorEastAsia" w:hAnsi="Arial Narrow" w:cstheme="majorBidi"/>
                <w:b/>
                <w:sz w:val="20"/>
                <w:szCs w:val="20"/>
              </w:rPr>
              <w:t>Protocol title/ Publication title</w:t>
            </w:r>
          </w:p>
        </w:tc>
        <w:tc>
          <w:tcPr>
            <w:tcW w:w="1177" w:type="pct"/>
          </w:tcPr>
          <w:p w14:paraId="13013518" w14:textId="77777777" w:rsidR="00034A31" w:rsidRPr="00F91CC3" w:rsidRDefault="00034A31" w:rsidP="00034A31">
            <w:pPr>
              <w:widowControl w:val="0"/>
              <w:jc w:val="left"/>
              <w:rPr>
                <w:rFonts w:ascii="Arial Narrow" w:eastAsiaTheme="majorEastAsia" w:hAnsi="Arial Narrow" w:cstheme="majorBidi"/>
                <w:b/>
                <w:sz w:val="20"/>
                <w:szCs w:val="20"/>
              </w:rPr>
            </w:pPr>
            <w:r w:rsidRPr="00F91CC3">
              <w:rPr>
                <w:rFonts w:ascii="Arial Narrow" w:eastAsiaTheme="majorEastAsia" w:hAnsi="Arial Narrow" w:cstheme="majorBidi"/>
                <w:b/>
                <w:sz w:val="20"/>
                <w:szCs w:val="20"/>
              </w:rPr>
              <w:t>Publication citation</w:t>
            </w:r>
          </w:p>
        </w:tc>
      </w:tr>
      <w:tr w:rsidR="00034A31" w:rsidRPr="00F91CC3" w14:paraId="4D0B09CE" w14:textId="77777777" w:rsidTr="002A2AB2">
        <w:tc>
          <w:tcPr>
            <w:tcW w:w="5000" w:type="pct"/>
            <w:gridSpan w:val="3"/>
            <w:vAlign w:val="center"/>
          </w:tcPr>
          <w:p w14:paraId="371C202C" w14:textId="77777777" w:rsidR="00034A31" w:rsidRPr="00F91CC3" w:rsidRDefault="00034A31" w:rsidP="00034A31">
            <w:pPr>
              <w:widowControl w:val="0"/>
              <w:jc w:val="left"/>
              <w:rPr>
                <w:rFonts w:ascii="Arial Narrow" w:eastAsiaTheme="majorEastAsia" w:hAnsi="Arial Narrow" w:cstheme="majorBidi"/>
                <w:b/>
                <w:sz w:val="20"/>
                <w:szCs w:val="20"/>
              </w:rPr>
            </w:pPr>
            <w:r w:rsidRPr="00F91CC3">
              <w:rPr>
                <w:rFonts w:ascii="Arial Narrow" w:eastAsiaTheme="majorEastAsia" w:hAnsi="Arial Narrow" w:cstheme="majorBidi"/>
                <w:b/>
                <w:sz w:val="20"/>
                <w:szCs w:val="20"/>
              </w:rPr>
              <w:t>Gating population</w:t>
            </w:r>
          </w:p>
        </w:tc>
      </w:tr>
      <w:tr w:rsidR="00034A31" w:rsidRPr="00F91CC3" w14:paraId="2555E553" w14:textId="77777777" w:rsidTr="002A2AB2">
        <w:tc>
          <w:tcPr>
            <w:tcW w:w="796" w:type="pct"/>
            <w:vAlign w:val="center"/>
          </w:tcPr>
          <w:p w14:paraId="3B840B2A" w14:textId="77777777" w:rsidR="00034A31" w:rsidRPr="00F91CC3" w:rsidRDefault="00034A31" w:rsidP="00034A31">
            <w:pPr>
              <w:widowControl w:val="0"/>
              <w:jc w:val="left"/>
              <w:rPr>
                <w:rFonts w:ascii="Arial Narrow" w:eastAsiaTheme="majorEastAsia" w:hAnsi="Arial Narrow" w:cstheme="minorHAnsi"/>
                <w:bCs/>
                <w:sz w:val="20"/>
                <w:szCs w:val="20"/>
              </w:rPr>
            </w:pPr>
            <w:r w:rsidRPr="00F91CC3">
              <w:rPr>
                <w:rFonts w:ascii="Arial Narrow" w:eastAsiaTheme="majorEastAsia" w:hAnsi="Arial Narrow" w:cstheme="minorHAnsi"/>
                <w:bCs/>
                <w:sz w:val="20"/>
                <w:szCs w:val="20"/>
              </w:rPr>
              <w:t>Study 124</w:t>
            </w:r>
          </w:p>
          <w:p w14:paraId="53AD103D" w14:textId="77777777" w:rsidR="00034A31" w:rsidRPr="00F91CC3" w:rsidRDefault="00034A31" w:rsidP="00034A31">
            <w:pPr>
              <w:widowControl w:val="0"/>
              <w:jc w:val="left"/>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VX15-770-124</w:t>
            </w:r>
          </w:p>
        </w:tc>
        <w:tc>
          <w:tcPr>
            <w:tcW w:w="3027" w:type="pct"/>
          </w:tcPr>
          <w:p w14:paraId="3154E707" w14:textId="77777777" w:rsidR="00034A31" w:rsidRPr="00F91CC3" w:rsidRDefault="00034A31" w:rsidP="00034A31">
            <w:pPr>
              <w:widowControl w:val="0"/>
              <w:jc w:val="left"/>
              <w:rPr>
                <w:rFonts w:ascii="Arial Narrow" w:eastAsiaTheme="majorEastAsia" w:hAnsi="Arial Narrow" w:cstheme="minorHAnsi"/>
                <w:bCs/>
                <w:sz w:val="20"/>
                <w:szCs w:val="20"/>
              </w:rPr>
            </w:pPr>
            <w:r w:rsidRPr="00F91CC3">
              <w:rPr>
                <w:rFonts w:ascii="Arial Narrow" w:eastAsiaTheme="majorEastAsia" w:hAnsi="Arial Narrow" w:cstheme="minorHAnsi"/>
                <w:bCs/>
                <w:sz w:val="20"/>
                <w:szCs w:val="20"/>
              </w:rPr>
              <w:t>Clinical Study Report, Interim Analysis 2 and Interim Analysis 3</w:t>
            </w:r>
          </w:p>
          <w:p w14:paraId="212FBC7B" w14:textId="77777777" w:rsidR="00034A31" w:rsidRPr="00F91CC3" w:rsidRDefault="00034A31" w:rsidP="00034A31">
            <w:pPr>
              <w:widowControl w:val="0"/>
              <w:jc w:val="left"/>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 xml:space="preserve">A Phase 3, 2-Part, Open-label Study to Evaluate the Safety, Pharmacokinetics, and Pharmacodynamics of Ivacaftor in Patients With Cystic Fibrosis Who Are Less Than 24 Months of Age at Treatment Initiation and Have a </w:t>
            </w:r>
            <w:r w:rsidRPr="00F91CC3">
              <w:rPr>
                <w:rFonts w:ascii="Arial Narrow" w:eastAsiaTheme="majorEastAsia" w:hAnsi="Arial Narrow" w:cstheme="majorBidi"/>
                <w:bCs/>
                <w:iCs/>
                <w:sz w:val="20"/>
                <w:szCs w:val="20"/>
              </w:rPr>
              <w:t>CFTR</w:t>
            </w:r>
            <w:r w:rsidRPr="00F91CC3">
              <w:rPr>
                <w:rFonts w:ascii="Arial Narrow" w:eastAsiaTheme="majorEastAsia" w:hAnsi="Arial Narrow" w:cstheme="majorBidi"/>
                <w:bCs/>
                <w:sz w:val="20"/>
                <w:szCs w:val="20"/>
              </w:rPr>
              <w:t xml:space="preserve"> Gating Mutation</w:t>
            </w:r>
          </w:p>
        </w:tc>
        <w:tc>
          <w:tcPr>
            <w:tcW w:w="1177" w:type="pct"/>
          </w:tcPr>
          <w:p w14:paraId="3F5E725B" w14:textId="77777777" w:rsidR="00034A31" w:rsidRPr="00F91CC3" w:rsidRDefault="00034A31" w:rsidP="00034A31">
            <w:pPr>
              <w:widowControl w:val="0"/>
              <w:jc w:val="left"/>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NCT02725567</w:t>
            </w:r>
          </w:p>
        </w:tc>
      </w:tr>
      <w:tr w:rsidR="00034A31" w:rsidRPr="00F91CC3" w14:paraId="4991F5C1" w14:textId="77777777" w:rsidTr="002A2AB2">
        <w:tc>
          <w:tcPr>
            <w:tcW w:w="5000" w:type="pct"/>
            <w:gridSpan w:val="3"/>
            <w:vAlign w:val="center"/>
          </w:tcPr>
          <w:p w14:paraId="6B4B79F1" w14:textId="07CC165C" w:rsidR="00034A31" w:rsidRPr="00F91CC3" w:rsidRDefault="00A66F4A" w:rsidP="00034A31">
            <w:pPr>
              <w:widowControl w:val="0"/>
              <w:jc w:val="left"/>
              <w:rPr>
                <w:rFonts w:ascii="Arial Narrow" w:eastAsiaTheme="majorEastAsia" w:hAnsi="Arial Narrow" w:cstheme="majorBidi"/>
                <w:b/>
                <w:sz w:val="20"/>
                <w:szCs w:val="20"/>
              </w:rPr>
            </w:pPr>
            <w:r w:rsidRPr="00F91CC3">
              <w:rPr>
                <w:rFonts w:ascii="Arial Narrow" w:eastAsiaTheme="majorEastAsia" w:hAnsi="Arial Narrow" w:cstheme="minorHAnsi"/>
                <w:b/>
                <w:sz w:val="20"/>
                <w:szCs w:val="20"/>
              </w:rPr>
              <w:t xml:space="preserve">R117H </w:t>
            </w:r>
            <w:r w:rsidR="00034A31" w:rsidRPr="00F91CC3">
              <w:rPr>
                <w:rFonts w:ascii="Arial Narrow" w:eastAsiaTheme="majorEastAsia" w:hAnsi="Arial Narrow" w:cstheme="minorHAnsi"/>
                <w:b/>
                <w:sz w:val="20"/>
                <w:szCs w:val="20"/>
              </w:rPr>
              <w:t>population</w:t>
            </w:r>
          </w:p>
        </w:tc>
      </w:tr>
      <w:tr w:rsidR="00034A31" w:rsidRPr="00F91CC3" w14:paraId="79193B9D" w14:textId="77777777" w:rsidTr="002A2AB2">
        <w:trPr>
          <w:trHeight w:val="29"/>
        </w:trPr>
        <w:tc>
          <w:tcPr>
            <w:tcW w:w="796" w:type="pct"/>
            <w:vMerge w:val="restart"/>
            <w:vAlign w:val="center"/>
          </w:tcPr>
          <w:p w14:paraId="7F8DD9D5" w14:textId="77777777" w:rsidR="00034A31" w:rsidRPr="00F91CC3" w:rsidRDefault="00034A31" w:rsidP="00034A31">
            <w:pPr>
              <w:widowControl w:val="0"/>
              <w:jc w:val="left"/>
              <w:rPr>
                <w:rFonts w:ascii="Arial Narrow" w:eastAsiaTheme="majorEastAsia" w:hAnsi="Arial Narrow" w:cstheme="minorHAnsi"/>
                <w:bCs/>
                <w:sz w:val="20"/>
                <w:szCs w:val="20"/>
              </w:rPr>
            </w:pPr>
            <w:r w:rsidRPr="00F91CC3">
              <w:rPr>
                <w:rFonts w:ascii="Arial Narrow" w:eastAsiaTheme="majorEastAsia" w:hAnsi="Arial Narrow" w:cstheme="minorHAnsi"/>
                <w:bCs/>
                <w:sz w:val="20"/>
                <w:szCs w:val="20"/>
              </w:rPr>
              <w:t>Study 110</w:t>
            </w:r>
          </w:p>
          <w:p w14:paraId="7FEAAFB8" w14:textId="77777777" w:rsidR="00034A31" w:rsidRPr="00F91CC3" w:rsidRDefault="00034A31" w:rsidP="00034A31">
            <w:pPr>
              <w:widowControl w:val="0"/>
              <w:jc w:val="left"/>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VX11-770-110</w:t>
            </w:r>
          </w:p>
          <w:p w14:paraId="6964230C" w14:textId="77777777" w:rsidR="00034A31" w:rsidRPr="00F91CC3" w:rsidRDefault="00034A31" w:rsidP="00034A31">
            <w:pPr>
              <w:widowControl w:val="0"/>
              <w:jc w:val="left"/>
              <w:rPr>
                <w:rFonts w:ascii="Arial Narrow" w:eastAsiaTheme="majorEastAsia" w:hAnsi="Arial Narrow" w:cstheme="majorBidi"/>
                <w:bCs/>
                <w:sz w:val="20"/>
                <w:szCs w:val="20"/>
              </w:rPr>
            </w:pPr>
          </w:p>
        </w:tc>
        <w:tc>
          <w:tcPr>
            <w:tcW w:w="3027" w:type="pct"/>
          </w:tcPr>
          <w:p w14:paraId="41A17148" w14:textId="77777777" w:rsidR="00034A31" w:rsidRPr="00F91CC3" w:rsidRDefault="00034A31" w:rsidP="00034A31">
            <w:pPr>
              <w:widowControl w:val="0"/>
              <w:jc w:val="left"/>
              <w:rPr>
                <w:rFonts w:ascii="Arial Narrow" w:eastAsiaTheme="majorEastAsia" w:hAnsi="Arial Narrow" w:cstheme="majorBidi"/>
                <w:bCs/>
                <w:sz w:val="20"/>
                <w:szCs w:val="20"/>
              </w:rPr>
            </w:pPr>
            <w:r w:rsidRPr="00F91CC3">
              <w:rPr>
                <w:rFonts w:ascii="Arial Narrow" w:eastAsiaTheme="majorEastAsia" w:hAnsi="Arial Narrow" w:cstheme="minorHAnsi"/>
                <w:bCs/>
                <w:sz w:val="20"/>
                <w:szCs w:val="20"/>
              </w:rPr>
              <w:t xml:space="preserve">Clinical Study Report, March 2014: A Phase 3, Randomized, Double-Blind, Placebo-Controlled, Parallel Group Study to Evaluate the Efficacy and Safety of Ivacaftor in Patients With Cystic Fibrosis Who Have the </w:t>
            </w:r>
            <w:r w:rsidRPr="00F91CC3">
              <w:rPr>
                <w:rFonts w:ascii="Arial Narrow" w:eastAsiaTheme="majorEastAsia" w:hAnsi="Arial Narrow" w:cstheme="minorHAnsi"/>
                <w:bCs/>
                <w:iCs/>
                <w:sz w:val="20"/>
                <w:szCs w:val="20"/>
              </w:rPr>
              <w:t>R117H CFTR</w:t>
            </w:r>
            <w:r w:rsidRPr="00F91CC3">
              <w:rPr>
                <w:rFonts w:ascii="Arial Narrow" w:eastAsiaTheme="majorEastAsia" w:hAnsi="Arial Narrow" w:cstheme="minorHAnsi"/>
                <w:bCs/>
                <w:sz w:val="20"/>
                <w:szCs w:val="20"/>
              </w:rPr>
              <w:t xml:space="preserve"> Mutation</w:t>
            </w:r>
          </w:p>
        </w:tc>
        <w:tc>
          <w:tcPr>
            <w:tcW w:w="1177" w:type="pct"/>
          </w:tcPr>
          <w:p w14:paraId="69839C8A" w14:textId="77777777" w:rsidR="00034A31" w:rsidRPr="00F91CC3" w:rsidRDefault="00034A31" w:rsidP="00034A31">
            <w:pPr>
              <w:widowControl w:val="0"/>
              <w:jc w:val="left"/>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NCT01614457</w:t>
            </w:r>
          </w:p>
        </w:tc>
      </w:tr>
      <w:tr w:rsidR="00034A31" w:rsidRPr="00F91CC3" w14:paraId="1986BBA0" w14:textId="77777777" w:rsidTr="002A2AB2">
        <w:trPr>
          <w:trHeight w:val="29"/>
        </w:trPr>
        <w:tc>
          <w:tcPr>
            <w:tcW w:w="796" w:type="pct"/>
            <w:vMerge/>
            <w:vAlign w:val="center"/>
          </w:tcPr>
          <w:p w14:paraId="5810DBF0" w14:textId="77777777" w:rsidR="00034A31" w:rsidRPr="00F91CC3" w:rsidRDefault="00034A31" w:rsidP="00034A31">
            <w:pPr>
              <w:widowControl w:val="0"/>
              <w:jc w:val="left"/>
              <w:rPr>
                <w:rFonts w:ascii="Arial Narrow" w:eastAsiaTheme="majorEastAsia" w:hAnsi="Arial Narrow" w:cstheme="minorHAnsi"/>
                <w:bCs/>
                <w:sz w:val="20"/>
                <w:szCs w:val="20"/>
              </w:rPr>
            </w:pPr>
          </w:p>
        </w:tc>
        <w:tc>
          <w:tcPr>
            <w:tcW w:w="3027" w:type="pct"/>
          </w:tcPr>
          <w:p w14:paraId="19D2613A" w14:textId="77777777" w:rsidR="00034A31" w:rsidRPr="00F91CC3" w:rsidRDefault="00034A31" w:rsidP="00034A31">
            <w:pPr>
              <w:widowControl w:val="0"/>
              <w:jc w:val="left"/>
              <w:rPr>
                <w:rFonts w:ascii="Arial Narrow" w:eastAsiaTheme="majorEastAsia" w:hAnsi="Arial Narrow" w:cstheme="minorHAnsi"/>
                <w:bCs/>
                <w:sz w:val="20"/>
                <w:szCs w:val="20"/>
              </w:rPr>
            </w:pPr>
            <w:r w:rsidRPr="00F91CC3">
              <w:rPr>
                <w:rFonts w:ascii="Arial Narrow" w:eastAsiaTheme="majorEastAsia" w:hAnsi="Arial Narrow" w:cstheme="majorBidi"/>
                <w:bCs/>
                <w:sz w:val="20"/>
                <w:szCs w:val="20"/>
              </w:rPr>
              <w:t xml:space="preserve">Moss RB, Flume PA, Elborn JS, Cooke J, Rowe SM, McColley SA, Rubenstein RC, Higgins M; VX11-770-110 (KONDUCT) Study Group Efficacy and safety of ivacaftor in patients with cystic fibrosis who have an </w:t>
            </w:r>
            <w:r w:rsidRPr="00F91CC3">
              <w:rPr>
                <w:rFonts w:ascii="Arial Narrow" w:eastAsiaTheme="majorEastAsia" w:hAnsi="Arial Narrow" w:cstheme="majorBidi"/>
                <w:bCs/>
                <w:iCs/>
                <w:sz w:val="20"/>
                <w:szCs w:val="20"/>
              </w:rPr>
              <w:t>Arg117His-CFTR</w:t>
            </w:r>
            <w:r w:rsidRPr="00F91CC3">
              <w:rPr>
                <w:rFonts w:ascii="Arial Narrow" w:eastAsiaTheme="majorEastAsia" w:hAnsi="Arial Narrow" w:cstheme="majorBidi"/>
                <w:bCs/>
                <w:sz w:val="20"/>
                <w:szCs w:val="20"/>
              </w:rPr>
              <w:t xml:space="preserve"> mutation: a double-blind, randomised controlled trial.</w:t>
            </w:r>
          </w:p>
        </w:tc>
        <w:tc>
          <w:tcPr>
            <w:tcW w:w="1177" w:type="pct"/>
          </w:tcPr>
          <w:p w14:paraId="36E8BC25" w14:textId="77777777" w:rsidR="00034A31" w:rsidRPr="00F91CC3" w:rsidRDefault="00034A31" w:rsidP="00034A31">
            <w:pPr>
              <w:widowControl w:val="0"/>
              <w:jc w:val="left"/>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Lancet Respir Med. 2015 Jul;3(7):524-33. doi: 10.1016/S2213-2600(15)00201-5. Epub 2015 Jun 9.</w:t>
            </w:r>
          </w:p>
        </w:tc>
      </w:tr>
      <w:tr w:rsidR="00034A31" w:rsidRPr="00F91CC3" w14:paraId="1F866441" w14:textId="77777777" w:rsidTr="002A2AB2">
        <w:trPr>
          <w:trHeight w:val="28"/>
        </w:trPr>
        <w:tc>
          <w:tcPr>
            <w:tcW w:w="796" w:type="pct"/>
            <w:vMerge w:val="restart"/>
            <w:vAlign w:val="center"/>
          </w:tcPr>
          <w:p w14:paraId="60D896FB" w14:textId="77777777" w:rsidR="00034A31" w:rsidRPr="00F91CC3" w:rsidRDefault="00034A31" w:rsidP="00034A31">
            <w:pPr>
              <w:widowControl w:val="0"/>
              <w:jc w:val="left"/>
              <w:rPr>
                <w:rFonts w:ascii="Arial Narrow" w:eastAsiaTheme="majorEastAsia" w:hAnsi="Arial Narrow" w:cstheme="minorHAnsi"/>
                <w:bCs/>
                <w:sz w:val="20"/>
                <w:szCs w:val="20"/>
              </w:rPr>
            </w:pPr>
            <w:r w:rsidRPr="00F91CC3">
              <w:rPr>
                <w:rFonts w:ascii="Arial Narrow" w:eastAsiaTheme="majorEastAsia" w:hAnsi="Arial Narrow" w:cstheme="minorHAnsi"/>
                <w:bCs/>
                <w:sz w:val="20"/>
                <w:szCs w:val="20"/>
              </w:rPr>
              <w:t>Study 112</w:t>
            </w:r>
          </w:p>
          <w:p w14:paraId="7024FB50" w14:textId="77777777" w:rsidR="00034A31" w:rsidRPr="00F91CC3" w:rsidRDefault="00034A31" w:rsidP="00034A31">
            <w:pPr>
              <w:widowControl w:val="0"/>
              <w:jc w:val="left"/>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VX12-770-112</w:t>
            </w:r>
          </w:p>
          <w:p w14:paraId="55CA2DFD" w14:textId="77777777" w:rsidR="00034A31" w:rsidRPr="00F91CC3" w:rsidRDefault="00034A31" w:rsidP="00034A31">
            <w:pPr>
              <w:widowControl w:val="0"/>
              <w:jc w:val="left"/>
              <w:rPr>
                <w:rFonts w:ascii="Arial Narrow" w:eastAsiaTheme="majorEastAsia" w:hAnsi="Arial Narrow" w:cstheme="majorBidi"/>
                <w:bCs/>
                <w:sz w:val="20"/>
                <w:szCs w:val="20"/>
              </w:rPr>
            </w:pPr>
          </w:p>
        </w:tc>
        <w:tc>
          <w:tcPr>
            <w:tcW w:w="3027" w:type="pct"/>
          </w:tcPr>
          <w:p w14:paraId="48531B8D" w14:textId="77777777" w:rsidR="00034A31" w:rsidRPr="00F91CC3" w:rsidRDefault="00034A31" w:rsidP="00034A31">
            <w:pPr>
              <w:widowControl w:val="0"/>
              <w:jc w:val="left"/>
              <w:rPr>
                <w:rFonts w:ascii="Arial Narrow" w:eastAsiaTheme="majorEastAsia" w:hAnsi="Arial Narrow" w:cstheme="majorBidi"/>
                <w:bCs/>
                <w:sz w:val="20"/>
                <w:szCs w:val="20"/>
              </w:rPr>
            </w:pPr>
            <w:r w:rsidRPr="00F91CC3">
              <w:rPr>
                <w:rFonts w:ascii="Arial Narrow" w:eastAsiaTheme="majorEastAsia" w:hAnsi="Arial Narrow" w:cstheme="minorHAnsi"/>
                <w:bCs/>
                <w:sz w:val="20"/>
                <w:szCs w:val="20"/>
              </w:rPr>
              <w:t xml:space="preserve">Clinical Study Report, October 2016: A Phase 3, Two-Arm, Rollover Study to Evaluate the Safety of Long-Term Ivacaftor Treatment in Patients 6 Years of Age and Older with Cystic Fibrosis and a </w:t>
            </w:r>
            <w:r w:rsidRPr="00F91CC3">
              <w:rPr>
                <w:rFonts w:ascii="Arial Narrow" w:eastAsiaTheme="majorEastAsia" w:hAnsi="Arial Narrow" w:cstheme="minorHAnsi"/>
                <w:bCs/>
                <w:iCs/>
                <w:sz w:val="20"/>
                <w:szCs w:val="20"/>
              </w:rPr>
              <w:t>Non-G551D</w:t>
            </w:r>
            <w:r w:rsidRPr="00F91CC3">
              <w:rPr>
                <w:rFonts w:ascii="Arial Narrow" w:eastAsiaTheme="majorEastAsia" w:hAnsi="Arial Narrow" w:cstheme="minorHAnsi"/>
                <w:bCs/>
                <w:sz w:val="20"/>
                <w:szCs w:val="20"/>
              </w:rPr>
              <w:t xml:space="preserve"> CFTR Mutation</w:t>
            </w:r>
          </w:p>
        </w:tc>
        <w:tc>
          <w:tcPr>
            <w:tcW w:w="1177" w:type="pct"/>
          </w:tcPr>
          <w:p w14:paraId="3754C57E" w14:textId="77777777" w:rsidR="00034A31" w:rsidRPr="00F91CC3" w:rsidRDefault="00034A31" w:rsidP="00034A31">
            <w:pPr>
              <w:widowControl w:val="0"/>
              <w:jc w:val="left"/>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NCT01707290</w:t>
            </w:r>
          </w:p>
          <w:p w14:paraId="4A29415F" w14:textId="77777777" w:rsidR="00034A31" w:rsidRPr="00F91CC3" w:rsidRDefault="00034A31" w:rsidP="00034A31">
            <w:pPr>
              <w:widowControl w:val="0"/>
              <w:jc w:val="left"/>
              <w:rPr>
                <w:rFonts w:ascii="Arial Narrow" w:eastAsiaTheme="majorEastAsia" w:hAnsi="Arial Narrow" w:cstheme="majorBidi"/>
                <w:bCs/>
                <w:sz w:val="20"/>
                <w:szCs w:val="20"/>
              </w:rPr>
            </w:pPr>
          </w:p>
          <w:p w14:paraId="2BBDC81C" w14:textId="77777777" w:rsidR="00034A31" w:rsidRPr="00F91CC3" w:rsidRDefault="00034A31" w:rsidP="00034A31">
            <w:pPr>
              <w:widowControl w:val="0"/>
              <w:jc w:val="left"/>
              <w:rPr>
                <w:rFonts w:ascii="Arial Narrow" w:eastAsiaTheme="majorEastAsia" w:hAnsi="Arial Narrow" w:cstheme="majorBidi"/>
                <w:bCs/>
                <w:sz w:val="20"/>
                <w:szCs w:val="20"/>
              </w:rPr>
            </w:pPr>
          </w:p>
          <w:p w14:paraId="2AB2918C" w14:textId="77777777" w:rsidR="00034A31" w:rsidRPr="00F91CC3" w:rsidRDefault="00034A31" w:rsidP="00034A31">
            <w:pPr>
              <w:widowControl w:val="0"/>
              <w:jc w:val="left"/>
              <w:rPr>
                <w:rFonts w:ascii="Arial Narrow" w:eastAsiaTheme="majorEastAsia" w:hAnsi="Arial Narrow" w:cstheme="majorBidi"/>
                <w:bCs/>
                <w:sz w:val="20"/>
                <w:szCs w:val="20"/>
              </w:rPr>
            </w:pPr>
          </w:p>
        </w:tc>
      </w:tr>
      <w:tr w:rsidR="00034A31" w:rsidRPr="00F91CC3" w14:paraId="2648ADD3" w14:textId="77777777" w:rsidTr="002A2AB2">
        <w:trPr>
          <w:trHeight w:val="28"/>
        </w:trPr>
        <w:tc>
          <w:tcPr>
            <w:tcW w:w="796" w:type="pct"/>
            <w:vMerge/>
            <w:vAlign w:val="center"/>
          </w:tcPr>
          <w:p w14:paraId="01C0D487" w14:textId="77777777" w:rsidR="00034A31" w:rsidRPr="00F91CC3" w:rsidRDefault="00034A31" w:rsidP="00034A31">
            <w:pPr>
              <w:widowControl w:val="0"/>
              <w:jc w:val="left"/>
              <w:rPr>
                <w:rFonts w:ascii="Arial Narrow" w:eastAsiaTheme="majorEastAsia" w:hAnsi="Arial Narrow" w:cstheme="minorHAnsi"/>
                <w:bCs/>
                <w:sz w:val="20"/>
                <w:szCs w:val="20"/>
              </w:rPr>
            </w:pPr>
          </w:p>
        </w:tc>
        <w:tc>
          <w:tcPr>
            <w:tcW w:w="3027" w:type="pct"/>
          </w:tcPr>
          <w:p w14:paraId="5DA5FA62" w14:textId="77777777" w:rsidR="00034A31" w:rsidRPr="00F91CC3" w:rsidRDefault="00034A31" w:rsidP="00034A31">
            <w:pPr>
              <w:widowControl w:val="0"/>
              <w:jc w:val="left"/>
              <w:rPr>
                <w:rFonts w:ascii="Arial Narrow" w:eastAsiaTheme="majorEastAsia" w:hAnsi="Arial Narrow" w:cstheme="minorHAnsi"/>
                <w:bCs/>
                <w:sz w:val="20"/>
                <w:szCs w:val="20"/>
              </w:rPr>
            </w:pPr>
            <w:r w:rsidRPr="00F91CC3">
              <w:rPr>
                <w:rFonts w:ascii="Arial Narrow" w:eastAsiaTheme="majorEastAsia" w:hAnsi="Arial Narrow" w:cstheme="majorBidi"/>
                <w:bCs/>
                <w:sz w:val="20"/>
                <w:szCs w:val="20"/>
              </w:rPr>
              <w:t>Pilewski JM, De Boeck K, Nick JA, Tian S, DeSouza C, Higgins M, Moss RB. Long-Term Ivacaftor in People Aged 6 Years and Older with Cystic Fibrosis with Ivacaftor-Responsive Mutations.</w:t>
            </w:r>
          </w:p>
        </w:tc>
        <w:tc>
          <w:tcPr>
            <w:tcW w:w="1177" w:type="pct"/>
          </w:tcPr>
          <w:p w14:paraId="43837C69" w14:textId="77777777" w:rsidR="00034A31" w:rsidRPr="00F91CC3" w:rsidDel="00D856C7" w:rsidRDefault="00034A31" w:rsidP="00034A31">
            <w:pPr>
              <w:widowControl w:val="0"/>
              <w:jc w:val="left"/>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Pulm Ther. 2020 Dec;6(2):303-313. doi: 10.1007/s41030-020-00129-2. Epub 2020 Sep 23.</w:t>
            </w:r>
          </w:p>
        </w:tc>
      </w:tr>
      <w:tr w:rsidR="00034A31" w:rsidRPr="00F91CC3" w14:paraId="5B423242" w14:textId="77777777" w:rsidTr="002A2AB2">
        <w:trPr>
          <w:trHeight w:val="28"/>
        </w:trPr>
        <w:tc>
          <w:tcPr>
            <w:tcW w:w="796" w:type="pct"/>
            <w:vMerge w:val="restart"/>
            <w:vAlign w:val="center"/>
          </w:tcPr>
          <w:p w14:paraId="4D413DC9" w14:textId="77777777" w:rsidR="00034A31" w:rsidRPr="00F91CC3" w:rsidRDefault="00034A31" w:rsidP="00034A31">
            <w:pPr>
              <w:widowControl w:val="0"/>
              <w:jc w:val="left"/>
              <w:rPr>
                <w:rFonts w:ascii="Arial Narrow" w:eastAsiaTheme="majorEastAsia" w:hAnsi="Arial Narrow" w:cstheme="minorHAnsi"/>
                <w:bCs/>
                <w:sz w:val="20"/>
                <w:szCs w:val="20"/>
              </w:rPr>
            </w:pPr>
            <w:r w:rsidRPr="00F91CC3">
              <w:rPr>
                <w:rFonts w:ascii="Arial Narrow" w:eastAsiaTheme="majorEastAsia" w:hAnsi="Arial Narrow" w:cstheme="minorHAnsi"/>
                <w:bCs/>
                <w:sz w:val="20"/>
                <w:szCs w:val="20"/>
              </w:rPr>
              <w:t>Study 122</w:t>
            </w:r>
          </w:p>
          <w:p w14:paraId="5AEC2275" w14:textId="77777777" w:rsidR="00034A31" w:rsidRPr="00F91CC3" w:rsidRDefault="00034A31" w:rsidP="00034A31">
            <w:pPr>
              <w:widowControl w:val="0"/>
              <w:jc w:val="left"/>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VX15-770-122</w:t>
            </w:r>
          </w:p>
          <w:p w14:paraId="2FF2C58F" w14:textId="77777777" w:rsidR="00034A31" w:rsidRPr="00F91CC3" w:rsidRDefault="00034A31" w:rsidP="00034A31">
            <w:pPr>
              <w:widowControl w:val="0"/>
              <w:jc w:val="left"/>
              <w:rPr>
                <w:rFonts w:ascii="Arial Narrow" w:eastAsiaTheme="majorEastAsia" w:hAnsi="Arial Narrow" w:cstheme="majorBidi"/>
                <w:bCs/>
                <w:sz w:val="20"/>
                <w:szCs w:val="20"/>
              </w:rPr>
            </w:pPr>
          </w:p>
        </w:tc>
        <w:tc>
          <w:tcPr>
            <w:tcW w:w="3027" w:type="pct"/>
          </w:tcPr>
          <w:p w14:paraId="0F91DDBD" w14:textId="77777777" w:rsidR="00034A31" w:rsidRPr="00F91CC3" w:rsidRDefault="00034A31" w:rsidP="00034A31">
            <w:pPr>
              <w:widowControl w:val="0"/>
              <w:jc w:val="left"/>
              <w:rPr>
                <w:rFonts w:ascii="Arial Narrow" w:eastAsiaTheme="majorEastAsia" w:hAnsi="Arial Narrow" w:cstheme="majorBidi"/>
                <w:bCs/>
                <w:sz w:val="20"/>
                <w:szCs w:val="20"/>
              </w:rPr>
            </w:pPr>
            <w:r w:rsidRPr="00F91CC3">
              <w:rPr>
                <w:rFonts w:ascii="Arial Narrow" w:eastAsiaTheme="majorEastAsia" w:hAnsi="Arial Narrow" w:cstheme="minorHAnsi"/>
                <w:bCs/>
                <w:sz w:val="20"/>
                <w:szCs w:val="20"/>
              </w:rPr>
              <w:t xml:space="preserve">Clinical Study Report, December 2020: A Study in US Cystic Fibrosis Patients With the </w:t>
            </w:r>
            <w:r w:rsidRPr="00F91CC3">
              <w:rPr>
                <w:rFonts w:ascii="Arial Narrow" w:eastAsiaTheme="majorEastAsia" w:hAnsi="Arial Narrow" w:cstheme="minorHAnsi"/>
                <w:bCs/>
                <w:iCs/>
                <w:sz w:val="20"/>
                <w:szCs w:val="20"/>
              </w:rPr>
              <w:t>R117H-CFTR</w:t>
            </w:r>
            <w:r w:rsidRPr="00F91CC3">
              <w:rPr>
                <w:rFonts w:ascii="Arial Narrow" w:eastAsiaTheme="majorEastAsia" w:hAnsi="Arial Narrow" w:cstheme="minorHAnsi"/>
                <w:bCs/>
                <w:sz w:val="20"/>
                <w:szCs w:val="20"/>
              </w:rPr>
              <w:t xml:space="preserve"> Mutation to Confirm the Long-term Safety and Effectiveness of Kalydeco, Including Patients &lt;18 Years of Age, Combining Data Captured in the Cystic Fibrosis Foundation Patient Registry From an Interventional Cohort and a Non-interventional Cohort</w:t>
            </w:r>
          </w:p>
        </w:tc>
        <w:tc>
          <w:tcPr>
            <w:tcW w:w="1177" w:type="pct"/>
          </w:tcPr>
          <w:p w14:paraId="69F44684" w14:textId="77777777" w:rsidR="00034A31" w:rsidRPr="00F91CC3" w:rsidRDefault="00034A31" w:rsidP="00034A31">
            <w:pPr>
              <w:widowControl w:val="0"/>
              <w:jc w:val="left"/>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NCT02722057</w:t>
            </w:r>
          </w:p>
        </w:tc>
      </w:tr>
      <w:tr w:rsidR="00034A31" w:rsidRPr="00F91CC3" w14:paraId="0580DE2C" w14:textId="77777777" w:rsidTr="002A2AB2">
        <w:trPr>
          <w:trHeight w:val="28"/>
        </w:trPr>
        <w:tc>
          <w:tcPr>
            <w:tcW w:w="796" w:type="pct"/>
            <w:vMerge/>
            <w:vAlign w:val="center"/>
          </w:tcPr>
          <w:p w14:paraId="158EF4EE" w14:textId="77777777" w:rsidR="00034A31" w:rsidRPr="00F91CC3" w:rsidRDefault="00034A31" w:rsidP="00034A31">
            <w:pPr>
              <w:widowControl w:val="0"/>
              <w:jc w:val="left"/>
              <w:rPr>
                <w:rFonts w:ascii="Arial Narrow" w:eastAsiaTheme="majorEastAsia" w:hAnsi="Arial Narrow" w:cstheme="minorHAnsi"/>
                <w:bCs/>
                <w:sz w:val="20"/>
                <w:szCs w:val="20"/>
              </w:rPr>
            </w:pPr>
          </w:p>
        </w:tc>
        <w:tc>
          <w:tcPr>
            <w:tcW w:w="3027" w:type="pct"/>
          </w:tcPr>
          <w:p w14:paraId="285717F8" w14:textId="77777777" w:rsidR="00034A31" w:rsidRPr="00F91CC3" w:rsidRDefault="00034A31" w:rsidP="00034A31">
            <w:pPr>
              <w:widowControl w:val="0"/>
              <w:jc w:val="left"/>
              <w:rPr>
                <w:rFonts w:ascii="Arial Narrow" w:eastAsiaTheme="majorEastAsia" w:hAnsi="Arial Narrow" w:cstheme="minorHAnsi"/>
                <w:bCs/>
                <w:sz w:val="20"/>
                <w:szCs w:val="20"/>
              </w:rPr>
            </w:pPr>
            <w:r w:rsidRPr="00F91CC3">
              <w:rPr>
                <w:rFonts w:ascii="Arial Narrow" w:eastAsiaTheme="majorEastAsia" w:hAnsi="Arial Narrow" w:cstheme="majorBidi"/>
                <w:bCs/>
                <w:sz w:val="20"/>
                <w:szCs w:val="20"/>
              </w:rPr>
              <w:t xml:space="preserve">Higgins M, Farietta T, Campbell D, Liu M, Ostrenga J, Elbert A, Shih J, Volkova N. Registry-based study in people with cystic fibrosis and an </w:t>
            </w:r>
            <w:r w:rsidRPr="00F91CC3">
              <w:rPr>
                <w:rFonts w:ascii="Arial Narrow" w:eastAsiaTheme="majorEastAsia" w:hAnsi="Arial Narrow" w:cstheme="majorBidi"/>
                <w:bCs/>
                <w:iCs/>
                <w:sz w:val="20"/>
                <w:szCs w:val="20"/>
              </w:rPr>
              <w:t>R117H</w:t>
            </w:r>
            <w:r w:rsidRPr="00F91CC3">
              <w:rPr>
                <w:rFonts w:ascii="Arial Narrow" w:eastAsiaTheme="majorEastAsia" w:hAnsi="Arial Narrow" w:cstheme="majorBidi"/>
                <w:bCs/>
                <w:sz w:val="20"/>
                <w:szCs w:val="20"/>
              </w:rPr>
              <w:t xml:space="preserve"> variant treated with ivacaftor.</w:t>
            </w:r>
          </w:p>
        </w:tc>
        <w:tc>
          <w:tcPr>
            <w:tcW w:w="1177" w:type="pct"/>
          </w:tcPr>
          <w:p w14:paraId="303F3FD7" w14:textId="77777777" w:rsidR="00034A31" w:rsidRPr="00F91CC3" w:rsidRDefault="00034A31" w:rsidP="00034A31">
            <w:pPr>
              <w:widowControl w:val="0"/>
              <w:jc w:val="left"/>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BMJ Open Respir Res. 2023 May;10(1):e001447. doi: 10.1136/bmjresp-2022-001447. PMID: 37230763.</w:t>
            </w:r>
          </w:p>
        </w:tc>
      </w:tr>
      <w:tr w:rsidR="00034A31" w:rsidRPr="00F91CC3" w14:paraId="63DBCA1E" w14:textId="77777777" w:rsidTr="002A2AB2">
        <w:trPr>
          <w:trHeight w:val="28"/>
        </w:trPr>
        <w:tc>
          <w:tcPr>
            <w:tcW w:w="5000" w:type="pct"/>
            <w:gridSpan w:val="3"/>
            <w:vAlign w:val="center"/>
          </w:tcPr>
          <w:p w14:paraId="3BD7E0E7" w14:textId="0D0257A5" w:rsidR="00034A31" w:rsidRPr="00F91CC3" w:rsidRDefault="001C46BD" w:rsidP="00034A31">
            <w:pPr>
              <w:widowControl w:val="0"/>
              <w:jc w:val="left"/>
              <w:rPr>
                <w:rFonts w:ascii="Arial Narrow" w:eastAsiaTheme="majorEastAsia" w:hAnsi="Arial Narrow" w:cstheme="majorBidi"/>
                <w:bCs/>
                <w:sz w:val="20"/>
                <w:szCs w:val="20"/>
              </w:rPr>
            </w:pPr>
            <w:r w:rsidRPr="00F91CC3">
              <w:rPr>
                <w:rFonts w:ascii="Arial Narrow" w:eastAsiaTheme="majorEastAsia" w:hAnsi="Arial Narrow" w:cstheme="minorHAnsi"/>
                <w:b/>
                <w:sz w:val="20"/>
                <w:szCs w:val="20"/>
              </w:rPr>
              <w:t xml:space="preserve">Non-splice </w:t>
            </w:r>
            <w:r w:rsidR="00A66F4A" w:rsidRPr="00F91CC3">
              <w:rPr>
                <w:rFonts w:ascii="Arial Narrow" w:eastAsiaTheme="majorEastAsia" w:hAnsi="Arial Narrow" w:cstheme="minorHAnsi"/>
                <w:b/>
                <w:sz w:val="20"/>
                <w:szCs w:val="20"/>
              </w:rPr>
              <w:t xml:space="preserve">RF </w:t>
            </w:r>
            <w:r w:rsidR="00034A31" w:rsidRPr="00F91CC3">
              <w:rPr>
                <w:rFonts w:ascii="Arial Narrow" w:eastAsiaTheme="majorEastAsia" w:hAnsi="Arial Narrow" w:cstheme="minorHAnsi"/>
                <w:b/>
                <w:sz w:val="20"/>
                <w:szCs w:val="20"/>
              </w:rPr>
              <w:t xml:space="preserve">population </w:t>
            </w:r>
          </w:p>
        </w:tc>
      </w:tr>
      <w:tr w:rsidR="00034A31" w:rsidRPr="00F91CC3" w14:paraId="6CEFDC6F" w14:textId="77777777" w:rsidTr="002A2AB2">
        <w:trPr>
          <w:trHeight w:val="28"/>
        </w:trPr>
        <w:tc>
          <w:tcPr>
            <w:tcW w:w="796" w:type="pct"/>
            <w:vMerge w:val="restart"/>
            <w:vAlign w:val="center"/>
          </w:tcPr>
          <w:p w14:paraId="01E5D6B1" w14:textId="77777777" w:rsidR="00034A31" w:rsidRPr="00F91CC3" w:rsidRDefault="00034A31" w:rsidP="00034A31">
            <w:pPr>
              <w:widowControl w:val="0"/>
              <w:jc w:val="left"/>
              <w:rPr>
                <w:rFonts w:ascii="Arial Narrow" w:eastAsiaTheme="majorEastAsia" w:hAnsi="Arial Narrow" w:cstheme="minorHAnsi"/>
                <w:bCs/>
                <w:sz w:val="20"/>
                <w:szCs w:val="20"/>
              </w:rPr>
            </w:pPr>
            <w:r w:rsidRPr="00F91CC3">
              <w:rPr>
                <w:rFonts w:ascii="Arial Narrow" w:eastAsiaTheme="majorEastAsia" w:hAnsi="Arial Narrow" w:cstheme="minorHAnsi"/>
                <w:bCs/>
                <w:sz w:val="20"/>
                <w:szCs w:val="20"/>
              </w:rPr>
              <w:t>Study 108 VX14-661-108</w:t>
            </w:r>
          </w:p>
          <w:p w14:paraId="6969E617" w14:textId="77777777" w:rsidR="00034A31" w:rsidRPr="00F91CC3" w:rsidRDefault="00034A31" w:rsidP="00034A31">
            <w:pPr>
              <w:widowControl w:val="0"/>
              <w:jc w:val="left"/>
              <w:rPr>
                <w:rFonts w:ascii="Arial Narrow" w:eastAsiaTheme="majorEastAsia" w:hAnsi="Arial Narrow" w:cstheme="majorBidi"/>
                <w:bCs/>
                <w:sz w:val="20"/>
                <w:szCs w:val="20"/>
              </w:rPr>
            </w:pPr>
          </w:p>
        </w:tc>
        <w:tc>
          <w:tcPr>
            <w:tcW w:w="3027" w:type="pct"/>
          </w:tcPr>
          <w:p w14:paraId="1EACFD7E" w14:textId="77777777" w:rsidR="00034A31" w:rsidRPr="00F91CC3" w:rsidRDefault="00034A31" w:rsidP="00034A31">
            <w:pPr>
              <w:widowControl w:val="0"/>
              <w:jc w:val="left"/>
              <w:rPr>
                <w:rFonts w:ascii="Arial Narrow" w:eastAsiaTheme="majorEastAsia" w:hAnsi="Arial Narrow" w:cstheme="majorBidi"/>
                <w:bCs/>
                <w:sz w:val="20"/>
                <w:szCs w:val="20"/>
              </w:rPr>
            </w:pPr>
            <w:r w:rsidRPr="00F91CC3">
              <w:rPr>
                <w:rFonts w:ascii="Arial Narrow" w:eastAsiaTheme="majorEastAsia" w:hAnsi="Arial Narrow" w:cstheme="minorHAnsi"/>
                <w:bCs/>
                <w:sz w:val="20"/>
                <w:szCs w:val="20"/>
              </w:rPr>
              <w:t>Clinical Study Report Study, June 2018: A phase 3 study to evaluate the efficacy and safety of ivacaftor and VX-661 in combination with ivacaftor in Patients aged 12 years and older with cystic fibrosis, heterozygous for the F508del-cystic fibrosis transmembrane conductance regulator (</w:t>
            </w:r>
            <w:r w:rsidRPr="00F91CC3">
              <w:rPr>
                <w:rFonts w:ascii="Arial Narrow" w:eastAsiaTheme="majorEastAsia" w:hAnsi="Arial Narrow" w:cstheme="minorHAnsi"/>
                <w:bCs/>
                <w:iCs/>
                <w:sz w:val="20"/>
                <w:szCs w:val="20"/>
              </w:rPr>
              <w:t>CFTR</w:t>
            </w:r>
            <w:r w:rsidRPr="00F91CC3">
              <w:rPr>
                <w:rFonts w:ascii="Arial Narrow" w:eastAsiaTheme="majorEastAsia" w:hAnsi="Arial Narrow" w:cstheme="minorHAnsi"/>
                <w:bCs/>
                <w:sz w:val="20"/>
                <w:szCs w:val="20"/>
              </w:rPr>
              <w:t xml:space="preserve">) mutation. </w:t>
            </w:r>
          </w:p>
        </w:tc>
        <w:tc>
          <w:tcPr>
            <w:tcW w:w="1177" w:type="pct"/>
          </w:tcPr>
          <w:p w14:paraId="6D857BED" w14:textId="77777777" w:rsidR="00034A31" w:rsidRPr="00F91CC3" w:rsidRDefault="00034A31" w:rsidP="00034A31">
            <w:pPr>
              <w:widowControl w:val="0"/>
              <w:jc w:val="left"/>
              <w:rPr>
                <w:rFonts w:ascii="Arial Narrow" w:eastAsiaTheme="majorEastAsia" w:hAnsi="Arial Narrow" w:cstheme="minorHAnsi"/>
                <w:bCs/>
                <w:sz w:val="20"/>
                <w:szCs w:val="20"/>
              </w:rPr>
            </w:pPr>
            <w:r w:rsidRPr="00F91CC3">
              <w:rPr>
                <w:rFonts w:ascii="Arial Narrow" w:eastAsiaTheme="majorEastAsia" w:hAnsi="Arial Narrow" w:cstheme="minorHAnsi"/>
                <w:bCs/>
                <w:sz w:val="20"/>
                <w:szCs w:val="20"/>
              </w:rPr>
              <w:t>NCT02392234</w:t>
            </w:r>
          </w:p>
          <w:p w14:paraId="34F012EF" w14:textId="77777777" w:rsidR="00034A31" w:rsidRPr="00F91CC3" w:rsidRDefault="00034A31" w:rsidP="00034A31">
            <w:pPr>
              <w:widowControl w:val="0"/>
              <w:jc w:val="left"/>
              <w:rPr>
                <w:rFonts w:ascii="Arial Narrow" w:eastAsiaTheme="majorEastAsia" w:hAnsi="Arial Narrow" w:cstheme="minorHAnsi"/>
                <w:bCs/>
                <w:sz w:val="20"/>
                <w:szCs w:val="20"/>
              </w:rPr>
            </w:pPr>
          </w:p>
          <w:p w14:paraId="79131A96" w14:textId="77777777" w:rsidR="00034A31" w:rsidRPr="00F91CC3" w:rsidRDefault="00034A31" w:rsidP="00034A31">
            <w:pPr>
              <w:widowControl w:val="0"/>
              <w:jc w:val="left"/>
              <w:rPr>
                <w:rFonts w:ascii="Arial Narrow" w:eastAsiaTheme="majorEastAsia" w:hAnsi="Arial Narrow" w:cstheme="majorBidi"/>
                <w:bCs/>
                <w:sz w:val="20"/>
                <w:szCs w:val="20"/>
              </w:rPr>
            </w:pPr>
          </w:p>
        </w:tc>
      </w:tr>
      <w:tr w:rsidR="00034A31" w:rsidRPr="00F91CC3" w14:paraId="2E28160A" w14:textId="77777777" w:rsidTr="002A2AB2">
        <w:trPr>
          <w:trHeight w:val="28"/>
        </w:trPr>
        <w:tc>
          <w:tcPr>
            <w:tcW w:w="796" w:type="pct"/>
            <w:vMerge/>
            <w:vAlign w:val="center"/>
          </w:tcPr>
          <w:p w14:paraId="48E8768D" w14:textId="77777777" w:rsidR="00034A31" w:rsidRPr="00F91CC3" w:rsidRDefault="00034A31" w:rsidP="00034A31">
            <w:pPr>
              <w:widowControl w:val="0"/>
              <w:jc w:val="left"/>
              <w:rPr>
                <w:rFonts w:ascii="Arial Narrow" w:eastAsiaTheme="majorEastAsia" w:hAnsi="Arial Narrow" w:cstheme="majorBidi"/>
                <w:bCs/>
                <w:sz w:val="20"/>
                <w:szCs w:val="20"/>
              </w:rPr>
            </w:pPr>
          </w:p>
        </w:tc>
        <w:tc>
          <w:tcPr>
            <w:tcW w:w="3027" w:type="pct"/>
          </w:tcPr>
          <w:p w14:paraId="1918CC2D" w14:textId="77777777" w:rsidR="00034A31" w:rsidRPr="00F91CC3" w:rsidRDefault="00034A31" w:rsidP="00034A31">
            <w:pPr>
              <w:widowControl w:val="0"/>
              <w:jc w:val="left"/>
              <w:rPr>
                <w:rFonts w:ascii="Arial Narrow" w:eastAsiaTheme="majorEastAsia" w:hAnsi="Arial Narrow" w:cstheme="minorHAnsi"/>
                <w:bCs/>
                <w:sz w:val="20"/>
                <w:szCs w:val="20"/>
              </w:rPr>
            </w:pPr>
          </w:p>
          <w:p w14:paraId="675DA2BA" w14:textId="77777777" w:rsidR="00034A31" w:rsidRPr="00F91CC3" w:rsidRDefault="00034A31" w:rsidP="00034A31">
            <w:pPr>
              <w:widowControl w:val="0"/>
              <w:jc w:val="left"/>
              <w:rPr>
                <w:rFonts w:ascii="Arial Narrow" w:eastAsiaTheme="majorEastAsia" w:hAnsi="Arial Narrow" w:cstheme="majorBidi"/>
                <w:bCs/>
                <w:sz w:val="20"/>
                <w:szCs w:val="20"/>
              </w:rPr>
            </w:pPr>
            <w:r w:rsidRPr="00F91CC3">
              <w:rPr>
                <w:rFonts w:ascii="Arial Narrow" w:eastAsiaTheme="majorEastAsia" w:hAnsi="Arial Narrow" w:cstheme="minorHAnsi"/>
                <w:bCs/>
                <w:sz w:val="20"/>
                <w:szCs w:val="20"/>
              </w:rPr>
              <w:t>Rowe SM, Daines C, Ringshausen FC, Kerem E, Wilson J, Tullis E, Nair N, Simard C, Han L, Ingenito EP, McKee C, Lekstrom-Himes J, Davies JC. Tezacaftor-Ivacaftor in Residual-Function Heterozygotes with Cystic Fibrosis.</w:t>
            </w:r>
          </w:p>
        </w:tc>
        <w:tc>
          <w:tcPr>
            <w:tcW w:w="1177" w:type="pct"/>
          </w:tcPr>
          <w:p w14:paraId="0E38A53F" w14:textId="77777777" w:rsidR="00034A31" w:rsidRPr="00F91CC3" w:rsidRDefault="00034A31" w:rsidP="00034A31">
            <w:pPr>
              <w:widowControl w:val="0"/>
              <w:jc w:val="left"/>
              <w:rPr>
                <w:rFonts w:ascii="Arial Narrow" w:eastAsiaTheme="majorEastAsia" w:hAnsi="Arial Narrow" w:cstheme="majorBidi"/>
                <w:bCs/>
                <w:sz w:val="20"/>
                <w:szCs w:val="20"/>
              </w:rPr>
            </w:pPr>
            <w:r w:rsidRPr="00F91CC3">
              <w:rPr>
                <w:rFonts w:ascii="Arial Narrow" w:eastAsiaTheme="majorEastAsia" w:hAnsi="Arial Narrow" w:cstheme="minorHAnsi"/>
                <w:bCs/>
                <w:sz w:val="20"/>
                <w:szCs w:val="20"/>
              </w:rPr>
              <w:t>New England Journal of Medicine. 2017; 337(21): 2024–2035.</w:t>
            </w:r>
          </w:p>
        </w:tc>
      </w:tr>
      <w:tr w:rsidR="00A66F4A" w:rsidRPr="00F91CC3" w14:paraId="7DE172C7" w14:textId="77777777" w:rsidTr="002A2AB2">
        <w:trPr>
          <w:trHeight w:val="28"/>
        </w:trPr>
        <w:tc>
          <w:tcPr>
            <w:tcW w:w="796" w:type="pct"/>
            <w:vAlign w:val="center"/>
          </w:tcPr>
          <w:p w14:paraId="54259B53" w14:textId="77777777" w:rsidR="00A66F4A" w:rsidRPr="00F91CC3" w:rsidRDefault="00A66F4A" w:rsidP="00A66F4A">
            <w:pPr>
              <w:widowControl w:val="0"/>
              <w:jc w:val="left"/>
              <w:rPr>
                <w:rFonts w:ascii="Arial Narrow" w:eastAsiaTheme="majorEastAsia" w:hAnsi="Arial Narrow" w:cstheme="minorHAnsi"/>
                <w:bCs/>
                <w:sz w:val="20"/>
                <w:szCs w:val="20"/>
              </w:rPr>
            </w:pPr>
            <w:r w:rsidRPr="00F91CC3">
              <w:rPr>
                <w:rFonts w:ascii="Arial Narrow" w:eastAsiaTheme="majorEastAsia" w:hAnsi="Arial Narrow" w:cstheme="minorHAnsi"/>
                <w:bCs/>
                <w:sz w:val="20"/>
                <w:szCs w:val="20"/>
              </w:rPr>
              <w:t>Study 113</w:t>
            </w:r>
          </w:p>
          <w:p w14:paraId="41C496E5" w14:textId="77777777" w:rsidR="00A66F4A" w:rsidRPr="00F91CC3" w:rsidRDefault="00A66F4A" w:rsidP="00A66F4A">
            <w:pPr>
              <w:widowControl w:val="0"/>
              <w:jc w:val="left"/>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VX12-770-113</w:t>
            </w:r>
          </w:p>
          <w:p w14:paraId="71D421A4" w14:textId="77777777" w:rsidR="00A66F4A" w:rsidRPr="00F91CC3" w:rsidRDefault="00A66F4A" w:rsidP="00A66F4A">
            <w:pPr>
              <w:widowControl w:val="0"/>
              <w:jc w:val="left"/>
              <w:rPr>
                <w:rFonts w:ascii="Arial Narrow" w:eastAsiaTheme="majorEastAsia" w:hAnsi="Arial Narrow" w:cstheme="majorBidi"/>
                <w:bCs/>
                <w:sz w:val="20"/>
                <w:szCs w:val="20"/>
              </w:rPr>
            </w:pPr>
          </w:p>
        </w:tc>
        <w:tc>
          <w:tcPr>
            <w:tcW w:w="3027" w:type="pct"/>
          </w:tcPr>
          <w:p w14:paraId="721B7FB2" w14:textId="2DDD9D91" w:rsidR="00A66F4A" w:rsidRPr="00F91CC3" w:rsidRDefault="00A66F4A" w:rsidP="00A66F4A">
            <w:pPr>
              <w:widowControl w:val="0"/>
              <w:jc w:val="left"/>
              <w:rPr>
                <w:rFonts w:ascii="Arial Narrow" w:eastAsiaTheme="majorEastAsia" w:hAnsi="Arial Narrow" w:cstheme="minorHAnsi"/>
                <w:bCs/>
                <w:sz w:val="20"/>
                <w:szCs w:val="20"/>
              </w:rPr>
            </w:pPr>
            <w:r w:rsidRPr="00F91CC3">
              <w:rPr>
                <w:rFonts w:ascii="Arial Narrow" w:eastAsiaTheme="majorEastAsia" w:hAnsi="Arial Narrow" w:cstheme="minorHAnsi"/>
                <w:bCs/>
                <w:sz w:val="20"/>
                <w:szCs w:val="20"/>
              </w:rPr>
              <w:t xml:space="preserve">Nick JA, St Clair C, Jones MC, Lan L, Higgins M; VX12-770-113 Study Team. Ivacaftor in cystic fibrosis with residual function: Lung function results from an N-of-1 study. </w:t>
            </w:r>
          </w:p>
        </w:tc>
        <w:tc>
          <w:tcPr>
            <w:tcW w:w="1177" w:type="pct"/>
          </w:tcPr>
          <w:p w14:paraId="29F29D5E" w14:textId="77777777" w:rsidR="00A66F4A" w:rsidRPr="00F91CC3" w:rsidRDefault="00A66F4A" w:rsidP="00A66F4A">
            <w:pPr>
              <w:widowControl w:val="0"/>
              <w:jc w:val="left"/>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NCT01685801</w:t>
            </w:r>
          </w:p>
          <w:p w14:paraId="23FEB7E4" w14:textId="5B8BE2E2" w:rsidR="00A66F4A" w:rsidRPr="00F91CC3" w:rsidRDefault="00A66F4A" w:rsidP="00A66F4A">
            <w:pPr>
              <w:widowControl w:val="0"/>
              <w:jc w:val="left"/>
              <w:rPr>
                <w:rFonts w:ascii="Arial Narrow" w:eastAsiaTheme="majorEastAsia" w:hAnsi="Arial Narrow" w:cstheme="minorHAnsi"/>
                <w:bCs/>
                <w:sz w:val="20"/>
                <w:szCs w:val="20"/>
              </w:rPr>
            </w:pPr>
            <w:r w:rsidRPr="00F91CC3">
              <w:rPr>
                <w:rFonts w:ascii="Arial Narrow" w:eastAsiaTheme="majorEastAsia" w:hAnsi="Arial Narrow" w:cstheme="minorHAnsi"/>
                <w:bCs/>
                <w:sz w:val="20"/>
                <w:szCs w:val="20"/>
              </w:rPr>
              <w:t>J Cyst Fibros. 2020 Jan;19(1):91-98. doi: 10.1016/j.jcf.2019.09.013.</w:t>
            </w:r>
          </w:p>
        </w:tc>
      </w:tr>
      <w:tr w:rsidR="00A66F4A" w:rsidRPr="00F91CC3" w14:paraId="52DFC018" w14:textId="77777777" w:rsidTr="002A2AB2">
        <w:trPr>
          <w:trHeight w:val="28"/>
        </w:trPr>
        <w:tc>
          <w:tcPr>
            <w:tcW w:w="796" w:type="pct"/>
            <w:vMerge w:val="restart"/>
            <w:vAlign w:val="center"/>
          </w:tcPr>
          <w:p w14:paraId="52E2414B" w14:textId="77777777" w:rsidR="00A66F4A" w:rsidRPr="00F91CC3" w:rsidRDefault="00A66F4A" w:rsidP="00A66F4A">
            <w:pPr>
              <w:widowControl w:val="0"/>
              <w:jc w:val="left"/>
              <w:rPr>
                <w:rFonts w:ascii="Arial Narrow" w:eastAsiaTheme="majorEastAsia" w:hAnsi="Arial Narrow" w:cstheme="minorHAnsi"/>
                <w:bCs/>
                <w:sz w:val="20"/>
                <w:szCs w:val="20"/>
              </w:rPr>
            </w:pPr>
            <w:r w:rsidRPr="00F91CC3">
              <w:rPr>
                <w:rFonts w:ascii="Arial Narrow" w:eastAsiaTheme="majorEastAsia" w:hAnsi="Arial Narrow" w:cstheme="minorHAnsi"/>
                <w:bCs/>
                <w:sz w:val="20"/>
                <w:szCs w:val="20"/>
              </w:rPr>
              <w:t>Study 127</w:t>
            </w:r>
          </w:p>
          <w:p w14:paraId="4CEFB4E9" w14:textId="77777777" w:rsidR="00A66F4A" w:rsidRPr="00F91CC3" w:rsidRDefault="00A66F4A" w:rsidP="00A66F4A">
            <w:pPr>
              <w:widowControl w:val="0"/>
              <w:jc w:val="left"/>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VX16-770-127</w:t>
            </w:r>
          </w:p>
          <w:p w14:paraId="22FC203E" w14:textId="77777777" w:rsidR="00A66F4A" w:rsidRPr="00F91CC3" w:rsidRDefault="00A66F4A" w:rsidP="00A66F4A">
            <w:pPr>
              <w:widowControl w:val="0"/>
              <w:jc w:val="left"/>
              <w:rPr>
                <w:rFonts w:ascii="Arial Narrow" w:eastAsiaTheme="majorEastAsia" w:hAnsi="Arial Narrow" w:cstheme="majorBidi"/>
                <w:bCs/>
                <w:sz w:val="20"/>
                <w:szCs w:val="20"/>
              </w:rPr>
            </w:pPr>
          </w:p>
        </w:tc>
        <w:tc>
          <w:tcPr>
            <w:tcW w:w="3027" w:type="pct"/>
          </w:tcPr>
          <w:p w14:paraId="3D6DBCF2" w14:textId="77777777" w:rsidR="00A66F4A" w:rsidRPr="00F91CC3" w:rsidRDefault="00A66F4A" w:rsidP="00A66F4A">
            <w:pPr>
              <w:widowControl w:val="0"/>
              <w:jc w:val="left"/>
              <w:rPr>
                <w:rFonts w:ascii="Arial Narrow" w:eastAsiaTheme="majorEastAsia" w:hAnsi="Arial Narrow" w:cstheme="majorBidi"/>
                <w:bCs/>
                <w:sz w:val="20"/>
                <w:szCs w:val="20"/>
              </w:rPr>
            </w:pPr>
            <w:r w:rsidRPr="00F91CC3">
              <w:rPr>
                <w:rFonts w:ascii="Arial Narrow" w:eastAsiaTheme="majorEastAsia" w:hAnsi="Arial Narrow" w:cstheme="minorHAnsi"/>
                <w:bCs/>
                <w:sz w:val="20"/>
                <w:szCs w:val="20"/>
              </w:rPr>
              <w:t xml:space="preserve">Clinical Study Report, May 2019: A Randomized, Double-blind, Placebo-controlled, Crossover Study to Evaluate the Efficacy of Ivacaftor in Patients with Cystic Fibrosis Who are 6 Years of Age and Older and Have Either a </w:t>
            </w:r>
            <w:r w:rsidRPr="00F91CC3">
              <w:rPr>
                <w:rFonts w:ascii="Arial Narrow" w:eastAsiaTheme="majorEastAsia" w:hAnsi="Arial Narrow" w:cstheme="minorHAnsi"/>
                <w:bCs/>
                <w:iCs/>
                <w:sz w:val="20"/>
                <w:szCs w:val="20"/>
              </w:rPr>
              <w:t>3849 + 10KB C→T or D1152H-CFTR</w:t>
            </w:r>
            <w:r w:rsidRPr="00F91CC3">
              <w:rPr>
                <w:rFonts w:ascii="Arial Narrow" w:eastAsiaTheme="majorEastAsia" w:hAnsi="Arial Narrow" w:cstheme="minorHAnsi"/>
                <w:bCs/>
                <w:sz w:val="20"/>
                <w:szCs w:val="20"/>
              </w:rPr>
              <w:t xml:space="preserve"> Mutation</w:t>
            </w:r>
          </w:p>
        </w:tc>
        <w:tc>
          <w:tcPr>
            <w:tcW w:w="1177" w:type="pct"/>
          </w:tcPr>
          <w:p w14:paraId="35F66243" w14:textId="77777777" w:rsidR="00A66F4A" w:rsidRPr="00F91CC3" w:rsidRDefault="00A66F4A" w:rsidP="00A66F4A">
            <w:pPr>
              <w:widowControl w:val="0"/>
              <w:jc w:val="left"/>
              <w:rPr>
                <w:rFonts w:ascii="Arial Narrow" w:eastAsiaTheme="majorEastAsia" w:hAnsi="Arial Narrow" w:cstheme="majorBidi"/>
                <w:bCs/>
                <w:i/>
                <w:sz w:val="20"/>
                <w:szCs w:val="20"/>
              </w:rPr>
            </w:pPr>
            <w:r w:rsidRPr="00F91CC3">
              <w:rPr>
                <w:rFonts w:ascii="Arial Narrow" w:eastAsiaTheme="majorEastAsia" w:hAnsi="Arial Narrow" w:cstheme="majorBidi"/>
                <w:bCs/>
                <w:i/>
                <w:sz w:val="20"/>
                <w:szCs w:val="20"/>
              </w:rPr>
              <w:t>NCT03068312</w:t>
            </w:r>
          </w:p>
          <w:p w14:paraId="48246FB8" w14:textId="77777777" w:rsidR="00A66F4A" w:rsidRPr="00F91CC3" w:rsidRDefault="00A66F4A" w:rsidP="00A66F4A">
            <w:pPr>
              <w:widowControl w:val="0"/>
              <w:jc w:val="left"/>
              <w:rPr>
                <w:rFonts w:ascii="Arial Narrow" w:eastAsiaTheme="majorEastAsia" w:hAnsi="Arial Narrow" w:cstheme="majorBidi"/>
                <w:bCs/>
                <w:i/>
                <w:sz w:val="20"/>
                <w:szCs w:val="20"/>
              </w:rPr>
            </w:pPr>
          </w:p>
          <w:p w14:paraId="38DEB558" w14:textId="77777777" w:rsidR="00A66F4A" w:rsidRPr="00F91CC3" w:rsidRDefault="00A66F4A" w:rsidP="00A66F4A">
            <w:pPr>
              <w:widowControl w:val="0"/>
              <w:jc w:val="left"/>
              <w:rPr>
                <w:rFonts w:ascii="Arial Narrow" w:eastAsiaTheme="majorEastAsia" w:hAnsi="Arial Narrow" w:cstheme="majorBidi"/>
                <w:bCs/>
                <w:i/>
                <w:sz w:val="20"/>
                <w:szCs w:val="20"/>
              </w:rPr>
            </w:pPr>
          </w:p>
        </w:tc>
      </w:tr>
      <w:tr w:rsidR="00A66F4A" w:rsidRPr="00F91CC3" w14:paraId="429A2ECD" w14:textId="77777777" w:rsidTr="002A2AB2">
        <w:trPr>
          <w:trHeight w:val="28"/>
        </w:trPr>
        <w:tc>
          <w:tcPr>
            <w:tcW w:w="796" w:type="pct"/>
            <w:vMerge/>
            <w:vAlign w:val="center"/>
          </w:tcPr>
          <w:p w14:paraId="6CD92B5D" w14:textId="77777777" w:rsidR="00A66F4A" w:rsidRPr="00F91CC3" w:rsidRDefault="00A66F4A" w:rsidP="00A66F4A">
            <w:pPr>
              <w:widowControl w:val="0"/>
              <w:jc w:val="left"/>
              <w:rPr>
                <w:rFonts w:ascii="Arial Narrow" w:eastAsiaTheme="majorEastAsia" w:hAnsi="Arial Narrow" w:cstheme="minorHAnsi"/>
                <w:bCs/>
                <w:sz w:val="20"/>
                <w:szCs w:val="20"/>
              </w:rPr>
            </w:pPr>
          </w:p>
        </w:tc>
        <w:tc>
          <w:tcPr>
            <w:tcW w:w="3027" w:type="pct"/>
          </w:tcPr>
          <w:p w14:paraId="62617609" w14:textId="77777777" w:rsidR="00A66F4A" w:rsidRPr="00F91CC3" w:rsidRDefault="00A66F4A" w:rsidP="00A66F4A">
            <w:pPr>
              <w:widowControl w:val="0"/>
              <w:jc w:val="left"/>
              <w:rPr>
                <w:rFonts w:ascii="Arial Narrow" w:eastAsiaTheme="majorEastAsia" w:hAnsi="Arial Narrow" w:cstheme="minorHAnsi"/>
                <w:bCs/>
                <w:iCs/>
                <w:sz w:val="20"/>
                <w:szCs w:val="20"/>
              </w:rPr>
            </w:pPr>
            <w:r w:rsidRPr="00F91CC3">
              <w:rPr>
                <w:rFonts w:ascii="Arial Narrow" w:eastAsiaTheme="majorEastAsia" w:hAnsi="Arial Narrow" w:cstheme="majorBidi"/>
                <w:bCs/>
                <w:iCs/>
                <w:sz w:val="20"/>
                <w:szCs w:val="20"/>
              </w:rPr>
              <w:t>Kerem, E., Cohen-Cymberknoh, M., Tsabari, R., Wilschanski, M., Reiter, J., Shoseyov, D., Gileles-Hillel, A., Pugatsch, T., Davies, J. C., Short, C., Saunders, C., DeSouza, C., Sullivan, J. C., Doyle, J. R., Chandarana, K., &amp; Kinnman, N. (2021). Ivacaftor in People with Cystic Fibrosis and a 3849+10kb C--&gt;T or D1152H Residual Function Mutation.</w:t>
            </w:r>
          </w:p>
        </w:tc>
        <w:tc>
          <w:tcPr>
            <w:tcW w:w="1177" w:type="pct"/>
          </w:tcPr>
          <w:p w14:paraId="4FFA1CCC" w14:textId="77777777" w:rsidR="00A66F4A" w:rsidRPr="00F91CC3" w:rsidRDefault="00A66F4A" w:rsidP="00A66F4A">
            <w:pPr>
              <w:widowControl w:val="0"/>
              <w:jc w:val="left"/>
              <w:rPr>
                <w:rFonts w:ascii="Arial Narrow" w:eastAsiaTheme="majorEastAsia" w:hAnsi="Arial Narrow" w:cstheme="majorBidi"/>
                <w:bCs/>
                <w:iCs/>
                <w:sz w:val="20"/>
                <w:szCs w:val="20"/>
              </w:rPr>
            </w:pPr>
            <w:r w:rsidRPr="00F91CC3">
              <w:rPr>
                <w:rFonts w:ascii="Arial Narrow" w:eastAsiaTheme="majorEastAsia" w:hAnsi="Arial Narrow" w:cstheme="majorBidi"/>
                <w:bCs/>
                <w:iCs/>
                <w:sz w:val="20"/>
                <w:szCs w:val="20"/>
              </w:rPr>
              <w:t>Ann Am Thorac Soc, 18(3), 433-441.</w:t>
            </w:r>
          </w:p>
          <w:p w14:paraId="492F9CAB" w14:textId="77777777" w:rsidR="00A66F4A" w:rsidRPr="00F91CC3" w:rsidRDefault="00A66F4A" w:rsidP="00A66F4A">
            <w:pPr>
              <w:widowControl w:val="0"/>
              <w:jc w:val="left"/>
              <w:rPr>
                <w:rFonts w:ascii="Arial Narrow" w:eastAsiaTheme="majorEastAsia" w:hAnsi="Arial Narrow" w:cstheme="majorBidi"/>
                <w:bCs/>
                <w:iCs/>
                <w:sz w:val="20"/>
                <w:szCs w:val="20"/>
              </w:rPr>
            </w:pPr>
          </w:p>
        </w:tc>
      </w:tr>
      <w:tr w:rsidR="00A66F4A" w:rsidRPr="00F91CC3" w14:paraId="5C4898B5" w14:textId="77777777" w:rsidTr="002A2AB2">
        <w:trPr>
          <w:trHeight w:val="28"/>
        </w:trPr>
        <w:tc>
          <w:tcPr>
            <w:tcW w:w="796" w:type="pct"/>
            <w:vAlign w:val="center"/>
          </w:tcPr>
          <w:p w14:paraId="300250C8" w14:textId="77777777" w:rsidR="00A66F4A" w:rsidRPr="00F91CC3" w:rsidRDefault="00A66F4A" w:rsidP="00A66F4A">
            <w:pPr>
              <w:widowControl w:val="0"/>
              <w:jc w:val="left"/>
              <w:rPr>
                <w:rFonts w:ascii="Arial Narrow" w:eastAsiaTheme="majorEastAsia" w:hAnsi="Arial Narrow" w:cstheme="minorHAnsi"/>
                <w:bCs/>
                <w:sz w:val="20"/>
                <w:szCs w:val="20"/>
              </w:rPr>
            </w:pPr>
            <w:r w:rsidRPr="00F91CC3">
              <w:rPr>
                <w:rFonts w:ascii="Arial Narrow" w:eastAsiaTheme="majorEastAsia" w:hAnsi="Arial Narrow" w:cstheme="minorHAnsi"/>
                <w:bCs/>
                <w:sz w:val="20"/>
                <w:szCs w:val="20"/>
              </w:rPr>
              <w:t>Study 128</w:t>
            </w:r>
          </w:p>
          <w:p w14:paraId="63E1C81E" w14:textId="77777777" w:rsidR="00A66F4A" w:rsidRPr="00F91CC3" w:rsidRDefault="00A66F4A" w:rsidP="00A66F4A">
            <w:pPr>
              <w:widowControl w:val="0"/>
              <w:jc w:val="left"/>
              <w:rPr>
                <w:rFonts w:ascii="Arial Narrow" w:eastAsiaTheme="majorEastAsia" w:hAnsi="Arial Narrow" w:cstheme="minorHAnsi"/>
                <w:bCs/>
                <w:sz w:val="20"/>
                <w:szCs w:val="20"/>
              </w:rPr>
            </w:pPr>
            <w:r w:rsidRPr="00F91CC3">
              <w:rPr>
                <w:rFonts w:ascii="Arial Narrow" w:eastAsiaTheme="majorEastAsia" w:hAnsi="Arial Narrow" w:cstheme="majorBidi"/>
                <w:bCs/>
                <w:sz w:val="20"/>
                <w:szCs w:val="20"/>
              </w:rPr>
              <w:t>VX17-770-128</w:t>
            </w:r>
          </w:p>
        </w:tc>
        <w:tc>
          <w:tcPr>
            <w:tcW w:w="3027" w:type="pct"/>
          </w:tcPr>
          <w:p w14:paraId="67C72154" w14:textId="77777777" w:rsidR="00A66F4A" w:rsidRPr="00F91CC3" w:rsidRDefault="00A66F4A" w:rsidP="00A66F4A">
            <w:pPr>
              <w:widowControl w:val="0"/>
              <w:jc w:val="left"/>
              <w:rPr>
                <w:rFonts w:ascii="Arial Narrow" w:eastAsiaTheme="majorEastAsia" w:hAnsi="Arial Narrow" w:cstheme="majorBidi"/>
                <w:bCs/>
                <w:sz w:val="20"/>
                <w:szCs w:val="20"/>
              </w:rPr>
            </w:pPr>
            <w:r w:rsidRPr="00F91CC3">
              <w:rPr>
                <w:rFonts w:ascii="Arial Narrow" w:eastAsiaTheme="majorEastAsia" w:hAnsi="Arial Narrow" w:cstheme="minorHAnsi"/>
                <w:bCs/>
                <w:sz w:val="20"/>
                <w:szCs w:val="20"/>
              </w:rPr>
              <w:t xml:space="preserve">Clinical Study Report, November 2021: A Post Marketing Observational Study to Evaluate the Real-World Clinical Response to Ivacaftor Treatment in Patients with CF who Have Selected Ivacaftor Responsive </w:t>
            </w:r>
            <w:r w:rsidRPr="00F91CC3">
              <w:rPr>
                <w:rFonts w:ascii="Arial Narrow" w:eastAsiaTheme="majorEastAsia" w:hAnsi="Arial Narrow" w:cstheme="minorHAnsi"/>
                <w:bCs/>
                <w:iCs/>
                <w:sz w:val="20"/>
                <w:szCs w:val="20"/>
              </w:rPr>
              <w:t>CFTR</w:t>
            </w:r>
            <w:r w:rsidRPr="00F91CC3">
              <w:rPr>
                <w:rFonts w:ascii="Arial Narrow" w:eastAsiaTheme="majorEastAsia" w:hAnsi="Arial Narrow" w:cstheme="minorHAnsi"/>
                <w:bCs/>
                <w:sz w:val="20"/>
                <w:szCs w:val="20"/>
              </w:rPr>
              <w:t xml:space="preserve"> Mutations</w:t>
            </w:r>
          </w:p>
        </w:tc>
        <w:tc>
          <w:tcPr>
            <w:tcW w:w="1177" w:type="pct"/>
          </w:tcPr>
          <w:p w14:paraId="5D568C13" w14:textId="77777777" w:rsidR="00A66F4A" w:rsidRPr="00F91CC3" w:rsidRDefault="00A66F4A" w:rsidP="00A66F4A">
            <w:pPr>
              <w:widowControl w:val="0"/>
              <w:jc w:val="left"/>
              <w:rPr>
                <w:rFonts w:ascii="Arial Narrow" w:eastAsiaTheme="majorEastAsia" w:hAnsi="Arial Narrow" w:cstheme="majorBidi"/>
                <w:bCs/>
                <w:sz w:val="20"/>
                <w:szCs w:val="20"/>
              </w:rPr>
            </w:pPr>
          </w:p>
        </w:tc>
      </w:tr>
      <w:tr w:rsidR="00A66F4A" w:rsidRPr="00F91CC3" w14:paraId="4EB4E676" w14:textId="77777777" w:rsidTr="002A2AB2">
        <w:trPr>
          <w:trHeight w:val="28"/>
        </w:trPr>
        <w:tc>
          <w:tcPr>
            <w:tcW w:w="5000" w:type="pct"/>
            <w:gridSpan w:val="3"/>
            <w:vAlign w:val="center"/>
          </w:tcPr>
          <w:p w14:paraId="7A73FCC4" w14:textId="57486DC8" w:rsidR="00A66F4A" w:rsidRPr="00F91CC3" w:rsidRDefault="00D96086" w:rsidP="00A66F4A">
            <w:pPr>
              <w:widowControl w:val="0"/>
              <w:jc w:val="left"/>
              <w:rPr>
                <w:rFonts w:ascii="Arial Narrow" w:eastAsiaTheme="majorEastAsia" w:hAnsi="Arial Narrow" w:cstheme="minorHAnsi"/>
                <w:b/>
                <w:sz w:val="20"/>
                <w:szCs w:val="20"/>
              </w:rPr>
            </w:pPr>
            <w:r w:rsidRPr="00F91CC3">
              <w:rPr>
                <w:rFonts w:ascii="Arial Narrow" w:eastAsiaTheme="majorEastAsia" w:hAnsi="Arial Narrow" w:cstheme="minorHAnsi"/>
                <w:b/>
                <w:sz w:val="20"/>
                <w:szCs w:val="20"/>
              </w:rPr>
              <w:t xml:space="preserve">IVA-responsive </w:t>
            </w:r>
            <w:r w:rsidR="002B3C95" w:rsidRPr="00F91CC3">
              <w:rPr>
                <w:rFonts w:ascii="Arial Narrow" w:eastAsiaTheme="majorEastAsia" w:hAnsi="Arial Narrow" w:cstheme="minorHAnsi"/>
                <w:b/>
                <w:sz w:val="20"/>
                <w:szCs w:val="20"/>
              </w:rPr>
              <w:t xml:space="preserve">rare </w:t>
            </w:r>
            <w:r w:rsidR="00757CE7" w:rsidRPr="00F91CC3">
              <w:rPr>
                <w:rFonts w:ascii="Arial Narrow" w:eastAsiaTheme="majorEastAsia" w:hAnsi="Arial Narrow" w:cstheme="minorHAnsi"/>
                <w:b/>
                <w:sz w:val="20"/>
                <w:szCs w:val="20"/>
              </w:rPr>
              <w:t>mutation</w:t>
            </w:r>
            <w:r w:rsidR="002B3C95" w:rsidRPr="00F91CC3">
              <w:rPr>
                <w:rFonts w:ascii="Arial Narrow" w:eastAsiaTheme="majorEastAsia" w:hAnsi="Arial Narrow" w:cstheme="minorHAnsi"/>
                <w:b/>
                <w:sz w:val="20"/>
                <w:szCs w:val="20"/>
              </w:rPr>
              <w:t>s</w:t>
            </w:r>
            <w:r w:rsidR="00757CE7" w:rsidRPr="00F91CC3">
              <w:rPr>
                <w:rFonts w:ascii="Arial Narrow" w:eastAsiaTheme="majorEastAsia" w:hAnsi="Arial Narrow" w:cstheme="minorHAnsi"/>
                <w:b/>
                <w:sz w:val="20"/>
                <w:szCs w:val="20"/>
              </w:rPr>
              <w:t xml:space="preserve"> </w:t>
            </w:r>
            <w:r w:rsidR="00923664" w:rsidRPr="00F91CC3">
              <w:rPr>
                <w:rFonts w:ascii="Arial Narrow" w:eastAsiaTheme="majorEastAsia" w:hAnsi="Arial Narrow" w:cstheme="minorHAnsi"/>
                <w:b/>
                <w:sz w:val="20"/>
                <w:szCs w:val="20"/>
              </w:rPr>
              <w:t>population</w:t>
            </w:r>
            <w:r w:rsidRPr="00F91CC3">
              <w:rPr>
                <w:rFonts w:ascii="Arial Narrow" w:eastAsiaTheme="majorEastAsia" w:hAnsi="Arial Narrow" w:cstheme="minorHAnsi"/>
                <w:b/>
                <w:sz w:val="20"/>
                <w:szCs w:val="20"/>
              </w:rPr>
              <w:t xml:space="preserve"> </w:t>
            </w:r>
            <w:r w:rsidR="00A66F4A" w:rsidRPr="00F91CC3">
              <w:rPr>
                <w:rFonts w:ascii="Arial Narrow" w:eastAsiaTheme="majorEastAsia" w:hAnsi="Arial Narrow" w:cstheme="minorHAnsi"/>
                <w:b/>
                <w:sz w:val="20"/>
                <w:szCs w:val="20"/>
              </w:rPr>
              <w:t>(non-clinical studies)</w:t>
            </w:r>
          </w:p>
        </w:tc>
      </w:tr>
      <w:tr w:rsidR="00A66F4A" w:rsidRPr="00F91CC3" w14:paraId="5B942087" w14:textId="77777777" w:rsidTr="002A2AB2">
        <w:trPr>
          <w:trHeight w:val="28"/>
        </w:trPr>
        <w:tc>
          <w:tcPr>
            <w:tcW w:w="796" w:type="pct"/>
            <w:vAlign w:val="center"/>
          </w:tcPr>
          <w:p w14:paraId="0CFA0F11" w14:textId="77777777" w:rsidR="00A66F4A" w:rsidRPr="00F91CC3" w:rsidRDefault="00A66F4A" w:rsidP="00A66F4A">
            <w:pPr>
              <w:widowControl w:val="0"/>
              <w:jc w:val="left"/>
              <w:rPr>
                <w:rFonts w:ascii="Arial Narrow" w:eastAsiaTheme="majorEastAsia" w:hAnsi="Arial Narrow" w:cstheme="majorBidi"/>
                <w:bCs/>
                <w:sz w:val="20"/>
                <w:szCs w:val="20"/>
              </w:rPr>
            </w:pPr>
            <w:r w:rsidRPr="00F91CC3">
              <w:rPr>
                <w:rFonts w:ascii="Arial Narrow" w:eastAsiaTheme="majorEastAsia" w:hAnsi="Arial Narrow" w:cstheme="minorHAnsi"/>
                <w:bCs/>
                <w:sz w:val="20"/>
                <w:szCs w:val="20"/>
              </w:rPr>
              <w:t>P289</w:t>
            </w:r>
          </w:p>
        </w:tc>
        <w:tc>
          <w:tcPr>
            <w:tcW w:w="3027" w:type="pct"/>
          </w:tcPr>
          <w:p w14:paraId="7020BC9D" w14:textId="77777777" w:rsidR="00A66F4A" w:rsidRPr="00F91CC3" w:rsidRDefault="00A66F4A" w:rsidP="00A66F4A">
            <w:pPr>
              <w:widowControl w:val="0"/>
              <w:jc w:val="left"/>
              <w:rPr>
                <w:rFonts w:ascii="Arial Narrow" w:eastAsiaTheme="majorEastAsia" w:hAnsi="Arial Narrow" w:cstheme="majorBidi"/>
                <w:bCs/>
                <w:sz w:val="20"/>
                <w:szCs w:val="20"/>
              </w:rPr>
            </w:pPr>
            <w:r w:rsidRPr="00F91CC3">
              <w:rPr>
                <w:rFonts w:ascii="Arial Narrow" w:eastAsiaTheme="majorEastAsia" w:hAnsi="Arial Narrow" w:cstheme="minorHAnsi"/>
                <w:bCs/>
                <w:sz w:val="20"/>
                <w:szCs w:val="20"/>
              </w:rPr>
              <w:t>Nonclinical Study Report, June 2020: In vitro Pharmacological Profiling of CFTR Mutations in FRT Cells Using VX-445, TEZ, and IVA: Effects on Processing and Trafficking, and Chloride Transport</w:t>
            </w:r>
          </w:p>
        </w:tc>
        <w:tc>
          <w:tcPr>
            <w:tcW w:w="1177" w:type="pct"/>
          </w:tcPr>
          <w:p w14:paraId="32F0D124" w14:textId="77777777" w:rsidR="00A66F4A" w:rsidRPr="00F91CC3" w:rsidRDefault="00A66F4A" w:rsidP="00A66F4A">
            <w:pPr>
              <w:widowControl w:val="0"/>
              <w:jc w:val="left"/>
              <w:rPr>
                <w:rFonts w:ascii="Arial Narrow" w:eastAsiaTheme="majorEastAsia" w:hAnsi="Arial Narrow" w:cstheme="majorBidi"/>
                <w:bCs/>
                <w:sz w:val="20"/>
                <w:szCs w:val="20"/>
              </w:rPr>
            </w:pPr>
          </w:p>
        </w:tc>
      </w:tr>
      <w:tr w:rsidR="00A66F4A" w:rsidRPr="00F91CC3" w14:paraId="0D57D679" w14:textId="77777777" w:rsidTr="002A2AB2">
        <w:trPr>
          <w:trHeight w:val="28"/>
        </w:trPr>
        <w:tc>
          <w:tcPr>
            <w:tcW w:w="796" w:type="pct"/>
            <w:vAlign w:val="center"/>
          </w:tcPr>
          <w:p w14:paraId="5CB0BBB3" w14:textId="77777777" w:rsidR="00A66F4A" w:rsidRPr="00F91CC3" w:rsidRDefault="00A66F4A" w:rsidP="00A66F4A">
            <w:pPr>
              <w:widowControl w:val="0"/>
              <w:jc w:val="left"/>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 xml:space="preserve">Van Goor et al. </w:t>
            </w:r>
          </w:p>
        </w:tc>
        <w:tc>
          <w:tcPr>
            <w:tcW w:w="3027" w:type="pct"/>
          </w:tcPr>
          <w:p w14:paraId="031DA802" w14:textId="77777777" w:rsidR="00A66F4A" w:rsidRPr="00F91CC3" w:rsidRDefault="00A66F4A" w:rsidP="00A66F4A">
            <w:pPr>
              <w:widowControl w:val="0"/>
              <w:jc w:val="left"/>
              <w:rPr>
                <w:rFonts w:ascii="Arial Narrow" w:eastAsiaTheme="majorEastAsia" w:hAnsi="Arial Narrow" w:cstheme="majorBidi"/>
                <w:bCs/>
                <w:sz w:val="20"/>
                <w:szCs w:val="20"/>
              </w:rPr>
            </w:pPr>
            <w:r w:rsidRPr="00F91CC3">
              <w:rPr>
                <w:rFonts w:ascii="Arial Narrow" w:eastAsiaTheme="majorEastAsia" w:hAnsi="Arial Narrow" w:cstheme="minorHAnsi"/>
                <w:bCs/>
                <w:sz w:val="20"/>
                <w:szCs w:val="20"/>
              </w:rPr>
              <w:t xml:space="preserve">Van Goor, F., </w:t>
            </w:r>
            <w:r w:rsidRPr="00F91CC3">
              <w:rPr>
                <w:rFonts w:ascii="Arial Narrow" w:eastAsiaTheme="majorEastAsia" w:hAnsi="Arial Narrow" w:cstheme="minorHAnsi"/>
                <w:bCs/>
                <w:iCs/>
                <w:sz w:val="20"/>
                <w:szCs w:val="20"/>
              </w:rPr>
              <w:t>et al</w:t>
            </w:r>
            <w:r w:rsidRPr="00F91CC3">
              <w:rPr>
                <w:rFonts w:ascii="Arial Narrow" w:eastAsiaTheme="majorEastAsia" w:hAnsi="Arial Narrow" w:cstheme="minorHAnsi"/>
                <w:bCs/>
                <w:sz w:val="20"/>
                <w:szCs w:val="20"/>
              </w:rPr>
              <w:t xml:space="preserve">. (2014). “Effect of ivacaftor on CFTR forms with missense mutations associated with defects in protein processing or function.” </w:t>
            </w:r>
          </w:p>
        </w:tc>
        <w:tc>
          <w:tcPr>
            <w:tcW w:w="1177" w:type="pct"/>
          </w:tcPr>
          <w:p w14:paraId="23C3105F" w14:textId="77777777" w:rsidR="00A66F4A" w:rsidRPr="00F91CC3" w:rsidRDefault="00A66F4A" w:rsidP="00A66F4A">
            <w:pPr>
              <w:widowControl w:val="0"/>
              <w:jc w:val="left"/>
              <w:rPr>
                <w:rFonts w:ascii="Arial Narrow" w:eastAsiaTheme="majorEastAsia" w:hAnsi="Arial Narrow" w:cstheme="majorBidi"/>
                <w:bCs/>
                <w:sz w:val="20"/>
                <w:szCs w:val="20"/>
              </w:rPr>
            </w:pPr>
            <w:r w:rsidRPr="00F91CC3">
              <w:rPr>
                <w:rFonts w:ascii="Arial Narrow" w:eastAsiaTheme="majorEastAsia" w:hAnsi="Arial Narrow" w:cstheme="minorHAnsi"/>
                <w:bCs/>
                <w:sz w:val="20"/>
                <w:szCs w:val="20"/>
              </w:rPr>
              <w:t>J Cyst Fibros 13(1): 29-36.</w:t>
            </w:r>
          </w:p>
        </w:tc>
      </w:tr>
      <w:tr w:rsidR="00A66F4A" w:rsidRPr="00F91CC3" w14:paraId="42576832" w14:textId="77777777" w:rsidTr="002A2AB2">
        <w:trPr>
          <w:trHeight w:val="28"/>
        </w:trPr>
        <w:tc>
          <w:tcPr>
            <w:tcW w:w="796" w:type="pct"/>
            <w:vAlign w:val="center"/>
          </w:tcPr>
          <w:p w14:paraId="7DCB8EC9" w14:textId="77777777" w:rsidR="00A66F4A" w:rsidRPr="00F91CC3" w:rsidRDefault="00A66F4A" w:rsidP="00A66F4A">
            <w:pPr>
              <w:widowControl w:val="0"/>
              <w:jc w:val="left"/>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Yu et al.</w:t>
            </w:r>
          </w:p>
        </w:tc>
        <w:tc>
          <w:tcPr>
            <w:tcW w:w="3027" w:type="pct"/>
          </w:tcPr>
          <w:p w14:paraId="0531A305" w14:textId="77777777" w:rsidR="00A66F4A" w:rsidRPr="00F91CC3" w:rsidRDefault="00A66F4A" w:rsidP="00A66F4A">
            <w:pPr>
              <w:widowControl w:val="0"/>
              <w:jc w:val="left"/>
              <w:rPr>
                <w:rFonts w:ascii="Arial Narrow" w:eastAsiaTheme="majorEastAsia" w:hAnsi="Arial Narrow" w:cstheme="majorBidi"/>
                <w:bCs/>
                <w:sz w:val="20"/>
                <w:szCs w:val="20"/>
              </w:rPr>
            </w:pPr>
            <w:r w:rsidRPr="00F91CC3">
              <w:rPr>
                <w:rFonts w:ascii="Arial Narrow" w:eastAsiaTheme="majorEastAsia" w:hAnsi="Arial Narrow" w:cstheme="minorHAnsi"/>
                <w:bCs/>
                <w:sz w:val="20"/>
                <w:szCs w:val="20"/>
              </w:rPr>
              <w:t xml:space="preserve">Yu, H., </w:t>
            </w:r>
            <w:r w:rsidRPr="00F91CC3">
              <w:rPr>
                <w:rFonts w:ascii="Arial Narrow" w:eastAsiaTheme="majorEastAsia" w:hAnsi="Arial Narrow" w:cstheme="minorHAnsi"/>
                <w:bCs/>
                <w:iCs/>
                <w:sz w:val="20"/>
                <w:szCs w:val="20"/>
              </w:rPr>
              <w:t>et al</w:t>
            </w:r>
            <w:r w:rsidRPr="00F91CC3">
              <w:rPr>
                <w:rFonts w:ascii="Arial Narrow" w:eastAsiaTheme="majorEastAsia" w:hAnsi="Arial Narrow" w:cstheme="minorHAnsi"/>
                <w:bCs/>
                <w:sz w:val="20"/>
                <w:szCs w:val="20"/>
              </w:rPr>
              <w:t xml:space="preserve">. (2012). “Ivacaftor potentiation of multiple CFTR channels with gating mutations.” </w:t>
            </w:r>
          </w:p>
        </w:tc>
        <w:tc>
          <w:tcPr>
            <w:tcW w:w="1177" w:type="pct"/>
          </w:tcPr>
          <w:p w14:paraId="5C479CCE" w14:textId="77777777" w:rsidR="00A66F4A" w:rsidRPr="00F91CC3" w:rsidRDefault="00A66F4A" w:rsidP="00A66F4A">
            <w:pPr>
              <w:widowControl w:val="0"/>
              <w:jc w:val="left"/>
              <w:rPr>
                <w:rFonts w:ascii="Arial Narrow" w:eastAsiaTheme="majorEastAsia" w:hAnsi="Arial Narrow" w:cstheme="majorBidi"/>
                <w:bCs/>
                <w:sz w:val="20"/>
                <w:szCs w:val="20"/>
              </w:rPr>
            </w:pPr>
            <w:r w:rsidRPr="00F91CC3">
              <w:rPr>
                <w:rFonts w:ascii="Arial Narrow" w:eastAsiaTheme="majorEastAsia" w:hAnsi="Arial Narrow" w:cstheme="minorHAnsi"/>
                <w:bCs/>
                <w:sz w:val="20"/>
                <w:szCs w:val="20"/>
              </w:rPr>
              <w:t>J Cyst Fibros 11(3): 237-245.</w:t>
            </w:r>
          </w:p>
        </w:tc>
      </w:tr>
    </w:tbl>
    <w:p w14:paraId="6CF23179" w14:textId="77777777" w:rsidR="00F07396" w:rsidRDefault="00034A31" w:rsidP="00F07396">
      <w:pPr>
        <w:spacing w:after="120"/>
        <w:contextualSpacing/>
        <w:rPr>
          <w:rFonts w:ascii="Arial Narrow" w:hAnsi="Arial Narrow"/>
          <w:snapToGrid w:val="0"/>
          <w:sz w:val="18"/>
          <w:szCs w:val="18"/>
        </w:rPr>
      </w:pPr>
      <w:r w:rsidRPr="00F07396">
        <w:rPr>
          <w:rFonts w:ascii="Arial Narrow" w:hAnsi="Arial Narrow"/>
          <w:snapToGrid w:val="0"/>
          <w:sz w:val="18"/>
          <w:szCs w:val="18"/>
        </w:rPr>
        <w:t>Source: Table 2.2.1 p52-54 of the submission</w:t>
      </w:r>
    </w:p>
    <w:p w14:paraId="7B7177DA" w14:textId="6F06A4EE" w:rsidR="00F07396" w:rsidRDefault="00034A31" w:rsidP="00F07396">
      <w:pPr>
        <w:spacing w:after="120"/>
        <w:contextualSpacing/>
        <w:rPr>
          <w:rFonts w:ascii="Arial Narrow" w:hAnsi="Arial Narrow"/>
          <w:snapToGrid w:val="0"/>
          <w:sz w:val="18"/>
          <w:szCs w:val="18"/>
        </w:rPr>
      </w:pPr>
      <w:r w:rsidRPr="00F07396">
        <w:rPr>
          <w:rFonts w:ascii="Arial Narrow" w:hAnsi="Arial Narrow"/>
          <w:snapToGrid w:val="0"/>
          <w:sz w:val="18"/>
          <w:szCs w:val="18"/>
        </w:rPr>
        <w:t>CF = cystic fibrosis; CFTR = cystic fibrosis transmembrane regulator; FRT = Fischer Rat Thyroid; IVA = ivacaftor; TEZ = Tezacaftor; US = United States.</w:t>
      </w:r>
    </w:p>
    <w:p w14:paraId="1A231483" w14:textId="581609AE" w:rsidR="00034A31" w:rsidRPr="00F07396" w:rsidRDefault="00034A31" w:rsidP="00F07396">
      <w:pPr>
        <w:pStyle w:val="3-BodyText"/>
        <w:snapToGrid w:val="0"/>
        <w:rPr>
          <w:rFonts w:ascii="Arial Narrow" w:hAnsi="Arial Narrow"/>
          <w:sz w:val="18"/>
          <w:szCs w:val="18"/>
        </w:rPr>
      </w:pPr>
      <w:r w:rsidRPr="00F07396">
        <w:t>The</w:t>
      </w:r>
      <w:r w:rsidRPr="00F91CC3">
        <w:t xml:space="preserve"> key features of the studies are summarised in</w:t>
      </w:r>
      <w:r w:rsidR="0080102C" w:rsidRPr="00F91CC3">
        <w:t xml:space="preserve"> </w:t>
      </w:r>
      <w:r w:rsidR="0080102C" w:rsidRPr="00F91CC3">
        <w:fldChar w:fldCharType="begin"/>
      </w:r>
      <w:r w:rsidR="0080102C" w:rsidRPr="00F91CC3">
        <w:instrText xml:space="preserve"> REF _Ref145496351 \h  \* MERGEFORMAT </w:instrText>
      </w:r>
      <w:r w:rsidR="0080102C" w:rsidRPr="00F91CC3">
        <w:fldChar w:fldCharType="separate"/>
      </w:r>
      <w:r w:rsidR="008D6198" w:rsidRPr="008D6198">
        <w:t>Table 4</w:t>
      </w:r>
      <w:r w:rsidR="0080102C" w:rsidRPr="00F91CC3">
        <w:fldChar w:fldCharType="end"/>
      </w:r>
      <w:r w:rsidRPr="00F91CC3">
        <w:t xml:space="preserve">. The majority of the studies were relatively short in the context of ongoing and chronic therapy in CF patients. Study 122 and Study 128 provide evidence regarding the longer-term benefit of therapy; however, cohort attrition </w:t>
      </w:r>
      <w:r w:rsidR="00BC3EC7" w:rsidRPr="00F91CC3">
        <w:t xml:space="preserve">and missing data </w:t>
      </w:r>
      <w:r w:rsidRPr="00F91CC3">
        <w:t>was a potential source of bias in these studies.</w:t>
      </w:r>
      <w:r w:rsidR="00BC3EC7" w:rsidRPr="00F91CC3">
        <w:t xml:space="preserve"> </w:t>
      </w:r>
      <w:r w:rsidR="005E6CFE" w:rsidRPr="00F91CC3">
        <w:t>A</w:t>
      </w:r>
      <w:r w:rsidR="00BC3EC7" w:rsidRPr="00F91CC3">
        <w:t xml:space="preserve"> sensitivity analysis</w:t>
      </w:r>
      <w:r w:rsidR="005E6CFE" w:rsidRPr="00F91CC3">
        <w:t xml:space="preserve"> was conducted</w:t>
      </w:r>
      <w:r w:rsidR="00BC3EC7" w:rsidRPr="00F91CC3">
        <w:t xml:space="preserve"> in a subset of 69 patients</w:t>
      </w:r>
      <w:r w:rsidR="005E6CFE" w:rsidRPr="00F91CC3">
        <w:t xml:space="preserve"> from Study 128</w:t>
      </w:r>
      <w:r w:rsidR="00BC3EC7" w:rsidRPr="00F91CC3">
        <w:t xml:space="preserve"> who had non-missing ppFEV</w:t>
      </w:r>
      <w:r w:rsidR="00BC3EC7" w:rsidRPr="00F91CC3">
        <w:rPr>
          <w:vertAlign w:val="subscript"/>
        </w:rPr>
        <w:t>1</w:t>
      </w:r>
      <w:r w:rsidR="00BC3EC7" w:rsidRPr="00F91CC3">
        <w:t xml:space="preserve"> data in the 3 years before and after ivacaftor initiation.</w:t>
      </w:r>
    </w:p>
    <w:p w14:paraId="4ED6A547" w14:textId="37676297" w:rsidR="00034A31" w:rsidRPr="00F91CC3" w:rsidRDefault="00034A31" w:rsidP="00034A31">
      <w:pPr>
        <w:numPr>
          <w:ilvl w:val="1"/>
          <w:numId w:val="1"/>
        </w:numPr>
        <w:spacing w:after="120"/>
        <w:rPr>
          <w:rFonts w:asciiTheme="minorHAnsi" w:hAnsiTheme="minorHAnsi"/>
          <w:snapToGrid w:val="0"/>
        </w:rPr>
      </w:pPr>
      <w:r w:rsidRPr="00F91CC3">
        <w:rPr>
          <w:rFonts w:asciiTheme="minorHAnsi" w:hAnsiTheme="minorHAnsi"/>
          <w:snapToGrid w:val="0"/>
        </w:rPr>
        <w:t xml:space="preserve">The submission claimed superior efficacy compared to BSC based on absolute change from baseline in: </w:t>
      </w:r>
      <w:r w:rsidR="00831AAB" w:rsidRPr="00F91CC3">
        <w:rPr>
          <w:rFonts w:asciiTheme="minorHAnsi" w:hAnsiTheme="minorHAnsi"/>
          <w:snapToGrid w:val="0"/>
        </w:rPr>
        <w:t>percent predicted forced expiratory volume in 1 minute (</w:t>
      </w:r>
      <w:r w:rsidRPr="00F91CC3">
        <w:rPr>
          <w:rFonts w:asciiTheme="minorHAnsi" w:hAnsiTheme="minorHAnsi"/>
          <w:snapToGrid w:val="0"/>
        </w:rPr>
        <w:t>ppFEV</w:t>
      </w:r>
      <w:r w:rsidRPr="00F91CC3">
        <w:rPr>
          <w:rFonts w:asciiTheme="minorHAnsi" w:hAnsiTheme="minorHAnsi"/>
          <w:snapToGrid w:val="0"/>
          <w:vertAlign w:val="subscript"/>
        </w:rPr>
        <w:t>1</w:t>
      </w:r>
      <w:r w:rsidR="00831AAB" w:rsidRPr="00F91CC3">
        <w:rPr>
          <w:rFonts w:asciiTheme="minorHAnsi" w:hAnsiTheme="minorHAnsi"/>
          <w:snapToGrid w:val="0"/>
        </w:rPr>
        <w:t>)</w:t>
      </w:r>
      <w:r w:rsidRPr="00F91CC3">
        <w:rPr>
          <w:rFonts w:asciiTheme="minorHAnsi" w:hAnsiTheme="minorHAnsi"/>
          <w:snapToGrid w:val="0"/>
        </w:rPr>
        <w:t>, sweat chloride (SwCl), nutritional status (weight, length, weight-for-length z-scores, weight</w:t>
      </w:r>
      <w:r w:rsidR="00E8288A" w:rsidRPr="00F91CC3">
        <w:rPr>
          <w:rFonts w:asciiTheme="minorHAnsi" w:hAnsiTheme="minorHAnsi"/>
          <w:snapToGrid w:val="0"/>
        </w:rPr>
        <w:t>-</w:t>
      </w:r>
      <w:r w:rsidRPr="00F91CC3">
        <w:rPr>
          <w:rFonts w:asciiTheme="minorHAnsi" w:hAnsiTheme="minorHAnsi"/>
          <w:snapToGrid w:val="0"/>
        </w:rPr>
        <w:t xml:space="preserve">for-length-for-age z-scores and weight-for-length percentiles), faecal-elastase-1 (FE-1), immunoreactive trypsinogen (IRT), and occurrences of pulmonary exacerbations (PEx). </w:t>
      </w:r>
      <w:r w:rsidRPr="00F91CC3">
        <w:rPr>
          <w:rFonts w:asciiTheme="minorHAnsi" w:hAnsiTheme="minorHAnsi"/>
          <w:iCs/>
          <w:snapToGrid w:val="0"/>
        </w:rPr>
        <w:t xml:space="preserve">While a superiority claim was not made based on changes in either body mass index (BMI) or the CFQ-Respiratory Domain (CFQ-R), results for those endpoints </w:t>
      </w:r>
      <w:r w:rsidR="005E6CFE" w:rsidRPr="00F91CC3">
        <w:rPr>
          <w:rFonts w:asciiTheme="minorHAnsi" w:hAnsiTheme="minorHAnsi"/>
          <w:iCs/>
          <w:snapToGrid w:val="0"/>
        </w:rPr>
        <w:t>were</w:t>
      </w:r>
      <w:r w:rsidRPr="00F91CC3">
        <w:rPr>
          <w:rFonts w:asciiTheme="minorHAnsi" w:hAnsiTheme="minorHAnsi"/>
          <w:iCs/>
          <w:snapToGrid w:val="0"/>
        </w:rPr>
        <w:t xml:space="preserve"> included given BMI is an indicator of nutritional status, and the CFQ-R is a validated and widely used patient-reported outcome for CF</w:t>
      </w:r>
      <w:r w:rsidRPr="00F91CC3">
        <w:rPr>
          <w:rFonts w:asciiTheme="minorHAnsi" w:hAnsiTheme="minorHAnsi" w:cs="Times New Roman"/>
          <w:iCs/>
          <w:snapToGrid w:val="0"/>
          <w:vertAlign w:val="superscript"/>
        </w:rPr>
        <w:footnoteReference w:id="4"/>
      </w:r>
      <w:r w:rsidRPr="00F91CC3">
        <w:rPr>
          <w:rFonts w:asciiTheme="minorHAnsi" w:hAnsiTheme="minorHAnsi"/>
          <w:iCs/>
          <w:snapToGrid w:val="0"/>
        </w:rPr>
        <w:t xml:space="preserve"> that assesses overall health and well-being.</w:t>
      </w:r>
    </w:p>
    <w:p w14:paraId="1B8F7DC5" w14:textId="73E069F7" w:rsidR="00034A31" w:rsidRPr="00F91CC3" w:rsidRDefault="00034A31" w:rsidP="00034A31">
      <w:pPr>
        <w:numPr>
          <w:ilvl w:val="1"/>
          <w:numId w:val="1"/>
        </w:numPr>
        <w:spacing w:after="120"/>
        <w:rPr>
          <w:rFonts w:asciiTheme="minorHAnsi" w:hAnsiTheme="minorHAnsi"/>
          <w:iCs/>
          <w:snapToGrid w:val="0"/>
        </w:rPr>
      </w:pPr>
      <w:r w:rsidRPr="00F91CC3">
        <w:rPr>
          <w:rFonts w:asciiTheme="minorHAnsi" w:hAnsiTheme="minorHAnsi"/>
          <w:iCs/>
          <w:snapToGrid w:val="0"/>
        </w:rPr>
        <w:t>ppFEV</w:t>
      </w:r>
      <w:r w:rsidRPr="00F91CC3">
        <w:rPr>
          <w:rFonts w:asciiTheme="minorHAnsi" w:hAnsiTheme="minorHAnsi"/>
          <w:iCs/>
          <w:snapToGrid w:val="0"/>
          <w:vertAlign w:val="subscript"/>
        </w:rPr>
        <w:t>1</w:t>
      </w:r>
      <w:r w:rsidRPr="00F91CC3">
        <w:rPr>
          <w:rFonts w:asciiTheme="minorHAnsi" w:hAnsiTheme="minorHAnsi"/>
          <w:iCs/>
          <w:snapToGrid w:val="0"/>
        </w:rPr>
        <w:t xml:space="preserve"> has previously been considered the primary endpoint upon which to assess the efficacy of ivacaftor (para 6.19, lumacaftor/ivacaftor PSD, July 2019 PBAC meeting, para 6.18, ivacaftor PSD, March 2018 PBAC meeting). Changes in SwCl w</w:t>
      </w:r>
      <w:r w:rsidR="00831AAB" w:rsidRPr="00F91CC3">
        <w:rPr>
          <w:rFonts w:asciiTheme="minorHAnsi" w:hAnsiTheme="minorHAnsi"/>
          <w:iCs/>
          <w:snapToGrid w:val="0"/>
        </w:rPr>
        <w:t>ere</w:t>
      </w:r>
      <w:r w:rsidRPr="00F91CC3">
        <w:rPr>
          <w:rFonts w:asciiTheme="minorHAnsi" w:hAnsiTheme="minorHAnsi"/>
          <w:iCs/>
          <w:snapToGrid w:val="0"/>
        </w:rPr>
        <w:t xml:space="preserve"> </w:t>
      </w:r>
      <w:r w:rsidRPr="00F91CC3">
        <w:rPr>
          <w:rFonts w:asciiTheme="minorHAnsi" w:hAnsiTheme="minorHAnsi"/>
          <w:iCs/>
          <w:snapToGrid w:val="0"/>
        </w:rPr>
        <w:lastRenderedPageBreak/>
        <w:t>considered to provide evidence of biological activity (para 6.22, ivacaftor PSD, March 2019 PBAC meeting).</w:t>
      </w:r>
    </w:p>
    <w:p w14:paraId="6AD8B466" w14:textId="00D27F39" w:rsidR="00034A31" w:rsidRPr="00F91CC3" w:rsidRDefault="00034A31" w:rsidP="00034A31">
      <w:pPr>
        <w:numPr>
          <w:ilvl w:val="1"/>
          <w:numId w:val="1"/>
        </w:numPr>
        <w:spacing w:after="120"/>
        <w:rPr>
          <w:rFonts w:asciiTheme="minorHAnsi" w:hAnsiTheme="minorHAnsi"/>
          <w:snapToGrid w:val="0"/>
        </w:rPr>
      </w:pPr>
      <w:r w:rsidRPr="00F91CC3">
        <w:rPr>
          <w:rFonts w:asciiTheme="minorHAnsi" w:hAnsiTheme="minorHAnsi"/>
          <w:snapToGrid w:val="0"/>
        </w:rPr>
        <w:t xml:space="preserve">The submission proposed 2 minimum clinical important difference (MCID) </w:t>
      </w:r>
      <w:r w:rsidR="00B462A1" w:rsidRPr="00F91CC3">
        <w:rPr>
          <w:rFonts w:asciiTheme="minorHAnsi" w:hAnsiTheme="minorHAnsi"/>
          <w:snapToGrid w:val="0"/>
        </w:rPr>
        <w:t>definitions</w:t>
      </w:r>
      <w:r w:rsidRPr="00F91CC3">
        <w:rPr>
          <w:rFonts w:asciiTheme="minorHAnsi" w:hAnsiTheme="minorHAnsi"/>
          <w:snapToGrid w:val="0"/>
        </w:rPr>
        <w:t xml:space="preserve"> for 2 different outcomes.</w:t>
      </w:r>
    </w:p>
    <w:p w14:paraId="168D91FC" w14:textId="77777777" w:rsidR="00034A31" w:rsidRPr="00F91CC3" w:rsidRDefault="00034A31" w:rsidP="005142A2">
      <w:pPr>
        <w:numPr>
          <w:ilvl w:val="0"/>
          <w:numId w:val="14"/>
        </w:numPr>
        <w:spacing w:after="120"/>
        <w:rPr>
          <w:rFonts w:asciiTheme="minorHAnsi" w:hAnsiTheme="minorHAnsi"/>
          <w:snapToGrid w:val="0"/>
        </w:rPr>
      </w:pPr>
      <w:r w:rsidRPr="00F91CC3">
        <w:rPr>
          <w:rFonts w:asciiTheme="minorHAnsi" w:hAnsiTheme="minorHAnsi"/>
          <w:snapToGrid w:val="0"/>
        </w:rPr>
        <w:t>SwCl: for changes in SwCl to be considered clinically important, the submission stated that levels must decrease toward the threshold used for CF diagnosis:</w:t>
      </w:r>
    </w:p>
    <w:p w14:paraId="50263DCC" w14:textId="77777777" w:rsidR="00034A31" w:rsidRPr="00F91CC3" w:rsidRDefault="00034A31" w:rsidP="005142A2">
      <w:pPr>
        <w:numPr>
          <w:ilvl w:val="1"/>
          <w:numId w:val="14"/>
        </w:numPr>
        <w:spacing w:after="120"/>
        <w:rPr>
          <w:rFonts w:asciiTheme="minorHAnsi" w:hAnsiTheme="minorHAnsi"/>
          <w:snapToGrid w:val="0"/>
        </w:rPr>
      </w:pPr>
      <w:r w:rsidRPr="00F91CC3">
        <w:rPr>
          <w:rFonts w:asciiTheme="minorHAnsi" w:hAnsiTheme="minorHAnsi"/>
          <w:snapToGrid w:val="0"/>
        </w:rPr>
        <w:t>≤30 mmol/L: CF is very unlikely</w:t>
      </w:r>
    </w:p>
    <w:p w14:paraId="661D9F5D" w14:textId="77777777" w:rsidR="00034A31" w:rsidRPr="00F91CC3" w:rsidRDefault="00034A31" w:rsidP="005142A2">
      <w:pPr>
        <w:numPr>
          <w:ilvl w:val="1"/>
          <w:numId w:val="14"/>
        </w:numPr>
        <w:spacing w:after="120"/>
        <w:rPr>
          <w:rFonts w:asciiTheme="minorHAnsi" w:hAnsiTheme="minorHAnsi"/>
          <w:snapToGrid w:val="0"/>
        </w:rPr>
      </w:pPr>
      <w:r w:rsidRPr="00F91CC3">
        <w:rPr>
          <w:rFonts w:asciiTheme="minorHAnsi" w:hAnsiTheme="minorHAnsi"/>
          <w:snapToGrid w:val="0"/>
        </w:rPr>
        <w:t>30 to 59 mmol/L: CF is possible</w:t>
      </w:r>
    </w:p>
    <w:p w14:paraId="19778DFA" w14:textId="77777777" w:rsidR="00034A31" w:rsidRPr="00F91CC3" w:rsidRDefault="00034A31" w:rsidP="005142A2">
      <w:pPr>
        <w:numPr>
          <w:ilvl w:val="1"/>
          <w:numId w:val="14"/>
        </w:numPr>
        <w:spacing w:after="120"/>
        <w:rPr>
          <w:rFonts w:asciiTheme="minorHAnsi" w:hAnsiTheme="minorHAnsi"/>
          <w:snapToGrid w:val="0"/>
        </w:rPr>
      </w:pPr>
      <w:r w:rsidRPr="00F91CC3">
        <w:rPr>
          <w:rFonts w:asciiTheme="minorHAnsi" w:hAnsiTheme="minorHAnsi"/>
          <w:snapToGrid w:val="0"/>
        </w:rPr>
        <w:t>≥60 mmol/L: CF is likely to be diagnosed</w:t>
      </w:r>
    </w:p>
    <w:p w14:paraId="1A8E6579" w14:textId="77777777" w:rsidR="00034A31" w:rsidRPr="00F91CC3" w:rsidRDefault="00034A31" w:rsidP="005142A2">
      <w:pPr>
        <w:numPr>
          <w:ilvl w:val="0"/>
          <w:numId w:val="14"/>
        </w:numPr>
        <w:spacing w:after="120"/>
        <w:rPr>
          <w:rFonts w:asciiTheme="minorHAnsi" w:hAnsiTheme="minorHAnsi"/>
          <w:iCs/>
          <w:snapToGrid w:val="0"/>
        </w:rPr>
      </w:pPr>
      <w:r w:rsidRPr="00F91CC3">
        <w:rPr>
          <w:rFonts w:asciiTheme="minorHAnsi" w:hAnsiTheme="minorHAnsi"/>
          <w:iCs/>
        </w:rPr>
        <w:t>The National Health Service (NHS) of England considers a 30% reduction in SwCl, or SwCl falling below 60 mmol/L, as indicating a response to ivacaftor treatment.</w:t>
      </w:r>
      <w:r w:rsidRPr="00F91CC3">
        <w:rPr>
          <w:rFonts w:asciiTheme="minorHAnsi" w:hAnsiTheme="minorHAnsi" w:cs="Times New Roman"/>
          <w:iCs/>
          <w:vertAlign w:val="superscript"/>
        </w:rPr>
        <w:footnoteReference w:id="5"/>
      </w:r>
    </w:p>
    <w:p w14:paraId="63D78887" w14:textId="2D89BCF6" w:rsidR="00034A31" w:rsidRPr="00F91CC3" w:rsidRDefault="00034A31" w:rsidP="005142A2">
      <w:pPr>
        <w:numPr>
          <w:ilvl w:val="0"/>
          <w:numId w:val="14"/>
        </w:numPr>
        <w:spacing w:after="120"/>
        <w:rPr>
          <w:rFonts w:asciiTheme="minorHAnsi" w:hAnsiTheme="minorHAnsi"/>
          <w:iCs/>
          <w:snapToGrid w:val="0"/>
        </w:rPr>
      </w:pPr>
      <w:r w:rsidRPr="00F91CC3">
        <w:rPr>
          <w:rFonts w:asciiTheme="minorHAnsi" w:hAnsiTheme="minorHAnsi"/>
          <w:iCs/>
          <w:snapToGrid w:val="0"/>
        </w:rPr>
        <w:t xml:space="preserve">FE-1: an increase in FE-1 </w:t>
      </w:r>
      <w:proofErr w:type="gramStart"/>
      <w:r w:rsidRPr="00F91CC3">
        <w:rPr>
          <w:rFonts w:asciiTheme="minorHAnsi" w:hAnsiTheme="minorHAnsi"/>
          <w:iCs/>
          <w:snapToGrid w:val="0"/>
        </w:rPr>
        <w:t>level</w:t>
      </w:r>
      <w:proofErr w:type="gramEnd"/>
      <w:r w:rsidRPr="00F91CC3">
        <w:rPr>
          <w:rFonts w:asciiTheme="minorHAnsi" w:hAnsiTheme="minorHAnsi"/>
          <w:iCs/>
          <w:snapToGrid w:val="0"/>
        </w:rPr>
        <w:t xml:space="preserve"> suggesting rescue of pancreatic function. The PBAC has previously seen these MCIDs for SwCl and pancreatic function (</w:t>
      </w:r>
      <w:r w:rsidR="00D2602E" w:rsidRPr="00F91CC3">
        <w:rPr>
          <w:rFonts w:asciiTheme="minorHAnsi" w:hAnsiTheme="minorHAnsi"/>
          <w:iCs/>
          <w:snapToGrid w:val="0"/>
        </w:rPr>
        <w:t>i</w:t>
      </w:r>
      <w:r w:rsidRPr="00F91CC3">
        <w:rPr>
          <w:rFonts w:asciiTheme="minorHAnsi" w:hAnsiTheme="minorHAnsi"/>
          <w:iCs/>
          <w:snapToGrid w:val="0"/>
        </w:rPr>
        <w:t xml:space="preserve">vacaftor </w:t>
      </w:r>
      <w:r w:rsidR="00D2602E" w:rsidRPr="00F91CC3">
        <w:rPr>
          <w:rFonts w:asciiTheme="minorHAnsi" w:hAnsiTheme="minorHAnsi"/>
          <w:iCs/>
          <w:snapToGrid w:val="0"/>
        </w:rPr>
        <w:t>c</w:t>
      </w:r>
      <w:r w:rsidRPr="00F91CC3">
        <w:rPr>
          <w:rFonts w:asciiTheme="minorHAnsi" w:hAnsiTheme="minorHAnsi"/>
          <w:iCs/>
          <w:snapToGrid w:val="0"/>
        </w:rPr>
        <w:t>ommentary, March 2019 PBAC meeting).</w:t>
      </w:r>
    </w:p>
    <w:p w14:paraId="5E9D9E60" w14:textId="72925B38" w:rsidR="00034A31" w:rsidRPr="00F91CC3" w:rsidRDefault="00034A31" w:rsidP="00034A31">
      <w:pPr>
        <w:numPr>
          <w:ilvl w:val="1"/>
          <w:numId w:val="1"/>
        </w:numPr>
        <w:spacing w:after="120"/>
        <w:rPr>
          <w:rFonts w:asciiTheme="minorHAnsi" w:hAnsiTheme="minorHAnsi"/>
          <w:snapToGrid w:val="0"/>
        </w:rPr>
      </w:pPr>
      <w:bookmarkStart w:id="34" w:name="_Ref148355458"/>
      <w:r w:rsidRPr="00F91CC3">
        <w:rPr>
          <w:rFonts w:asciiTheme="minorHAnsi" w:hAnsiTheme="minorHAnsi"/>
          <w:snapToGrid w:val="0"/>
        </w:rPr>
        <w:t>Across the studies, outcomes were reported at different time points (e.g. Study 113 reported absolute change from baseline in ppFEV</w:t>
      </w:r>
      <w:r w:rsidRPr="00F91CC3">
        <w:rPr>
          <w:rFonts w:asciiTheme="minorHAnsi" w:hAnsiTheme="minorHAnsi"/>
          <w:snapToGrid w:val="0"/>
          <w:vertAlign w:val="subscript"/>
        </w:rPr>
        <w:t>1</w:t>
      </w:r>
      <w:r w:rsidRPr="00F91CC3">
        <w:rPr>
          <w:rFonts w:asciiTheme="minorHAnsi" w:hAnsiTheme="minorHAnsi"/>
          <w:snapToGrid w:val="0"/>
        </w:rPr>
        <w:t xml:space="preserve"> at 2 weeks whereas Study 128 reported the same outcome at 3 years), which limited comparability between studies. Comparative data relative to placebo (BSC) was presented for Study 108, Study 110, Study 113 and Study 127, however was not presented for </w:t>
      </w:r>
      <w:r w:rsidR="004509FF" w:rsidRPr="00F91CC3">
        <w:rPr>
          <w:rFonts w:asciiTheme="minorHAnsi" w:hAnsiTheme="minorHAnsi"/>
          <w:snapToGrid w:val="0"/>
        </w:rPr>
        <w:t>Study 112 or Study 124 (</w:t>
      </w:r>
      <w:r w:rsidRPr="00F91CC3">
        <w:rPr>
          <w:rFonts w:asciiTheme="minorHAnsi" w:hAnsiTheme="minorHAnsi"/>
          <w:snapToGrid w:val="0"/>
        </w:rPr>
        <w:t>single-arm studies</w:t>
      </w:r>
      <w:r w:rsidR="004509FF" w:rsidRPr="00F91CC3">
        <w:rPr>
          <w:rFonts w:asciiTheme="minorHAnsi" w:hAnsiTheme="minorHAnsi"/>
          <w:snapToGrid w:val="0"/>
        </w:rPr>
        <w:t>)</w:t>
      </w:r>
      <w:r w:rsidRPr="00F91CC3">
        <w:rPr>
          <w:rFonts w:asciiTheme="minorHAnsi" w:hAnsiTheme="minorHAnsi"/>
          <w:snapToGrid w:val="0"/>
        </w:rPr>
        <w:t xml:space="preserve"> or for some outcomes in Study 113. Study 122 provided a within group comparison as well as comparative data with a </w:t>
      </w:r>
      <w:r w:rsidR="005069A4" w:rsidRPr="00F91CC3">
        <w:rPr>
          <w:rFonts w:asciiTheme="minorHAnsi" w:hAnsiTheme="minorHAnsi"/>
          <w:snapToGrid w:val="0"/>
        </w:rPr>
        <w:t>h</w:t>
      </w:r>
      <w:r w:rsidRPr="00F91CC3">
        <w:rPr>
          <w:rFonts w:asciiTheme="minorHAnsi" w:hAnsiTheme="minorHAnsi"/>
          <w:snapToGrid w:val="0"/>
        </w:rPr>
        <w:t xml:space="preserve">istorical </w:t>
      </w:r>
      <w:r w:rsidR="005069A4" w:rsidRPr="00F91CC3">
        <w:rPr>
          <w:rFonts w:asciiTheme="minorHAnsi" w:hAnsiTheme="minorHAnsi"/>
          <w:snapToGrid w:val="0"/>
        </w:rPr>
        <w:t>c</w:t>
      </w:r>
      <w:r w:rsidRPr="00F91CC3">
        <w:rPr>
          <w:rFonts w:asciiTheme="minorHAnsi" w:hAnsiTheme="minorHAnsi"/>
          <w:snapToGrid w:val="0"/>
        </w:rPr>
        <w:t xml:space="preserve">ohort who had never been exposed to ivacaftor. Study 128 provided a within group comparison only. </w:t>
      </w:r>
      <w:bookmarkEnd w:id="34"/>
    </w:p>
    <w:p w14:paraId="61005F2D" w14:textId="631CEACE" w:rsidR="00034A31" w:rsidRPr="00F91CC3" w:rsidRDefault="00034A31" w:rsidP="00034A31">
      <w:pPr>
        <w:keepNext/>
        <w:keepLines/>
        <w:rPr>
          <w:rFonts w:ascii="Arial Narrow" w:eastAsiaTheme="majorEastAsia" w:hAnsi="Arial Narrow" w:cstheme="majorBidi"/>
          <w:b/>
          <w:bCs/>
          <w:sz w:val="20"/>
        </w:rPr>
      </w:pPr>
      <w:bookmarkStart w:id="35" w:name="_Ref145496351"/>
      <w:r w:rsidRPr="00F91CC3">
        <w:rPr>
          <w:rFonts w:ascii="Arial Narrow" w:eastAsiaTheme="majorEastAsia" w:hAnsi="Arial Narrow" w:cstheme="majorBidi"/>
          <w:b/>
          <w:bCs/>
          <w:sz w:val="20"/>
        </w:rPr>
        <w:t xml:space="preserve">Table </w:t>
      </w:r>
      <w:r w:rsidRPr="00F91CC3">
        <w:rPr>
          <w:rFonts w:ascii="Arial Narrow" w:eastAsiaTheme="majorEastAsia" w:hAnsi="Arial Narrow" w:cstheme="majorBidi"/>
          <w:b/>
          <w:bCs/>
          <w:sz w:val="20"/>
        </w:rPr>
        <w:fldChar w:fldCharType="begin"/>
      </w:r>
      <w:r w:rsidRPr="00F91CC3">
        <w:rPr>
          <w:rFonts w:ascii="Arial Narrow" w:eastAsiaTheme="majorEastAsia" w:hAnsi="Arial Narrow" w:cstheme="majorBidi"/>
          <w:b/>
          <w:bCs/>
          <w:sz w:val="20"/>
        </w:rPr>
        <w:instrText xml:space="preserve"> SEQ Table \* ARABIC </w:instrText>
      </w:r>
      <w:r w:rsidRPr="00F91CC3">
        <w:rPr>
          <w:rFonts w:ascii="Arial Narrow" w:eastAsiaTheme="majorEastAsia" w:hAnsi="Arial Narrow" w:cstheme="majorBidi"/>
          <w:b/>
          <w:bCs/>
          <w:sz w:val="20"/>
        </w:rPr>
        <w:fldChar w:fldCharType="separate"/>
      </w:r>
      <w:r w:rsidR="008D6198">
        <w:rPr>
          <w:rFonts w:ascii="Arial Narrow" w:eastAsiaTheme="majorEastAsia" w:hAnsi="Arial Narrow" w:cstheme="majorBidi"/>
          <w:b/>
          <w:bCs/>
          <w:noProof/>
          <w:sz w:val="20"/>
        </w:rPr>
        <w:t>4</w:t>
      </w:r>
      <w:r w:rsidRPr="00F91CC3">
        <w:rPr>
          <w:rFonts w:ascii="Arial Narrow" w:eastAsiaTheme="majorEastAsia" w:hAnsi="Arial Narrow" w:cstheme="majorBidi"/>
          <w:b/>
          <w:bCs/>
          <w:sz w:val="20"/>
        </w:rPr>
        <w:fldChar w:fldCharType="end"/>
      </w:r>
      <w:bookmarkEnd w:id="35"/>
      <w:r w:rsidRPr="00F91CC3">
        <w:rPr>
          <w:rFonts w:ascii="Arial Narrow" w:eastAsiaTheme="majorEastAsia" w:hAnsi="Arial Narrow" w:cstheme="majorBidi"/>
          <w:b/>
          <w:bCs/>
          <w:sz w:val="20"/>
        </w:rPr>
        <w:t>: Key features of the included evidence</w:t>
      </w:r>
    </w:p>
    <w:tbl>
      <w:tblPr>
        <w:tblW w:w="52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8"/>
        <w:gridCol w:w="1392"/>
        <w:gridCol w:w="1990"/>
        <w:gridCol w:w="904"/>
        <w:gridCol w:w="1714"/>
        <w:gridCol w:w="2495"/>
      </w:tblGrid>
      <w:tr w:rsidR="00034A31" w:rsidRPr="00F91CC3" w14:paraId="39C62762" w14:textId="77777777" w:rsidTr="001C46BD">
        <w:trPr>
          <w:cantSplit/>
          <w:tblHeader/>
        </w:trPr>
        <w:tc>
          <w:tcPr>
            <w:tcW w:w="526" w:type="pct"/>
            <w:shd w:val="clear" w:color="auto" w:fill="auto"/>
          </w:tcPr>
          <w:p w14:paraId="66503615" w14:textId="77777777" w:rsidR="00034A31" w:rsidRPr="00F91CC3" w:rsidRDefault="00034A31" w:rsidP="00034A31">
            <w:pPr>
              <w:widowControl w:val="0"/>
              <w:jc w:val="left"/>
              <w:rPr>
                <w:rFonts w:ascii="Arial Narrow" w:eastAsiaTheme="majorEastAsia" w:hAnsi="Arial Narrow" w:cs="Times New Roman"/>
                <w:b/>
                <w:sz w:val="20"/>
              </w:rPr>
            </w:pPr>
            <w:r w:rsidRPr="00F91CC3">
              <w:rPr>
                <w:rFonts w:ascii="Arial Narrow" w:eastAsiaTheme="majorEastAsia" w:hAnsi="Arial Narrow" w:cs="Times New Roman"/>
                <w:b/>
                <w:sz w:val="20"/>
              </w:rPr>
              <w:t>Trial</w:t>
            </w:r>
          </w:p>
        </w:tc>
        <w:tc>
          <w:tcPr>
            <w:tcW w:w="733" w:type="pct"/>
            <w:shd w:val="clear" w:color="auto" w:fill="auto"/>
          </w:tcPr>
          <w:p w14:paraId="2E37C3AF" w14:textId="77777777" w:rsidR="00034A31" w:rsidRPr="00F91CC3" w:rsidRDefault="00034A31" w:rsidP="00034A31">
            <w:pPr>
              <w:widowControl w:val="0"/>
              <w:jc w:val="center"/>
              <w:rPr>
                <w:rFonts w:ascii="Arial Narrow" w:eastAsiaTheme="majorEastAsia" w:hAnsi="Arial Narrow" w:cs="Times New Roman"/>
                <w:b/>
                <w:sz w:val="20"/>
              </w:rPr>
            </w:pPr>
            <w:r w:rsidRPr="00F91CC3">
              <w:rPr>
                <w:rFonts w:ascii="Arial Narrow" w:eastAsiaTheme="majorEastAsia" w:hAnsi="Arial Narrow" w:cs="Times New Roman"/>
                <w:b/>
                <w:sz w:val="20"/>
              </w:rPr>
              <w:t>N</w:t>
            </w:r>
          </w:p>
        </w:tc>
        <w:tc>
          <w:tcPr>
            <w:tcW w:w="1048" w:type="pct"/>
            <w:shd w:val="clear" w:color="auto" w:fill="auto"/>
          </w:tcPr>
          <w:p w14:paraId="2C5AD450" w14:textId="77777777" w:rsidR="00034A31" w:rsidRPr="00F91CC3" w:rsidRDefault="00034A31" w:rsidP="00034A31">
            <w:pPr>
              <w:widowControl w:val="0"/>
              <w:jc w:val="center"/>
              <w:rPr>
                <w:rFonts w:ascii="Arial Narrow" w:eastAsiaTheme="majorEastAsia" w:hAnsi="Arial Narrow" w:cs="Times New Roman"/>
                <w:b/>
                <w:sz w:val="20"/>
              </w:rPr>
            </w:pPr>
            <w:r w:rsidRPr="00F91CC3">
              <w:rPr>
                <w:rFonts w:ascii="Arial Narrow" w:eastAsiaTheme="majorEastAsia" w:hAnsi="Arial Narrow" w:cs="Times New Roman"/>
                <w:b/>
                <w:sz w:val="20"/>
              </w:rPr>
              <w:t>Design/ duration</w:t>
            </w:r>
          </w:p>
        </w:tc>
        <w:tc>
          <w:tcPr>
            <w:tcW w:w="476" w:type="pct"/>
            <w:shd w:val="clear" w:color="auto" w:fill="auto"/>
          </w:tcPr>
          <w:p w14:paraId="338FBC55" w14:textId="77777777" w:rsidR="00034A31" w:rsidRPr="00F91CC3" w:rsidRDefault="00034A31" w:rsidP="00034A31">
            <w:pPr>
              <w:widowControl w:val="0"/>
              <w:jc w:val="center"/>
              <w:rPr>
                <w:rFonts w:ascii="Arial Narrow" w:eastAsiaTheme="majorEastAsia" w:hAnsi="Arial Narrow" w:cs="Times New Roman"/>
                <w:b/>
                <w:sz w:val="20"/>
              </w:rPr>
            </w:pPr>
            <w:r w:rsidRPr="00F91CC3">
              <w:rPr>
                <w:rFonts w:ascii="Arial Narrow" w:eastAsiaTheme="majorEastAsia" w:hAnsi="Arial Narrow" w:cs="Times New Roman"/>
                <w:b/>
                <w:sz w:val="20"/>
              </w:rPr>
              <w:t>Risk of bias</w:t>
            </w:r>
          </w:p>
        </w:tc>
        <w:tc>
          <w:tcPr>
            <w:tcW w:w="903" w:type="pct"/>
            <w:shd w:val="clear" w:color="auto" w:fill="auto"/>
          </w:tcPr>
          <w:p w14:paraId="2C38D65B" w14:textId="77777777" w:rsidR="00034A31" w:rsidRPr="00F91CC3" w:rsidRDefault="00034A31" w:rsidP="00034A31">
            <w:pPr>
              <w:widowControl w:val="0"/>
              <w:jc w:val="center"/>
              <w:rPr>
                <w:rFonts w:ascii="Arial Narrow" w:eastAsiaTheme="majorEastAsia" w:hAnsi="Arial Narrow" w:cs="Times New Roman"/>
                <w:b/>
                <w:sz w:val="20"/>
              </w:rPr>
            </w:pPr>
            <w:r w:rsidRPr="00F91CC3">
              <w:rPr>
                <w:rFonts w:ascii="Arial Narrow" w:eastAsiaTheme="majorEastAsia" w:hAnsi="Arial Narrow" w:cs="Times New Roman"/>
                <w:b/>
                <w:sz w:val="20"/>
              </w:rPr>
              <w:t>Patient population</w:t>
            </w:r>
          </w:p>
        </w:tc>
        <w:tc>
          <w:tcPr>
            <w:tcW w:w="1314" w:type="pct"/>
            <w:shd w:val="clear" w:color="auto" w:fill="auto"/>
          </w:tcPr>
          <w:p w14:paraId="1B8433DB" w14:textId="77777777" w:rsidR="00034A31" w:rsidRPr="00F91CC3" w:rsidRDefault="00034A31" w:rsidP="00034A31">
            <w:pPr>
              <w:widowControl w:val="0"/>
              <w:jc w:val="center"/>
              <w:rPr>
                <w:rFonts w:ascii="Arial Narrow" w:eastAsiaTheme="majorEastAsia" w:hAnsi="Arial Narrow" w:cs="Times New Roman"/>
                <w:b/>
                <w:sz w:val="20"/>
              </w:rPr>
            </w:pPr>
            <w:r w:rsidRPr="00F91CC3">
              <w:rPr>
                <w:rFonts w:ascii="Arial Narrow" w:eastAsiaTheme="majorEastAsia" w:hAnsi="Arial Narrow" w:cs="Times New Roman"/>
                <w:b/>
                <w:sz w:val="20"/>
              </w:rPr>
              <w:t>Outcome(s)</w:t>
            </w:r>
          </w:p>
        </w:tc>
      </w:tr>
      <w:tr w:rsidR="00034A31" w:rsidRPr="00F91CC3" w14:paraId="4B529F08" w14:textId="77777777" w:rsidTr="002A2AB2">
        <w:trPr>
          <w:cantSplit/>
        </w:trPr>
        <w:tc>
          <w:tcPr>
            <w:tcW w:w="5000" w:type="pct"/>
            <w:gridSpan w:val="6"/>
            <w:shd w:val="clear" w:color="auto" w:fill="auto"/>
          </w:tcPr>
          <w:p w14:paraId="01E1B7BE" w14:textId="77777777" w:rsidR="00034A31" w:rsidRPr="00F91CC3" w:rsidRDefault="00034A31" w:rsidP="00034A31">
            <w:pPr>
              <w:widowControl w:val="0"/>
              <w:jc w:val="left"/>
              <w:rPr>
                <w:rFonts w:ascii="Arial Narrow" w:hAnsi="Arial Narrow" w:cs="Times New Roman"/>
                <w:b/>
                <w:i/>
                <w:snapToGrid w:val="0"/>
                <w:sz w:val="20"/>
              </w:rPr>
            </w:pPr>
            <w:r w:rsidRPr="00F91CC3">
              <w:rPr>
                <w:rFonts w:ascii="Arial Narrow" w:hAnsi="Arial Narrow" w:cs="Times New Roman"/>
                <w:b/>
                <w:snapToGrid w:val="0"/>
                <w:sz w:val="20"/>
              </w:rPr>
              <w:t>Gating population</w:t>
            </w:r>
          </w:p>
        </w:tc>
      </w:tr>
      <w:tr w:rsidR="00034A31" w:rsidRPr="00F91CC3" w14:paraId="4FB40381" w14:textId="77777777" w:rsidTr="001C46BD">
        <w:trPr>
          <w:cantSplit/>
        </w:trPr>
        <w:tc>
          <w:tcPr>
            <w:tcW w:w="526" w:type="pct"/>
            <w:shd w:val="clear" w:color="auto" w:fill="auto"/>
          </w:tcPr>
          <w:p w14:paraId="3BABD9CA" w14:textId="77777777" w:rsidR="00034A31" w:rsidRPr="00F91CC3" w:rsidRDefault="00034A31" w:rsidP="00034A31">
            <w:pPr>
              <w:widowControl w:val="0"/>
              <w:jc w:val="left"/>
              <w:rPr>
                <w:rFonts w:ascii="Arial Narrow" w:eastAsiaTheme="majorEastAsia" w:hAnsi="Arial Narrow" w:cstheme="majorBidi"/>
                <w:bCs/>
                <w:sz w:val="20"/>
              </w:rPr>
            </w:pPr>
            <w:r w:rsidRPr="00F91CC3">
              <w:rPr>
                <w:rFonts w:ascii="Arial Narrow" w:eastAsiaTheme="majorEastAsia" w:hAnsi="Arial Narrow" w:cstheme="majorBidi"/>
                <w:bCs/>
                <w:sz w:val="20"/>
              </w:rPr>
              <w:t>Study 124</w:t>
            </w:r>
          </w:p>
        </w:tc>
        <w:tc>
          <w:tcPr>
            <w:tcW w:w="733" w:type="pct"/>
            <w:shd w:val="clear" w:color="auto" w:fill="auto"/>
          </w:tcPr>
          <w:p w14:paraId="4ACEE9BB" w14:textId="77777777" w:rsidR="00034A31" w:rsidRPr="00F91CC3" w:rsidRDefault="00034A31" w:rsidP="00034A31">
            <w:pPr>
              <w:widowControl w:val="0"/>
              <w:jc w:val="left"/>
              <w:rPr>
                <w:rFonts w:ascii="Arial Narrow" w:hAnsi="Arial Narrow" w:cs="Times New Roman"/>
                <w:snapToGrid w:val="0"/>
                <w:sz w:val="20"/>
              </w:rPr>
            </w:pPr>
            <w:r w:rsidRPr="00F91CC3">
              <w:rPr>
                <w:rFonts w:ascii="Arial Narrow" w:hAnsi="Arial Narrow" w:cs="Times New Roman"/>
                <w:snapToGrid w:val="0"/>
                <w:sz w:val="20"/>
              </w:rPr>
              <w:t>Part A</w:t>
            </w:r>
          </w:p>
          <w:p w14:paraId="7EE9927B" w14:textId="77777777" w:rsidR="00034A31" w:rsidRPr="00F91CC3" w:rsidRDefault="00034A31" w:rsidP="00034A31">
            <w:pPr>
              <w:widowControl w:val="0"/>
              <w:jc w:val="left"/>
              <w:rPr>
                <w:rFonts w:ascii="Arial Narrow" w:hAnsi="Arial Narrow" w:cs="Times New Roman"/>
                <w:snapToGrid w:val="0"/>
                <w:sz w:val="20"/>
              </w:rPr>
            </w:pPr>
            <w:r w:rsidRPr="00F91CC3">
              <w:rPr>
                <w:rFonts w:ascii="Arial Narrow" w:hAnsi="Arial Narrow" w:cs="Times New Roman"/>
                <w:snapToGrid w:val="0"/>
                <w:sz w:val="20"/>
              </w:rPr>
              <w:t>Group 2: 6 to &lt; 12 months (n=6)</w:t>
            </w:r>
          </w:p>
          <w:p w14:paraId="61A579EF" w14:textId="77777777" w:rsidR="00034A31" w:rsidRPr="00F91CC3" w:rsidRDefault="00034A31" w:rsidP="00034A31">
            <w:pPr>
              <w:widowControl w:val="0"/>
              <w:jc w:val="left"/>
              <w:rPr>
                <w:rFonts w:ascii="Arial Narrow" w:hAnsi="Arial Narrow" w:cs="Times New Roman"/>
                <w:snapToGrid w:val="0"/>
                <w:sz w:val="20"/>
              </w:rPr>
            </w:pPr>
            <w:r w:rsidRPr="00F91CC3">
              <w:rPr>
                <w:rFonts w:ascii="Arial Narrow" w:hAnsi="Arial Narrow" w:cs="Times New Roman"/>
                <w:snapToGrid w:val="0"/>
                <w:sz w:val="20"/>
              </w:rPr>
              <w:t>Group 3: 3 to &lt; 6 months (n=6)</w:t>
            </w:r>
          </w:p>
          <w:p w14:paraId="2443AC67" w14:textId="77777777" w:rsidR="00034A31" w:rsidRPr="00F91CC3" w:rsidRDefault="00034A31" w:rsidP="00034A31">
            <w:pPr>
              <w:widowControl w:val="0"/>
              <w:jc w:val="left"/>
              <w:rPr>
                <w:rFonts w:ascii="Arial Narrow" w:hAnsi="Arial Narrow" w:cs="Times New Roman"/>
                <w:snapToGrid w:val="0"/>
                <w:sz w:val="20"/>
              </w:rPr>
            </w:pPr>
          </w:p>
          <w:p w14:paraId="5339B872" w14:textId="77777777" w:rsidR="00034A31" w:rsidRPr="00F91CC3" w:rsidRDefault="00034A31" w:rsidP="00034A31">
            <w:pPr>
              <w:widowControl w:val="0"/>
              <w:jc w:val="left"/>
              <w:rPr>
                <w:rFonts w:ascii="Arial Narrow" w:hAnsi="Arial Narrow" w:cs="Times New Roman"/>
                <w:snapToGrid w:val="0"/>
                <w:sz w:val="20"/>
              </w:rPr>
            </w:pPr>
            <w:r w:rsidRPr="00F91CC3">
              <w:rPr>
                <w:rFonts w:ascii="Arial Narrow" w:hAnsi="Arial Narrow" w:cs="Times New Roman"/>
                <w:snapToGrid w:val="0"/>
                <w:sz w:val="20"/>
              </w:rPr>
              <w:t>Part B</w:t>
            </w:r>
          </w:p>
          <w:p w14:paraId="6865BCC3" w14:textId="77777777" w:rsidR="00034A31" w:rsidRPr="00F91CC3" w:rsidRDefault="00034A31" w:rsidP="00034A31">
            <w:pPr>
              <w:widowControl w:val="0"/>
              <w:jc w:val="left"/>
              <w:rPr>
                <w:rFonts w:ascii="Arial Narrow" w:hAnsi="Arial Narrow" w:cs="Times New Roman"/>
                <w:snapToGrid w:val="0"/>
                <w:sz w:val="20"/>
              </w:rPr>
            </w:pPr>
            <w:r w:rsidRPr="00F91CC3">
              <w:rPr>
                <w:rFonts w:ascii="Arial Narrow" w:hAnsi="Arial Narrow" w:cs="Times New Roman"/>
                <w:snapToGrid w:val="0"/>
                <w:sz w:val="20"/>
              </w:rPr>
              <w:t>Group 6: 6 to &lt; 12 months (n=11)</w:t>
            </w:r>
          </w:p>
          <w:p w14:paraId="22076C65" w14:textId="77777777" w:rsidR="00034A31" w:rsidRPr="00F91CC3" w:rsidRDefault="00034A31" w:rsidP="00034A31">
            <w:pPr>
              <w:widowControl w:val="0"/>
              <w:jc w:val="left"/>
              <w:rPr>
                <w:rFonts w:ascii="Arial Narrow" w:eastAsiaTheme="majorEastAsia" w:hAnsi="Arial Narrow" w:cstheme="majorBidi"/>
                <w:bCs/>
                <w:sz w:val="20"/>
              </w:rPr>
            </w:pPr>
            <w:r w:rsidRPr="00F91CC3">
              <w:rPr>
                <w:rFonts w:ascii="Arial Narrow" w:eastAsiaTheme="majorEastAsia" w:hAnsi="Arial Narrow" w:cstheme="majorBidi"/>
                <w:bCs/>
                <w:sz w:val="20"/>
              </w:rPr>
              <w:t>Group 7: 0 to &lt; 6 months (n=6)</w:t>
            </w:r>
          </w:p>
        </w:tc>
        <w:tc>
          <w:tcPr>
            <w:tcW w:w="1048" w:type="pct"/>
            <w:shd w:val="clear" w:color="auto" w:fill="auto"/>
          </w:tcPr>
          <w:p w14:paraId="11D61338" w14:textId="77777777" w:rsidR="00034A31" w:rsidRPr="00F91CC3" w:rsidRDefault="00034A31" w:rsidP="00034A31">
            <w:pPr>
              <w:widowControl w:val="0"/>
              <w:jc w:val="center"/>
              <w:rPr>
                <w:rFonts w:ascii="Arial Narrow" w:eastAsiaTheme="majorEastAsia" w:hAnsi="Arial Narrow" w:cstheme="majorBidi"/>
                <w:bCs/>
                <w:sz w:val="20"/>
              </w:rPr>
            </w:pPr>
            <w:r w:rsidRPr="00F91CC3">
              <w:rPr>
                <w:rFonts w:ascii="Arial Narrow" w:eastAsiaTheme="majorEastAsia" w:hAnsi="Arial Narrow" w:cstheme="majorBidi"/>
                <w:bCs/>
                <w:sz w:val="20"/>
              </w:rPr>
              <w:t>OL, 24 weeks</w:t>
            </w:r>
          </w:p>
        </w:tc>
        <w:tc>
          <w:tcPr>
            <w:tcW w:w="476" w:type="pct"/>
            <w:shd w:val="clear" w:color="auto" w:fill="auto"/>
          </w:tcPr>
          <w:p w14:paraId="5CAC0B7B" w14:textId="77777777" w:rsidR="00034A31" w:rsidRPr="00F91CC3" w:rsidRDefault="00034A31" w:rsidP="00034A31">
            <w:pPr>
              <w:widowControl w:val="0"/>
              <w:jc w:val="center"/>
              <w:rPr>
                <w:rFonts w:ascii="Arial Narrow" w:eastAsiaTheme="majorEastAsia" w:hAnsi="Arial Narrow" w:cstheme="majorBidi"/>
                <w:bCs/>
                <w:iCs/>
                <w:sz w:val="20"/>
              </w:rPr>
            </w:pPr>
            <w:r w:rsidRPr="00F91CC3">
              <w:rPr>
                <w:rFonts w:ascii="Arial Narrow" w:eastAsiaTheme="majorEastAsia" w:hAnsi="Arial Narrow" w:cstheme="majorBidi"/>
                <w:bCs/>
                <w:iCs/>
                <w:sz w:val="20"/>
              </w:rPr>
              <w:t>High</w:t>
            </w:r>
          </w:p>
        </w:tc>
        <w:tc>
          <w:tcPr>
            <w:tcW w:w="903" w:type="pct"/>
            <w:shd w:val="clear" w:color="auto" w:fill="auto"/>
          </w:tcPr>
          <w:p w14:paraId="4F415A1B" w14:textId="01B9260B" w:rsidR="00034A31" w:rsidRPr="00F91CC3" w:rsidRDefault="00034A31" w:rsidP="00034A31">
            <w:pPr>
              <w:widowControl w:val="0"/>
              <w:jc w:val="center"/>
              <w:rPr>
                <w:rFonts w:ascii="Arial Narrow" w:eastAsiaTheme="majorEastAsia" w:hAnsi="Arial Narrow" w:cstheme="majorBidi"/>
                <w:bCs/>
                <w:sz w:val="20"/>
              </w:rPr>
            </w:pPr>
            <w:r w:rsidRPr="00F91CC3">
              <w:rPr>
                <w:rFonts w:ascii="Arial Narrow" w:eastAsiaTheme="majorEastAsia" w:hAnsi="Arial Narrow" w:cstheme="majorBidi"/>
                <w:bCs/>
                <w:sz w:val="20"/>
              </w:rPr>
              <w:t>Gating mutation aged 4 to &lt; 12 months</w:t>
            </w:r>
          </w:p>
        </w:tc>
        <w:tc>
          <w:tcPr>
            <w:tcW w:w="1314" w:type="pct"/>
            <w:shd w:val="clear" w:color="auto" w:fill="auto"/>
          </w:tcPr>
          <w:p w14:paraId="192A9148" w14:textId="77777777" w:rsidR="00034A31" w:rsidRPr="00F91CC3" w:rsidRDefault="00034A31" w:rsidP="00034A31">
            <w:pPr>
              <w:widowControl w:val="0"/>
              <w:jc w:val="center"/>
              <w:rPr>
                <w:rFonts w:ascii="Arial Narrow" w:hAnsi="Arial Narrow" w:cs="Times New Roman"/>
                <w:snapToGrid w:val="0"/>
                <w:sz w:val="20"/>
              </w:rPr>
            </w:pPr>
            <w:r w:rsidRPr="00F91CC3">
              <w:rPr>
                <w:rFonts w:ascii="Arial Narrow" w:hAnsi="Arial Narrow" w:cs="Times New Roman"/>
                <w:snapToGrid w:val="0"/>
                <w:sz w:val="20"/>
              </w:rPr>
              <w:t>Part A: pharmacokinetics, safety</w:t>
            </w:r>
          </w:p>
          <w:p w14:paraId="111437F9" w14:textId="76C34E05" w:rsidR="00034A31" w:rsidRPr="00F91CC3" w:rsidRDefault="00034A31" w:rsidP="00034A31">
            <w:pPr>
              <w:widowControl w:val="0"/>
              <w:jc w:val="center"/>
              <w:rPr>
                <w:rFonts w:ascii="Arial Narrow" w:eastAsiaTheme="majorEastAsia" w:hAnsi="Arial Narrow" w:cstheme="majorBidi"/>
                <w:bCs/>
                <w:sz w:val="20"/>
              </w:rPr>
            </w:pPr>
            <w:r w:rsidRPr="00F91CC3">
              <w:rPr>
                <w:rFonts w:ascii="Arial Narrow" w:eastAsiaTheme="majorEastAsia" w:hAnsi="Arial Narrow" w:cstheme="majorBidi"/>
                <w:bCs/>
                <w:sz w:val="20"/>
              </w:rPr>
              <w:t>Part B: SwCl, FE-1, IRT, BMI, weight, height, hospitalisations, PE</w:t>
            </w:r>
            <w:r w:rsidR="002E1D8D" w:rsidRPr="00F91CC3">
              <w:rPr>
                <w:rFonts w:ascii="Arial Narrow" w:eastAsiaTheme="majorEastAsia" w:hAnsi="Arial Narrow" w:cstheme="majorBidi"/>
                <w:bCs/>
                <w:sz w:val="20"/>
              </w:rPr>
              <w:t>x</w:t>
            </w:r>
          </w:p>
        </w:tc>
      </w:tr>
      <w:tr w:rsidR="00034A31" w:rsidRPr="00F91CC3" w14:paraId="737664DB" w14:textId="77777777" w:rsidTr="002A2AB2">
        <w:trPr>
          <w:cantSplit/>
        </w:trPr>
        <w:tc>
          <w:tcPr>
            <w:tcW w:w="5000" w:type="pct"/>
            <w:gridSpan w:val="6"/>
            <w:shd w:val="clear" w:color="auto" w:fill="auto"/>
          </w:tcPr>
          <w:p w14:paraId="47F7409B" w14:textId="3C4C7D92" w:rsidR="00034A31" w:rsidRPr="00F91CC3" w:rsidRDefault="00001235" w:rsidP="00034A31">
            <w:pPr>
              <w:widowControl w:val="0"/>
              <w:jc w:val="left"/>
              <w:rPr>
                <w:rFonts w:ascii="Arial Narrow" w:hAnsi="Arial Narrow" w:cs="Tahoma"/>
                <w:b/>
                <w:iCs/>
                <w:snapToGrid w:val="0"/>
                <w:sz w:val="20"/>
                <w:szCs w:val="20"/>
              </w:rPr>
            </w:pPr>
            <w:r w:rsidRPr="00F91CC3">
              <w:rPr>
                <w:rFonts w:ascii="Arial Narrow" w:hAnsi="Arial Narrow" w:cs="Times New Roman"/>
                <w:b/>
                <w:iCs/>
                <w:snapToGrid w:val="0"/>
                <w:sz w:val="20"/>
              </w:rPr>
              <w:t>R117H</w:t>
            </w:r>
            <w:r w:rsidR="00034A31" w:rsidRPr="00F91CC3">
              <w:rPr>
                <w:rFonts w:ascii="Arial Narrow" w:hAnsi="Arial Narrow" w:cs="Times New Roman"/>
                <w:b/>
                <w:iCs/>
                <w:snapToGrid w:val="0"/>
                <w:sz w:val="20"/>
              </w:rPr>
              <w:t xml:space="preserve"> population </w:t>
            </w:r>
          </w:p>
        </w:tc>
      </w:tr>
      <w:tr w:rsidR="00034A31" w:rsidRPr="00F91CC3" w14:paraId="71ACAD64" w14:textId="77777777" w:rsidTr="001C46BD">
        <w:trPr>
          <w:cantSplit/>
        </w:trPr>
        <w:tc>
          <w:tcPr>
            <w:tcW w:w="526" w:type="pct"/>
            <w:shd w:val="clear" w:color="auto" w:fill="auto"/>
          </w:tcPr>
          <w:p w14:paraId="20080AA4" w14:textId="77777777" w:rsidR="00034A31" w:rsidRPr="00F91CC3" w:rsidRDefault="00034A31" w:rsidP="00034A31">
            <w:pPr>
              <w:widowControl w:val="0"/>
              <w:jc w:val="left"/>
              <w:rPr>
                <w:rFonts w:ascii="Arial Narrow" w:eastAsiaTheme="majorEastAsia" w:hAnsi="Arial Narrow" w:cstheme="majorBidi"/>
                <w:bCs/>
                <w:sz w:val="20"/>
              </w:rPr>
            </w:pPr>
            <w:r w:rsidRPr="00F91CC3">
              <w:rPr>
                <w:rFonts w:ascii="Arial Narrow" w:eastAsiaTheme="majorEastAsia" w:hAnsi="Arial Narrow" w:cstheme="majorBidi"/>
                <w:bCs/>
                <w:sz w:val="20"/>
              </w:rPr>
              <w:lastRenderedPageBreak/>
              <w:t>Study 110</w:t>
            </w:r>
          </w:p>
        </w:tc>
        <w:tc>
          <w:tcPr>
            <w:tcW w:w="733" w:type="pct"/>
            <w:shd w:val="clear" w:color="auto" w:fill="auto"/>
          </w:tcPr>
          <w:p w14:paraId="6F8CEA66" w14:textId="77777777" w:rsidR="00034A31" w:rsidRPr="00F91CC3" w:rsidRDefault="00034A31" w:rsidP="00034A31">
            <w:pPr>
              <w:widowControl w:val="0"/>
              <w:jc w:val="center"/>
              <w:rPr>
                <w:rFonts w:ascii="Arial Narrow" w:eastAsiaTheme="majorEastAsia" w:hAnsi="Arial Narrow" w:cstheme="majorBidi"/>
                <w:bCs/>
                <w:sz w:val="20"/>
              </w:rPr>
            </w:pPr>
            <w:r w:rsidRPr="00F91CC3">
              <w:rPr>
                <w:rFonts w:ascii="Arial Narrow" w:eastAsiaTheme="majorEastAsia" w:hAnsi="Arial Narrow" w:cstheme="majorBidi"/>
                <w:bCs/>
                <w:sz w:val="20"/>
              </w:rPr>
              <w:t>69</w:t>
            </w:r>
          </w:p>
        </w:tc>
        <w:tc>
          <w:tcPr>
            <w:tcW w:w="1048" w:type="pct"/>
            <w:shd w:val="clear" w:color="auto" w:fill="auto"/>
          </w:tcPr>
          <w:p w14:paraId="0C094D6F" w14:textId="77777777" w:rsidR="00034A31" w:rsidRPr="00F91CC3" w:rsidRDefault="00034A31" w:rsidP="00034A31">
            <w:pPr>
              <w:widowControl w:val="0"/>
              <w:jc w:val="center"/>
              <w:rPr>
                <w:rFonts w:ascii="Arial Narrow" w:eastAsiaTheme="majorEastAsia" w:hAnsi="Arial Narrow" w:cstheme="majorBidi"/>
                <w:bCs/>
                <w:sz w:val="20"/>
              </w:rPr>
            </w:pPr>
            <w:r w:rsidRPr="00F91CC3">
              <w:rPr>
                <w:rFonts w:ascii="Arial Narrow" w:eastAsiaTheme="majorEastAsia" w:hAnsi="Arial Narrow" w:cstheme="majorBidi"/>
                <w:bCs/>
                <w:sz w:val="20"/>
              </w:rPr>
              <w:t>R, DB, MC</w:t>
            </w:r>
          </w:p>
          <w:p w14:paraId="5BEC50E6" w14:textId="77777777" w:rsidR="00034A31" w:rsidRPr="00F91CC3" w:rsidRDefault="00034A31" w:rsidP="00034A31">
            <w:pPr>
              <w:widowControl w:val="0"/>
              <w:jc w:val="center"/>
              <w:rPr>
                <w:rFonts w:ascii="Arial Narrow" w:eastAsiaTheme="majorEastAsia" w:hAnsi="Arial Narrow" w:cstheme="majorBidi"/>
                <w:bCs/>
                <w:sz w:val="20"/>
              </w:rPr>
            </w:pPr>
            <w:r w:rsidRPr="00F91CC3">
              <w:rPr>
                <w:rFonts w:ascii="Arial Narrow" w:eastAsiaTheme="majorEastAsia" w:hAnsi="Arial Narrow" w:cstheme="majorBidi"/>
                <w:bCs/>
                <w:sz w:val="20"/>
              </w:rPr>
              <w:t>24 weeks</w:t>
            </w:r>
          </w:p>
        </w:tc>
        <w:tc>
          <w:tcPr>
            <w:tcW w:w="476" w:type="pct"/>
            <w:shd w:val="clear" w:color="auto" w:fill="auto"/>
          </w:tcPr>
          <w:p w14:paraId="13E85C87" w14:textId="77777777" w:rsidR="00034A31" w:rsidRPr="00F91CC3" w:rsidRDefault="00034A31" w:rsidP="00034A31">
            <w:pPr>
              <w:widowControl w:val="0"/>
              <w:jc w:val="center"/>
              <w:rPr>
                <w:rFonts w:ascii="Arial Narrow" w:eastAsiaTheme="majorEastAsia" w:hAnsi="Arial Narrow" w:cstheme="majorBidi"/>
                <w:bCs/>
                <w:iCs/>
                <w:sz w:val="20"/>
              </w:rPr>
            </w:pPr>
            <w:r w:rsidRPr="00F91CC3">
              <w:rPr>
                <w:rFonts w:ascii="Arial Narrow" w:eastAsiaTheme="majorEastAsia" w:hAnsi="Arial Narrow" w:cstheme="majorBidi"/>
                <w:bCs/>
                <w:iCs/>
                <w:sz w:val="20"/>
              </w:rPr>
              <w:t>Low</w:t>
            </w:r>
          </w:p>
        </w:tc>
        <w:tc>
          <w:tcPr>
            <w:tcW w:w="903" w:type="pct"/>
            <w:shd w:val="clear" w:color="auto" w:fill="auto"/>
          </w:tcPr>
          <w:p w14:paraId="543259C5" w14:textId="77777777" w:rsidR="00034A31" w:rsidRPr="00F91CC3" w:rsidRDefault="00034A31" w:rsidP="00034A31">
            <w:pPr>
              <w:widowControl w:val="0"/>
              <w:jc w:val="center"/>
              <w:rPr>
                <w:rFonts w:ascii="Arial Narrow" w:eastAsiaTheme="majorEastAsia" w:hAnsi="Arial Narrow" w:cstheme="majorBidi"/>
                <w:bCs/>
                <w:sz w:val="20"/>
              </w:rPr>
            </w:pPr>
            <w:r w:rsidRPr="00F91CC3">
              <w:rPr>
                <w:rFonts w:ascii="Arial Narrow" w:eastAsiaTheme="majorEastAsia" w:hAnsi="Arial Narrow" w:cstheme="majorBidi"/>
                <w:bCs/>
                <w:sz w:val="20"/>
              </w:rPr>
              <w:t>R117H mutation aged ≥ 6 years</w:t>
            </w:r>
          </w:p>
        </w:tc>
        <w:tc>
          <w:tcPr>
            <w:tcW w:w="1314" w:type="pct"/>
            <w:shd w:val="clear" w:color="auto" w:fill="auto"/>
          </w:tcPr>
          <w:p w14:paraId="2AAAB348" w14:textId="77777777" w:rsidR="00034A31" w:rsidRPr="00F91CC3" w:rsidRDefault="00034A31" w:rsidP="00034A31">
            <w:pPr>
              <w:widowControl w:val="0"/>
              <w:jc w:val="center"/>
              <w:rPr>
                <w:rFonts w:ascii="Arial Narrow" w:hAnsi="Arial Narrow" w:cs="Times New Roman"/>
                <w:snapToGrid w:val="0"/>
                <w:sz w:val="20"/>
              </w:rPr>
            </w:pPr>
            <w:r w:rsidRPr="00F91CC3">
              <w:rPr>
                <w:rFonts w:ascii="Arial Narrow" w:hAnsi="Arial Narrow" w:cs="Tahoma"/>
                <w:snapToGrid w:val="0"/>
                <w:sz w:val="20"/>
                <w:szCs w:val="20"/>
              </w:rPr>
              <w:t>ppFEV</w:t>
            </w:r>
            <w:r w:rsidRPr="00F91CC3">
              <w:rPr>
                <w:rFonts w:ascii="Arial Narrow" w:hAnsi="Arial Narrow" w:cs="Tahoma"/>
                <w:snapToGrid w:val="0"/>
                <w:sz w:val="20"/>
                <w:szCs w:val="20"/>
                <w:vertAlign w:val="subscript"/>
              </w:rPr>
              <w:t>1</w:t>
            </w:r>
            <w:r w:rsidRPr="00F91CC3">
              <w:rPr>
                <w:rFonts w:ascii="Arial Narrow" w:hAnsi="Arial Narrow" w:cs="Times New Roman"/>
                <w:snapToGrid w:val="0"/>
                <w:sz w:val="20"/>
              </w:rPr>
              <w:t>, SwCl, BMI, CFQ-R respiratory domain score, PEx</w:t>
            </w:r>
          </w:p>
        </w:tc>
      </w:tr>
      <w:tr w:rsidR="00034A31" w:rsidRPr="00F91CC3" w14:paraId="71599081" w14:textId="77777777" w:rsidTr="001C46BD">
        <w:trPr>
          <w:cantSplit/>
        </w:trPr>
        <w:tc>
          <w:tcPr>
            <w:tcW w:w="526" w:type="pct"/>
            <w:shd w:val="clear" w:color="auto" w:fill="auto"/>
          </w:tcPr>
          <w:p w14:paraId="0884C62D" w14:textId="77777777" w:rsidR="00034A31" w:rsidRPr="00F91CC3" w:rsidRDefault="00034A31" w:rsidP="00034A31">
            <w:pPr>
              <w:widowControl w:val="0"/>
              <w:jc w:val="left"/>
              <w:rPr>
                <w:rFonts w:ascii="Arial Narrow" w:eastAsiaTheme="majorEastAsia" w:hAnsi="Arial Narrow" w:cstheme="majorBidi"/>
                <w:bCs/>
                <w:sz w:val="20"/>
              </w:rPr>
            </w:pPr>
            <w:r w:rsidRPr="00F91CC3">
              <w:rPr>
                <w:rFonts w:ascii="Arial Narrow" w:eastAsiaTheme="majorEastAsia" w:hAnsi="Arial Narrow" w:cstheme="majorBidi"/>
                <w:bCs/>
                <w:sz w:val="20"/>
              </w:rPr>
              <w:t>Study 112</w:t>
            </w:r>
          </w:p>
        </w:tc>
        <w:tc>
          <w:tcPr>
            <w:tcW w:w="733" w:type="pct"/>
            <w:shd w:val="clear" w:color="auto" w:fill="auto"/>
          </w:tcPr>
          <w:p w14:paraId="68B34EBD" w14:textId="77777777" w:rsidR="00034A31" w:rsidRPr="00F91CC3" w:rsidRDefault="00034A31" w:rsidP="00034A31">
            <w:pPr>
              <w:widowControl w:val="0"/>
              <w:jc w:val="center"/>
              <w:rPr>
                <w:rFonts w:ascii="Arial Narrow" w:eastAsiaTheme="majorEastAsia" w:hAnsi="Arial Narrow" w:cstheme="majorBidi"/>
                <w:bCs/>
                <w:sz w:val="20"/>
              </w:rPr>
            </w:pPr>
            <w:r w:rsidRPr="00F91CC3">
              <w:rPr>
                <w:rFonts w:ascii="Arial Narrow" w:eastAsiaTheme="majorEastAsia" w:hAnsi="Arial Narrow" w:cstheme="majorBidi"/>
                <w:bCs/>
                <w:sz w:val="20"/>
              </w:rPr>
              <w:t>69</w:t>
            </w:r>
          </w:p>
        </w:tc>
        <w:tc>
          <w:tcPr>
            <w:tcW w:w="1048" w:type="pct"/>
            <w:shd w:val="clear" w:color="auto" w:fill="auto"/>
          </w:tcPr>
          <w:p w14:paraId="41E090D0" w14:textId="77777777" w:rsidR="00034A31" w:rsidRPr="00F91CC3" w:rsidRDefault="00034A31" w:rsidP="00034A31">
            <w:pPr>
              <w:widowControl w:val="0"/>
              <w:jc w:val="center"/>
              <w:rPr>
                <w:rFonts w:ascii="Arial Narrow" w:eastAsiaTheme="majorEastAsia" w:hAnsi="Arial Narrow" w:cstheme="majorBidi"/>
                <w:bCs/>
                <w:sz w:val="20"/>
              </w:rPr>
            </w:pPr>
            <w:r w:rsidRPr="00F91CC3">
              <w:rPr>
                <w:rFonts w:ascii="Arial Narrow" w:eastAsiaTheme="majorEastAsia" w:hAnsi="Arial Narrow" w:cstheme="majorBidi"/>
                <w:bCs/>
                <w:sz w:val="20"/>
              </w:rPr>
              <w:t>OL, MC</w:t>
            </w:r>
          </w:p>
          <w:p w14:paraId="5F204178" w14:textId="77777777" w:rsidR="00034A31" w:rsidRPr="00F91CC3" w:rsidRDefault="00034A31" w:rsidP="00034A31">
            <w:pPr>
              <w:widowControl w:val="0"/>
              <w:jc w:val="center"/>
              <w:rPr>
                <w:rFonts w:ascii="Arial Narrow" w:eastAsiaTheme="majorEastAsia" w:hAnsi="Arial Narrow" w:cstheme="majorBidi"/>
                <w:bCs/>
                <w:sz w:val="20"/>
              </w:rPr>
            </w:pPr>
            <w:r w:rsidRPr="00F91CC3">
              <w:rPr>
                <w:rFonts w:ascii="Arial Narrow" w:eastAsiaTheme="majorEastAsia" w:hAnsi="Arial Narrow" w:cstheme="majorBidi"/>
                <w:bCs/>
                <w:sz w:val="20"/>
              </w:rPr>
              <w:t>104 weeks</w:t>
            </w:r>
          </w:p>
        </w:tc>
        <w:tc>
          <w:tcPr>
            <w:tcW w:w="476" w:type="pct"/>
            <w:shd w:val="clear" w:color="auto" w:fill="auto"/>
          </w:tcPr>
          <w:p w14:paraId="737C847D" w14:textId="77777777" w:rsidR="00034A31" w:rsidRPr="00F91CC3" w:rsidRDefault="00034A31" w:rsidP="00034A31">
            <w:pPr>
              <w:widowControl w:val="0"/>
              <w:jc w:val="center"/>
              <w:rPr>
                <w:rFonts w:ascii="Arial Narrow" w:eastAsiaTheme="majorEastAsia" w:hAnsi="Arial Narrow" w:cstheme="majorBidi"/>
                <w:bCs/>
                <w:iCs/>
                <w:sz w:val="20"/>
              </w:rPr>
            </w:pPr>
            <w:r w:rsidRPr="00F91CC3">
              <w:rPr>
                <w:rFonts w:ascii="Arial Narrow" w:eastAsiaTheme="majorEastAsia" w:hAnsi="Arial Narrow" w:cstheme="majorBidi"/>
                <w:bCs/>
                <w:iCs/>
                <w:sz w:val="20"/>
              </w:rPr>
              <w:t>Low</w:t>
            </w:r>
          </w:p>
        </w:tc>
        <w:tc>
          <w:tcPr>
            <w:tcW w:w="903" w:type="pct"/>
            <w:shd w:val="clear" w:color="auto" w:fill="auto"/>
          </w:tcPr>
          <w:p w14:paraId="0AF39ED5" w14:textId="77777777" w:rsidR="00034A31" w:rsidRPr="00F91CC3" w:rsidRDefault="00034A31" w:rsidP="00034A31">
            <w:pPr>
              <w:widowControl w:val="0"/>
              <w:jc w:val="center"/>
              <w:rPr>
                <w:rFonts w:ascii="Arial Narrow" w:eastAsiaTheme="majorEastAsia" w:hAnsi="Arial Narrow" w:cstheme="majorBidi"/>
                <w:bCs/>
                <w:sz w:val="20"/>
              </w:rPr>
            </w:pPr>
            <w:r w:rsidRPr="00F91CC3">
              <w:rPr>
                <w:rFonts w:ascii="Arial Narrow" w:eastAsiaTheme="majorEastAsia" w:hAnsi="Arial Narrow" w:cstheme="majorBidi"/>
                <w:bCs/>
                <w:sz w:val="20"/>
              </w:rPr>
              <w:t>R117H or non-G551D mutation aged ≥ 6 years</w:t>
            </w:r>
          </w:p>
        </w:tc>
        <w:tc>
          <w:tcPr>
            <w:tcW w:w="1314" w:type="pct"/>
            <w:shd w:val="clear" w:color="auto" w:fill="auto"/>
          </w:tcPr>
          <w:p w14:paraId="3F2108C0" w14:textId="77777777" w:rsidR="00034A31" w:rsidRPr="00F91CC3" w:rsidRDefault="00034A31" w:rsidP="00034A31">
            <w:pPr>
              <w:widowControl w:val="0"/>
              <w:jc w:val="center"/>
              <w:rPr>
                <w:rFonts w:ascii="Arial Narrow" w:eastAsiaTheme="majorEastAsia" w:hAnsi="Arial Narrow" w:cstheme="majorBidi"/>
                <w:bCs/>
                <w:sz w:val="20"/>
              </w:rPr>
            </w:pPr>
            <w:r w:rsidRPr="00F91CC3">
              <w:rPr>
                <w:rFonts w:ascii="Arial Narrow" w:eastAsiaTheme="majorEastAsia" w:hAnsi="Arial Narrow" w:cstheme="majorBidi"/>
                <w:bCs/>
                <w:sz w:val="20"/>
              </w:rPr>
              <w:t>Safety, ppFEV</w:t>
            </w:r>
            <w:r w:rsidRPr="00F91CC3">
              <w:rPr>
                <w:rFonts w:ascii="Arial Narrow" w:eastAsiaTheme="majorEastAsia" w:hAnsi="Arial Narrow" w:cstheme="majorBidi"/>
                <w:bCs/>
                <w:sz w:val="20"/>
                <w:vertAlign w:val="subscript"/>
              </w:rPr>
              <w:t>1</w:t>
            </w:r>
            <w:r w:rsidRPr="00F91CC3">
              <w:rPr>
                <w:rFonts w:ascii="Arial Narrow" w:eastAsiaTheme="majorEastAsia" w:hAnsi="Arial Narrow" w:cstheme="majorBidi"/>
                <w:bCs/>
                <w:sz w:val="20"/>
              </w:rPr>
              <w:t>, BMI, SwCl, CFQ-R respiratory domain, PEx</w:t>
            </w:r>
          </w:p>
        </w:tc>
      </w:tr>
      <w:tr w:rsidR="00034A31" w:rsidRPr="00F91CC3" w14:paraId="6E4F8A8C" w14:textId="77777777" w:rsidTr="001C46BD">
        <w:trPr>
          <w:cantSplit/>
        </w:trPr>
        <w:tc>
          <w:tcPr>
            <w:tcW w:w="526" w:type="pct"/>
            <w:shd w:val="clear" w:color="auto" w:fill="auto"/>
          </w:tcPr>
          <w:p w14:paraId="14098E24" w14:textId="77777777" w:rsidR="00034A31" w:rsidRPr="00F91CC3" w:rsidRDefault="00034A31" w:rsidP="00034A31">
            <w:pPr>
              <w:widowControl w:val="0"/>
              <w:jc w:val="left"/>
              <w:rPr>
                <w:rFonts w:ascii="Arial Narrow" w:eastAsiaTheme="majorEastAsia" w:hAnsi="Arial Narrow" w:cstheme="majorBidi"/>
                <w:bCs/>
                <w:sz w:val="20"/>
              </w:rPr>
            </w:pPr>
            <w:r w:rsidRPr="00F91CC3">
              <w:rPr>
                <w:rFonts w:ascii="Arial Narrow" w:eastAsiaTheme="majorEastAsia" w:hAnsi="Arial Narrow" w:cstheme="majorBidi"/>
                <w:bCs/>
                <w:sz w:val="20"/>
              </w:rPr>
              <w:t>Study 122</w:t>
            </w:r>
          </w:p>
        </w:tc>
        <w:tc>
          <w:tcPr>
            <w:tcW w:w="733" w:type="pct"/>
            <w:shd w:val="clear" w:color="auto" w:fill="auto"/>
          </w:tcPr>
          <w:p w14:paraId="4D9EB67F" w14:textId="77777777" w:rsidR="00034A31" w:rsidRPr="00F91CC3" w:rsidRDefault="00034A31" w:rsidP="00034A31">
            <w:pPr>
              <w:widowControl w:val="0"/>
              <w:jc w:val="center"/>
              <w:rPr>
                <w:rFonts w:ascii="Arial Narrow" w:eastAsiaTheme="majorEastAsia" w:hAnsi="Arial Narrow" w:cstheme="majorBidi"/>
                <w:bCs/>
                <w:sz w:val="20"/>
              </w:rPr>
            </w:pPr>
            <w:r w:rsidRPr="00F91CC3">
              <w:rPr>
                <w:rFonts w:ascii="Arial Narrow" w:eastAsiaTheme="majorEastAsia" w:hAnsi="Arial Narrow" w:cstheme="majorBidi"/>
                <w:bCs/>
                <w:sz w:val="20"/>
              </w:rPr>
              <w:t>369</w:t>
            </w:r>
          </w:p>
        </w:tc>
        <w:tc>
          <w:tcPr>
            <w:tcW w:w="1048" w:type="pct"/>
            <w:shd w:val="clear" w:color="auto" w:fill="auto"/>
          </w:tcPr>
          <w:p w14:paraId="5CCC018C" w14:textId="77777777" w:rsidR="00034A31" w:rsidRPr="00F91CC3" w:rsidRDefault="00034A31" w:rsidP="00034A31">
            <w:pPr>
              <w:widowControl w:val="0"/>
              <w:jc w:val="center"/>
              <w:rPr>
                <w:rFonts w:ascii="Arial Narrow" w:eastAsiaTheme="majorEastAsia" w:hAnsi="Arial Narrow" w:cstheme="majorBidi"/>
                <w:bCs/>
                <w:sz w:val="20"/>
              </w:rPr>
            </w:pPr>
            <w:r w:rsidRPr="00F91CC3">
              <w:rPr>
                <w:rFonts w:ascii="Arial Narrow" w:eastAsiaTheme="majorEastAsia" w:hAnsi="Arial Narrow" w:cstheme="majorBidi"/>
                <w:bCs/>
                <w:sz w:val="20"/>
              </w:rPr>
              <w:t>3 years before and after ivacaftor treatment initiation</w:t>
            </w:r>
          </w:p>
        </w:tc>
        <w:tc>
          <w:tcPr>
            <w:tcW w:w="476" w:type="pct"/>
            <w:shd w:val="clear" w:color="auto" w:fill="auto"/>
          </w:tcPr>
          <w:p w14:paraId="196448C7" w14:textId="77777777" w:rsidR="00034A31" w:rsidRPr="00F91CC3" w:rsidRDefault="00034A31" w:rsidP="00034A31">
            <w:pPr>
              <w:widowControl w:val="0"/>
              <w:jc w:val="center"/>
              <w:rPr>
                <w:rFonts w:ascii="Arial Narrow" w:eastAsiaTheme="majorEastAsia" w:hAnsi="Arial Narrow" w:cstheme="majorBidi"/>
                <w:bCs/>
                <w:iCs/>
                <w:sz w:val="20"/>
              </w:rPr>
            </w:pPr>
            <w:r w:rsidRPr="00F91CC3">
              <w:rPr>
                <w:rFonts w:ascii="Arial Narrow" w:eastAsiaTheme="majorEastAsia" w:hAnsi="Arial Narrow" w:cstheme="majorBidi"/>
                <w:bCs/>
                <w:iCs/>
                <w:sz w:val="20"/>
              </w:rPr>
              <w:t>NA</w:t>
            </w:r>
          </w:p>
        </w:tc>
        <w:tc>
          <w:tcPr>
            <w:tcW w:w="903" w:type="pct"/>
            <w:shd w:val="clear" w:color="auto" w:fill="auto"/>
          </w:tcPr>
          <w:p w14:paraId="3748C9DE" w14:textId="77777777" w:rsidR="00034A31" w:rsidRPr="00F91CC3" w:rsidRDefault="00034A31" w:rsidP="00034A31">
            <w:pPr>
              <w:widowControl w:val="0"/>
              <w:jc w:val="center"/>
              <w:rPr>
                <w:rFonts w:ascii="Arial Narrow" w:eastAsiaTheme="majorEastAsia" w:hAnsi="Arial Narrow" w:cstheme="majorBidi"/>
                <w:bCs/>
                <w:sz w:val="20"/>
              </w:rPr>
            </w:pPr>
            <w:r w:rsidRPr="00F91CC3">
              <w:rPr>
                <w:rFonts w:ascii="Arial Narrow" w:eastAsiaTheme="majorEastAsia" w:hAnsi="Arial Narrow" w:cstheme="majorBidi"/>
                <w:bCs/>
                <w:sz w:val="20"/>
              </w:rPr>
              <w:t>R117H mutation aged ≥ 2 years</w:t>
            </w:r>
          </w:p>
        </w:tc>
        <w:tc>
          <w:tcPr>
            <w:tcW w:w="1314" w:type="pct"/>
            <w:shd w:val="clear" w:color="auto" w:fill="auto"/>
          </w:tcPr>
          <w:p w14:paraId="7E751FBD" w14:textId="77777777" w:rsidR="00034A31" w:rsidRPr="00F91CC3" w:rsidRDefault="00034A31" w:rsidP="00034A31">
            <w:pPr>
              <w:widowControl w:val="0"/>
              <w:jc w:val="center"/>
              <w:rPr>
                <w:rFonts w:ascii="Arial Narrow" w:eastAsiaTheme="majorEastAsia" w:hAnsi="Arial Narrow" w:cs="Tahoma"/>
                <w:bCs/>
                <w:sz w:val="20"/>
                <w:szCs w:val="20"/>
              </w:rPr>
            </w:pPr>
            <w:r w:rsidRPr="00F91CC3">
              <w:rPr>
                <w:rFonts w:ascii="Arial Narrow" w:eastAsiaTheme="majorEastAsia" w:hAnsi="Arial Narrow" w:cs="Tahoma"/>
                <w:bCs/>
                <w:sz w:val="20"/>
                <w:szCs w:val="20"/>
              </w:rPr>
              <w:t>ppFEV</w:t>
            </w:r>
            <w:r w:rsidRPr="00F91CC3">
              <w:rPr>
                <w:rFonts w:ascii="Arial Narrow" w:eastAsiaTheme="majorEastAsia" w:hAnsi="Arial Narrow" w:cs="Tahoma"/>
                <w:bCs/>
                <w:sz w:val="20"/>
                <w:szCs w:val="20"/>
                <w:vertAlign w:val="subscript"/>
              </w:rPr>
              <w:t>1</w:t>
            </w:r>
            <w:r w:rsidRPr="00F91CC3">
              <w:rPr>
                <w:rFonts w:ascii="Arial Narrow" w:eastAsiaTheme="majorEastAsia" w:hAnsi="Arial Narrow" w:cstheme="majorBidi"/>
                <w:bCs/>
                <w:sz w:val="20"/>
              </w:rPr>
              <w:t>, PEx, BMI, weight, height, death or transplant, hospitalisations, CF-complications, pulmonary microorganisms</w:t>
            </w:r>
          </w:p>
        </w:tc>
      </w:tr>
      <w:tr w:rsidR="00034A31" w:rsidRPr="00F91CC3" w14:paraId="494FEAFA" w14:textId="77777777" w:rsidTr="002A2AB2">
        <w:trPr>
          <w:cantSplit/>
        </w:trPr>
        <w:tc>
          <w:tcPr>
            <w:tcW w:w="5000" w:type="pct"/>
            <w:gridSpan w:val="6"/>
            <w:shd w:val="clear" w:color="auto" w:fill="auto"/>
          </w:tcPr>
          <w:p w14:paraId="7C83047B" w14:textId="49A5A252" w:rsidR="00034A31" w:rsidRPr="00F91CC3" w:rsidRDefault="001C46BD" w:rsidP="00034A31">
            <w:pPr>
              <w:widowControl w:val="0"/>
              <w:jc w:val="left"/>
              <w:rPr>
                <w:rFonts w:ascii="Arial Narrow" w:eastAsiaTheme="majorEastAsia" w:hAnsi="Arial Narrow" w:cstheme="majorBidi"/>
                <w:b/>
                <w:bCs/>
                <w:sz w:val="20"/>
              </w:rPr>
            </w:pPr>
            <w:r w:rsidRPr="00F91CC3">
              <w:rPr>
                <w:rFonts w:ascii="Arial Narrow" w:eastAsiaTheme="majorEastAsia" w:hAnsi="Arial Narrow" w:cstheme="majorBidi"/>
                <w:b/>
                <w:bCs/>
                <w:sz w:val="20"/>
              </w:rPr>
              <w:t xml:space="preserve">Non-splice </w:t>
            </w:r>
            <w:r w:rsidR="0090648B" w:rsidRPr="00F91CC3">
              <w:rPr>
                <w:rFonts w:ascii="Arial Narrow" w:eastAsiaTheme="majorEastAsia" w:hAnsi="Arial Narrow" w:cstheme="majorBidi"/>
                <w:b/>
                <w:bCs/>
                <w:sz w:val="20"/>
              </w:rPr>
              <w:t>RF</w:t>
            </w:r>
            <w:r w:rsidR="00001235" w:rsidRPr="00F91CC3">
              <w:rPr>
                <w:rFonts w:ascii="Arial Narrow" w:eastAsiaTheme="majorEastAsia" w:hAnsi="Arial Narrow" w:cstheme="majorBidi"/>
                <w:b/>
                <w:bCs/>
                <w:sz w:val="20"/>
              </w:rPr>
              <w:t xml:space="preserve"> population </w:t>
            </w:r>
          </w:p>
        </w:tc>
      </w:tr>
      <w:tr w:rsidR="00034A31" w:rsidRPr="00F91CC3" w14:paraId="76B38AE0" w14:textId="77777777" w:rsidTr="001C46BD">
        <w:trPr>
          <w:cantSplit/>
        </w:trPr>
        <w:tc>
          <w:tcPr>
            <w:tcW w:w="526" w:type="pct"/>
            <w:shd w:val="clear" w:color="auto" w:fill="auto"/>
          </w:tcPr>
          <w:p w14:paraId="19F6623F" w14:textId="77777777" w:rsidR="00034A31" w:rsidRPr="00F91CC3" w:rsidRDefault="00034A31" w:rsidP="00034A31">
            <w:pPr>
              <w:widowControl w:val="0"/>
              <w:jc w:val="left"/>
              <w:rPr>
                <w:rFonts w:ascii="Arial Narrow" w:eastAsiaTheme="majorEastAsia" w:hAnsi="Arial Narrow" w:cstheme="majorBidi"/>
                <w:bCs/>
                <w:sz w:val="20"/>
              </w:rPr>
            </w:pPr>
            <w:r w:rsidRPr="00F91CC3">
              <w:rPr>
                <w:rFonts w:ascii="Arial Narrow" w:eastAsiaTheme="majorEastAsia" w:hAnsi="Arial Narrow" w:cstheme="majorBidi"/>
                <w:bCs/>
                <w:sz w:val="20"/>
              </w:rPr>
              <w:t>Study 108</w:t>
            </w:r>
          </w:p>
        </w:tc>
        <w:tc>
          <w:tcPr>
            <w:tcW w:w="733" w:type="pct"/>
            <w:shd w:val="clear" w:color="auto" w:fill="auto"/>
          </w:tcPr>
          <w:p w14:paraId="1C23D42B" w14:textId="77777777" w:rsidR="00034A31" w:rsidRPr="00F91CC3" w:rsidRDefault="00034A31" w:rsidP="00034A31">
            <w:pPr>
              <w:widowControl w:val="0"/>
              <w:jc w:val="center"/>
              <w:rPr>
                <w:rFonts w:ascii="Arial Narrow" w:eastAsiaTheme="majorEastAsia" w:hAnsi="Arial Narrow" w:cstheme="majorBidi"/>
                <w:bCs/>
                <w:sz w:val="20"/>
              </w:rPr>
            </w:pPr>
            <w:r w:rsidRPr="00F91CC3">
              <w:rPr>
                <w:rFonts w:ascii="Arial Narrow" w:eastAsiaTheme="majorEastAsia" w:hAnsi="Arial Narrow" w:cstheme="majorBidi"/>
                <w:bCs/>
                <w:sz w:val="20"/>
              </w:rPr>
              <w:t>248</w:t>
            </w:r>
          </w:p>
        </w:tc>
        <w:tc>
          <w:tcPr>
            <w:tcW w:w="1048" w:type="pct"/>
            <w:shd w:val="clear" w:color="auto" w:fill="auto"/>
          </w:tcPr>
          <w:p w14:paraId="258F41D3" w14:textId="77777777" w:rsidR="00034A31" w:rsidRPr="00F91CC3" w:rsidRDefault="00034A31" w:rsidP="00034A31">
            <w:pPr>
              <w:widowControl w:val="0"/>
              <w:jc w:val="center"/>
              <w:rPr>
                <w:rFonts w:ascii="Arial Narrow" w:eastAsiaTheme="majorEastAsia" w:hAnsi="Arial Narrow" w:cstheme="majorBidi"/>
                <w:bCs/>
                <w:sz w:val="20"/>
              </w:rPr>
            </w:pPr>
            <w:r w:rsidRPr="00F91CC3">
              <w:rPr>
                <w:rFonts w:ascii="Arial Narrow" w:eastAsiaTheme="majorEastAsia" w:hAnsi="Arial Narrow" w:cstheme="majorBidi"/>
                <w:bCs/>
                <w:sz w:val="20"/>
              </w:rPr>
              <w:t>R, DB, MC</w:t>
            </w:r>
          </w:p>
        </w:tc>
        <w:tc>
          <w:tcPr>
            <w:tcW w:w="476" w:type="pct"/>
            <w:shd w:val="clear" w:color="auto" w:fill="auto"/>
          </w:tcPr>
          <w:p w14:paraId="03DD0B15" w14:textId="77777777" w:rsidR="00034A31" w:rsidRPr="00F91CC3" w:rsidRDefault="00034A31" w:rsidP="00034A31">
            <w:pPr>
              <w:widowControl w:val="0"/>
              <w:jc w:val="center"/>
              <w:rPr>
                <w:rFonts w:ascii="Arial Narrow" w:eastAsiaTheme="majorEastAsia" w:hAnsi="Arial Narrow" w:cstheme="majorBidi"/>
                <w:bCs/>
                <w:iCs/>
                <w:sz w:val="20"/>
              </w:rPr>
            </w:pPr>
            <w:r w:rsidRPr="00F91CC3">
              <w:rPr>
                <w:rFonts w:ascii="Arial Narrow" w:eastAsiaTheme="majorEastAsia" w:hAnsi="Arial Narrow" w:cstheme="majorBidi"/>
                <w:bCs/>
                <w:iCs/>
                <w:sz w:val="20"/>
              </w:rPr>
              <w:t>Low</w:t>
            </w:r>
          </w:p>
        </w:tc>
        <w:tc>
          <w:tcPr>
            <w:tcW w:w="903" w:type="pct"/>
            <w:shd w:val="clear" w:color="auto" w:fill="auto"/>
          </w:tcPr>
          <w:p w14:paraId="51FEC66C" w14:textId="77777777" w:rsidR="00034A31" w:rsidRPr="00F91CC3" w:rsidRDefault="00034A31" w:rsidP="00034A31">
            <w:pPr>
              <w:widowControl w:val="0"/>
              <w:jc w:val="center"/>
              <w:rPr>
                <w:rFonts w:ascii="Arial Narrow" w:eastAsiaTheme="majorEastAsia" w:hAnsi="Arial Narrow" w:cstheme="majorBidi"/>
                <w:bCs/>
                <w:sz w:val="20"/>
              </w:rPr>
            </w:pPr>
            <w:r w:rsidRPr="00F91CC3">
              <w:rPr>
                <w:rFonts w:ascii="Arial Narrow" w:eastAsiaTheme="majorEastAsia" w:hAnsi="Arial Narrow" w:cstheme="majorBidi"/>
                <w:bCs/>
                <w:sz w:val="20"/>
              </w:rPr>
              <w:t>CF patients aged ≥12 years who were heterozygous for the F508del-CFTR and an RF mutation</w:t>
            </w:r>
          </w:p>
        </w:tc>
        <w:tc>
          <w:tcPr>
            <w:tcW w:w="1314" w:type="pct"/>
            <w:shd w:val="clear" w:color="auto" w:fill="auto"/>
          </w:tcPr>
          <w:p w14:paraId="360EF401" w14:textId="77777777" w:rsidR="00034A31" w:rsidRPr="00F91CC3" w:rsidRDefault="00034A31" w:rsidP="00034A31">
            <w:pPr>
              <w:widowControl w:val="0"/>
              <w:jc w:val="center"/>
              <w:rPr>
                <w:rFonts w:ascii="Arial Narrow" w:eastAsiaTheme="majorEastAsia" w:hAnsi="Arial Narrow" w:cstheme="majorBidi"/>
                <w:bCs/>
                <w:sz w:val="20"/>
              </w:rPr>
            </w:pPr>
            <w:r w:rsidRPr="00F91CC3">
              <w:rPr>
                <w:rFonts w:ascii="Arial Narrow" w:eastAsiaTheme="majorEastAsia" w:hAnsi="Arial Narrow" w:cstheme="majorBidi"/>
                <w:bCs/>
                <w:sz w:val="20"/>
              </w:rPr>
              <w:t>ppFEV</w:t>
            </w:r>
            <w:r w:rsidRPr="00F91CC3">
              <w:rPr>
                <w:rFonts w:ascii="Arial Narrow" w:eastAsiaTheme="majorEastAsia" w:hAnsi="Arial Narrow" w:cstheme="majorBidi"/>
                <w:bCs/>
                <w:sz w:val="20"/>
                <w:vertAlign w:val="subscript"/>
              </w:rPr>
              <w:t>1</w:t>
            </w:r>
            <w:r w:rsidRPr="00F91CC3">
              <w:rPr>
                <w:rFonts w:ascii="Arial Narrow" w:eastAsiaTheme="majorEastAsia" w:hAnsi="Arial Narrow" w:cstheme="majorBidi"/>
                <w:bCs/>
                <w:sz w:val="20"/>
              </w:rPr>
              <w:t>, CFQ-R respiratory domain, SwCl, PEx, FEV</w:t>
            </w:r>
            <w:r w:rsidRPr="00F91CC3">
              <w:rPr>
                <w:rFonts w:ascii="Arial Narrow" w:eastAsiaTheme="majorEastAsia" w:hAnsi="Arial Narrow" w:cstheme="majorBidi"/>
                <w:bCs/>
                <w:sz w:val="20"/>
                <w:vertAlign w:val="subscript"/>
              </w:rPr>
              <w:t>1</w:t>
            </w:r>
            <w:r w:rsidRPr="00F91CC3">
              <w:rPr>
                <w:rFonts w:ascii="Arial Narrow" w:eastAsiaTheme="majorEastAsia" w:hAnsi="Arial Narrow" w:cstheme="majorBidi"/>
                <w:bCs/>
                <w:sz w:val="20"/>
              </w:rPr>
              <w:t>, FVC, FEF25-75%, FEV</w:t>
            </w:r>
            <w:r w:rsidRPr="00F91CC3">
              <w:rPr>
                <w:rFonts w:ascii="Arial Narrow" w:eastAsiaTheme="majorEastAsia" w:hAnsi="Arial Narrow" w:cstheme="majorBidi"/>
                <w:bCs/>
                <w:sz w:val="20"/>
                <w:vertAlign w:val="subscript"/>
              </w:rPr>
              <w:t>1</w:t>
            </w:r>
            <w:r w:rsidRPr="00F91CC3">
              <w:rPr>
                <w:rFonts w:ascii="Arial Narrow" w:eastAsiaTheme="majorEastAsia" w:hAnsi="Arial Narrow" w:cstheme="majorBidi"/>
                <w:bCs/>
                <w:sz w:val="20"/>
              </w:rPr>
              <w:t>/FVC, BMI, weight, height, QoL</w:t>
            </w:r>
          </w:p>
        </w:tc>
      </w:tr>
      <w:tr w:rsidR="00034A31" w:rsidRPr="00F91CC3" w14:paraId="47ECCB8E" w14:textId="77777777" w:rsidTr="001C46BD">
        <w:trPr>
          <w:cantSplit/>
        </w:trPr>
        <w:tc>
          <w:tcPr>
            <w:tcW w:w="526" w:type="pct"/>
            <w:shd w:val="clear" w:color="auto" w:fill="auto"/>
          </w:tcPr>
          <w:p w14:paraId="60E39C46" w14:textId="77777777" w:rsidR="00034A31" w:rsidRPr="00F91CC3" w:rsidRDefault="00034A31" w:rsidP="00034A31">
            <w:pPr>
              <w:widowControl w:val="0"/>
              <w:jc w:val="left"/>
              <w:rPr>
                <w:rFonts w:ascii="Arial Narrow" w:eastAsiaTheme="majorEastAsia" w:hAnsi="Arial Narrow" w:cstheme="majorBidi"/>
                <w:bCs/>
                <w:sz w:val="20"/>
              </w:rPr>
            </w:pPr>
            <w:r w:rsidRPr="00F91CC3">
              <w:rPr>
                <w:rFonts w:ascii="Arial Narrow" w:eastAsiaTheme="majorEastAsia" w:hAnsi="Arial Narrow" w:cstheme="majorBidi"/>
                <w:bCs/>
                <w:sz w:val="20"/>
              </w:rPr>
              <w:t>Study 113</w:t>
            </w:r>
          </w:p>
        </w:tc>
        <w:tc>
          <w:tcPr>
            <w:tcW w:w="733" w:type="pct"/>
            <w:shd w:val="clear" w:color="auto" w:fill="auto"/>
          </w:tcPr>
          <w:p w14:paraId="16EF0EA9" w14:textId="77777777" w:rsidR="00034A31" w:rsidRPr="00F91CC3" w:rsidRDefault="00034A31" w:rsidP="00034A31">
            <w:pPr>
              <w:widowControl w:val="0"/>
              <w:jc w:val="center"/>
              <w:rPr>
                <w:rFonts w:ascii="Arial Narrow" w:eastAsiaTheme="majorEastAsia" w:hAnsi="Arial Narrow" w:cstheme="majorBidi"/>
                <w:bCs/>
                <w:sz w:val="20"/>
              </w:rPr>
            </w:pPr>
            <w:r w:rsidRPr="00F91CC3">
              <w:rPr>
                <w:rFonts w:ascii="Arial Narrow" w:eastAsiaTheme="majorEastAsia" w:hAnsi="Arial Narrow" w:cstheme="majorBidi"/>
                <w:bCs/>
                <w:sz w:val="20"/>
              </w:rPr>
              <w:t>24</w:t>
            </w:r>
          </w:p>
        </w:tc>
        <w:tc>
          <w:tcPr>
            <w:tcW w:w="1048" w:type="pct"/>
            <w:shd w:val="clear" w:color="auto" w:fill="auto"/>
          </w:tcPr>
          <w:p w14:paraId="6C122C14" w14:textId="77777777" w:rsidR="00034A31" w:rsidRPr="00F91CC3" w:rsidRDefault="00034A31" w:rsidP="00034A31">
            <w:pPr>
              <w:widowControl w:val="0"/>
              <w:jc w:val="center"/>
              <w:rPr>
                <w:rFonts w:ascii="Arial Narrow" w:eastAsiaTheme="majorEastAsia" w:hAnsi="Arial Narrow" w:cstheme="majorBidi"/>
                <w:bCs/>
                <w:sz w:val="20"/>
              </w:rPr>
            </w:pPr>
            <w:r w:rsidRPr="00F91CC3">
              <w:rPr>
                <w:rFonts w:ascii="Arial Narrow" w:eastAsiaTheme="majorEastAsia" w:hAnsi="Arial Narrow" w:cstheme="majorBidi"/>
                <w:bCs/>
                <w:sz w:val="20"/>
              </w:rPr>
              <w:t>R, DB</w:t>
            </w:r>
          </w:p>
        </w:tc>
        <w:tc>
          <w:tcPr>
            <w:tcW w:w="476" w:type="pct"/>
            <w:shd w:val="clear" w:color="auto" w:fill="auto"/>
          </w:tcPr>
          <w:p w14:paraId="1031EE6F" w14:textId="77777777" w:rsidR="00034A31" w:rsidRPr="00F91CC3" w:rsidRDefault="00034A31" w:rsidP="00034A31">
            <w:pPr>
              <w:widowControl w:val="0"/>
              <w:jc w:val="center"/>
              <w:rPr>
                <w:rFonts w:ascii="Arial Narrow" w:eastAsiaTheme="majorEastAsia" w:hAnsi="Arial Narrow" w:cstheme="majorBidi"/>
                <w:bCs/>
                <w:iCs/>
                <w:sz w:val="20"/>
              </w:rPr>
            </w:pPr>
            <w:r w:rsidRPr="00F91CC3">
              <w:rPr>
                <w:rFonts w:ascii="Arial Narrow" w:eastAsiaTheme="majorEastAsia" w:hAnsi="Arial Narrow" w:cstheme="majorBidi"/>
                <w:bCs/>
                <w:iCs/>
                <w:sz w:val="20"/>
              </w:rPr>
              <w:t>Low</w:t>
            </w:r>
          </w:p>
        </w:tc>
        <w:tc>
          <w:tcPr>
            <w:tcW w:w="903" w:type="pct"/>
            <w:shd w:val="clear" w:color="auto" w:fill="auto"/>
          </w:tcPr>
          <w:p w14:paraId="6694D2D7" w14:textId="77777777" w:rsidR="00034A31" w:rsidRPr="00F91CC3" w:rsidRDefault="00034A31" w:rsidP="00034A31">
            <w:pPr>
              <w:widowControl w:val="0"/>
              <w:jc w:val="center"/>
              <w:rPr>
                <w:rFonts w:ascii="Arial Narrow" w:eastAsiaTheme="majorEastAsia" w:hAnsi="Arial Narrow" w:cstheme="majorBidi"/>
                <w:bCs/>
                <w:sz w:val="20"/>
              </w:rPr>
            </w:pPr>
            <w:r w:rsidRPr="00F91CC3">
              <w:rPr>
                <w:rFonts w:ascii="Arial Narrow" w:eastAsiaTheme="majorEastAsia" w:hAnsi="Arial Narrow" w:cstheme="majorBidi"/>
                <w:bCs/>
                <w:sz w:val="20"/>
              </w:rPr>
              <w:t>Patients aged ≥ 12 years with clinical or molecular evidence of RF mutation</w:t>
            </w:r>
          </w:p>
        </w:tc>
        <w:tc>
          <w:tcPr>
            <w:tcW w:w="1314" w:type="pct"/>
            <w:shd w:val="clear" w:color="auto" w:fill="auto"/>
          </w:tcPr>
          <w:p w14:paraId="76697CFC" w14:textId="77777777" w:rsidR="00034A31" w:rsidRPr="00F91CC3" w:rsidRDefault="00034A31" w:rsidP="00034A31">
            <w:pPr>
              <w:widowControl w:val="0"/>
              <w:jc w:val="center"/>
              <w:rPr>
                <w:rFonts w:ascii="Arial Narrow" w:eastAsiaTheme="majorEastAsia" w:hAnsi="Arial Narrow" w:cstheme="majorBidi"/>
                <w:bCs/>
                <w:sz w:val="20"/>
              </w:rPr>
            </w:pPr>
            <w:r w:rsidRPr="00F91CC3">
              <w:rPr>
                <w:rFonts w:ascii="Arial Narrow" w:eastAsiaTheme="majorEastAsia" w:hAnsi="Arial Narrow" w:cstheme="majorBidi"/>
                <w:bCs/>
                <w:sz w:val="20"/>
              </w:rPr>
              <w:t>ppFEV</w:t>
            </w:r>
            <w:r w:rsidRPr="00F91CC3">
              <w:rPr>
                <w:rFonts w:ascii="Arial Narrow" w:eastAsiaTheme="majorEastAsia" w:hAnsi="Arial Narrow" w:cstheme="majorBidi"/>
                <w:bCs/>
                <w:sz w:val="20"/>
                <w:vertAlign w:val="subscript"/>
              </w:rPr>
              <w:t>1</w:t>
            </w:r>
            <w:r w:rsidRPr="00F91CC3">
              <w:rPr>
                <w:rFonts w:ascii="Arial Narrow" w:eastAsiaTheme="majorEastAsia" w:hAnsi="Arial Narrow" w:cstheme="majorBidi"/>
                <w:bCs/>
                <w:sz w:val="20"/>
              </w:rPr>
              <w:t>, LCI</w:t>
            </w:r>
            <w:r w:rsidRPr="00F91CC3">
              <w:rPr>
                <w:rFonts w:ascii="Arial Narrow" w:eastAsiaTheme="majorEastAsia" w:hAnsi="Arial Narrow" w:cstheme="majorBidi"/>
                <w:bCs/>
                <w:sz w:val="20"/>
                <w:vertAlign w:val="subscript"/>
              </w:rPr>
              <w:t>2.5</w:t>
            </w:r>
            <w:r w:rsidRPr="00F91CC3">
              <w:rPr>
                <w:rFonts w:ascii="Arial Narrow" w:eastAsiaTheme="majorEastAsia" w:hAnsi="Arial Narrow" w:cstheme="majorBidi"/>
                <w:bCs/>
                <w:sz w:val="20"/>
              </w:rPr>
              <w:t>, SwCl, safety, BMI</w:t>
            </w:r>
          </w:p>
        </w:tc>
      </w:tr>
      <w:tr w:rsidR="00A66F4A" w:rsidRPr="00F91CC3" w14:paraId="2C790A3B" w14:textId="77777777" w:rsidTr="001C46BD">
        <w:trPr>
          <w:cantSplit/>
        </w:trPr>
        <w:tc>
          <w:tcPr>
            <w:tcW w:w="526" w:type="pct"/>
            <w:shd w:val="clear" w:color="auto" w:fill="auto"/>
          </w:tcPr>
          <w:p w14:paraId="16775D3C" w14:textId="44B64832" w:rsidR="00A66F4A" w:rsidRPr="00F91CC3" w:rsidRDefault="00A66F4A" w:rsidP="00A66F4A">
            <w:pPr>
              <w:widowControl w:val="0"/>
              <w:jc w:val="left"/>
              <w:rPr>
                <w:rFonts w:ascii="Arial Narrow" w:eastAsiaTheme="majorEastAsia" w:hAnsi="Arial Narrow" w:cstheme="majorBidi"/>
                <w:bCs/>
                <w:sz w:val="20"/>
              </w:rPr>
            </w:pPr>
            <w:r w:rsidRPr="00F91CC3">
              <w:rPr>
                <w:rFonts w:ascii="Arial Narrow" w:eastAsiaTheme="majorEastAsia" w:hAnsi="Arial Narrow" w:cstheme="majorBidi"/>
                <w:bCs/>
                <w:sz w:val="20"/>
              </w:rPr>
              <w:t>Study 127</w:t>
            </w:r>
          </w:p>
        </w:tc>
        <w:tc>
          <w:tcPr>
            <w:tcW w:w="733" w:type="pct"/>
            <w:shd w:val="clear" w:color="auto" w:fill="auto"/>
          </w:tcPr>
          <w:p w14:paraId="7C407387" w14:textId="1FFC7A50" w:rsidR="00A66F4A" w:rsidRPr="00F91CC3" w:rsidRDefault="00A66F4A" w:rsidP="00A66F4A">
            <w:pPr>
              <w:widowControl w:val="0"/>
              <w:jc w:val="center"/>
              <w:rPr>
                <w:rFonts w:ascii="Arial Narrow" w:eastAsiaTheme="majorEastAsia" w:hAnsi="Arial Narrow" w:cstheme="majorBidi"/>
                <w:bCs/>
                <w:sz w:val="20"/>
              </w:rPr>
            </w:pPr>
            <w:r w:rsidRPr="00F91CC3">
              <w:rPr>
                <w:rFonts w:ascii="Arial Narrow" w:eastAsiaTheme="majorEastAsia" w:hAnsi="Arial Narrow" w:cstheme="majorBidi"/>
                <w:bCs/>
                <w:sz w:val="20"/>
              </w:rPr>
              <w:t>38</w:t>
            </w:r>
          </w:p>
        </w:tc>
        <w:tc>
          <w:tcPr>
            <w:tcW w:w="1048" w:type="pct"/>
            <w:shd w:val="clear" w:color="auto" w:fill="auto"/>
          </w:tcPr>
          <w:p w14:paraId="4F9CECBD" w14:textId="33ED01DD" w:rsidR="00A66F4A" w:rsidRPr="00F91CC3" w:rsidRDefault="00A66F4A" w:rsidP="00A66F4A">
            <w:pPr>
              <w:widowControl w:val="0"/>
              <w:jc w:val="center"/>
              <w:rPr>
                <w:rFonts w:ascii="Arial Narrow" w:eastAsiaTheme="majorEastAsia" w:hAnsi="Arial Narrow" w:cstheme="majorBidi"/>
                <w:bCs/>
                <w:sz w:val="20"/>
              </w:rPr>
            </w:pPr>
            <w:r w:rsidRPr="00F91CC3">
              <w:rPr>
                <w:rFonts w:ascii="Arial Narrow" w:eastAsiaTheme="majorEastAsia" w:hAnsi="Arial Narrow" w:cstheme="majorBidi"/>
                <w:bCs/>
                <w:sz w:val="20"/>
              </w:rPr>
              <w:t>R, DB, SC</w:t>
            </w:r>
          </w:p>
        </w:tc>
        <w:tc>
          <w:tcPr>
            <w:tcW w:w="476" w:type="pct"/>
            <w:shd w:val="clear" w:color="auto" w:fill="auto"/>
          </w:tcPr>
          <w:p w14:paraId="523301AD" w14:textId="266D5AF8" w:rsidR="00A66F4A" w:rsidRPr="00F91CC3" w:rsidRDefault="00A66F4A" w:rsidP="00A66F4A">
            <w:pPr>
              <w:widowControl w:val="0"/>
              <w:jc w:val="center"/>
              <w:rPr>
                <w:rFonts w:ascii="Arial Narrow" w:eastAsiaTheme="majorEastAsia" w:hAnsi="Arial Narrow" w:cstheme="majorBidi"/>
                <w:bCs/>
                <w:iCs/>
                <w:sz w:val="20"/>
              </w:rPr>
            </w:pPr>
            <w:r w:rsidRPr="00F91CC3">
              <w:rPr>
                <w:rFonts w:ascii="Arial Narrow" w:eastAsiaTheme="majorEastAsia" w:hAnsi="Arial Narrow" w:cstheme="majorBidi"/>
                <w:bCs/>
                <w:iCs/>
                <w:sz w:val="20"/>
              </w:rPr>
              <w:t>Low</w:t>
            </w:r>
          </w:p>
        </w:tc>
        <w:tc>
          <w:tcPr>
            <w:tcW w:w="903" w:type="pct"/>
            <w:shd w:val="clear" w:color="auto" w:fill="auto"/>
          </w:tcPr>
          <w:p w14:paraId="09D41CB9" w14:textId="4C47B436" w:rsidR="00A66F4A" w:rsidRPr="00F91CC3" w:rsidRDefault="00A66F4A" w:rsidP="00A66F4A">
            <w:pPr>
              <w:widowControl w:val="0"/>
              <w:jc w:val="center"/>
              <w:rPr>
                <w:rFonts w:ascii="Arial Narrow" w:eastAsiaTheme="majorEastAsia" w:hAnsi="Arial Narrow" w:cstheme="majorBidi"/>
                <w:bCs/>
                <w:sz w:val="20"/>
              </w:rPr>
            </w:pPr>
            <w:r w:rsidRPr="00F91CC3">
              <w:rPr>
                <w:rFonts w:ascii="Arial Narrow" w:eastAsiaTheme="majorEastAsia" w:hAnsi="Arial Narrow" w:cstheme="majorBidi"/>
                <w:bCs/>
                <w:sz w:val="20"/>
              </w:rPr>
              <w:t>3849 + 10KB C</w:t>
            </w:r>
            <w:r w:rsidRPr="00F91CC3">
              <w:rPr>
                <w:rFonts w:ascii="Arial Narrow" w:eastAsiaTheme="majorEastAsia" w:hAnsi="Arial Narrow" w:cstheme="majorBidi"/>
                <w:bCs/>
                <w:sz w:val="20"/>
              </w:rPr>
              <w:sym w:font="Wingdings" w:char="F0E0"/>
            </w:r>
            <w:r w:rsidRPr="00F91CC3">
              <w:rPr>
                <w:rFonts w:ascii="Arial Narrow" w:eastAsiaTheme="majorEastAsia" w:hAnsi="Arial Narrow" w:cstheme="majorBidi"/>
                <w:bCs/>
                <w:sz w:val="20"/>
              </w:rPr>
              <w:t xml:space="preserve"> T or D1152H mutation aged ≥ 6 years</w:t>
            </w:r>
          </w:p>
        </w:tc>
        <w:tc>
          <w:tcPr>
            <w:tcW w:w="1314" w:type="pct"/>
            <w:shd w:val="clear" w:color="auto" w:fill="auto"/>
          </w:tcPr>
          <w:p w14:paraId="295E94A3" w14:textId="75D94678" w:rsidR="00A66F4A" w:rsidRPr="00F91CC3" w:rsidRDefault="00A66F4A" w:rsidP="00A66F4A">
            <w:pPr>
              <w:widowControl w:val="0"/>
              <w:jc w:val="center"/>
              <w:rPr>
                <w:rFonts w:ascii="Arial Narrow" w:eastAsiaTheme="majorEastAsia" w:hAnsi="Arial Narrow" w:cstheme="majorBidi"/>
                <w:bCs/>
                <w:sz w:val="20"/>
              </w:rPr>
            </w:pPr>
            <w:r w:rsidRPr="00F91CC3">
              <w:rPr>
                <w:rFonts w:ascii="Arial Narrow" w:eastAsiaTheme="majorEastAsia" w:hAnsi="Arial Narrow" w:cstheme="majorBidi"/>
                <w:bCs/>
                <w:sz w:val="20"/>
              </w:rPr>
              <w:t>LCI</w:t>
            </w:r>
            <w:r w:rsidRPr="00F91CC3">
              <w:rPr>
                <w:rFonts w:ascii="Arial Narrow" w:eastAsiaTheme="majorEastAsia" w:hAnsi="Arial Narrow" w:cstheme="majorBidi"/>
                <w:bCs/>
                <w:sz w:val="20"/>
                <w:vertAlign w:val="subscript"/>
              </w:rPr>
              <w:t>2.5</w:t>
            </w:r>
            <w:r w:rsidRPr="00F91CC3">
              <w:rPr>
                <w:rFonts w:ascii="Arial Narrow" w:eastAsiaTheme="majorEastAsia" w:hAnsi="Arial Narrow" w:cstheme="majorBidi"/>
                <w:bCs/>
                <w:sz w:val="20"/>
              </w:rPr>
              <w:t>, SwCl, ppFEV</w:t>
            </w:r>
            <w:r w:rsidRPr="00F91CC3">
              <w:rPr>
                <w:rFonts w:ascii="Arial Narrow" w:eastAsiaTheme="majorEastAsia" w:hAnsi="Arial Narrow" w:cstheme="majorBidi"/>
                <w:bCs/>
                <w:sz w:val="20"/>
                <w:vertAlign w:val="subscript"/>
              </w:rPr>
              <w:t>1</w:t>
            </w:r>
            <w:r w:rsidRPr="00F91CC3">
              <w:rPr>
                <w:rFonts w:ascii="Arial Narrow" w:eastAsiaTheme="majorEastAsia" w:hAnsi="Arial Narrow" w:cstheme="majorBidi"/>
                <w:bCs/>
                <w:sz w:val="20"/>
              </w:rPr>
              <w:t>, CFQ-R respiratory domain</w:t>
            </w:r>
          </w:p>
        </w:tc>
      </w:tr>
      <w:tr w:rsidR="00A66F4A" w:rsidRPr="00F91CC3" w14:paraId="6991C579" w14:textId="77777777" w:rsidTr="001C46BD">
        <w:trPr>
          <w:cantSplit/>
        </w:trPr>
        <w:tc>
          <w:tcPr>
            <w:tcW w:w="526" w:type="pct"/>
            <w:shd w:val="clear" w:color="auto" w:fill="auto"/>
          </w:tcPr>
          <w:p w14:paraId="5BF1E726" w14:textId="2648A5AC" w:rsidR="00A66F4A" w:rsidRPr="00F91CC3" w:rsidRDefault="00A66F4A" w:rsidP="00A66F4A">
            <w:pPr>
              <w:widowControl w:val="0"/>
              <w:jc w:val="left"/>
              <w:rPr>
                <w:rFonts w:ascii="Arial Narrow" w:eastAsiaTheme="majorEastAsia" w:hAnsi="Arial Narrow" w:cstheme="majorBidi"/>
                <w:bCs/>
                <w:sz w:val="20"/>
              </w:rPr>
            </w:pPr>
            <w:r w:rsidRPr="00F91CC3">
              <w:rPr>
                <w:rFonts w:ascii="Arial Narrow" w:eastAsiaTheme="majorEastAsia" w:hAnsi="Arial Narrow" w:cstheme="majorBidi"/>
                <w:bCs/>
                <w:sz w:val="20"/>
              </w:rPr>
              <w:t>Study 128</w:t>
            </w:r>
          </w:p>
        </w:tc>
        <w:tc>
          <w:tcPr>
            <w:tcW w:w="733" w:type="pct"/>
            <w:shd w:val="clear" w:color="auto" w:fill="auto"/>
          </w:tcPr>
          <w:p w14:paraId="6A3D8E18" w14:textId="4C086F01" w:rsidR="00A66F4A" w:rsidRPr="00F91CC3" w:rsidRDefault="00A66F4A" w:rsidP="00A66F4A">
            <w:pPr>
              <w:widowControl w:val="0"/>
              <w:jc w:val="center"/>
              <w:rPr>
                <w:rFonts w:ascii="Arial Narrow" w:eastAsiaTheme="majorEastAsia" w:hAnsi="Arial Narrow" w:cstheme="majorBidi"/>
                <w:bCs/>
                <w:sz w:val="20"/>
              </w:rPr>
            </w:pPr>
            <w:r w:rsidRPr="00F91CC3">
              <w:rPr>
                <w:rFonts w:ascii="Arial Narrow" w:eastAsiaTheme="majorEastAsia" w:hAnsi="Arial Narrow" w:cstheme="majorBidi"/>
                <w:bCs/>
                <w:sz w:val="20"/>
              </w:rPr>
              <w:t>349</w:t>
            </w:r>
          </w:p>
        </w:tc>
        <w:tc>
          <w:tcPr>
            <w:tcW w:w="1048" w:type="pct"/>
            <w:shd w:val="clear" w:color="auto" w:fill="auto"/>
          </w:tcPr>
          <w:p w14:paraId="56812122" w14:textId="7A976A0D" w:rsidR="00A66F4A" w:rsidRPr="00F91CC3" w:rsidRDefault="00A66F4A" w:rsidP="00A66F4A">
            <w:pPr>
              <w:widowControl w:val="0"/>
              <w:jc w:val="center"/>
              <w:rPr>
                <w:rFonts w:ascii="Arial Narrow" w:eastAsiaTheme="majorEastAsia" w:hAnsi="Arial Narrow" w:cstheme="majorBidi"/>
                <w:bCs/>
                <w:sz w:val="20"/>
              </w:rPr>
            </w:pPr>
            <w:r w:rsidRPr="00F91CC3">
              <w:rPr>
                <w:rFonts w:ascii="Arial Narrow" w:eastAsiaTheme="majorEastAsia" w:hAnsi="Arial Narrow" w:cstheme="majorBidi"/>
                <w:bCs/>
                <w:sz w:val="20"/>
              </w:rPr>
              <w:t>3 years before and after ivacaftor treatment initiation</w:t>
            </w:r>
          </w:p>
        </w:tc>
        <w:tc>
          <w:tcPr>
            <w:tcW w:w="476" w:type="pct"/>
            <w:shd w:val="clear" w:color="auto" w:fill="auto"/>
          </w:tcPr>
          <w:p w14:paraId="32E0FD34" w14:textId="1DCC7C1F" w:rsidR="00A66F4A" w:rsidRPr="00F91CC3" w:rsidRDefault="00A66F4A" w:rsidP="00A66F4A">
            <w:pPr>
              <w:widowControl w:val="0"/>
              <w:jc w:val="center"/>
              <w:rPr>
                <w:rFonts w:ascii="Arial Narrow" w:eastAsiaTheme="majorEastAsia" w:hAnsi="Arial Narrow" w:cstheme="majorBidi"/>
                <w:bCs/>
                <w:iCs/>
                <w:sz w:val="20"/>
              </w:rPr>
            </w:pPr>
            <w:r w:rsidRPr="00F91CC3">
              <w:rPr>
                <w:rFonts w:ascii="Arial Narrow" w:eastAsiaTheme="majorEastAsia" w:hAnsi="Arial Narrow" w:cstheme="majorBidi"/>
                <w:bCs/>
                <w:iCs/>
                <w:sz w:val="20"/>
              </w:rPr>
              <w:t>NA</w:t>
            </w:r>
          </w:p>
        </w:tc>
        <w:tc>
          <w:tcPr>
            <w:tcW w:w="903" w:type="pct"/>
            <w:shd w:val="clear" w:color="auto" w:fill="auto"/>
          </w:tcPr>
          <w:p w14:paraId="7C5E8449" w14:textId="48C26D6E" w:rsidR="00A66F4A" w:rsidRPr="00F91CC3" w:rsidRDefault="00A66F4A" w:rsidP="00A66F4A">
            <w:pPr>
              <w:widowControl w:val="0"/>
              <w:jc w:val="center"/>
              <w:rPr>
                <w:rFonts w:ascii="Arial Narrow" w:eastAsiaTheme="majorEastAsia" w:hAnsi="Arial Narrow" w:cstheme="majorBidi"/>
                <w:bCs/>
                <w:sz w:val="20"/>
              </w:rPr>
            </w:pPr>
            <w:r w:rsidRPr="00F91CC3">
              <w:rPr>
                <w:rFonts w:ascii="Arial Narrow" w:eastAsiaTheme="majorEastAsia" w:hAnsi="Arial Narrow" w:cstheme="majorBidi"/>
                <w:bCs/>
                <w:sz w:val="20"/>
              </w:rPr>
              <w:t>IVA responsive residual function aged ≥ 2 years</w:t>
            </w:r>
          </w:p>
        </w:tc>
        <w:tc>
          <w:tcPr>
            <w:tcW w:w="1314" w:type="pct"/>
            <w:shd w:val="clear" w:color="auto" w:fill="auto"/>
          </w:tcPr>
          <w:p w14:paraId="5105E0E6" w14:textId="65ECE954" w:rsidR="00A66F4A" w:rsidRPr="00F91CC3" w:rsidRDefault="00A66F4A" w:rsidP="00A66F4A">
            <w:pPr>
              <w:widowControl w:val="0"/>
              <w:jc w:val="center"/>
              <w:rPr>
                <w:rFonts w:ascii="Arial Narrow" w:eastAsiaTheme="majorEastAsia" w:hAnsi="Arial Narrow" w:cstheme="majorBidi"/>
                <w:bCs/>
                <w:sz w:val="20"/>
              </w:rPr>
            </w:pPr>
            <w:r w:rsidRPr="00F91CC3">
              <w:rPr>
                <w:rFonts w:ascii="Arial Narrow" w:eastAsiaTheme="majorEastAsia" w:hAnsi="Arial Narrow" w:cstheme="majorBidi"/>
                <w:bCs/>
                <w:sz w:val="20"/>
              </w:rPr>
              <w:t>ppFEV</w:t>
            </w:r>
            <w:r w:rsidRPr="00F91CC3">
              <w:rPr>
                <w:rFonts w:ascii="Arial Narrow" w:eastAsiaTheme="majorEastAsia" w:hAnsi="Arial Narrow" w:cstheme="majorBidi"/>
                <w:bCs/>
                <w:sz w:val="20"/>
                <w:vertAlign w:val="subscript"/>
              </w:rPr>
              <w:t>1</w:t>
            </w:r>
            <w:r w:rsidRPr="00F91CC3">
              <w:rPr>
                <w:rFonts w:ascii="Arial Narrow" w:eastAsiaTheme="majorEastAsia" w:hAnsi="Arial Narrow" w:cstheme="majorBidi"/>
                <w:bCs/>
                <w:sz w:val="20"/>
              </w:rPr>
              <w:t>, PEx, hospitalisations; BMI, weight, CF related complications, pulmonary microorganisms</w:t>
            </w:r>
          </w:p>
        </w:tc>
      </w:tr>
      <w:tr w:rsidR="00A66F4A" w:rsidRPr="00F91CC3" w14:paraId="2E511575" w14:textId="77777777" w:rsidTr="002A2AB2">
        <w:trPr>
          <w:cantSplit/>
        </w:trPr>
        <w:tc>
          <w:tcPr>
            <w:tcW w:w="5000" w:type="pct"/>
            <w:gridSpan w:val="6"/>
            <w:shd w:val="clear" w:color="auto" w:fill="auto"/>
          </w:tcPr>
          <w:p w14:paraId="09FC4789" w14:textId="28E9AB79" w:rsidR="00A66F4A" w:rsidRPr="00F91CC3" w:rsidRDefault="00A66F4A" w:rsidP="00A66F4A">
            <w:pPr>
              <w:widowControl w:val="0"/>
              <w:jc w:val="left"/>
              <w:rPr>
                <w:rFonts w:ascii="Arial Narrow" w:eastAsiaTheme="majorEastAsia" w:hAnsi="Arial Narrow" w:cstheme="majorBidi"/>
                <w:b/>
                <w:bCs/>
                <w:sz w:val="20"/>
              </w:rPr>
            </w:pPr>
            <w:r w:rsidRPr="00F91CC3">
              <w:rPr>
                <w:rFonts w:ascii="Arial Narrow" w:eastAsiaTheme="majorEastAsia" w:hAnsi="Arial Narrow" w:cstheme="majorBidi"/>
                <w:b/>
                <w:bCs/>
                <w:sz w:val="20"/>
              </w:rPr>
              <w:t xml:space="preserve">IVA-responsive </w:t>
            </w:r>
            <w:r w:rsidR="002B3C95" w:rsidRPr="00F91CC3">
              <w:rPr>
                <w:rFonts w:ascii="Arial Narrow" w:eastAsiaTheme="majorEastAsia" w:hAnsi="Arial Narrow" w:cstheme="majorBidi"/>
                <w:b/>
                <w:bCs/>
                <w:sz w:val="20"/>
              </w:rPr>
              <w:t xml:space="preserve">rare </w:t>
            </w:r>
            <w:r w:rsidR="00757CE7" w:rsidRPr="00F91CC3">
              <w:rPr>
                <w:rFonts w:ascii="Arial Narrow" w:eastAsiaTheme="majorEastAsia" w:hAnsi="Arial Narrow" w:cstheme="majorBidi"/>
                <w:b/>
                <w:bCs/>
                <w:sz w:val="20"/>
              </w:rPr>
              <w:t>mutation</w:t>
            </w:r>
            <w:r w:rsidR="002B3C95" w:rsidRPr="00F91CC3">
              <w:rPr>
                <w:rFonts w:ascii="Arial Narrow" w:eastAsiaTheme="majorEastAsia" w:hAnsi="Arial Narrow" w:cstheme="majorBidi"/>
                <w:b/>
                <w:bCs/>
                <w:sz w:val="20"/>
              </w:rPr>
              <w:t>s</w:t>
            </w:r>
            <w:r w:rsidR="00757CE7" w:rsidRPr="00F91CC3">
              <w:rPr>
                <w:rFonts w:ascii="Arial Narrow" w:eastAsiaTheme="majorEastAsia" w:hAnsi="Arial Narrow" w:cstheme="majorBidi"/>
                <w:b/>
                <w:bCs/>
                <w:sz w:val="20"/>
              </w:rPr>
              <w:t xml:space="preserve"> </w:t>
            </w:r>
            <w:r w:rsidRPr="00F91CC3">
              <w:rPr>
                <w:rFonts w:ascii="Arial Narrow" w:eastAsiaTheme="majorEastAsia" w:hAnsi="Arial Narrow" w:cstheme="majorBidi"/>
                <w:b/>
                <w:bCs/>
                <w:sz w:val="20"/>
              </w:rPr>
              <w:t>population (non-clinical studies)</w:t>
            </w:r>
          </w:p>
        </w:tc>
      </w:tr>
      <w:tr w:rsidR="00A66F4A" w:rsidRPr="00F91CC3" w14:paraId="637140F6" w14:textId="77777777" w:rsidTr="001C46BD">
        <w:trPr>
          <w:cantSplit/>
        </w:trPr>
        <w:tc>
          <w:tcPr>
            <w:tcW w:w="526" w:type="pct"/>
            <w:shd w:val="clear" w:color="auto" w:fill="auto"/>
          </w:tcPr>
          <w:p w14:paraId="77B0F64D" w14:textId="77777777" w:rsidR="00A66F4A" w:rsidRPr="00F91CC3" w:rsidRDefault="00A66F4A" w:rsidP="00A66F4A">
            <w:pPr>
              <w:widowControl w:val="0"/>
              <w:jc w:val="left"/>
              <w:rPr>
                <w:rFonts w:ascii="Arial Narrow" w:eastAsiaTheme="majorEastAsia" w:hAnsi="Arial Narrow" w:cstheme="majorBidi"/>
                <w:bCs/>
                <w:sz w:val="20"/>
              </w:rPr>
            </w:pPr>
            <w:r w:rsidRPr="00F91CC3">
              <w:rPr>
                <w:rFonts w:ascii="Arial Narrow" w:eastAsiaTheme="majorEastAsia" w:hAnsi="Arial Narrow" w:cstheme="majorBidi"/>
                <w:bCs/>
                <w:sz w:val="20"/>
              </w:rPr>
              <w:t>Yu et al.</w:t>
            </w:r>
          </w:p>
        </w:tc>
        <w:tc>
          <w:tcPr>
            <w:tcW w:w="733" w:type="pct"/>
            <w:shd w:val="clear" w:color="auto" w:fill="auto"/>
          </w:tcPr>
          <w:p w14:paraId="5AE5EF24" w14:textId="77777777" w:rsidR="00A66F4A" w:rsidRPr="00F91CC3" w:rsidRDefault="00A66F4A" w:rsidP="00A66F4A">
            <w:pPr>
              <w:widowControl w:val="0"/>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NA</w:t>
            </w:r>
          </w:p>
        </w:tc>
        <w:tc>
          <w:tcPr>
            <w:tcW w:w="1048" w:type="pct"/>
            <w:shd w:val="clear" w:color="auto" w:fill="auto"/>
          </w:tcPr>
          <w:p w14:paraId="42142BFE" w14:textId="77777777" w:rsidR="00A66F4A" w:rsidRPr="00F91CC3" w:rsidRDefault="00A66F4A" w:rsidP="00A66F4A">
            <w:pPr>
              <w:widowControl w:val="0"/>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Non-clinical study</w:t>
            </w:r>
          </w:p>
        </w:tc>
        <w:tc>
          <w:tcPr>
            <w:tcW w:w="476" w:type="pct"/>
            <w:shd w:val="clear" w:color="auto" w:fill="auto"/>
          </w:tcPr>
          <w:p w14:paraId="1AE8890A" w14:textId="77777777" w:rsidR="00A66F4A" w:rsidRPr="00F91CC3" w:rsidRDefault="00A66F4A" w:rsidP="00A66F4A">
            <w:pPr>
              <w:widowControl w:val="0"/>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NA</w:t>
            </w:r>
          </w:p>
        </w:tc>
        <w:tc>
          <w:tcPr>
            <w:tcW w:w="903" w:type="pct"/>
            <w:shd w:val="clear" w:color="auto" w:fill="auto"/>
          </w:tcPr>
          <w:p w14:paraId="65DE0F56" w14:textId="77777777" w:rsidR="00A66F4A" w:rsidRPr="00F91CC3" w:rsidRDefault="00A66F4A" w:rsidP="00A66F4A">
            <w:pPr>
              <w:widowControl w:val="0"/>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NA</w:t>
            </w:r>
          </w:p>
        </w:tc>
        <w:tc>
          <w:tcPr>
            <w:tcW w:w="1314" w:type="pct"/>
            <w:shd w:val="clear" w:color="auto" w:fill="auto"/>
          </w:tcPr>
          <w:p w14:paraId="12FF33C1" w14:textId="77777777" w:rsidR="00A66F4A" w:rsidRPr="00F91CC3" w:rsidRDefault="00A66F4A" w:rsidP="00A66F4A">
            <w:pPr>
              <w:widowControl w:val="0"/>
              <w:jc w:val="center"/>
              <w:rPr>
                <w:rFonts w:ascii="Arial Narrow" w:eastAsiaTheme="majorEastAsia" w:hAnsi="Arial Narrow" w:cstheme="majorBidi"/>
                <w:bCs/>
                <w:sz w:val="20"/>
              </w:rPr>
            </w:pPr>
            <w:r w:rsidRPr="00F91CC3">
              <w:rPr>
                <w:rFonts w:ascii="Arial Narrow" w:eastAsiaTheme="majorEastAsia" w:hAnsi="Arial Narrow" w:cstheme="majorBidi"/>
                <w:bCs/>
                <w:sz w:val="20"/>
              </w:rPr>
              <w:t>In vitro pharmacological response to ivacaftor</w:t>
            </w:r>
          </w:p>
        </w:tc>
      </w:tr>
      <w:tr w:rsidR="00A66F4A" w:rsidRPr="00F91CC3" w14:paraId="1D2EB5BA" w14:textId="77777777" w:rsidTr="001C46BD">
        <w:trPr>
          <w:cantSplit/>
        </w:trPr>
        <w:tc>
          <w:tcPr>
            <w:tcW w:w="526" w:type="pct"/>
            <w:shd w:val="clear" w:color="auto" w:fill="auto"/>
          </w:tcPr>
          <w:p w14:paraId="0AD61302" w14:textId="77777777" w:rsidR="00A66F4A" w:rsidRPr="00F91CC3" w:rsidRDefault="00A66F4A" w:rsidP="00A66F4A">
            <w:pPr>
              <w:widowControl w:val="0"/>
              <w:jc w:val="left"/>
              <w:rPr>
                <w:rFonts w:ascii="Arial Narrow" w:eastAsiaTheme="majorEastAsia" w:hAnsi="Arial Narrow" w:cstheme="majorBidi"/>
                <w:bCs/>
                <w:sz w:val="20"/>
              </w:rPr>
            </w:pPr>
            <w:r w:rsidRPr="00F91CC3">
              <w:rPr>
                <w:rFonts w:ascii="Arial Narrow" w:eastAsiaTheme="majorEastAsia" w:hAnsi="Arial Narrow" w:cstheme="majorBidi"/>
                <w:bCs/>
                <w:sz w:val="20"/>
              </w:rPr>
              <w:t>Van Goor et al.</w:t>
            </w:r>
          </w:p>
        </w:tc>
        <w:tc>
          <w:tcPr>
            <w:tcW w:w="733" w:type="pct"/>
            <w:shd w:val="clear" w:color="auto" w:fill="auto"/>
          </w:tcPr>
          <w:p w14:paraId="51A3EDF2" w14:textId="77777777" w:rsidR="00A66F4A" w:rsidRPr="00F91CC3" w:rsidRDefault="00A66F4A" w:rsidP="00A66F4A">
            <w:pPr>
              <w:widowControl w:val="0"/>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NA</w:t>
            </w:r>
          </w:p>
        </w:tc>
        <w:tc>
          <w:tcPr>
            <w:tcW w:w="1048" w:type="pct"/>
            <w:shd w:val="clear" w:color="auto" w:fill="auto"/>
          </w:tcPr>
          <w:p w14:paraId="18EC3BED" w14:textId="77777777" w:rsidR="00A66F4A" w:rsidRPr="00F91CC3" w:rsidRDefault="00A66F4A" w:rsidP="00A66F4A">
            <w:pPr>
              <w:widowControl w:val="0"/>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Non-clinical study</w:t>
            </w:r>
          </w:p>
        </w:tc>
        <w:tc>
          <w:tcPr>
            <w:tcW w:w="476" w:type="pct"/>
            <w:shd w:val="clear" w:color="auto" w:fill="auto"/>
          </w:tcPr>
          <w:p w14:paraId="39C3B2DD" w14:textId="77777777" w:rsidR="00A66F4A" w:rsidRPr="00F91CC3" w:rsidRDefault="00A66F4A" w:rsidP="00A66F4A">
            <w:pPr>
              <w:widowControl w:val="0"/>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NA</w:t>
            </w:r>
          </w:p>
        </w:tc>
        <w:tc>
          <w:tcPr>
            <w:tcW w:w="903" w:type="pct"/>
            <w:shd w:val="clear" w:color="auto" w:fill="auto"/>
          </w:tcPr>
          <w:p w14:paraId="23B191DE" w14:textId="77777777" w:rsidR="00A66F4A" w:rsidRPr="00F91CC3" w:rsidRDefault="00A66F4A" w:rsidP="00A66F4A">
            <w:pPr>
              <w:widowControl w:val="0"/>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NA</w:t>
            </w:r>
          </w:p>
        </w:tc>
        <w:tc>
          <w:tcPr>
            <w:tcW w:w="1314" w:type="pct"/>
            <w:shd w:val="clear" w:color="auto" w:fill="auto"/>
          </w:tcPr>
          <w:p w14:paraId="6E35B35C" w14:textId="77777777" w:rsidR="00A66F4A" w:rsidRPr="00F91CC3" w:rsidRDefault="00A66F4A" w:rsidP="00A66F4A">
            <w:pPr>
              <w:widowControl w:val="0"/>
              <w:jc w:val="center"/>
              <w:rPr>
                <w:rFonts w:ascii="Arial Narrow" w:eastAsiaTheme="majorEastAsia" w:hAnsi="Arial Narrow" w:cstheme="majorBidi"/>
                <w:bCs/>
                <w:sz w:val="20"/>
              </w:rPr>
            </w:pPr>
            <w:r w:rsidRPr="00F91CC3">
              <w:rPr>
                <w:rFonts w:ascii="Arial Narrow" w:eastAsiaTheme="majorEastAsia" w:hAnsi="Arial Narrow" w:cstheme="majorBidi"/>
                <w:bCs/>
                <w:sz w:val="20"/>
              </w:rPr>
              <w:t>In vitro pharmacological response to ivacaftor</w:t>
            </w:r>
          </w:p>
        </w:tc>
      </w:tr>
      <w:tr w:rsidR="00A66F4A" w:rsidRPr="00F91CC3" w14:paraId="61797B56" w14:textId="77777777" w:rsidTr="001C46BD">
        <w:trPr>
          <w:cantSplit/>
          <w:trHeight w:val="694"/>
        </w:trPr>
        <w:tc>
          <w:tcPr>
            <w:tcW w:w="526" w:type="pct"/>
            <w:shd w:val="clear" w:color="auto" w:fill="auto"/>
          </w:tcPr>
          <w:p w14:paraId="23FE6A3A" w14:textId="77777777" w:rsidR="00A66F4A" w:rsidRPr="00F91CC3" w:rsidRDefault="00A66F4A" w:rsidP="00A66F4A">
            <w:pPr>
              <w:widowControl w:val="0"/>
              <w:jc w:val="left"/>
              <w:rPr>
                <w:rFonts w:ascii="Arial Narrow" w:eastAsiaTheme="majorEastAsia" w:hAnsi="Arial Narrow" w:cstheme="majorBidi"/>
                <w:bCs/>
                <w:sz w:val="20"/>
              </w:rPr>
            </w:pPr>
            <w:r w:rsidRPr="00F91CC3">
              <w:rPr>
                <w:rFonts w:ascii="Arial Narrow" w:eastAsiaTheme="majorEastAsia" w:hAnsi="Arial Narrow" w:cstheme="majorBidi"/>
                <w:bCs/>
                <w:sz w:val="20"/>
              </w:rPr>
              <w:t>P289</w:t>
            </w:r>
          </w:p>
        </w:tc>
        <w:tc>
          <w:tcPr>
            <w:tcW w:w="733" w:type="pct"/>
            <w:shd w:val="clear" w:color="auto" w:fill="auto"/>
          </w:tcPr>
          <w:p w14:paraId="723DFBBF" w14:textId="77777777" w:rsidR="00A66F4A" w:rsidRPr="00F91CC3" w:rsidRDefault="00A66F4A" w:rsidP="00A66F4A">
            <w:pPr>
              <w:widowControl w:val="0"/>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NA</w:t>
            </w:r>
          </w:p>
        </w:tc>
        <w:tc>
          <w:tcPr>
            <w:tcW w:w="1048" w:type="pct"/>
            <w:shd w:val="clear" w:color="auto" w:fill="auto"/>
          </w:tcPr>
          <w:p w14:paraId="4EEFD5EE" w14:textId="77777777" w:rsidR="00A66F4A" w:rsidRPr="00F91CC3" w:rsidRDefault="00A66F4A" w:rsidP="00A66F4A">
            <w:pPr>
              <w:widowControl w:val="0"/>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Non-clinical study</w:t>
            </w:r>
          </w:p>
        </w:tc>
        <w:tc>
          <w:tcPr>
            <w:tcW w:w="476" w:type="pct"/>
            <w:shd w:val="clear" w:color="auto" w:fill="auto"/>
          </w:tcPr>
          <w:p w14:paraId="61EEFBED" w14:textId="77777777" w:rsidR="00A66F4A" w:rsidRPr="00F91CC3" w:rsidRDefault="00A66F4A" w:rsidP="00A66F4A">
            <w:pPr>
              <w:widowControl w:val="0"/>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NA</w:t>
            </w:r>
          </w:p>
        </w:tc>
        <w:tc>
          <w:tcPr>
            <w:tcW w:w="903" w:type="pct"/>
            <w:shd w:val="clear" w:color="auto" w:fill="auto"/>
          </w:tcPr>
          <w:p w14:paraId="2843A597" w14:textId="77777777" w:rsidR="00A66F4A" w:rsidRPr="00F91CC3" w:rsidRDefault="00A66F4A" w:rsidP="00A66F4A">
            <w:pPr>
              <w:widowControl w:val="0"/>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NA</w:t>
            </w:r>
          </w:p>
        </w:tc>
        <w:tc>
          <w:tcPr>
            <w:tcW w:w="1314" w:type="pct"/>
            <w:shd w:val="clear" w:color="auto" w:fill="auto"/>
          </w:tcPr>
          <w:p w14:paraId="46345A50" w14:textId="77777777" w:rsidR="00A66F4A" w:rsidRPr="00F91CC3" w:rsidRDefault="00A66F4A" w:rsidP="00A66F4A">
            <w:pPr>
              <w:widowControl w:val="0"/>
              <w:jc w:val="center"/>
              <w:rPr>
                <w:rFonts w:ascii="Arial Narrow" w:eastAsiaTheme="majorEastAsia" w:hAnsi="Arial Narrow" w:cstheme="majorBidi"/>
                <w:bCs/>
                <w:sz w:val="20"/>
              </w:rPr>
            </w:pPr>
            <w:r w:rsidRPr="00F91CC3">
              <w:rPr>
                <w:rFonts w:ascii="Arial Narrow" w:eastAsiaTheme="majorEastAsia" w:hAnsi="Arial Narrow" w:cstheme="majorBidi"/>
                <w:bCs/>
                <w:sz w:val="20"/>
              </w:rPr>
              <w:t>In vitro pharmacological response to ivacaftor</w:t>
            </w:r>
          </w:p>
        </w:tc>
      </w:tr>
    </w:tbl>
    <w:p w14:paraId="0C7D8F00" w14:textId="77777777" w:rsidR="00034A31" w:rsidRPr="00F07396" w:rsidRDefault="00034A31" w:rsidP="00034A31">
      <w:pPr>
        <w:spacing w:after="120"/>
        <w:contextualSpacing/>
        <w:rPr>
          <w:rFonts w:ascii="Arial Narrow" w:hAnsi="Arial Narrow"/>
          <w:snapToGrid w:val="0"/>
          <w:sz w:val="18"/>
          <w:szCs w:val="18"/>
        </w:rPr>
      </w:pPr>
      <w:r w:rsidRPr="00F07396">
        <w:rPr>
          <w:rFonts w:ascii="Arial Narrow" w:hAnsi="Arial Narrow"/>
          <w:snapToGrid w:val="0"/>
          <w:sz w:val="18"/>
          <w:szCs w:val="18"/>
        </w:rPr>
        <w:t>Sources: Study 124: Table 2.3.1 p62, Table 2.3.2, p63; Table 2.3.9 pp69-70; Study 126: p90; Study 110: Table 2.4.2 pp92-93, Table 2.4.8 p100; Study 112: p105, pp2-5 Attachment 8; Study 113: p128, Table 2.7.3 p132; Study 127: Table 2/7/10 p140; Study 128 pp2-3 Attachment 17; Study 108 Table 2.7.32 p177; of the submission.</w:t>
      </w:r>
    </w:p>
    <w:p w14:paraId="47E3B709" w14:textId="77777777" w:rsidR="00034A31" w:rsidRPr="00F07396" w:rsidRDefault="00034A31" w:rsidP="00F07396">
      <w:pPr>
        <w:contextualSpacing/>
        <w:rPr>
          <w:rFonts w:ascii="Arial Narrow" w:hAnsi="Arial Narrow"/>
          <w:snapToGrid w:val="0"/>
          <w:sz w:val="18"/>
          <w:szCs w:val="18"/>
        </w:rPr>
      </w:pPr>
      <w:r w:rsidRPr="00F07396">
        <w:rPr>
          <w:rFonts w:ascii="Arial Narrow" w:hAnsi="Arial Narrow"/>
          <w:snapToGrid w:val="0"/>
          <w:sz w:val="18"/>
          <w:szCs w:val="18"/>
        </w:rPr>
        <w:t>BMI = body mass index; CFQ-R = Cystic Fibrosis Questionnaire - Revised; DB = double blind; FE-1 = faecal elastase-1; FVC = forced vital capacity; IRT = immunoreactive trypsinogen; IVA = ivacaftor; LCI2.5 = lung clearance index; MC = multi-centre; 2.5; NA = not applicable; OL = open label; PEx = pulmonary exacerbations; ppFEV1 = per cent predicted forced expiratory volume in one second; QoL = quality of life; R = randomised; RF = residual function; SC = single centre; SwCl = sweat chloride.</w:t>
      </w:r>
    </w:p>
    <w:p w14:paraId="5F1E08CB" w14:textId="5EA48FB0" w:rsidR="00034A31" w:rsidRPr="00F91CC3" w:rsidRDefault="00034A31" w:rsidP="00034A31">
      <w:pPr>
        <w:keepNext/>
        <w:spacing w:before="120" w:after="120"/>
        <w:outlineLvl w:val="1"/>
        <w:rPr>
          <w:rFonts w:asciiTheme="minorHAnsi" w:eastAsiaTheme="majorEastAsia" w:hAnsiTheme="minorHAnsi" w:cstheme="majorBidi"/>
          <w:b/>
          <w:i/>
          <w:spacing w:val="5"/>
          <w:kern w:val="28"/>
          <w:sz w:val="28"/>
          <w:szCs w:val="36"/>
        </w:rPr>
      </w:pPr>
      <w:bookmarkStart w:id="36" w:name="_Toc145484394"/>
      <w:r w:rsidRPr="00F91CC3">
        <w:rPr>
          <w:rFonts w:asciiTheme="minorHAnsi" w:eastAsiaTheme="majorEastAsia" w:hAnsiTheme="minorHAnsi" w:cstheme="majorBidi"/>
          <w:b/>
          <w:i/>
          <w:spacing w:val="5"/>
          <w:kern w:val="28"/>
          <w:sz w:val="28"/>
          <w:szCs w:val="36"/>
        </w:rPr>
        <w:t>Comparative effectiveness</w:t>
      </w:r>
      <w:bookmarkEnd w:id="36"/>
    </w:p>
    <w:p w14:paraId="3A926E46" w14:textId="77777777" w:rsidR="00034A31" w:rsidRPr="00F07396" w:rsidRDefault="00034A31" w:rsidP="00F07396">
      <w:pPr>
        <w:pStyle w:val="Heading3"/>
        <w:rPr>
          <w:rFonts w:asciiTheme="minorHAnsi" w:hAnsiTheme="minorHAnsi"/>
          <w:b/>
          <w:bCs/>
          <w:iCs/>
          <w:snapToGrid w:val="0"/>
          <w:u w:val="none"/>
        </w:rPr>
      </w:pPr>
      <w:r w:rsidRPr="00F07396">
        <w:rPr>
          <w:rFonts w:asciiTheme="minorHAnsi" w:hAnsiTheme="minorHAnsi"/>
          <w:b/>
          <w:bCs/>
          <w:iCs/>
          <w:snapToGrid w:val="0"/>
          <w:u w:val="none"/>
        </w:rPr>
        <w:t>Gating population (Study 124)</w:t>
      </w:r>
    </w:p>
    <w:p w14:paraId="1E9D4C4C" w14:textId="307D7045" w:rsidR="00034A31" w:rsidRPr="00F91CC3" w:rsidRDefault="00034A31" w:rsidP="00034A31">
      <w:pPr>
        <w:numPr>
          <w:ilvl w:val="1"/>
          <w:numId w:val="1"/>
        </w:numPr>
        <w:spacing w:after="120"/>
        <w:rPr>
          <w:rFonts w:asciiTheme="minorHAnsi" w:hAnsiTheme="minorHAnsi"/>
        </w:rPr>
      </w:pPr>
      <w:r w:rsidRPr="00F91CC3">
        <w:rPr>
          <w:rFonts w:asciiTheme="minorHAnsi" w:hAnsiTheme="minorHAnsi"/>
          <w:snapToGrid w:val="0"/>
        </w:rPr>
        <w:t>Based</w:t>
      </w:r>
      <w:r w:rsidRPr="00F91CC3">
        <w:rPr>
          <w:rFonts w:asciiTheme="minorHAnsi" w:hAnsiTheme="minorHAnsi"/>
        </w:rPr>
        <w:t xml:space="preserve"> on the results from Study 124, treatment with ivacaftor over 24 weeks in CF patients aged 4 to 12 months with a gating (</w:t>
      </w:r>
      <w:r w:rsidR="00831AAB" w:rsidRPr="00F91CC3">
        <w:rPr>
          <w:rFonts w:asciiTheme="minorHAnsi" w:hAnsiTheme="minorHAnsi"/>
        </w:rPr>
        <w:t>C</w:t>
      </w:r>
      <w:r w:rsidRPr="00F91CC3">
        <w:rPr>
          <w:rFonts w:asciiTheme="minorHAnsi" w:hAnsiTheme="minorHAnsi"/>
        </w:rPr>
        <w:t>lass III) mutation resulted in an improvement in the primary, secondary and other efficacy endpoints from baseline.</w:t>
      </w:r>
      <w:r w:rsidR="00831AAB" w:rsidRPr="00F91CC3">
        <w:rPr>
          <w:rFonts w:asciiTheme="minorHAnsi" w:hAnsiTheme="minorHAnsi"/>
        </w:rPr>
        <w:t xml:space="preserve"> The findings are summarised in </w:t>
      </w:r>
      <w:r w:rsidR="00831AAB" w:rsidRPr="00F91CC3">
        <w:rPr>
          <w:rFonts w:asciiTheme="minorHAnsi" w:hAnsiTheme="minorHAnsi" w:cstheme="minorHAnsi"/>
        </w:rPr>
        <w:fldChar w:fldCharType="begin"/>
      </w:r>
      <w:r w:rsidR="00831AAB" w:rsidRPr="00F91CC3">
        <w:rPr>
          <w:rFonts w:asciiTheme="minorHAnsi" w:hAnsiTheme="minorHAnsi" w:cstheme="minorHAnsi"/>
        </w:rPr>
        <w:instrText xml:space="preserve"> REF _Ref144486433 \h </w:instrText>
      </w:r>
      <w:r w:rsidR="000A0645" w:rsidRPr="00F91CC3">
        <w:rPr>
          <w:rFonts w:asciiTheme="minorHAnsi" w:hAnsiTheme="minorHAnsi" w:cstheme="minorHAnsi"/>
        </w:rPr>
        <w:instrText xml:space="preserve"> \* MERGEFORMAT </w:instrText>
      </w:r>
      <w:r w:rsidR="00831AAB" w:rsidRPr="00F91CC3">
        <w:rPr>
          <w:rFonts w:asciiTheme="minorHAnsi" w:hAnsiTheme="minorHAnsi" w:cstheme="minorHAnsi"/>
        </w:rPr>
      </w:r>
      <w:r w:rsidR="00831AAB" w:rsidRPr="00F91CC3">
        <w:rPr>
          <w:rFonts w:asciiTheme="minorHAnsi" w:hAnsiTheme="minorHAnsi" w:cstheme="minorHAnsi"/>
        </w:rPr>
        <w:fldChar w:fldCharType="separate"/>
      </w:r>
      <w:r w:rsidR="008D6198" w:rsidRPr="008D6198">
        <w:rPr>
          <w:rFonts w:asciiTheme="minorHAnsi" w:hAnsiTheme="minorHAnsi" w:cstheme="minorHAnsi"/>
        </w:rPr>
        <w:t>Table 5</w:t>
      </w:r>
      <w:r w:rsidR="00831AAB" w:rsidRPr="00F91CC3">
        <w:rPr>
          <w:rFonts w:asciiTheme="minorHAnsi" w:hAnsiTheme="minorHAnsi" w:cstheme="minorHAnsi"/>
        </w:rPr>
        <w:fldChar w:fldCharType="end"/>
      </w:r>
      <w:r w:rsidR="00831AAB" w:rsidRPr="00F91CC3">
        <w:rPr>
          <w:rFonts w:asciiTheme="minorHAnsi" w:hAnsiTheme="minorHAnsi" w:cstheme="minorHAnsi"/>
        </w:rPr>
        <w:t>.</w:t>
      </w:r>
    </w:p>
    <w:p w14:paraId="61525BFA" w14:textId="34C0167D" w:rsidR="00D84CFA" w:rsidRPr="00F91CC3" w:rsidRDefault="00034A31" w:rsidP="00D84CFA">
      <w:pPr>
        <w:pStyle w:val="3-BodyText"/>
        <w:rPr>
          <w:iCs/>
          <w:snapToGrid/>
        </w:rPr>
      </w:pPr>
      <w:bookmarkStart w:id="37" w:name="_Ref150675669"/>
      <w:r w:rsidRPr="00F91CC3">
        <w:lastRenderedPageBreak/>
        <w:t xml:space="preserve">With respect to absolute change from baseline, mean SwCl at Week 24 fell below the threshold for diagnosing CF, thereby meeting the MCID definition proposed by the submission. </w:t>
      </w:r>
      <w:r w:rsidRPr="00F91CC3">
        <w:rPr>
          <w:iCs/>
        </w:rPr>
        <w:t xml:space="preserve">SwCl </w:t>
      </w:r>
      <w:r w:rsidR="00D2602E" w:rsidRPr="00F91CC3">
        <w:rPr>
          <w:iCs/>
        </w:rPr>
        <w:t xml:space="preserve">decreased </w:t>
      </w:r>
      <w:r w:rsidRPr="00F91CC3">
        <w:rPr>
          <w:iCs/>
        </w:rPr>
        <w:t xml:space="preserve">by 57.4% in Group 6 </w:t>
      </w:r>
      <w:r w:rsidR="006F24B9" w:rsidRPr="00F91CC3">
        <w:rPr>
          <w:iCs/>
        </w:rPr>
        <w:t xml:space="preserve">(aged 6 to &lt; 12 months) </w:t>
      </w:r>
      <w:r w:rsidRPr="00F91CC3">
        <w:rPr>
          <w:iCs/>
        </w:rPr>
        <w:t>and 61.3% in Group 7</w:t>
      </w:r>
      <w:r w:rsidR="006F24B9" w:rsidRPr="00F91CC3">
        <w:rPr>
          <w:iCs/>
        </w:rPr>
        <w:t xml:space="preserve"> (aged 0 to &lt; 6 months)</w:t>
      </w:r>
      <w:r w:rsidRPr="00F91CC3">
        <w:rPr>
          <w:iCs/>
        </w:rPr>
        <w:t>, thereby meeting the NHS definition of response to ivacaftor treatment.</w:t>
      </w:r>
      <w:r w:rsidR="00D84CFA" w:rsidRPr="00F91CC3">
        <w:rPr>
          <w:iCs/>
        </w:rPr>
        <w:t xml:space="preserve"> </w:t>
      </w:r>
      <w:r w:rsidR="00D84CFA" w:rsidRPr="00F91CC3">
        <w:rPr>
          <w:iCs/>
          <w:snapToGrid/>
        </w:rPr>
        <w:t>The PBAC noted the mean absolute change in SwCl from baseline for this population (-62 mmol/L to -72 mmol/L) was broadly similar to the outcomes observed in patients aged 12 to 24 months, 2 to 5 years and ≥ 6 years, which ranged from -47 mmol/L to -58 mmol/L (para 6.10, ivacaftor PSD, March 2019 PBAC meeting and Table 3, ivacaftor PSD, November 2016 PBAC meeting).</w:t>
      </w:r>
      <w:bookmarkEnd w:id="37"/>
      <w:r w:rsidR="00D84CFA" w:rsidRPr="00F91CC3">
        <w:rPr>
          <w:iCs/>
          <w:snapToGrid/>
        </w:rPr>
        <w:t xml:space="preserve"> </w:t>
      </w:r>
    </w:p>
    <w:p w14:paraId="6749C878" w14:textId="4813DB48" w:rsidR="00034A31" w:rsidRPr="00F91CC3" w:rsidRDefault="00034A31" w:rsidP="00034A31">
      <w:pPr>
        <w:numPr>
          <w:ilvl w:val="1"/>
          <w:numId w:val="1"/>
        </w:numPr>
        <w:spacing w:after="120"/>
        <w:rPr>
          <w:rFonts w:asciiTheme="minorHAnsi" w:hAnsiTheme="minorHAnsi"/>
        </w:rPr>
      </w:pPr>
      <w:r w:rsidRPr="00F91CC3">
        <w:rPr>
          <w:rFonts w:asciiTheme="minorHAnsi" w:hAnsiTheme="minorHAnsi"/>
        </w:rPr>
        <w:t xml:space="preserve">With respect to change in nutritional status, absolute change from baseline in nutritional parameters at Week 24 improved for weight and length, and remained relatively stable for weight-for-age-z score, length-for-age z score and weight-for-length-for-age z score. Weight-for-length z-score remained stable for Group 6 but increased for Group 7. </w:t>
      </w:r>
      <w:r w:rsidRPr="00F91CC3">
        <w:rPr>
          <w:rFonts w:asciiTheme="minorHAnsi" w:hAnsiTheme="minorHAnsi"/>
          <w:iCs/>
        </w:rPr>
        <w:t>I</w:t>
      </w:r>
      <w:bookmarkStart w:id="38" w:name="_Hlk144547803"/>
      <w:r w:rsidRPr="00F91CC3">
        <w:rPr>
          <w:rFonts w:asciiTheme="minorHAnsi" w:hAnsiTheme="minorHAnsi"/>
          <w:iCs/>
        </w:rPr>
        <w:t>t is not clear whether these improvements in nutritional parameters are due to the effect of ivacaftor treatment, or children’s natural growth and progression.</w:t>
      </w:r>
      <w:bookmarkEnd w:id="38"/>
    </w:p>
    <w:p w14:paraId="55CC373B" w14:textId="6DCBFB3D" w:rsidR="00034A31" w:rsidRPr="00F91CC3" w:rsidRDefault="00034A31" w:rsidP="00831AAB">
      <w:pPr>
        <w:numPr>
          <w:ilvl w:val="1"/>
          <w:numId w:val="1"/>
        </w:numPr>
        <w:spacing w:after="120"/>
        <w:rPr>
          <w:rFonts w:asciiTheme="minorHAnsi" w:hAnsiTheme="minorHAnsi"/>
          <w:i/>
        </w:rPr>
      </w:pPr>
      <w:r w:rsidRPr="00F91CC3">
        <w:rPr>
          <w:rFonts w:asciiTheme="minorHAnsi" w:hAnsiTheme="minorHAnsi"/>
        </w:rPr>
        <w:t xml:space="preserve">With respect to absolute change from baseline to week 24, </w:t>
      </w:r>
      <w:r w:rsidR="000E7085" w:rsidRPr="00F91CC3">
        <w:rPr>
          <w:rFonts w:asciiTheme="minorHAnsi" w:hAnsiTheme="minorHAnsi"/>
        </w:rPr>
        <w:t>m</w:t>
      </w:r>
      <w:r w:rsidRPr="00F91CC3">
        <w:rPr>
          <w:rFonts w:asciiTheme="minorHAnsi" w:hAnsiTheme="minorHAnsi"/>
        </w:rPr>
        <w:t xml:space="preserve">ean (SD) change for FE-1 was 159.3 µg/g (154.4 µg/g) for Group 6 and 181.0 µg/g (122.9 µg/g) for Group 7. </w:t>
      </w:r>
      <w:r w:rsidRPr="00F91CC3">
        <w:rPr>
          <w:rFonts w:asciiTheme="minorHAnsi" w:hAnsiTheme="minorHAnsi"/>
          <w:iCs/>
        </w:rPr>
        <w:t xml:space="preserve">This met the submission’s proposed MCID </w:t>
      </w:r>
      <w:r w:rsidR="00E37DBA" w:rsidRPr="00F91CC3">
        <w:rPr>
          <w:rFonts w:asciiTheme="minorHAnsi" w:hAnsiTheme="minorHAnsi"/>
          <w:iCs/>
        </w:rPr>
        <w:t xml:space="preserve">(defined as any increase in FE-1) </w:t>
      </w:r>
      <w:r w:rsidRPr="00F91CC3">
        <w:rPr>
          <w:rFonts w:asciiTheme="minorHAnsi" w:hAnsiTheme="minorHAnsi"/>
          <w:iCs/>
        </w:rPr>
        <w:t>and were above the threshold of 200 µg/g established for pancreatic insufficiency</w:t>
      </w:r>
      <w:r w:rsidRPr="00F91CC3">
        <w:rPr>
          <w:rFonts w:asciiTheme="minorHAnsi" w:hAnsiTheme="minorHAnsi" w:cs="Times New Roman"/>
          <w:iCs/>
          <w:vertAlign w:val="superscript"/>
        </w:rPr>
        <w:footnoteReference w:id="6"/>
      </w:r>
      <w:r w:rsidRPr="00F91CC3">
        <w:rPr>
          <w:rFonts w:asciiTheme="minorHAnsi" w:hAnsiTheme="minorHAnsi"/>
          <w:iCs/>
        </w:rPr>
        <w:t>.</w:t>
      </w:r>
      <w:r w:rsidRPr="00F91CC3">
        <w:rPr>
          <w:rFonts w:asciiTheme="minorHAnsi" w:hAnsiTheme="minorHAnsi"/>
          <w:i/>
        </w:rPr>
        <w:t xml:space="preserve"> </w:t>
      </w:r>
    </w:p>
    <w:p w14:paraId="166FC41A" w14:textId="7AD17225" w:rsidR="00034A31" w:rsidRPr="00F91CC3" w:rsidRDefault="00034A31" w:rsidP="00CF10BA">
      <w:pPr>
        <w:keepNext/>
        <w:keepLines/>
        <w:rPr>
          <w:rFonts w:ascii="Arial Narrow" w:hAnsi="Arial Narrow"/>
          <w:b/>
          <w:bCs/>
          <w:i/>
          <w:sz w:val="20"/>
          <w:szCs w:val="18"/>
        </w:rPr>
      </w:pPr>
      <w:bookmarkStart w:id="39" w:name="_Ref144486433"/>
      <w:r w:rsidRPr="00F91CC3">
        <w:rPr>
          <w:rFonts w:ascii="Arial Narrow" w:hAnsi="Arial Narrow"/>
          <w:b/>
          <w:bCs/>
          <w:sz w:val="20"/>
          <w:szCs w:val="18"/>
        </w:rPr>
        <w:lastRenderedPageBreak/>
        <w:t xml:space="preserve">Table </w:t>
      </w:r>
      <w:r w:rsidRPr="00F91CC3">
        <w:rPr>
          <w:rFonts w:ascii="Arial Narrow" w:hAnsi="Arial Narrow"/>
          <w:b/>
          <w:bCs/>
          <w:sz w:val="20"/>
          <w:szCs w:val="18"/>
        </w:rPr>
        <w:fldChar w:fldCharType="begin"/>
      </w:r>
      <w:r w:rsidRPr="00F91CC3">
        <w:rPr>
          <w:rFonts w:ascii="Arial Narrow" w:hAnsi="Arial Narrow"/>
          <w:b/>
          <w:bCs/>
          <w:sz w:val="20"/>
          <w:szCs w:val="18"/>
        </w:rPr>
        <w:instrText xml:space="preserve"> SEQ Table \* ARABIC </w:instrText>
      </w:r>
      <w:r w:rsidRPr="00F91CC3">
        <w:rPr>
          <w:rFonts w:ascii="Arial Narrow" w:hAnsi="Arial Narrow"/>
          <w:b/>
          <w:bCs/>
          <w:sz w:val="20"/>
          <w:szCs w:val="18"/>
        </w:rPr>
        <w:fldChar w:fldCharType="separate"/>
      </w:r>
      <w:r w:rsidR="008D6198">
        <w:rPr>
          <w:rFonts w:ascii="Arial Narrow" w:hAnsi="Arial Narrow"/>
          <w:b/>
          <w:bCs/>
          <w:noProof/>
          <w:sz w:val="20"/>
          <w:szCs w:val="18"/>
        </w:rPr>
        <w:t>5</w:t>
      </w:r>
      <w:r w:rsidRPr="00F91CC3">
        <w:rPr>
          <w:rFonts w:ascii="Arial Narrow" w:hAnsi="Arial Narrow"/>
          <w:b/>
          <w:bCs/>
          <w:sz w:val="20"/>
          <w:szCs w:val="18"/>
        </w:rPr>
        <w:fldChar w:fldCharType="end"/>
      </w:r>
      <w:bookmarkEnd w:id="39"/>
      <w:r w:rsidRPr="00F91CC3">
        <w:rPr>
          <w:rFonts w:ascii="Arial Narrow" w:hAnsi="Arial Narrow"/>
          <w:b/>
          <w:bCs/>
          <w:sz w:val="20"/>
          <w:szCs w:val="18"/>
        </w:rPr>
        <w:t>: Summary of the key efficacy outcomes in Study 124 (FAS)</w:t>
      </w:r>
    </w:p>
    <w:tbl>
      <w:tblPr>
        <w:tblStyle w:val="HTATableshaded11"/>
        <w:tblW w:w="5000" w:type="pct"/>
        <w:tblInd w:w="0" w:type="dxa"/>
        <w:tblLook w:val="04A0" w:firstRow="1" w:lastRow="0" w:firstColumn="1" w:lastColumn="0" w:noHBand="0" w:noVBand="1"/>
      </w:tblPr>
      <w:tblGrid>
        <w:gridCol w:w="2040"/>
        <w:gridCol w:w="1082"/>
        <w:gridCol w:w="3134"/>
        <w:gridCol w:w="1381"/>
        <w:gridCol w:w="1380"/>
      </w:tblGrid>
      <w:tr w:rsidR="00034A31" w:rsidRPr="00F91CC3" w14:paraId="3DBBB6C5" w14:textId="77777777" w:rsidTr="002A2AB2">
        <w:trPr>
          <w:cnfStyle w:val="100000000000" w:firstRow="1" w:lastRow="0" w:firstColumn="0" w:lastColumn="0" w:oddVBand="0" w:evenVBand="0" w:oddHBand="0" w:evenHBand="0" w:firstRowFirstColumn="0" w:firstRowLastColumn="0" w:lastRowFirstColumn="0" w:lastRowLastColumn="0"/>
          <w:trHeight w:val="20"/>
          <w:tblHeader/>
        </w:trPr>
        <w:tc>
          <w:tcPr>
            <w:tcW w:w="1131" w:type="pct"/>
            <w:vMerge w:val="restart"/>
          </w:tcPr>
          <w:p w14:paraId="58C2E1FA" w14:textId="77777777" w:rsidR="00034A31" w:rsidRPr="00F91CC3" w:rsidRDefault="00034A31" w:rsidP="00CF10BA">
            <w:pPr>
              <w:keepNext/>
              <w:keepLines/>
              <w:widowControl w:val="0"/>
              <w:jc w:val="center"/>
              <w:rPr>
                <w:rFonts w:ascii="Arial Narrow" w:eastAsiaTheme="majorEastAsia" w:hAnsi="Arial Narrow" w:cstheme="majorBidi"/>
                <w:b/>
                <w:sz w:val="20"/>
                <w:szCs w:val="20"/>
                <w:lang w:val="en-AU"/>
              </w:rPr>
            </w:pPr>
            <w:r w:rsidRPr="00F91CC3">
              <w:rPr>
                <w:rFonts w:ascii="Arial Narrow" w:eastAsiaTheme="majorEastAsia" w:hAnsi="Arial Narrow" w:cstheme="majorBidi"/>
                <w:b/>
                <w:sz w:val="20"/>
                <w:szCs w:val="20"/>
                <w:lang w:val="en-AU"/>
              </w:rPr>
              <w:t>Outcome definition</w:t>
            </w:r>
          </w:p>
        </w:tc>
        <w:tc>
          <w:tcPr>
            <w:tcW w:w="600" w:type="pct"/>
            <w:vMerge w:val="restart"/>
          </w:tcPr>
          <w:p w14:paraId="47640711" w14:textId="77777777" w:rsidR="00034A31" w:rsidRPr="00F91CC3" w:rsidRDefault="00034A31" w:rsidP="00CF10BA">
            <w:pPr>
              <w:keepNext/>
              <w:keepLines/>
              <w:widowControl w:val="0"/>
              <w:jc w:val="center"/>
              <w:rPr>
                <w:rFonts w:ascii="Arial Narrow" w:eastAsiaTheme="majorEastAsia" w:hAnsi="Arial Narrow" w:cstheme="majorBidi"/>
                <w:b/>
                <w:sz w:val="20"/>
                <w:szCs w:val="20"/>
                <w:lang w:val="en-AU"/>
              </w:rPr>
            </w:pPr>
            <w:r w:rsidRPr="00F91CC3">
              <w:rPr>
                <w:rFonts w:ascii="Arial Narrow" w:eastAsiaTheme="majorEastAsia" w:hAnsi="Arial Narrow" w:cstheme="majorBidi"/>
                <w:b/>
                <w:sz w:val="20"/>
                <w:szCs w:val="20"/>
                <w:lang w:val="en-AU"/>
              </w:rPr>
              <w:t>N</w:t>
            </w:r>
          </w:p>
          <w:p w14:paraId="636FE972" w14:textId="77777777" w:rsidR="00034A31" w:rsidRPr="00F91CC3" w:rsidRDefault="00034A31" w:rsidP="00CF10BA">
            <w:pPr>
              <w:keepNext/>
              <w:keepLines/>
              <w:widowControl w:val="0"/>
              <w:jc w:val="center"/>
              <w:rPr>
                <w:rFonts w:ascii="Arial Narrow" w:eastAsiaTheme="majorEastAsia" w:hAnsi="Arial Narrow" w:cstheme="majorBidi"/>
                <w:b/>
                <w:sz w:val="20"/>
                <w:szCs w:val="20"/>
                <w:lang w:val="en-AU"/>
              </w:rPr>
            </w:pPr>
            <w:r w:rsidRPr="00F91CC3">
              <w:rPr>
                <w:rFonts w:ascii="Arial Narrow" w:eastAsiaTheme="majorEastAsia" w:hAnsi="Arial Narrow" w:cstheme="majorBidi"/>
                <w:b/>
                <w:sz w:val="20"/>
                <w:szCs w:val="20"/>
                <w:lang w:val="en-AU"/>
              </w:rPr>
              <w:t>(Group 6, Group 7)</w:t>
            </w:r>
          </w:p>
        </w:tc>
        <w:tc>
          <w:tcPr>
            <w:tcW w:w="1738" w:type="pct"/>
            <w:vMerge w:val="restart"/>
          </w:tcPr>
          <w:p w14:paraId="575BA530" w14:textId="77777777" w:rsidR="00034A31" w:rsidRPr="00F91CC3" w:rsidRDefault="00034A31" w:rsidP="00CF10BA">
            <w:pPr>
              <w:keepNext/>
              <w:keepLines/>
              <w:widowControl w:val="0"/>
              <w:jc w:val="center"/>
              <w:rPr>
                <w:rFonts w:ascii="Arial Narrow" w:eastAsiaTheme="majorEastAsia" w:hAnsi="Arial Narrow" w:cstheme="majorBidi"/>
                <w:b/>
                <w:sz w:val="20"/>
                <w:szCs w:val="20"/>
                <w:lang w:val="en-AU"/>
              </w:rPr>
            </w:pPr>
            <w:r w:rsidRPr="00F91CC3">
              <w:rPr>
                <w:rFonts w:ascii="Arial Narrow" w:eastAsiaTheme="majorEastAsia" w:hAnsi="Arial Narrow" w:cstheme="majorBidi"/>
                <w:b/>
                <w:sz w:val="20"/>
                <w:szCs w:val="20"/>
                <w:lang w:val="en-AU"/>
              </w:rPr>
              <w:t>Descriptive summary</w:t>
            </w:r>
          </w:p>
        </w:tc>
        <w:tc>
          <w:tcPr>
            <w:tcW w:w="766" w:type="pct"/>
          </w:tcPr>
          <w:p w14:paraId="71DCF60E" w14:textId="77777777" w:rsidR="00034A31" w:rsidRPr="00F91CC3" w:rsidRDefault="00034A31" w:rsidP="00CF10BA">
            <w:pPr>
              <w:keepNext/>
              <w:keepLines/>
              <w:widowControl w:val="0"/>
              <w:jc w:val="center"/>
              <w:rPr>
                <w:rFonts w:ascii="Arial Narrow" w:eastAsiaTheme="majorEastAsia" w:hAnsi="Arial Narrow" w:cstheme="majorBidi"/>
                <w:b/>
                <w:sz w:val="20"/>
                <w:szCs w:val="20"/>
                <w:lang w:val="en-AU"/>
              </w:rPr>
            </w:pPr>
            <w:r w:rsidRPr="00F91CC3">
              <w:rPr>
                <w:rFonts w:ascii="Arial Narrow" w:eastAsiaTheme="majorEastAsia" w:hAnsi="Arial Narrow" w:cstheme="majorBidi"/>
                <w:b/>
                <w:sz w:val="20"/>
                <w:szCs w:val="20"/>
                <w:lang w:val="en-AU"/>
              </w:rPr>
              <w:t>Group 6</w:t>
            </w:r>
          </w:p>
        </w:tc>
        <w:tc>
          <w:tcPr>
            <w:tcW w:w="765" w:type="pct"/>
          </w:tcPr>
          <w:p w14:paraId="44D86C33" w14:textId="77777777" w:rsidR="00034A31" w:rsidRPr="00F91CC3" w:rsidRDefault="00034A31" w:rsidP="00CF10BA">
            <w:pPr>
              <w:keepNext/>
              <w:keepLines/>
              <w:widowControl w:val="0"/>
              <w:jc w:val="center"/>
              <w:rPr>
                <w:rFonts w:ascii="Arial Narrow" w:eastAsiaTheme="majorEastAsia" w:hAnsi="Arial Narrow" w:cstheme="majorBidi"/>
                <w:b/>
                <w:sz w:val="20"/>
                <w:szCs w:val="20"/>
                <w:lang w:val="en-AU"/>
              </w:rPr>
            </w:pPr>
            <w:r w:rsidRPr="00F91CC3">
              <w:rPr>
                <w:rFonts w:ascii="Arial Narrow" w:eastAsiaTheme="majorEastAsia" w:hAnsi="Arial Narrow" w:cstheme="majorBidi"/>
                <w:b/>
                <w:sz w:val="20"/>
                <w:szCs w:val="20"/>
                <w:lang w:val="en-AU"/>
              </w:rPr>
              <w:t>Group 7</w:t>
            </w:r>
          </w:p>
        </w:tc>
      </w:tr>
      <w:tr w:rsidR="00034A31" w:rsidRPr="00F91CC3" w14:paraId="57BBFA85" w14:textId="77777777" w:rsidTr="002A2AB2">
        <w:trPr>
          <w:cnfStyle w:val="100000000000" w:firstRow="1" w:lastRow="0" w:firstColumn="0" w:lastColumn="0" w:oddVBand="0" w:evenVBand="0" w:oddHBand="0" w:evenHBand="0" w:firstRowFirstColumn="0" w:firstRowLastColumn="0" w:lastRowFirstColumn="0" w:lastRowLastColumn="0"/>
          <w:trHeight w:val="20"/>
          <w:tblHeader/>
        </w:trPr>
        <w:tc>
          <w:tcPr>
            <w:tcW w:w="1131" w:type="pct"/>
            <w:vMerge/>
          </w:tcPr>
          <w:p w14:paraId="655F8007" w14:textId="77777777" w:rsidR="00034A31" w:rsidRPr="00F91CC3" w:rsidRDefault="00034A31" w:rsidP="00CF10BA">
            <w:pPr>
              <w:keepNext/>
              <w:keepLines/>
              <w:widowControl w:val="0"/>
              <w:jc w:val="center"/>
              <w:rPr>
                <w:rFonts w:ascii="Arial Narrow" w:eastAsiaTheme="majorEastAsia" w:hAnsi="Arial Narrow" w:cstheme="majorBidi"/>
                <w:b/>
                <w:sz w:val="20"/>
                <w:szCs w:val="20"/>
                <w:lang w:val="en-AU"/>
              </w:rPr>
            </w:pPr>
          </w:p>
        </w:tc>
        <w:tc>
          <w:tcPr>
            <w:tcW w:w="600" w:type="pct"/>
            <w:vMerge/>
          </w:tcPr>
          <w:p w14:paraId="1BBF6BEE" w14:textId="77777777" w:rsidR="00034A31" w:rsidRPr="00F91CC3" w:rsidRDefault="00034A31" w:rsidP="00CF10BA">
            <w:pPr>
              <w:keepNext/>
              <w:keepLines/>
              <w:widowControl w:val="0"/>
              <w:jc w:val="center"/>
              <w:rPr>
                <w:rFonts w:ascii="Arial Narrow" w:eastAsiaTheme="majorEastAsia" w:hAnsi="Arial Narrow" w:cstheme="majorBidi"/>
                <w:b/>
                <w:sz w:val="20"/>
                <w:szCs w:val="20"/>
                <w:lang w:val="en-AU"/>
              </w:rPr>
            </w:pPr>
          </w:p>
        </w:tc>
        <w:tc>
          <w:tcPr>
            <w:tcW w:w="1738" w:type="pct"/>
            <w:vMerge/>
          </w:tcPr>
          <w:p w14:paraId="199C45B5" w14:textId="77777777" w:rsidR="00034A31" w:rsidRPr="00F91CC3" w:rsidRDefault="00034A31" w:rsidP="00CF10BA">
            <w:pPr>
              <w:keepNext/>
              <w:keepLines/>
              <w:widowControl w:val="0"/>
              <w:jc w:val="center"/>
              <w:rPr>
                <w:rFonts w:ascii="Arial Narrow" w:eastAsiaTheme="majorEastAsia" w:hAnsi="Arial Narrow" w:cstheme="majorBidi"/>
                <w:b/>
                <w:sz w:val="20"/>
                <w:szCs w:val="20"/>
                <w:lang w:val="en-AU"/>
              </w:rPr>
            </w:pPr>
          </w:p>
        </w:tc>
        <w:tc>
          <w:tcPr>
            <w:tcW w:w="1531" w:type="pct"/>
            <w:gridSpan w:val="2"/>
          </w:tcPr>
          <w:p w14:paraId="1B2AE5BB" w14:textId="77777777" w:rsidR="00034A31" w:rsidRPr="00F91CC3" w:rsidRDefault="00034A31" w:rsidP="00CF10BA">
            <w:pPr>
              <w:keepNext/>
              <w:keepLines/>
              <w:widowControl w:val="0"/>
              <w:jc w:val="center"/>
              <w:rPr>
                <w:rFonts w:ascii="Arial Narrow" w:eastAsiaTheme="majorEastAsia" w:hAnsi="Arial Narrow" w:cstheme="majorBidi"/>
                <w:b/>
                <w:sz w:val="20"/>
                <w:szCs w:val="20"/>
                <w:lang w:val="en-AU"/>
              </w:rPr>
            </w:pPr>
            <w:r w:rsidRPr="00F91CC3">
              <w:rPr>
                <w:rFonts w:ascii="Arial Narrow" w:eastAsiaTheme="majorEastAsia" w:hAnsi="Arial Narrow" w:cstheme="majorBidi"/>
                <w:b/>
                <w:sz w:val="20"/>
                <w:szCs w:val="20"/>
                <w:lang w:val="en-AU"/>
              </w:rPr>
              <w:t>Mean absolute change from baseline mean (SD)</w:t>
            </w:r>
          </w:p>
        </w:tc>
      </w:tr>
      <w:tr w:rsidR="00034A31" w:rsidRPr="00F91CC3" w14:paraId="420F1601" w14:textId="77777777" w:rsidTr="002A2AB2">
        <w:trPr>
          <w:trHeight w:val="20"/>
        </w:trPr>
        <w:tc>
          <w:tcPr>
            <w:tcW w:w="1131" w:type="pct"/>
          </w:tcPr>
          <w:p w14:paraId="61869402" w14:textId="77777777" w:rsidR="00034A31" w:rsidRPr="00F91CC3" w:rsidRDefault="00034A31" w:rsidP="00CF10BA">
            <w:pPr>
              <w:keepNext/>
              <w:keepLines/>
              <w:widowControl w:val="0"/>
              <w:jc w:val="left"/>
              <w:rPr>
                <w:rFonts w:ascii="Arial Narrow" w:eastAsiaTheme="majorEastAsia" w:hAnsi="Arial Narrow" w:cstheme="majorBidi"/>
                <w:bCs/>
                <w:sz w:val="20"/>
                <w:szCs w:val="20"/>
                <w:lang w:val="en-AU"/>
              </w:rPr>
            </w:pPr>
            <w:r w:rsidRPr="00F91CC3">
              <w:rPr>
                <w:rFonts w:ascii="Arial Narrow" w:eastAsiaTheme="majorEastAsia" w:hAnsi="Arial Narrow" w:cstheme="majorBidi"/>
                <w:bCs/>
                <w:sz w:val="20"/>
                <w:szCs w:val="20"/>
                <w:lang w:val="en-AU"/>
              </w:rPr>
              <w:t>Sweat Chloride</w:t>
            </w:r>
          </w:p>
        </w:tc>
        <w:tc>
          <w:tcPr>
            <w:tcW w:w="600" w:type="pct"/>
          </w:tcPr>
          <w:p w14:paraId="02E90CD0" w14:textId="77777777" w:rsidR="00034A31" w:rsidRPr="00F91CC3" w:rsidRDefault="00034A31" w:rsidP="00CF10BA">
            <w:pPr>
              <w:keepNext/>
              <w:keepLines/>
              <w:widowControl w:val="0"/>
              <w:jc w:val="center"/>
              <w:rPr>
                <w:rFonts w:ascii="Arial Narrow" w:eastAsiaTheme="majorEastAsia" w:hAnsi="Arial Narrow" w:cstheme="majorBidi"/>
                <w:bCs/>
                <w:sz w:val="20"/>
                <w:szCs w:val="20"/>
                <w:lang w:val="en-AU"/>
              </w:rPr>
            </w:pPr>
            <w:r w:rsidRPr="00F91CC3">
              <w:rPr>
                <w:rFonts w:ascii="Arial Narrow" w:eastAsiaTheme="majorEastAsia" w:hAnsi="Arial Narrow" w:cstheme="majorBidi"/>
                <w:bCs/>
                <w:sz w:val="20"/>
                <w:szCs w:val="20"/>
                <w:lang w:val="en-AU"/>
              </w:rPr>
              <w:t>11, 6</w:t>
            </w:r>
          </w:p>
        </w:tc>
        <w:tc>
          <w:tcPr>
            <w:tcW w:w="1738" w:type="pct"/>
          </w:tcPr>
          <w:p w14:paraId="419D333F" w14:textId="578694F5" w:rsidR="00034A31" w:rsidRPr="00F91CC3" w:rsidRDefault="00034A31" w:rsidP="00CF10BA">
            <w:pPr>
              <w:keepNext/>
              <w:keepLines/>
              <w:widowControl w:val="0"/>
              <w:jc w:val="left"/>
              <w:rPr>
                <w:rFonts w:ascii="Arial Narrow" w:eastAsiaTheme="majorEastAsia" w:hAnsi="Arial Narrow" w:cstheme="majorBidi"/>
                <w:bCs/>
                <w:sz w:val="20"/>
                <w:szCs w:val="20"/>
                <w:lang w:val="en-AU"/>
              </w:rPr>
            </w:pPr>
            <w:r w:rsidRPr="00F91CC3">
              <w:rPr>
                <w:rFonts w:ascii="Arial Narrow" w:eastAsiaTheme="majorEastAsia" w:hAnsi="Arial Narrow" w:cstheme="majorBidi"/>
                <w:bCs/>
                <w:sz w:val="20"/>
                <w:szCs w:val="20"/>
                <w:lang w:val="en-AU"/>
              </w:rPr>
              <w:t xml:space="preserve">Mean SwCl at </w:t>
            </w:r>
            <w:r w:rsidR="00831AAB" w:rsidRPr="00F91CC3">
              <w:rPr>
                <w:rFonts w:ascii="Arial Narrow" w:eastAsiaTheme="majorEastAsia" w:hAnsi="Arial Narrow" w:cstheme="majorBidi"/>
                <w:bCs/>
                <w:sz w:val="20"/>
                <w:szCs w:val="20"/>
                <w:lang w:val="en-AU"/>
              </w:rPr>
              <w:t>W</w:t>
            </w:r>
            <w:r w:rsidRPr="00F91CC3">
              <w:rPr>
                <w:rFonts w:ascii="Arial Narrow" w:eastAsiaTheme="majorEastAsia" w:hAnsi="Arial Narrow" w:cstheme="majorBidi"/>
                <w:bCs/>
                <w:sz w:val="20"/>
                <w:szCs w:val="20"/>
                <w:lang w:val="en-AU"/>
              </w:rPr>
              <w:t>eek 24 for both groups fell below the threshold for diagnosing CF, thereby meeting the MCID definition proposed by the submission. SwCl fell by 57.4% in Group 6 and 61.3% in Group 7, thereby meeting the NHS definition.</w:t>
            </w:r>
          </w:p>
        </w:tc>
        <w:tc>
          <w:tcPr>
            <w:tcW w:w="766" w:type="pct"/>
          </w:tcPr>
          <w:p w14:paraId="2D4EC039" w14:textId="77777777" w:rsidR="003C2285" w:rsidRPr="00F91CC3" w:rsidRDefault="00034A31" w:rsidP="00CF10BA">
            <w:pPr>
              <w:keepNext/>
              <w:keepLines/>
              <w:widowControl w:val="0"/>
              <w:jc w:val="center"/>
              <w:rPr>
                <w:rFonts w:ascii="Arial Narrow" w:hAnsi="Arial Narrow"/>
                <w:sz w:val="20"/>
                <w:szCs w:val="20"/>
                <w:lang w:val="en-AU"/>
              </w:rPr>
            </w:pPr>
            <w:r w:rsidRPr="00F91CC3">
              <w:rPr>
                <w:rFonts w:ascii="Arial Narrow" w:hAnsi="Arial Narrow"/>
                <w:sz w:val="20"/>
                <w:szCs w:val="20"/>
                <w:lang w:val="en-AU"/>
              </w:rPr>
              <w:t xml:space="preserve">-62.3 </w:t>
            </w:r>
          </w:p>
          <w:p w14:paraId="46C3CDC2" w14:textId="0CEAF892" w:rsidR="00034A31" w:rsidRPr="00F91CC3" w:rsidRDefault="00034A31" w:rsidP="00CF10BA">
            <w:pPr>
              <w:keepNext/>
              <w:keepLines/>
              <w:widowControl w:val="0"/>
              <w:jc w:val="center"/>
              <w:rPr>
                <w:rFonts w:ascii="Arial Narrow" w:hAnsi="Arial Narrow"/>
                <w:sz w:val="20"/>
                <w:szCs w:val="20"/>
                <w:lang w:val="en-AU"/>
              </w:rPr>
            </w:pPr>
            <w:r w:rsidRPr="00F91CC3">
              <w:rPr>
                <w:rFonts w:ascii="Arial Narrow" w:hAnsi="Arial Narrow"/>
                <w:sz w:val="20"/>
                <w:szCs w:val="20"/>
                <w:lang w:val="en-AU"/>
              </w:rPr>
              <w:t>(-73.5, -31.0)</w:t>
            </w:r>
          </w:p>
        </w:tc>
        <w:tc>
          <w:tcPr>
            <w:tcW w:w="765" w:type="pct"/>
          </w:tcPr>
          <w:p w14:paraId="38488ACB" w14:textId="77777777" w:rsidR="003C2285" w:rsidRPr="00F91CC3" w:rsidRDefault="00034A31" w:rsidP="00CF10BA">
            <w:pPr>
              <w:keepNext/>
              <w:keepLines/>
              <w:widowControl w:val="0"/>
              <w:jc w:val="center"/>
              <w:rPr>
                <w:rFonts w:ascii="Arial Narrow" w:hAnsi="Arial Narrow"/>
                <w:sz w:val="20"/>
                <w:szCs w:val="20"/>
                <w:lang w:val="en-AU"/>
              </w:rPr>
            </w:pPr>
            <w:r w:rsidRPr="00F91CC3">
              <w:rPr>
                <w:rFonts w:ascii="Arial Narrow" w:hAnsi="Arial Narrow"/>
                <w:sz w:val="20"/>
                <w:szCs w:val="20"/>
                <w:lang w:val="en-AU"/>
              </w:rPr>
              <w:t xml:space="preserve">-72.3 </w:t>
            </w:r>
          </w:p>
          <w:p w14:paraId="60B95C19" w14:textId="47984980" w:rsidR="00034A31" w:rsidRPr="00F91CC3" w:rsidRDefault="00034A31" w:rsidP="00CF10BA">
            <w:pPr>
              <w:keepNext/>
              <w:keepLines/>
              <w:widowControl w:val="0"/>
              <w:jc w:val="center"/>
              <w:rPr>
                <w:rFonts w:ascii="Arial Narrow" w:hAnsi="Arial Narrow"/>
                <w:sz w:val="20"/>
                <w:szCs w:val="20"/>
                <w:lang w:val="en-AU"/>
              </w:rPr>
            </w:pPr>
            <w:r w:rsidRPr="00F91CC3">
              <w:rPr>
                <w:rFonts w:ascii="Arial Narrow" w:hAnsi="Arial Narrow"/>
                <w:sz w:val="20"/>
                <w:szCs w:val="20"/>
                <w:lang w:val="en-AU"/>
              </w:rPr>
              <w:t>(-97.5, -42.0)</w:t>
            </w:r>
          </w:p>
        </w:tc>
      </w:tr>
      <w:tr w:rsidR="00034A31" w:rsidRPr="00F91CC3" w14:paraId="10644662" w14:textId="77777777" w:rsidTr="002A2AB2">
        <w:trPr>
          <w:trHeight w:val="20"/>
        </w:trPr>
        <w:tc>
          <w:tcPr>
            <w:tcW w:w="1131" w:type="pct"/>
          </w:tcPr>
          <w:p w14:paraId="57CC05EB" w14:textId="77777777" w:rsidR="00034A31" w:rsidRPr="00F91CC3" w:rsidRDefault="00034A31" w:rsidP="00CF10BA">
            <w:pPr>
              <w:keepNext/>
              <w:keepLines/>
              <w:widowControl w:val="0"/>
              <w:jc w:val="left"/>
              <w:rPr>
                <w:rFonts w:ascii="Arial Narrow" w:eastAsiaTheme="majorEastAsia" w:hAnsi="Arial Narrow" w:cstheme="majorBidi"/>
                <w:bCs/>
                <w:sz w:val="20"/>
                <w:szCs w:val="20"/>
                <w:lang w:val="en-AU"/>
              </w:rPr>
            </w:pPr>
            <w:r w:rsidRPr="00F91CC3">
              <w:rPr>
                <w:rFonts w:ascii="Arial Narrow" w:eastAsiaTheme="majorEastAsia" w:hAnsi="Arial Narrow" w:cstheme="majorBidi"/>
                <w:bCs/>
                <w:sz w:val="20"/>
                <w:szCs w:val="20"/>
                <w:lang w:val="en-AU"/>
              </w:rPr>
              <w:t>FE-1 levels at Week 24 (µg/g)</w:t>
            </w:r>
            <w:r w:rsidRPr="00F91CC3">
              <w:rPr>
                <w:rFonts w:ascii="Arial Narrow" w:eastAsiaTheme="majorEastAsia" w:hAnsi="Arial Narrow" w:cstheme="majorBidi"/>
                <w:bCs/>
                <w:sz w:val="20"/>
                <w:szCs w:val="20"/>
                <w:vertAlign w:val="superscript"/>
                <w:lang w:val="en-AU"/>
              </w:rPr>
              <w:t>a</w:t>
            </w:r>
          </w:p>
        </w:tc>
        <w:tc>
          <w:tcPr>
            <w:tcW w:w="600" w:type="pct"/>
          </w:tcPr>
          <w:p w14:paraId="490BF53E" w14:textId="77777777" w:rsidR="00034A31" w:rsidRPr="00F91CC3" w:rsidRDefault="00034A31" w:rsidP="00CF10BA">
            <w:pPr>
              <w:keepNext/>
              <w:keepLines/>
              <w:widowControl w:val="0"/>
              <w:jc w:val="center"/>
              <w:rPr>
                <w:rFonts w:ascii="Arial Narrow" w:eastAsiaTheme="majorEastAsia" w:hAnsi="Arial Narrow" w:cstheme="majorBidi"/>
                <w:bCs/>
                <w:sz w:val="20"/>
                <w:szCs w:val="20"/>
                <w:lang w:val="en-AU"/>
              </w:rPr>
            </w:pPr>
            <w:r w:rsidRPr="00F91CC3">
              <w:rPr>
                <w:rFonts w:ascii="Arial Narrow" w:eastAsiaTheme="majorEastAsia" w:hAnsi="Arial Narrow" w:cstheme="majorBidi"/>
                <w:bCs/>
                <w:sz w:val="20"/>
                <w:szCs w:val="20"/>
                <w:lang w:val="en-AU"/>
              </w:rPr>
              <w:t>9, 4</w:t>
            </w:r>
          </w:p>
        </w:tc>
        <w:tc>
          <w:tcPr>
            <w:tcW w:w="1738" w:type="pct"/>
          </w:tcPr>
          <w:p w14:paraId="6ACC2270" w14:textId="5BFA8069" w:rsidR="00034A31" w:rsidRPr="00F91CC3" w:rsidRDefault="00034A31" w:rsidP="00CF10BA">
            <w:pPr>
              <w:keepNext/>
              <w:keepLines/>
              <w:widowControl w:val="0"/>
              <w:jc w:val="left"/>
              <w:rPr>
                <w:rFonts w:ascii="Arial Narrow" w:eastAsiaTheme="majorEastAsia" w:hAnsi="Arial Narrow" w:cstheme="majorBidi"/>
                <w:bCs/>
                <w:sz w:val="20"/>
                <w:szCs w:val="20"/>
                <w:lang w:val="en-AU"/>
              </w:rPr>
            </w:pPr>
            <w:r w:rsidRPr="00F91CC3">
              <w:rPr>
                <w:rFonts w:ascii="Arial Narrow" w:eastAsiaTheme="majorEastAsia" w:hAnsi="Arial Narrow" w:cstheme="majorBidi"/>
                <w:bCs/>
                <w:sz w:val="20"/>
                <w:szCs w:val="20"/>
                <w:lang w:val="en-AU"/>
              </w:rPr>
              <w:t xml:space="preserve">FE-1 improved for both groups at </w:t>
            </w:r>
            <w:r w:rsidR="00831AAB" w:rsidRPr="00F91CC3">
              <w:rPr>
                <w:rFonts w:ascii="Arial Narrow" w:eastAsiaTheme="majorEastAsia" w:hAnsi="Arial Narrow" w:cstheme="majorBidi"/>
                <w:bCs/>
                <w:sz w:val="20"/>
                <w:szCs w:val="20"/>
                <w:lang w:val="en-AU"/>
              </w:rPr>
              <w:t>W</w:t>
            </w:r>
            <w:r w:rsidRPr="00F91CC3">
              <w:rPr>
                <w:rFonts w:ascii="Arial Narrow" w:eastAsiaTheme="majorEastAsia" w:hAnsi="Arial Narrow" w:cstheme="majorBidi"/>
                <w:bCs/>
                <w:sz w:val="20"/>
                <w:szCs w:val="20"/>
                <w:lang w:val="en-AU"/>
              </w:rPr>
              <w:t xml:space="preserve">eek 24, </w:t>
            </w:r>
            <w:r w:rsidRPr="00F91CC3">
              <w:rPr>
                <w:rFonts w:ascii="Arial Narrow" w:eastAsiaTheme="majorEastAsia" w:hAnsi="Arial Narrow" w:cstheme="majorBidi"/>
                <w:bCs/>
                <w:iCs/>
                <w:sz w:val="20"/>
                <w:szCs w:val="20"/>
                <w:lang w:val="en-AU"/>
              </w:rPr>
              <w:t>and were above</w:t>
            </w:r>
            <w:r w:rsidRPr="00F91CC3">
              <w:rPr>
                <w:rFonts w:ascii="Arial Narrow" w:hAnsi="Arial Narrow"/>
                <w:iCs/>
                <w:sz w:val="20"/>
                <w:szCs w:val="20"/>
                <w:lang w:val="en-AU"/>
              </w:rPr>
              <w:t xml:space="preserve"> the threshold of 200 ug/g established for pancreatic insufficiency.</w:t>
            </w:r>
          </w:p>
        </w:tc>
        <w:tc>
          <w:tcPr>
            <w:tcW w:w="766" w:type="pct"/>
          </w:tcPr>
          <w:p w14:paraId="34521780" w14:textId="77777777" w:rsidR="00034A31" w:rsidRPr="00F91CC3" w:rsidRDefault="00034A31" w:rsidP="00CF10BA">
            <w:pPr>
              <w:keepNext/>
              <w:keepLines/>
              <w:widowControl w:val="0"/>
              <w:jc w:val="center"/>
              <w:rPr>
                <w:rFonts w:ascii="Arial Narrow" w:eastAsiaTheme="majorEastAsia" w:hAnsi="Arial Narrow" w:cstheme="majorBidi"/>
                <w:bCs/>
                <w:sz w:val="20"/>
                <w:szCs w:val="20"/>
                <w:lang w:val="en-AU"/>
              </w:rPr>
            </w:pPr>
            <w:r w:rsidRPr="00F91CC3">
              <w:rPr>
                <w:rFonts w:ascii="Arial Narrow" w:hAnsi="Arial Narrow"/>
                <w:sz w:val="20"/>
                <w:szCs w:val="20"/>
                <w:lang w:val="en-AU"/>
              </w:rPr>
              <w:t>159.3 (154.4)</w:t>
            </w:r>
          </w:p>
        </w:tc>
        <w:tc>
          <w:tcPr>
            <w:tcW w:w="765" w:type="pct"/>
          </w:tcPr>
          <w:p w14:paraId="4C5C6A3B" w14:textId="77777777" w:rsidR="00034A31" w:rsidRPr="00F91CC3" w:rsidRDefault="00034A31" w:rsidP="00CF10BA">
            <w:pPr>
              <w:keepNext/>
              <w:keepLines/>
              <w:widowControl w:val="0"/>
              <w:jc w:val="center"/>
              <w:rPr>
                <w:rFonts w:ascii="Arial Narrow" w:eastAsiaTheme="majorEastAsia" w:hAnsi="Arial Narrow" w:cstheme="majorBidi"/>
                <w:bCs/>
                <w:sz w:val="20"/>
                <w:szCs w:val="20"/>
                <w:lang w:val="en-AU"/>
              </w:rPr>
            </w:pPr>
            <w:r w:rsidRPr="00F91CC3">
              <w:rPr>
                <w:rFonts w:ascii="Arial Narrow" w:hAnsi="Arial Narrow"/>
                <w:sz w:val="20"/>
                <w:szCs w:val="20"/>
                <w:lang w:val="en-AU"/>
              </w:rPr>
              <w:t>181.0 (122.9)</w:t>
            </w:r>
          </w:p>
        </w:tc>
      </w:tr>
      <w:tr w:rsidR="00034A31" w:rsidRPr="00F91CC3" w14:paraId="344E5178" w14:textId="77777777" w:rsidTr="002A2AB2">
        <w:trPr>
          <w:trHeight w:val="20"/>
        </w:trPr>
        <w:tc>
          <w:tcPr>
            <w:tcW w:w="1131" w:type="pct"/>
          </w:tcPr>
          <w:p w14:paraId="71ECD51F" w14:textId="77777777" w:rsidR="00034A31" w:rsidRPr="00F91CC3" w:rsidRDefault="00034A31" w:rsidP="00CF10BA">
            <w:pPr>
              <w:keepNext/>
              <w:keepLines/>
              <w:widowControl w:val="0"/>
              <w:jc w:val="left"/>
              <w:rPr>
                <w:rFonts w:ascii="Arial Narrow" w:eastAsiaTheme="majorEastAsia" w:hAnsi="Arial Narrow" w:cstheme="majorBidi"/>
                <w:bCs/>
                <w:sz w:val="20"/>
                <w:szCs w:val="20"/>
                <w:lang w:val="en-AU"/>
              </w:rPr>
            </w:pPr>
            <w:r w:rsidRPr="00F91CC3">
              <w:rPr>
                <w:rFonts w:ascii="Arial Narrow" w:eastAsiaTheme="majorEastAsia" w:hAnsi="Arial Narrow" w:cstheme="majorBidi"/>
                <w:bCs/>
                <w:sz w:val="20"/>
                <w:szCs w:val="20"/>
                <w:lang w:val="en-AU"/>
              </w:rPr>
              <w:t>Serum IRT levels at Week 24 (ng/L)</w:t>
            </w:r>
            <w:r w:rsidRPr="00F91CC3">
              <w:rPr>
                <w:rFonts w:ascii="Arial Narrow" w:eastAsiaTheme="majorEastAsia" w:hAnsi="Arial Narrow" w:cstheme="majorBidi"/>
                <w:bCs/>
                <w:sz w:val="20"/>
                <w:szCs w:val="20"/>
                <w:vertAlign w:val="superscript"/>
                <w:lang w:val="en-AU"/>
              </w:rPr>
              <w:t xml:space="preserve"> a</w:t>
            </w:r>
          </w:p>
        </w:tc>
        <w:tc>
          <w:tcPr>
            <w:tcW w:w="600" w:type="pct"/>
          </w:tcPr>
          <w:p w14:paraId="25B8F6F5" w14:textId="77777777" w:rsidR="00034A31" w:rsidRPr="00F91CC3" w:rsidRDefault="00034A31" w:rsidP="00CF10BA">
            <w:pPr>
              <w:keepNext/>
              <w:keepLines/>
              <w:widowControl w:val="0"/>
              <w:jc w:val="center"/>
              <w:rPr>
                <w:rFonts w:ascii="Arial Narrow" w:eastAsiaTheme="majorEastAsia" w:hAnsi="Arial Narrow" w:cstheme="majorBidi"/>
                <w:bCs/>
                <w:sz w:val="20"/>
                <w:szCs w:val="20"/>
                <w:lang w:val="en-AU"/>
              </w:rPr>
            </w:pPr>
            <w:r w:rsidRPr="00F91CC3">
              <w:rPr>
                <w:rFonts w:ascii="Arial Narrow" w:eastAsiaTheme="majorEastAsia" w:hAnsi="Arial Narrow" w:cstheme="majorBidi"/>
                <w:bCs/>
                <w:sz w:val="20"/>
                <w:szCs w:val="20"/>
                <w:lang w:val="en-AU"/>
              </w:rPr>
              <w:t>7, 4</w:t>
            </w:r>
          </w:p>
        </w:tc>
        <w:tc>
          <w:tcPr>
            <w:tcW w:w="1738" w:type="pct"/>
          </w:tcPr>
          <w:p w14:paraId="43E6CFAC" w14:textId="77777777" w:rsidR="00034A31" w:rsidRPr="00F91CC3" w:rsidRDefault="00034A31" w:rsidP="00CF10BA">
            <w:pPr>
              <w:keepNext/>
              <w:keepLines/>
              <w:widowControl w:val="0"/>
              <w:jc w:val="left"/>
              <w:rPr>
                <w:rFonts w:ascii="Arial Narrow" w:eastAsiaTheme="majorEastAsia" w:hAnsi="Arial Narrow" w:cstheme="majorBidi"/>
                <w:bCs/>
                <w:sz w:val="20"/>
                <w:szCs w:val="20"/>
                <w:lang w:val="en-AU"/>
              </w:rPr>
            </w:pPr>
            <w:r w:rsidRPr="00F91CC3">
              <w:rPr>
                <w:rFonts w:ascii="Arial Narrow" w:eastAsiaTheme="majorEastAsia" w:hAnsi="Arial Narrow" w:cstheme="minorHAnsi"/>
                <w:bCs/>
                <w:sz w:val="20"/>
                <w:szCs w:val="20"/>
                <w:lang w:val="en-AU"/>
              </w:rPr>
              <w:t xml:space="preserve">The </w:t>
            </w:r>
            <w:r w:rsidRPr="00F91CC3">
              <w:rPr>
                <w:rFonts w:ascii="Arial Narrow" w:eastAsiaTheme="majorEastAsia" w:hAnsi="Arial Narrow" w:cstheme="majorBidi"/>
                <w:bCs/>
                <w:sz w:val="20"/>
                <w:szCs w:val="20"/>
                <w:lang w:val="en-AU"/>
              </w:rPr>
              <w:t>serum IRT levels decreased over 24 weeks of ivacaftor treatment.</w:t>
            </w:r>
          </w:p>
        </w:tc>
        <w:tc>
          <w:tcPr>
            <w:tcW w:w="766" w:type="pct"/>
          </w:tcPr>
          <w:p w14:paraId="08B9DBF2" w14:textId="77777777" w:rsidR="00034A31" w:rsidRPr="00F91CC3" w:rsidRDefault="00034A31" w:rsidP="00CF10BA">
            <w:pPr>
              <w:keepNext/>
              <w:keepLines/>
              <w:widowControl w:val="0"/>
              <w:jc w:val="center"/>
              <w:rPr>
                <w:rFonts w:ascii="Arial Narrow" w:eastAsiaTheme="majorEastAsia" w:hAnsi="Arial Narrow" w:cstheme="majorBidi"/>
                <w:bCs/>
                <w:sz w:val="20"/>
                <w:szCs w:val="20"/>
                <w:lang w:val="en-AU"/>
              </w:rPr>
            </w:pPr>
            <w:r w:rsidRPr="00F91CC3">
              <w:rPr>
                <w:rFonts w:ascii="Arial Narrow" w:hAnsi="Arial Narrow"/>
                <w:sz w:val="20"/>
                <w:szCs w:val="20"/>
                <w:lang w:val="en-AU"/>
              </w:rPr>
              <w:t>-406.2 (363.3)</w:t>
            </w:r>
          </w:p>
        </w:tc>
        <w:tc>
          <w:tcPr>
            <w:tcW w:w="765" w:type="pct"/>
          </w:tcPr>
          <w:p w14:paraId="5D3779F3" w14:textId="77777777" w:rsidR="00034A31" w:rsidRPr="00F91CC3" w:rsidRDefault="00034A31" w:rsidP="00CF10BA">
            <w:pPr>
              <w:keepNext/>
              <w:keepLines/>
              <w:widowControl w:val="0"/>
              <w:jc w:val="center"/>
              <w:rPr>
                <w:rFonts w:ascii="Arial Narrow" w:eastAsiaTheme="majorEastAsia" w:hAnsi="Arial Narrow" w:cstheme="majorBidi"/>
                <w:bCs/>
                <w:sz w:val="20"/>
                <w:szCs w:val="20"/>
                <w:lang w:val="en-AU"/>
              </w:rPr>
            </w:pPr>
            <w:r w:rsidRPr="00F91CC3">
              <w:rPr>
                <w:rFonts w:ascii="Arial Narrow" w:hAnsi="Arial Narrow"/>
                <w:sz w:val="20"/>
                <w:szCs w:val="20"/>
                <w:lang w:val="en-AU"/>
              </w:rPr>
              <w:t>-593.8 (402.5)</w:t>
            </w:r>
          </w:p>
        </w:tc>
      </w:tr>
      <w:tr w:rsidR="00034A31" w:rsidRPr="00F91CC3" w14:paraId="2BCCEE60" w14:textId="77777777" w:rsidTr="002A2AB2">
        <w:trPr>
          <w:trHeight w:val="20"/>
        </w:trPr>
        <w:tc>
          <w:tcPr>
            <w:tcW w:w="1131" w:type="pct"/>
          </w:tcPr>
          <w:p w14:paraId="3B983B8A" w14:textId="77777777" w:rsidR="00034A31" w:rsidRPr="00F91CC3" w:rsidRDefault="00034A31" w:rsidP="00CF10BA">
            <w:pPr>
              <w:keepNext/>
              <w:keepLines/>
              <w:widowControl w:val="0"/>
              <w:jc w:val="left"/>
              <w:rPr>
                <w:rFonts w:ascii="Arial Narrow" w:eastAsiaTheme="majorEastAsia" w:hAnsi="Arial Narrow" w:cstheme="majorBidi"/>
                <w:bCs/>
                <w:sz w:val="20"/>
                <w:szCs w:val="20"/>
                <w:lang w:val="en-AU"/>
              </w:rPr>
            </w:pPr>
            <w:r w:rsidRPr="00F91CC3">
              <w:rPr>
                <w:rFonts w:ascii="Arial Narrow" w:eastAsiaTheme="majorEastAsia" w:hAnsi="Arial Narrow" w:cstheme="majorBidi"/>
                <w:bCs/>
                <w:sz w:val="20"/>
                <w:szCs w:val="20"/>
                <w:lang w:val="en-AU"/>
              </w:rPr>
              <w:t>Weight at Week 24 (kg)</w:t>
            </w:r>
            <w:r w:rsidRPr="00F91CC3">
              <w:rPr>
                <w:rFonts w:ascii="Arial Narrow" w:eastAsiaTheme="majorEastAsia" w:hAnsi="Arial Narrow" w:cstheme="majorBidi"/>
                <w:bCs/>
                <w:sz w:val="20"/>
                <w:szCs w:val="20"/>
                <w:vertAlign w:val="superscript"/>
                <w:lang w:val="en-AU"/>
              </w:rPr>
              <w:t xml:space="preserve"> a</w:t>
            </w:r>
          </w:p>
        </w:tc>
        <w:tc>
          <w:tcPr>
            <w:tcW w:w="600" w:type="pct"/>
          </w:tcPr>
          <w:p w14:paraId="5A30F9E5" w14:textId="77777777" w:rsidR="00034A31" w:rsidRPr="00F91CC3" w:rsidRDefault="00034A31" w:rsidP="00CF10BA">
            <w:pPr>
              <w:keepNext/>
              <w:keepLines/>
              <w:widowControl w:val="0"/>
              <w:jc w:val="center"/>
              <w:rPr>
                <w:rFonts w:ascii="Arial Narrow" w:eastAsiaTheme="majorEastAsia" w:hAnsi="Arial Narrow" w:cstheme="majorBidi"/>
                <w:bCs/>
                <w:sz w:val="20"/>
                <w:szCs w:val="20"/>
                <w:lang w:val="en-AU"/>
              </w:rPr>
            </w:pPr>
            <w:r w:rsidRPr="00F91CC3">
              <w:rPr>
                <w:rFonts w:ascii="Arial Narrow" w:eastAsiaTheme="majorEastAsia" w:hAnsi="Arial Narrow" w:cstheme="majorBidi"/>
                <w:bCs/>
                <w:sz w:val="20"/>
                <w:szCs w:val="20"/>
                <w:lang w:val="en-AU"/>
              </w:rPr>
              <w:t>11, 6</w:t>
            </w:r>
          </w:p>
        </w:tc>
        <w:tc>
          <w:tcPr>
            <w:tcW w:w="1738" w:type="pct"/>
          </w:tcPr>
          <w:p w14:paraId="23EF9B16" w14:textId="77777777" w:rsidR="00034A31" w:rsidRPr="00F91CC3" w:rsidRDefault="00034A31" w:rsidP="00CF10BA">
            <w:pPr>
              <w:keepNext/>
              <w:keepLines/>
              <w:widowControl w:val="0"/>
              <w:jc w:val="left"/>
              <w:rPr>
                <w:rFonts w:ascii="Arial Narrow" w:eastAsiaTheme="majorEastAsia" w:hAnsi="Arial Narrow" w:cstheme="majorBidi"/>
                <w:bCs/>
                <w:sz w:val="20"/>
                <w:szCs w:val="20"/>
                <w:lang w:val="en-AU"/>
              </w:rPr>
            </w:pPr>
            <w:r w:rsidRPr="00F91CC3">
              <w:rPr>
                <w:rFonts w:ascii="Arial Narrow" w:eastAsiaTheme="majorEastAsia" w:hAnsi="Arial Narrow" w:cstheme="majorBidi"/>
                <w:bCs/>
                <w:sz w:val="20"/>
                <w:szCs w:val="20"/>
                <w:lang w:val="en-AU"/>
              </w:rPr>
              <w:t>Weight gain was observed during the study.</w:t>
            </w:r>
          </w:p>
        </w:tc>
        <w:tc>
          <w:tcPr>
            <w:tcW w:w="766" w:type="pct"/>
          </w:tcPr>
          <w:p w14:paraId="3A1D6D1D" w14:textId="77777777" w:rsidR="00034A31" w:rsidRPr="00F91CC3" w:rsidRDefault="00034A31" w:rsidP="00CF10BA">
            <w:pPr>
              <w:keepNext/>
              <w:keepLines/>
              <w:widowControl w:val="0"/>
              <w:jc w:val="center"/>
              <w:rPr>
                <w:rFonts w:ascii="Arial Narrow" w:eastAsiaTheme="majorEastAsia" w:hAnsi="Arial Narrow" w:cstheme="majorBidi"/>
                <w:bCs/>
                <w:sz w:val="20"/>
                <w:szCs w:val="20"/>
                <w:lang w:val="en-AU"/>
              </w:rPr>
            </w:pPr>
            <w:r w:rsidRPr="00F91CC3">
              <w:rPr>
                <w:rFonts w:ascii="Arial Narrow" w:hAnsi="Arial Narrow"/>
                <w:sz w:val="20"/>
                <w:szCs w:val="20"/>
                <w:lang w:val="en-AU"/>
              </w:rPr>
              <w:t>1.8 (0.7)</w:t>
            </w:r>
          </w:p>
        </w:tc>
        <w:tc>
          <w:tcPr>
            <w:tcW w:w="765" w:type="pct"/>
          </w:tcPr>
          <w:p w14:paraId="15EFCE60" w14:textId="77777777" w:rsidR="00034A31" w:rsidRPr="00F91CC3" w:rsidRDefault="00034A31" w:rsidP="00CF10BA">
            <w:pPr>
              <w:keepNext/>
              <w:keepLines/>
              <w:widowControl w:val="0"/>
              <w:jc w:val="center"/>
              <w:rPr>
                <w:rFonts w:ascii="Arial Narrow" w:eastAsiaTheme="majorEastAsia" w:hAnsi="Arial Narrow" w:cstheme="majorBidi"/>
                <w:bCs/>
                <w:sz w:val="20"/>
                <w:szCs w:val="20"/>
                <w:lang w:val="en-AU"/>
              </w:rPr>
            </w:pPr>
            <w:r w:rsidRPr="00F91CC3">
              <w:rPr>
                <w:rFonts w:ascii="Arial Narrow" w:hAnsi="Arial Narrow"/>
                <w:sz w:val="20"/>
                <w:szCs w:val="20"/>
                <w:lang w:val="en-AU"/>
              </w:rPr>
              <w:t>2.5 (0.6)</w:t>
            </w:r>
          </w:p>
        </w:tc>
      </w:tr>
      <w:tr w:rsidR="00034A31" w:rsidRPr="00F91CC3" w14:paraId="70D18134" w14:textId="77777777" w:rsidTr="002A2AB2">
        <w:trPr>
          <w:trHeight w:val="20"/>
        </w:trPr>
        <w:tc>
          <w:tcPr>
            <w:tcW w:w="1131" w:type="pct"/>
          </w:tcPr>
          <w:p w14:paraId="6FE1A6DF" w14:textId="77777777" w:rsidR="00034A31" w:rsidRPr="00F91CC3" w:rsidRDefault="00034A31" w:rsidP="00CF10BA">
            <w:pPr>
              <w:keepNext/>
              <w:keepLines/>
              <w:widowControl w:val="0"/>
              <w:jc w:val="left"/>
              <w:rPr>
                <w:rFonts w:ascii="Arial Narrow" w:eastAsiaTheme="majorEastAsia" w:hAnsi="Arial Narrow" w:cstheme="majorBidi"/>
                <w:bCs/>
                <w:sz w:val="20"/>
                <w:szCs w:val="20"/>
                <w:lang w:val="en-AU"/>
              </w:rPr>
            </w:pPr>
            <w:r w:rsidRPr="00F91CC3">
              <w:rPr>
                <w:rFonts w:ascii="Arial Narrow" w:eastAsiaTheme="majorEastAsia" w:hAnsi="Arial Narrow" w:cstheme="majorBidi"/>
                <w:bCs/>
                <w:sz w:val="20"/>
                <w:szCs w:val="20"/>
                <w:lang w:val="en-AU"/>
              </w:rPr>
              <w:t>Weight-for-age z score at Week 24</w:t>
            </w:r>
            <w:r w:rsidRPr="00F91CC3">
              <w:rPr>
                <w:rFonts w:ascii="Arial Narrow" w:eastAsiaTheme="majorEastAsia" w:hAnsi="Arial Narrow" w:cstheme="majorBidi"/>
                <w:bCs/>
                <w:sz w:val="20"/>
                <w:szCs w:val="20"/>
                <w:vertAlign w:val="superscript"/>
                <w:lang w:val="en-AU"/>
              </w:rPr>
              <w:t>a</w:t>
            </w:r>
          </w:p>
        </w:tc>
        <w:tc>
          <w:tcPr>
            <w:tcW w:w="600" w:type="pct"/>
          </w:tcPr>
          <w:p w14:paraId="3ECBBC96" w14:textId="77777777" w:rsidR="00034A31" w:rsidRPr="00F91CC3" w:rsidRDefault="00034A31" w:rsidP="00CF10BA">
            <w:pPr>
              <w:keepNext/>
              <w:keepLines/>
              <w:widowControl w:val="0"/>
              <w:jc w:val="center"/>
              <w:rPr>
                <w:rFonts w:ascii="Arial Narrow" w:eastAsiaTheme="majorEastAsia" w:hAnsi="Arial Narrow" w:cstheme="majorBidi"/>
                <w:bCs/>
                <w:sz w:val="20"/>
                <w:szCs w:val="20"/>
                <w:lang w:val="en-AU"/>
              </w:rPr>
            </w:pPr>
            <w:r w:rsidRPr="00F91CC3">
              <w:rPr>
                <w:rFonts w:ascii="Arial Narrow" w:eastAsiaTheme="majorEastAsia" w:hAnsi="Arial Narrow" w:cstheme="majorBidi"/>
                <w:bCs/>
                <w:sz w:val="20"/>
                <w:szCs w:val="20"/>
                <w:lang w:val="en-AU"/>
              </w:rPr>
              <w:t>11, 6</w:t>
            </w:r>
          </w:p>
        </w:tc>
        <w:tc>
          <w:tcPr>
            <w:tcW w:w="1738" w:type="pct"/>
          </w:tcPr>
          <w:p w14:paraId="290E9ED6" w14:textId="77777777" w:rsidR="00034A31" w:rsidRPr="00F91CC3" w:rsidRDefault="00034A31" w:rsidP="00CF10BA">
            <w:pPr>
              <w:keepNext/>
              <w:keepLines/>
              <w:widowControl w:val="0"/>
              <w:jc w:val="left"/>
              <w:rPr>
                <w:rFonts w:ascii="Arial Narrow" w:eastAsiaTheme="majorEastAsia" w:hAnsi="Arial Narrow" w:cstheme="majorBidi"/>
                <w:bCs/>
                <w:sz w:val="20"/>
                <w:szCs w:val="20"/>
                <w:lang w:val="en-AU"/>
              </w:rPr>
            </w:pPr>
            <w:r w:rsidRPr="00F91CC3">
              <w:rPr>
                <w:rFonts w:ascii="Arial Narrow" w:eastAsiaTheme="majorEastAsia" w:hAnsi="Arial Narrow" w:cstheme="minorHAnsi"/>
                <w:bCs/>
                <w:sz w:val="20"/>
                <w:szCs w:val="20"/>
                <w:lang w:val="en-AU"/>
              </w:rPr>
              <w:t>Mean weight-for-age z-score remained stable during the study</w:t>
            </w:r>
          </w:p>
        </w:tc>
        <w:tc>
          <w:tcPr>
            <w:tcW w:w="766" w:type="pct"/>
          </w:tcPr>
          <w:p w14:paraId="30F03123" w14:textId="77777777" w:rsidR="00034A31" w:rsidRPr="00F91CC3" w:rsidRDefault="00034A31" w:rsidP="00CF10BA">
            <w:pPr>
              <w:keepNext/>
              <w:keepLines/>
              <w:widowControl w:val="0"/>
              <w:jc w:val="center"/>
              <w:rPr>
                <w:rFonts w:ascii="Arial Narrow" w:eastAsiaTheme="majorEastAsia" w:hAnsi="Arial Narrow" w:cstheme="minorHAnsi"/>
                <w:bCs/>
                <w:sz w:val="20"/>
                <w:szCs w:val="20"/>
                <w:lang w:val="en-AU"/>
              </w:rPr>
            </w:pPr>
            <w:r w:rsidRPr="00F91CC3">
              <w:rPr>
                <w:rFonts w:ascii="Arial Narrow" w:hAnsi="Arial Narrow"/>
                <w:sz w:val="20"/>
                <w:szCs w:val="20"/>
                <w:lang w:val="en-AU"/>
              </w:rPr>
              <w:t>0.36 (0.54)</w:t>
            </w:r>
          </w:p>
        </w:tc>
        <w:tc>
          <w:tcPr>
            <w:tcW w:w="765" w:type="pct"/>
          </w:tcPr>
          <w:p w14:paraId="0999EACD" w14:textId="77777777" w:rsidR="00034A31" w:rsidRPr="00F91CC3" w:rsidRDefault="00034A31" w:rsidP="00CF10BA">
            <w:pPr>
              <w:keepNext/>
              <w:keepLines/>
              <w:widowControl w:val="0"/>
              <w:jc w:val="center"/>
              <w:rPr>
                <w:rFonts w:ascii="Arial Narrow" w:eastAsiaTheme="majorEastAsia" w:hAnsi="Arial Narrow" w:cstheme="minorHAnsi"/>
                <w:bCs/>
                <w:sz w:val="20"/>
                <w:szCs w:val="20"/>
                <w:lang w:val="en-AU"/>
              </w:rPr>
            </w:pPr>
            <w:r w:rsidRPr="00F91CC3">
              <w:rPr>
                <w:rFonts w:ascii="Arial Narrow" w:hAnsi="Arial Narrow"/>
                <w:sz w:val="20"/>
                <w:szCs w:val="20"/>
                <w:lang w:val="en-AU"/>
              </w:rPr>
              <w:t>0.68 (1.12)</w:t>
            </w:r>
          </w:p>
        </w:tc>
      </w:tr>
      <w:tr w:rsidR="00034A31" w:rsidRPr="00F91CC3" w14:paraId="3353D3EA" w14:textId="77777777" w:rsidTr="002A2AB2">
        <w:trPr>
          <w:trHeight w:val="20"/>
        </w:trPr>
        <w:tc>
          <w:tcPr>
            <w:tcW w:w="1131" w:type="pct"/>
          </w:tcPr>
          <w:p w14:paraId="305693B7" w14:textId="77777777" w:rsidR="00034A31" w:rsidRPr="00F91CC3" w:rsidRDefault="00034A31" w:rsidP="00CF10BA">
            <w:pPr>
              <w:keepNext/>
              <w:keepLines/>
              <w:widowControl w:val="0"/>
              <w:jc w:val="left"/>
              <w:rPr>
                <w:rFonts w:ascii="Arial Narrow" w:eastAsiaTheme="majorEastAsia" w:hAnsi="Arial Narrow" w:cstheme="majorBidi"/>
                <w:bCs/>
                <w:sz w:val="20"/>
                <w:szCs w:val="20"/>
                <w:lang w:val="en-AU"/>
              </w:rPr>
            </w:pPr>
            <w:r w:rsidRPr="00F91CC3">
              <w:rPr>
                <w:rFonts w:ascii="Arial Narrow" w:eastAsiaTheme="majorEastAsia" w:hAnsi="Arial Narrow" w:cstheme="majorBidi"/>
                <w:bCs/>
                <w:sz w:val="20"/>
                <w:szCs w:val="20"/>
                <w:lang w:val="en-AU"/>
              </w:rPr>
              <w:t>Length at Week 24</w:t>
            </w:r>
            <w:r w:rsidRPr="00F91CC3">
              <w:rPr>
                <w:rFonts w:ascii="Arial Narrow" w:eastAsiaTheme="majorEastAsia" w:hAnsi="Arial Narrow" w:cstheme="majorBidi"/>
                <w:bCs/>
                <w:sz w:val="20"/>
                <w:szCs w:val="20"/>
                <w:vertAlign w:val="superscript"/>
                <w:lang w:val="en-AU"/>
              </w:rPr>
              <w:t>a</w:t>
            </w:r>
          </w:p>
        </w:tc>
        <w:tc>
          <w:tcPr>
            <w:tcW w:w="600" w:type="pct"/>
          </w:tcPr>
          <w:p w14:paraId="046D95A5" w14:textId="77777777" w:rsidR="00034A31" w:rsidRPr="00F91CC3" w:rsidRDefault="00034A31" w:rsidP="00CF10BA">
            <w:pPr>
              <w:keepNext/>
              <w:keepLines/>
              <w:widowControl w:val="0"/>
              <w:jc w:val="center"/>
              <w:rPr>
                <w:rFonts w:ascii="Arial Narrow" w:eastAsiaTheme="majorEastAsia" w:hAnsi="Arial Narrow" w:cstheme="majorBidi"/>
                <w:bCs/>
                <w:sz w:val="20"/>
                <w:szCs w:val="20"/>
                <w:lang w:val="en-AU"/>
              </w:rPr>
            </w:pPr>
            <w:r w:rsidRPr="00F91CC3">
              <w:rPr>
                <w:rFonts w:ascii="Arial Narrow" w:eastAsiaTheme="majorEastAsia" w:hAnsi="Arial Narrow" w:cstheme="majorBidi"/>
                <w:bCs/>
                <w:sz w:val="20"/>
                <w:szCs w:val="20"/>
                <w:lang w:val="en-AU"/>
              </w:rPr>
              <w:t>11, 6</w:t>
            </w:r>
          </w:p>
        </w:tc>
        <w:tc>
          <w:tcPr>
            <w:tcW w:w="1738" w:type="pct"/>
          </w:tcPr>
          <w:p w14:paraId="7B129D53" w14:textId="77777777" w:rsidR="00034A31" w:rsidRPr="00F91CC3" w:rsidRDefault="00034A31" w:rsidP="00CF10BA">
            <w:pPr>
              <w:keepNext/>
              <w:keepLines/>
              <w:widowControl w:val="0"/>
              <w:jc w:val="left"/>
              <w:rPr>
                <w:rFonts w:ascii="Arial Narrow" w:eastAsiaTheme="majorEastAsia" w:hAnsi="Arial Narrow" w:cstheme="majorBidi"/>
                <w:bCs/>
                <w:sz w:val="20"/>
                <w:szCs w:val="20"/>
                <w:lang w:val="en-AU"/>
              </w:rPr>
            </w:pPr>
            <w:r w:rsidRPr="00F91CC3">
              <w:rPr>
                <w:rFonts w:ascii="Arial Narrow" w:eastAsiaTheme="majorEastAsia" w:hAnsi="Arial Narrow" w:cstheme="majorBidi"/>
                <w:bCs/>
                <w:sz w:val="20"/>
                <w:szCs w:val="20"/>
                <w:lang w:val="en-AU"/>
              </w:rPr>
              <w:t>A small gain in length was observed during the study.</w:t>
            </w:r>
          </w:p>
        </w:tc>
        <w:tc>
          <w:tcPr>
            <w:tcW w:w="766" w:type="pct"/>
          </w:tcPr>
          <w:p w14:paraId="142A76CF" w14:textId="77777777" w:rsidR="00034A31" w:rsidRPr="00F91CC3" w:rsidRDefault="00034A31" w:rsidP="00CF10BA">
            <w:pPr>
              <w:keepNext/>
              <w:keepLines/>
              <w:widowControl w:val="0"/>
              <w:jc w:val="center"/>
              <w:rPr>
                <w:rFonts w:ascii="Arial Narrow" w:eastAsiaTheme="majorEastAsia" w:hAnsi="Arial Narrow" w:cstheme="minorHAnsi"/>
                <w:bCs/>
                <w:sz w:val="20"/>
                <w:szCs w:val="20"/>
                <w:lang w:val="en-AU"/>
              </w:rPr>
            </w:pPr>
            <w:r w:rsidRPr="00F91CC3">
              <w:rPr>
                <w:rFonts w:ascii="Arial Narrow" w:eastAsiaTheme="majorEastAsia" w:hAnsi="Arial Narrow" w:cstheme="minorHAnsi"/>
                <w:bCs/>
                <w:sz w:val="20"/>
                <w:szCs w:val="20"/>
                <w:lang w:val="en-AU"/>
              </w:rPr>
              <w:t>7.7 (3.5)</w:t>
            </w:r>
          </w:p>
        </w:tc>
        <w:tc>
          <w:tcPr>
            <w:tcW w:w="765" w:type="pct"/>
          </w:tcPr>
          <w:p w14:paraId="3C1CAE34" w14:textId="77777777" w:rsidR="00034A31" w:rsidRPr="00F91CC3" w:rsidRDefault="00034A31" w:rsidP="00CF10BA">
            <w:pPr>
              <w:keepNext/>
              <w:keepLines/>
              <w:widowControl w:val="0"/>
              <w:jc w:val="center"/>
              <w:rPr>
                <w:rFonts w:ascii="Arial Narrow" w:eastAsiaTheme="majorEastAsia" w:hAnsi="Arial Narrow" w:cstheme="minorHAnsi"/>
                <w:bCs/>
                <w:sz w:val="20"/>
                <w:szCs w:val="20"/>
                <w:lang w:val="en-AU"/>
              </w:rPr>
            </w:pPr>
            <w:r w:rsidRPr="00F91CC3">
              <w:rPr>
                <w:rFonts w:ascii="Arial Narrow" w:eastAsiaTheme="majorEastAsia" w:hAnsi="Arial Narrow" w:cstheme="minorHAnsi"/>
                <w:bCs/>
                <w:sz w:val="20"/>
                <w:szCs w:val="20"/>
                <w:lang w:val="en-AU"/>
              </w:rPr>
              <w:t>9.3 (2.1)</w:t>
            </w:r>
          </w:p>
        </w:tc>
      </w:tr>
      <w:tr w:rsidR="00034A31" w:rsidRPr="00F91CC3" w14:paraId="37820674" w14:textId="77777777" w:rsidTr="002A2AB2">
        <w:trPr>
          <w:trHeight w:val="20"/>
        </w:trPr>
        <w:tc>
          <w:tcPr>
            <w:tcW w:w="1131" w:type="pct"/>
          </w:tcPr>
          <w:p w14:paraId="31F57560" w14:textId="77777777" w:rsidR="00034A31" w:rsidRPr="00F91CC3" w:rsidRDefault="00034A31" w:rsidP="00CF10BA">
            <w:pPr>
              <w:keepNext/>
              <w:keepLines/>
              <w:widowControl w:val="0"/>
              <w:jc w:val="left"/>
              <w:rPr>
                <w:rFonts w:ascii="Arial Narrow" w:eastAsiaTheme="majorEastAsia" w:hAnsi="Arial Narrow" w:cstheme="majorBidi"/>
                <w:bCs/>
                <w:sz w:val="20"/>
                <w:szCs w:val="20"/>
                <w:lang w:val="en-AU"/>
              </w:rPr>
            </w:pPr>
            <w:r w:rsidRPr="00F91CC3">
              <w:rPr>
                <w:rFonts w:ascii="Arial Narrow" w:eastAsiaTheme="majorEastAsia" w:hAnsi="Arial Narrow" w:cstheme="majorBidi"/>
                <w:bCs/>
                <w:sz w:val="20"/>
                <w:szCs w:val="20"/>
                <w:lang w:val="en-AU"/>
              </w:rPr>
              <w:t>Length-for-age z-score at Week 24</w:t>
            </w:r>
            <w:r w:rsidRPr="00F91CC3">
              <w:rPr>
                <w:rFonts w:ascii="Arial Narrow" w:eastAsiaTheme="majorEastAsia" w:hAnsi="Arial Narrow" w:cstheme="majorBidi"/>
                <w:bCs/>
                <w:sz w:val="20"/>
                <w:szCs w:val="20"/>
                <w:vertAlign w:val="superscript"/>
                <w:lang w:val="en-AU"/>
              </w:rPr>
              <w:t>a</w:t>
            </w:r>
          </w:p>
        </w:tc>
        <w:tc>
          <w:tcPr>
            <w:tcW w:w="600" w:type="pct"/>
          </w:tcPr>
          <w:p w14:paraId="30A4B4A6" w14:textId="77777777" w:rsidR="00034A31" w:rsidRPr="00F91CC3" w:rsidRDefault="00034A31" w:rsidP="00CF10BA">
            <w:pPr>
              <w:keepNext/>
              <w:keepLines/>
              <w:widowControl w:val="0"/>
              <w:jc w:val="center"/>
              <w:rPr>
                <w:rFonts w:ascii="Arial Narrow" w:eastAsiaTheme="majorEastAsia" w:hAnsi="Arial Narrow" w:cstheme="majorBidi"/>
                <w:bCs/>
                <w:sz w:val="20"/>
                <w:szCs w:val="20"/>
                <w:lang w:val="en-AU"/>
              </w:rPr>
            </w:pPr>
            <w:r w:rsidRPr="00F91CC3">
              <w:rPr>
                <w:rFonts w:ascii="Arial Narrow" w:eastAsiaTheme="majorEastAsia" w:hAnsi="Arial Narrow" w:cstheme="majorBidi"/>
                <w:bCs/>
                <w:sz w:val="20"/>
                <w:szCs w:val="20"/>
                <w:lang w:val="en-AU"/>
              </w:rPr>
              <w:t>11, 6</w:t>
            </w:r>
          </w:p>
        </w:tc>
        <w:tc>
          <w:tcPr>
            <w:tcW w:w="1738" w:type="pct"/>
          </w:tcPr>
          <w:p w14:paraId="39B316CD" w14:textId="77777777" w:rsidR="00034A31" w:rsidRPr="00F91CC3" w:rsidRDefault="00034A31" w:rsidP="00CF10BA">
            <w:pPr>
              <w:keepNext/>
              <w:keepLines/>
              <w:widowControl w:val="0"/>
              <w:jc w:val="left"/>
              <w:rPr>
                <w:rFonts w:ascii="Arial Narrow" w:eastAsiaTheme="majorEastAsia" w:hAnsi="Arial Narrow" w:cstheme="minorHAnsi"/>
                <w:bCs/>
                <w:sz w:val="20"/>
                <w:szCs w:val="20"/>
                <w:lang w:val="en-AU"/>
              </w:rPr>
            </w:pPr>
            <w:r w:rsidRPr="00F91CC3">
              <w:rPr>
                <w:rFonts w:ascii="Arial Narrow" w:eastAsiaTheme="majorEastAsia" w:hAnsi="Arial Narrow" w:cstheme="majorBidi"/>
                <w:bCs/>
                <w:sz w:val="20"/>
                <w:szCs w:val="20"/>
                <w:lang w:val="en-AU"/>
              </w:rPr>
              <w:t>Length-for-age z-score</w:t>
            </w:r>
            <w:r w:rsidRPr="00F91CC3">
              <w:rPr>
                <w:rFonts w:ascii="Arial Narrow" w:eastAsiaTheme="majorEastAsia" w:hAnsi="Arial Narrow" w:cstheme="minorHAnsi"/>
                <w:bCs/>
                <w:sz w:val="20"/>
                <w:szCs w:val="20"/>
                <w:lang w:val="en-AU"/>
              </w:rPr>
              <w:t xml:space="preserve"> remained stable during the study.</w:t>
            </w:r>
          </w:p>
        </w:tc>
        <w:tc>
          <w:tcPr>
            <w:tcW w:w="766" w:type="pct"/>
          </w:tcPr>
          <w:p w14:paraId="267E8FCA" w14:textId="77777777" w:rsidR="00034A31" w:rsidRPr="00F91CC3" w:rsidRDefault="00034A31" w:rsidP="00CF10BA">
            <w:pPr>
              <w:keepNext/>
              <w:keepLines/>
              <w:widowControl w:val="0"/>
              <w:jc w:val="center"/>
              <w:rPr>
                <w:rFonts w:ascii="Arial Narrow" w:eastAsiaTheme="majorEastAsia" w:hAnsi="Arial Narrow" w:cstheme="minorHAnsi"/>
                <w:bCs/>
                <w:sz w:val="20"/>
                <w:szCs w:val="20"/>
                <w:lang w:val="en-AU"/>
              </w:rPr>
            </w:pPr>
            <w:r w:rsidRPr="00F91CC3">
              <w:rPr>
                <w:rFonts w:ascii="Arial Narrow" w:hAnsi="Arial Narrow"/>
                <w:sz w:val="20"/>
                <w:szCs w:val="20"/>
                <w:lang w:val="en-AU"/>
              </w:rPr>
              <w:t>0.27 (1.34)</w:t>
            </w:r>
          </w:p>
        </w:tc>
        <w:tc>
          <w:tcPr>
            <w:tcW w:w="765" w:type="pct"/>
          </w:tcPr>
          <w:p w14:paraId="605EFFA3" w14:textId="77777777" w:rsidR="00034A31" w:rsidRPr="00F91CC3" w:rsidRDefault="00034A31" w:rsidP="00CF10BA">
            <w:pPr>
              <w:keepNext/>
              <w:keepLines/>
              <w:widowControl w:val="0"/>
              <w:jc w:val="center"/>
              <w:rPr>
                <w:rFonts w:ascii="Arial Narrow" w:eastAsiaTheme="majorEastAsia" w:hAnsi="Arial Narrow" w:cstheme="minorHAnsi"/>
                <w:bCs/>
                <w:sz w:val="20"/>
                <w:szCs w:val="20"/>
                <w:lang w:val="en-AU"/>
              </w:rPr>
            </w:pPr>
            <w:r w:rsidRPr="00F91CC3">
              <w:rPr>
                <w:rFonts w:ascii="Arial Narrow" w:hAnsi="Arial Narrow"/>
                <w:sz w:val="20"/>
                <w:szCs w:val="20"/>
                <w:lang w:val="en-AU"/>
              </w:rPr>
              <w:t>0.56 (0.86)</w:t>
            </w:r>
          </w:p>
        </w:tc>
      </w:tr>
      <w:tr w:rsidR="00034A31" w:rsidRPr="00F91CC3" w14:paraId="0CF3280C" w14:textId="77777777" w:rsidTr="002A2AB2">
        <w:trPr>
          <w:trHeight w:val="20"/>
        </w:trPr>
        <w:tc>
          <w:tcPr>
            <w:tcW w:w="1131" w:type="pct"/>
          </w:tcPr>
          <w:p w14:paraId="123E5BBF" w14:textId="77777777" w:rsidR="00034A31" w:rsidRPr="00F91CC3" w:rsidRDefault="00034A31" w:rsidP="00CF10BA">
            <w:pPr>
              <w:keepNext/>
              <w:keepLines/>
              <w:widowControl w:val="0"/>
              <w:jc w:val="left"/>
              <w:rPr>
                <w:rFonts w:ascii="Arial Narrow" w:eastAsiaTheme="majorEastAsia" w:hAnsi="Arial Narrow" w:cstheme="majorBidi"/>
                <w:bCs/>
                <w:sz w:val="20"/>
                <w:szCs w:val="20"/>
                <w:lang w:val="en-AU"/>
              </w:rPr>
            </w:pPr>
            <w:r w:rsidRPr="00F91CC3">
              <w:rPr>
                <w:rFonts w:ascii="Arial Narrow" w:eastAsiaTheme="majorEastAsia" w:hAnsi="Arial Narrow" w:cstheme="majorBidi"/>
                <w:bCs/>
                <w:sz w:val="20"/>
                <w:szCs w:val="20"/>
                <w:lang w:val="en-AU"/>
              </w:rPr>
              <w:t>Weight-for</w:t>
            </w:r>
            <w:r w:rsidRPr="00F91CC3">
              <w:rPr>
                <w:rFonts w:ascii="Arial Narrow" w:eastAsiaTheme="majorEastAsia" w:hAnsi="Arial Narrow" w:cstheme="majorBidi"/>
                <w:bCs/>
                <w:sz w:val="20"/>
                <w:szCs w:val="20"/>
                <w:lang w:val="en-AU"/>
              </w:rPr>
              <w:noBreakHyphen/>
              <w:t>length z-score at Week 24</w:t>
            </w:r>
            <w:r w:rsidRPr="00F91CC3">
              <w:rPr>
                <w:rFonts w:ascii="Arial Narrow" w:eastAsiaTheme="majorEastAsia" w:hAnsi="Arial Narrow" w:cstheme="majorBidi"/>
                <w:bCs/>
                <w:sz w:val="20"/>
                <w:szCs w:val="20"/>
                <w:vertAlign w:val="superscript"/>
                <w:lang w:val="en-AU"/>
              </w:rPr>
              <w:t>a</w:t>
            </w:r>
          </w:p>
        </w:tc>
        <w:tc>
          <w:tcPr>
            <w:tcW w:w="600" w:type="pct"/>
          </w:tcPr>
          <w:p w14:paraId="7D526C6D" w14:textId="77777777" w:rsidR="00034A31" w:rsidRPr="00F91CC3" w:rsidRDefault="00034A31" w:rsidP="00CF10BA">
            <w:pPr>
              <w:keepNext/>
              <w:keepLines/>
              <w:widowControl w:val="0"/>
              <w:jc w:val="center"/>
              <w:rPr>
                <w:rFonts w:ascii="Arial Narrow" w:eastAsiaTheme="majorEastAsia" w:hAnsi="Arial Narrow" w:cstheme="majorBidi"/>
                <w:bCs/>
                <w:sz w:val="20"/>
                <w:szCs w:val="20"/>
                <w:lang w:val="en-AU"/>
              </w:rPr>
            </w:pPr>
            <w:r w:rsidRPr="00F91CC3">
              <w:rPr>
                <w:rFonts w:ascii="Arial Narrow" w:eastAsiaTheme="majorEastAsia" w:hAnsi="Arial Narrow" w:cstheme="majorBidi"/>
                <w:bCs/>
                <w:sz w:val="20"/>
                <w:szCs w:val="20"/>
                <w:lang w:val="en-AU"/>
              </w:rPr>
              <w:t>11, 6</w:t>
            </w:r>
          </w:p>
        </w:tc>
        <w:tc>
          <w:tcPr>
            <w:tcW w:w="1738" w:type="pct"/>
          </w:tcPr>
          <w:p w14:paraId="5E167AB8" w14:textId="77777777" w:rsidR="00034A31" w:rsidRPr="00F91CC3" w:rsidRDefault="00034A31" w:rsidP="00CF10BA">
            <w:pPr>
              <w:keepNext/>
              <w:keepLines/>
              <w:widowControl w:val="0"/>
              <w:jc w:val="left"/>
              <w:rPr>
                <w:rFonts w:ascii="Arial Narrow" w:eastAsiaTheme="majorEastAsia" w:hAnsi="Arial Narrow" w:cstheme="majorBidi"/>
                <w:bCs/>
                <w:sz w:val="20"/>
                <w:szCs w:val="20"/>
                <w:lang w:val="en-AU"/>
              </w:rPr>
            </w:pPr>
            <w:r w:rsidRPr="00F91CC3">
              <w:rPr>
                <w:rFonts w:ascii="Arial Narrow" w:eastAsiaTheme="majorEastAsia" w:hAnsi="Arial Narrow" w:cstheme="majorBidi"/>
                <w:bCs/>
                <w:sz w:val="20"/>
                <w:szCs w:val="20"/>
                <w:lang w:val="en-AU"/>
              </w:rPr>
              <w:t>Weight-for-length remained stable during the study for Group 6, and increased for Group 7.</w:t>
            </w:r>
          </w:p>
        </w:tc>
        <w:tc>
          <w:tcPr>
            <w:tcW w:w="766" w:type="pct"/>
          </w:tcPr>
          <w:p w14:paraId="1F6EDF0E" w14:textId="77777777" w:rsidR="00034A31" w:rsidRPr="00F91CC3" w:rsidRDefault="00034A31" w:rsidP="00CF10BA">
            <w:pPr>
              <w:keepNext/>
              <w:keepLines/>
              <w:widowControl w:val="0"/>
              <w:jc w:val="center"/>
              <w:rPr>
                <w:rFonts w:ascii="Arial Narrow" w:eastAsiaTheme="majorEastAsia" w:hAnsi="Arial Narrow" w:cstheme="minorHAnsi"/>
                <w:bCs/>
                <w:sz w:val="20"/>
                <w:szCs w:val="20"/>
                <w:lang w:val="en-AU"/>
              </w:rPr>
            </w:pPr>
            <w:r w:rsidRPr="00F91CC3">
              <w:rPr>
                <w:rFonts w:ascii="Arial Narrow" w:eastAsiaTheme="majorEastAsia" w:hAnsi="Arial Narrow" w:cstheme="minorHAnsi"/>
                <w:bCs/>
                <w:sz w:val="20"/>
                <w:szCs w:val="20"/>
                <w:lang w:val="en-AU"/>
              </w:rPr>
              <w:t>2.8 (38.3)</w:t>
            </w:r>
          </w:p>
        </w:tc>
        <w:tc>
          <w:tcPr>
            <w:tcW w:w="765" w:type="pct"/>
          </w:tcPr>
          <w:p w14:paraId="7B6FD960" w14:textId="77777777" w:rsidR="00034A31" w:rsidRPr="00F91CC3" w:rsidRDefault="00034A31" w:rsidP="00CF10BA">
            <w:pPr>
              <w:keepNext/>
              <w:keepLines/>
              <w:widowControl w:val="0"/>
              <w:jc w:val="center"/>
              <w:rPr>
                <w:rFonts w:ascii="Arial Narrow" w:eastAsiaTheme="majorEastAsia" w:hAnsi="Arial Narrow" w:cstheme="minorHAnsi"/>
                <w:bCs/>
                <w:sz w:val="20"/>
                <w:szCs w:val="20"/>
                <w:lang w:val="en-AU"/>
              </w:rPr>
            </w:pPr>
            <w:r w:rsidRPr="00F91CC3">
              <w:rPr>
                <w:rFonts w:ascii="Arial Narrow" w:eastAsiaTheme="majorEastAsia" w:hAnsi="Arial Narrow" w:cstheme="minorHAnsi"/>
                <w:bCs/>
                <w:sz w:val="20"/>
                <w:szCs w:val="20"/>
                <w:lang w:val="en-AU"/>
              </w:rPr>
              <w:t>20.0 (37.0)</w:t>
            </w:r>
          </w:p>
        </w:tc>
      </w:tr>
      <w:tr w:rsidR="00034A31" w:rsidRPr="00F91CC3" w14:paraId="049B23DF" w14:textId="77777777" w:rsidTr="002A2AB2">
        <w:trPr>
          <w:trHeight w:val="20"/>
        </w:trPr>
        <w:tc>
          <w:tcPr>
            <w:tcW w:w="1131" w:type="pct"/>
          </w:tcPr>
          <w:p w14:paraId="675404B0" w14:textId="77777777" w:rsidR="00034A31" w:rsidRPr="00F91CC3" w:rsidRDefault="00034A31" w:rsidP="00CF10BA">
            <w:pPr>
              <w:keepNext/>
              <w:keepLines/>
              <w:widowControl w:val="0"/>
              <w:jc w:val="left"/>
              <w:rPr>
                <w:rFonts w:ascii="Arial Narrow" w:eastAsiaTheme="majorEastAsia" w:hAnsi="Arial Narrow" w:cstheme="majorBidi"/>
                <w:bCs/>
                <w:sz w:val="20"/>
                <w:szCs w:val="20"/>
                <w:lang w:val="en-AU"/>
              </w:rPr>
            </w:pPr>
            <w:r w:rsidRPr="00F91CC3">
              <w:rPr>
                <w:rFonts w:ascii="Arial Narrow" w:eastAsiaTheme="majorEastAsia" w:hAnsi="Arial Narrow" w:cstheme="majorBidi"/>
                <w:bCs/>
                <w:sz w:val="20"/>
                <w:szCs w:val="20"/>
                <w:lang w:val="en-AU"/>
              </w:rPr>
              <w:t>Weight-for-length-for-age z-score at Week 24</w:t>
            </w:r>
            <w:r w:rsidRPr="00F91CC3">
              <w:rPr>
                <w:rFonts w:ascii="Arial Narrow" w:eastAsiaTheme="majorEastAsia" w:hAnsi="Arial Narrow" w:cstheme="majorBidi"/>
                <w:bCs/>
                <w:sz w:val="20"/>
                <w:szCs w:val="20"/>
                <w:vertAlign w:val="superscript"/>
                <w:lang w:val="en-AU"/>
              </w:rPr>
              <w:t>a</w:t>
            </w:r>
          </w:p>
        </w:tc>
        <w:tc>
          <w:tcPr>
            <w:tcW w:w="600" w:type="pct"/>
          </w:tcPr>
          <w:p w14:paraId="1D44B3D9" w14:textId="77777777" w:rsidR="00034A31" w:rsidRPr="00F91CC3" w:rsidRDefault="00034A31" w:rsidP="00CF10BA">
            <w:pPr>
              <w:keepNext/>
              <w:keepLines/>
              <w:widowControl w:val="0"/>
              <w:jc w:val="center"/>
              <w:rPr>
                <w:rFonts w:ascii="Arial Narrow" w:eastAsiaTheme="majorEastAsia" w:hAnsi="Arial Narrow" w:cstheme="majorBidi"/>
                <w:bCs/>
                <w:sz w:val="20"/>
                <w:szCs w:val="20"/>
                <w:lang w:val="en-AU"/>
              </w:rPr>
            </w:pPr>
            <w:r w:rsidRPr="00F91CC3">
              <w:rPr>
                <w:rFonts w:ascii="Arial Narrow" w:eastAsiaTheme="majorEastAsia" w:hAnsi="Arial Narrow" w:cstheme="majorBidi"/>
                <w:bCs/>
                <w:sz w:val="20"/>
                <w:szCs w:val="20"/>
                <w:lang w:val="en-AU"/>
              </w:rPr>
              <w:t>11, 6</w:t>
            </w:r>
          </w:p>
        </w:tc>
        <w:tc>
          <w:tcPr>
            <w:tcW w:w="1738" w:type="pct"/>
          </w:tcPr>
          <w:p w14:paraId="6FB4527D" w14:textId="77777777" w:rsidR="00034A31" w:rsidRPr="00F91CC3" w:rsidRDefault="00034A31" w:rsidP="00CF10BA">
            <w:pPr>
              <w:keepNext/>
              <w:keepLines/>
              <w:widowControl w:val="0"/>
              <w:jc w:val="left"/>
              <w:rPr>
                <w:rFonts w:ascii="Arial Narrow" w:eastAsiaTheme="majorEastAsia" w:hAnsi="Arial Narrow" w:cstheme="majorBidi"/>
                <w:bCs/>
                <w:sz w:val="20"/>
                <w:szCs w:val="20"/>
                <w:lang w:val="en-AU"/>
              </w:rPr>
            </w:pPr>
            <w:r w:rsidRPr="00F91CC3">
              <w:rPr>
                <w:rFonts w:ascii="Arial Narrow" w:eastAsiaTheme="majorEastAsia" w:hAnsi="Arial Narrow" w:cstheme="minorHAnsi"/>
                <w:bCs/>
                <w:sz w:val="20"/>
                <w:szCs w:val="20"/>
                <w:lang w:val="en-AU"/>
              </w:rPr>
              <w:t>Mean weight-for-length-for-age z-score remained stable during the study</w:t>
            </w:r>
          </w:p>
        </w:tc>
        <w:tc>
          <w:tcPr>
            <w:tcW w:w="766" w:type="pct"/>
          </w:tcPr>
          <w:p w14:paraId="73CD6A43" w14:textId="77777777" w:rsidR="00034A31" w:rsidRPr="00F91CC3" w:rsidRDefault="00034A31" w:rsidP="00CF10BA">
            <w:pPr>
              <w:keepNext/>
              <w:keepLines/>
              <w:widowControl w:val="0"/>
              <w:jc w:val="center"/>
              <w:rPr>
                <w:rFonts w:ascii="Arial Narrow" w:eastAsiaTheme="majorEastAsia" w:hAnsi="Arial Narrow" w:cstheme="majorBidi"/>
                <w:bCs/>
                <w:sz w:val="20"/>
                <w:szCs w:val="20"/>
                <w:lang w:val="en-AU"/>
              </w:rPr>
            </w:pPr>
            <w:r w:rsidRPr="00F91CC3">
              <w:rPr>
                <w:rFonts w:ascii="Arial Narrow" w:hAnsi="Arial Narrow"/>
                <w:sz w:val="20"/>
                <w:szCs w:val="20"/>
                <w:lang w:val="en-AU"/>
              </w:rPr>
              <w:t>0.26 (1.30)</w:t>
            </w:r>
          </w:p>
        </w:tc>
        <w:tc>
          <w:tcPr>
            <w:tcW w:w="765" w:type="pct"/>
          </w:tcPr>
          <w:p w14:paraId="2A727910" w14:textId="77777777" w:rsidR="00034A31" w:rsidRPr="00F91CC3" w:rsidRDefault="00034A31" w:rsidP="00CF10BA">
            <w:pPr>
              <w:keepNext/>
              <w:keepLines/>
              <w:widowControl w:val="0"/>
              <w:jc w:val="center"/>
              <w:rPr>
                <w:rFonts w:ascii="Arial Narrow" w:eastAsiaTheme="majorEastAsia" w:hAnsi="Arial Narrow" w:cstheme="majorBidi"/>
                <w:bCs/>
                <w:sz w:val="20"/>
                <w:szCs w:val="20"/>
                <w:lang w:val="en-AU"/>
              </w:rPr>
            </w:pPr>
            <w:r w:rsidRPr="00F91CC3">
              <w:rPr>
                <w:rFonts w:ascii="Arial Narrow" w:hAnsi="Arial Narrow"/>
                <w:sz w:val="20"/>
                <w:szCs w:val="20"/>
                <w:lang w:val="en-AU"/>
              </w:rPr>
              <w:t>0.68 (1.12)</w:t>
            </w:r>
          </w:p>
        </w:tc>
      </w:tr>
      <w:tr w:rsidR="00034A31" w:rsidRPr="00F91CC3" w14:paraId="5C13410D" w14:textId="77777777" w:rsidTr="002A2AB2">
        <w:trPr>
          <w:trHeight w:val="209"/>
        </w:trPr>
        <w:tc>
          <w:tcPr>
            <w:tcW w:w="1131" w:type="pct"/>
            <w:vMerge w:val="restart"/>
          </w:tcPr>
          <w:p w14:paraId="4EBBD94F" w14:textId="77777777" w:rsidR="00034A31" w:rsidRPr="00F91CC3" w:rsidRDefault="00034A31" w:rsidP="00CF10BA">
            <w:pPr>
              <w:keepNext/>
              <w:keepLines/>
              <w:widowControl w:val="0"/>
              <w:jc w:val="left"/>
              <w:rPr>
                <w:rFonts w:ascii="Arial Narrow" w:eastAsiaTheme="majorEastAsia" w:hAnsi="Arial Narrow" w:cstheme="majorBidi"/>
                <w:bCs/>
                <w:sz w:val="20"/>
                <w:szCs w:val="20"/>
                <w:lang w:val="en-AU"/>
              </w:rPr>
            </w:pPr>
            <w:r w:rsidRPr="00F91CC3">
              <w:rPr>
                <w:rFonts w:ascii="Arial Narrow" w:eastAsiaTheme="majorEastAsia" w:hAnsi="Arial Narrow" w:cstheme="majorBidi"/>
                <w:bCs/>
                <w:sz w:val="20"/>
                <w:szCs w:val="20"/>
                <w:lang w:val="en-AU"/>
              </w:rPr>
              <w:t>Number of PEx through Week 24</w:t>
            </w:r>
          </w:p>
        </w:tc>
        <w:tc>
          <w:tcPr>
            <w:tcW w:w="600" w:type="pct"/>
            <w:vMerge w:val="restart"/>
          </w:tcPr>
          <w:p w14:paraId="178C877D" w14:textId="77777777" w:rsidR="00034A31" w:rsidRPr="00F91CC3" w:rsidRDefault="00034A31" w:rsidP="00CF10BA">
            <w:pPr>
              <w:keepNext/>
              <w:keepLines/>
              <w:widowControl w:val="0"/>
              <w:jc w:val="center"/>
              <w:rPr>
                <w:rFonts w:ascii="Arial Narrow" w:eastAsiaTheme="majorEastAsia" w:hAnsi="Arial Narrow" w:cstheme="majorBidi"/>
                <w:bCs/>
                <w:sz w:val="20"/>
                <w:szCs w:val="20"/>
                <w:lang w:val="en-AU"/>
              </w:rPr>
            </w:pPr>
            <w:r w:rsidRPr="00F91CC3">
              <w:rPr>
                <w:rFonts w:ascii="Arial Narrow" w:eastAsiaTheme="majorEastAsia" w:hAnsi="Arial Narrow" w:cstheme="majorBidi"/>
                <w:bCs/>
                <w:sz w:val="20"/>
                <w:szCs w:val="20"/>
                <w:lang w:val="en-AU"/>
              </w:rPr>
              <w:t>11, 6</w:t>
            </w:r>
          </w:p>
        </w:tc>
        <w:tc>
          <w:tcPr>
            <w:tcW w:w="1738" w:type="pct"/>
          </w:tcPr>
          <w:p w14:paraId="05368D72" w14:textId="0F3D839A" w:rsidR="00034A31" w:rsidRPr="00F91CC3" w:rsidRDefault="00034A31" w:rsidP="00CF10BA">
            <w:pPr>
              <w:keepNext/>
              <w:keepLines/>
              <w:widowControl w:val="0"/>
              <w:jc w:val="left"/>
              <w:rPr>
                <w:rFonts w:ascii="Arial Narrow" w:eastAsiaTheme="majorEastAsia" w:hAnsi="Arial Narrow" w:cstheme="majorBidi"/>
                <w:bCs/>
                <w:sz w:val="20"/>
                <w:szCs w:val="20"/>
                <w:lang w:val="en-AU"/>
              </w:rPr>
            </w:pPr>
            <w:r w:rsidRPr="00F91CC3">
              <w:rPr>
                <w:rFonts w:ascii="Arial Narrow" w:eastAsiaTheme="majorEastAsia" w:hAnsi="Arial Narrow" w:cstheme="majorBidi"/>
                <w:bCs/>
                <w:sz w:val="20"/>
                <w:szCs w:val="20"/>
                <w:lang w:val="en-AU"/>
              </w:rPr>
              <w:t>Definition 1</w:t>
            </w:r>
            <w:r w:rsidR="008C4A1B" w:rsidRPr="00F91CC3">
              <w:rPr>
                <w:rFonts w:ascii="Arial Narrow" w:eastAsiaTheme="majorEastAsia" w:hAnsi="Arial Narrow" w:cstheme="majorBidi"/>
                <w:bCs/>
                <w:sz w:val="20"/>
                <w:szCs w:val="20"/>
                <w:vertAlign w:val="superscript"/>
                <w:lang w:val="en-AU"/>
              </w:rPr>
              <w:t>b</w:t>
            </w:r>
          </w:p>
          <w:p w14:paraId="18DD0963" w14:textId="77777777" w:rsidR="00034A31" w:rsidRPr="00F91CC3" w:rsidRDefault="00034A31" w:rsidP="00CF10BA">
            <w:pPr>
              <w:keepNext/>
              <w:keepLines/>
              <w:widowControl w:val="0"/>
              <w:jc w:val="left"/>
              <w:rPr>
                <w:rFonts w:ascii="Arial Narrow" w:eastAsiaTheme="majorEastAsia" w:hAnsi="Arial Narrow" w:cstheme="majorBidi"/>
                <w:bCs/>
                <w:sz w:val="20"/>
                <w:szCs w:val="20"/>
                <w:lang w:val="en-AU"/>
              </w:rPr>
            </w:pPr>
            <w:r w:rsidRPr="00F91CC3">
              <w:rPr>
                <w:rFonts w:ascii="Arial Narrow" w:eastAsiaTheme="majorEastAsia" w:hAnsi="Arial Narrow" w:cstheme="majorBidi"/>
                <w:bCs/>
                <w:sz w:val="20"/>
                <w:szCs w:val="20"/>
                <w:lang w:val="en-AU"/>
              </w:rPr>
              <w:t>Group 6</w:t>
            </w:r>
          </w:p>
          <w:p w14:paraId="72BDCC91" w14:textId="77777777" w:rsidR="00034A31" w:rsidRPr="00F91CC3" w:rsidRDefault="00034A31" w:rsidP="00CF10BA">
            <w:pPr>
              <w:keepNext/>
              <w:keepLines/>
              <w:widowControl w:val="0"/>
              <w:jc w:val="left"/>
              <w:rPr>
                <w:rFonts w:ascii="Arial Narrow" w:eastAsiaTheme="majorEastAsia" w:hAnsi="Arial Narrow" w:cstheme="majorBidi"/>
                <w:bCs/>
                <w:sz w:val="20"/>
                <w:szCs w:val="20"/>
                <w:lang w:val="en-AU"/>
              </w:rPr>
            </w:pPr>
            <w:r w:rsidRPr="00F91CC3">
              <w:rPr>
                <w:rFonts w:ascii="Arial Narrow" w:eastAsiaTheme="majorEastAsia" w:hAnsi="Arial Narrow" w:cstheme="majorBidi"/>
                <w:bCs/>
                <w:sz w:val="20"/>
                <w:szCs w:val="20"/>
                <w:lang w:val="en-AU"/>
              </w:rPr>
              <w:t>There were 7 patients with a PEx with 10 total events. The observed event rate per year was 1.95.</w:t>
            </w:r>
          </w:p>
          <w:p w14:paraId="765DB9F4" w14:textId="77777777" w:rsidR="00034A31" w:rsidRPr="00F91CC3" w:rsidRDefault="00034A31" w:rsidP="00CF10BA">
            <w:pPr>
              <w:keepNext/>
              <w:keepLines/>
              <w:widowControl w:val="0"/>
              <w:jc w:val="left"/>
              <w:rPr>
                <w:rFonts w:ascii="Arial Narrow" w:eastAsiaTheme="majorEastAsia" w:hAnsi="Arial Narrow" w:cstheme="majorBidi"/>
                <w:bCs/>
                <w:sz w:val="20"/>
                <w:szCs w:val="20"/>
                <w:lang w:val="en-AU"/>
              </w:rPr>
            </w:pPr>
            <w:r w:rsidRPr="00F91CC3">
              <w:rPr>
                <w:rFonts w:ascii="Arial Narrow" w:eastAsiaTheme="majorEastAsia" w:hAnsi="Arial Narrow" w:cstheme="majorBidi"/>
                <w:bCs/>
                <w:sz w:val="20"/>
                <w:szCs w:val="20"/>
                <w:lang w:val="en-AU"/>
              </w:rPr>
              <w:t>Group 7</w:t>
            </w:r>
          </w:p>
          <w:p w14:paraId="04B3B969" w14:textId="1E88894F" w:rsidR="00034A31" w:rsidRPr="00F91CC3" w:rsidRDefault="00034A31" w:rsidP="00CF10BA">
            <w:pPr>
              <w:keepNext/>
              <w:keepLines/>
              <w:widowControl w:val="0"/>
              <w:jc w:val="left"/>
              <w:rPr>
                <w:rFonts w:ascii="Arial Narrow" w:eastAsiaTheme="majorEastAsia" w:hAnsi="Arial Narrow" w:cstheme="majorBidi"/>
                <w:bCs/>
                <w:sz w:val="20"/>
                <w:szCs w:val="20"/>
                <w:lang w:val="en-AU"/>
              </w:rPr>
            </w:pPr>
            <w:r w:rsidRPr="00F91CC3">
              <w:rPr>
                <w:rFonts w:ascii="Arial Narrow" w:eastAsiaTheme="majorEastAsia" w:hAnsi="Arial Narrow" w:cstheme="majorBidi"/>
                <w:bCs/>
                <w:sz w:val="20"/>
                <w:szCs w:val="20"/>
                <w:lang w:val="en-AU"/>
              </w:rPr>
              <w:t>There were 2 pat</w:t>
            </w:r>
            <w:r w:rsidR="00AB6ADE" w:rsidRPr="00F91CC3">
              <w:rPr>
                <w:rFonts w:ascii="Arial Narrow" w:eastAsiaTheme="majorEastAsia" w:hAnsi="Arial Narrow" w:cstheme="majorBidi"/>
                <w:bCs/>
                <w:sz w:val="20"/>
                <w:szCs w:val="20"/>
                <w:lang w:val="en-AU"/>
              </w:rPr>
              <w:t>i</w:t>
            </w:r>
            <w:r w:rsidRPr="00F91CC3">
              <w:rPr>
                <w:rFonts w:ascii="Arial Narrow" w:eastAsiaTheme="majorEastAsia" w:hAnsi="Arial Narrow" w:cstheme="majorBidi"/>
                <w:bCs/>
                <w:sz w:val="20"/>
                <w:szCs w:val="20"/>
                <w:lang w:val="en-AU"/>
              </w:rPr>
              <w:t>ents with a PEx with 2 tot</w:t>
            </w:r>
            <w:r w:rsidR="00F27E82" w:rsidRPr="00F91CC3">
              <w:rPr>
                <w:rFonts w:ascii="Arial Narrow" w:eastAsiaTheme="majorEastAsia" w:hAnsi="Arial Narrow" w:cstheme="majorBidi"/>
                <w:bCs/>
                <w:sz w:val="20"/>
                <w:szCs w:val="20"/>
                <w:lang w:val="en-AU"/>
              </w:rPr>
              <w:t>a</w:t>
            </w:r>
            <w:r w:rsidRPr="00F91CC3">
              <w:rPr>
                <w:rFonts w:ascii="Arial Narrow" w:eastAsiaTheme="majorEastAsia" w:hAnsi="Arial Narrow" w:cstheme="majorBidi"/>
                <w:bCs/>
                <w:sz w:val="20"/>
                <w:szCs w:val="20"/>
                <w:lang w:val="en-AU"/>
              </w:rPr>
              <w:t>l events. The observed event rate per year was 0.73.</w:t>
            </w:r>
          </w:p>
        </w:tc>
        <w:tc>
          <w:tcPr>
            <w:tcW w:w="766" w:type="pct"/>
          </w:tcPr>
          <w:p w14:paraId="7DDC96AE" w14:textId="77777777" w:rsidR="00034A31" w:rsidRPr="00F91CC3" w:rsidRDefault="00034A31" w:rsidP="00CF10BA">
            <w:pPr>
              <w:keepNext/>
              <w:keepLines/>
              <w:widowControl w:val="0"/>
              <w:jc w:val="center"/>
              <w:rPr>
                <w:rFonts w:ascii="Arial Narrow" w:eastAsiaTheme="majorEastAsia" w:hAnsi="Arial Narrow" w:cstheme="majorBidi"/>
                <w:bCs/>
                <w:sz w:val="20"/>
                <w:szCs w:val="20"/>
                <w:lang w:val="en-AU"/>
              </w:rPr>
            </w:pPr>
            <w:r w:rsidRPr="00F91CC3">
              <w:rPr>
                <w:rFonts w:ascii="Arial Narrow" w:eastAsiaTheme="majorEastAsia" w:hAnsi="Arial Narrow" w:cstheme="majorBidi"/>
                <w:bCs/>
                <w:sz w:val="20"/>
                <w:szCs w:val="20"/>
                <w:lang w:val="en-AU"/>
              </w:rPr>
              <w:t>NR</w:t>
            </w:r>
          </w:p>
        </w:tc>
        <w:tc>
          <w:tcPr>
            <w:tcW w:w="765" w:type="pct"/>
          </w:tcPr>
          <w:p w14:paraId="128D917E" w14:textId="77777777" w:rsidR="00034A31" w:rsidRPr="00F91CC3" w:rsidRDefault="00034A31" w:rsidP="00CF10BA">
            <w:pPr>
              <w:keepNext/>
              <w:keepLines/>
              <w:widowControl w:val="0"/>
              <w:jc w:val="center"/>
              <w:rPr>
                <w:rFonts w:ascii="Arial Narrow" w:eastAsiaTheme="majorEastAsia" w:hAnsi="Arial Narrow" w:cstheme="majorBidi"/>
                <w:bCs/>
                <w:sz w:val="20"/>
                <w:szCs w:val="20"/>
                <w:lang w:val="en-AU"/>
              </w:rPr>
            </w:pPr>
            <w:r w:rsidRPr="00F91CC3">
              <w:rPr>
                <w:rFonts w:ascii="Arial Narrow" w:eastAsiaTheme="majorEastAsia" w:hAnsi="Arial Narrow" w:cstheme="majorBidi"/>
                <w:bCs/>
                <w:sz w:val="20"/>
                <w:szCs w:val="20"/>
                <w:lang w:val="en-AU"/>
              </w:rPr>
              <w:t>NR</w:t>
            </w:r>
          </w:p>
        </w:tc>
      </w:tr>
      <w:tr w:rsidR="00034A31" w:rsidRPr="00F91CC3" w14:paraId="04F1B8B8" w14:textId="77777777" w:rsidTr="002A2AB2">
        <w:trPr>
          <w:trHeight w:val="209"/>
        </w:trPr>
        <w:tc>
          <w:tcPr>
            <w:tcW w:w="1131" w:type="pct"/>
            <w:vMerge/>
          </w:tcPr>
          <w:p w14:paraId="69B364FD" w14:textId="77777777" w:rsidR="00034A31" w:rsidRPr="00F91CC3" w:rsidRDefault="00034A31" w:rsidP="00CF10BA">
            <w:pPr>
              <w:keepNext/>
              <w:keepLines/>
              <w:widowControl w:val="0"/>
              <w:jc w:val="center"/>
              <w:rPr>
                <w:rFonts w:ascii="Arial Narrow" w:eastAsiaTheme="majorEastAsia" w:hAnsi="Arial Narrow" w:cstheme="majorBidi"/>
                <w:bCs/>
                <w:sz w:val="20"/>
                <w:szCs w:val="20"/>
                <w:lang w:val="en-AU"/>
              </w:rPr>
            </w:pPr>
          </w:p>
        </w:tc>
        <w:tc>
          <w:tcPr>
            <w:tcW w:w="600" w:type="pct"/>
            <w:vMerge/>
          </w:tcPr>
          <w:p w14:paraId="223632E0" w14:textId="77777777" w:rsidR="00034A31" w:rsidRPr="00F91CC3" w:rsidRDefault="00034A31" w:rsidP="00CF10BA">
            <w:pPr>
              <w:keepNext/>
              <w:keepLines/>
              <w:widowControl w:val="0"/>
              <w:jc w:val="center"/>
              <w:rPr>
                <w:rFonts w:ascii="Arial Narrow" w:eastAsiaTheme="majorEastAsia" w:hAnsi="Arial Narrow" w:cstheme="majorBidi"/>
                <w:bCs/>
                <w:sz w:val="20"/>
                <w:szCs w:val="20"/>
                <w:lang w:val="en-AU"/>
              </w:rPr>
            </w:pPr>
          </w:p>
        </w:tc>
        <w:tc>
          <w:tcPr>
            <w:tcW w:w="1738" w:type="pct"/>
          </w:tcPr>
          <w:p w14:paraId="144A839C" w14:textId="45EE7559" w:rsidR="00034A31" w:rsidRPr="00F91CC3" w:rsidRDefault="00034A31" w:rsidP="00CF10BA">
            <w:pPr>
              <w:keepNext/>
              <w:keepLines/>
              <w:widowControl w:val="0"/>
              <w:jc w:val="left"/>
              <w:rPr>
                <w:rFonts w:ascii="Arial Narrow" w:eastAsiaTheme="majorEastAsia" w:hAnsi="Arial Narrow" w:cstheme="majorBidi"/>
                <w:bCs/>
                <w:sz w:val="20"/>
                <w:szCs w:val="20"/>
                <w:lang w:val="en-AU"/>
              </w:rPr>
            </w:pPr>
            <w:r w:rsidRPr="00F91CC3">
              <w:rPr>
                <w:rFonts w:ascii="Arial Narrow" w:eastAsiaTheme="majorEastAsia" w:hAnsi="Arial Narrow" w:cstheme="majorBidi"/>
                <w:bCs/>
                <w:sz w:val="20"/>
                <w:szCs w:val="20"/>
                <w:lang w:val="en-AU"/>
              </w:rPr>
              <w:t>Definition 2</w:t>
            </w:r>
            <w:r w:rsidR="008C4A1B" w:rsidRPr="00F91CC3">
              <w:rPr>
                <w:rFonts w:ascii="Arial Narrow" w:eastAsiaTheme="majorEastAsia" w:hAnsi="Arial Narrow" w:cstheme="majorBidi"/>
                <w:bCs/>
                <w:sz w:val="20"/>
                <w:szCs w:val="20"/>
                <w:vertAlign w:val="superscript"/>
                <w:lang w:val="en-AU"/>
              </w:rPr>
              <w:t>c</w:t>
            </w:r>
          </w:p>
          <w:p w14:paraId="5D07D4A3" w14:textId="77777777" w:rsidR="00D2602E" w:rsidRPr="00F91CC3" w:rsidRDefault="00034A31" w:rsidP="00CF10BA">
            <w:pPr>
              <w:keepNext/>
              <w:keepLines/>
              <w:widowControl w:val="0"/>
              <w:jc w:val="left"/>
              <w:rPr>
                <w:rFonts w:ascii="Arial Narrow" w:eastAsiaTheme="majorEastAsia" w:hAnsi="Arial Narrow" w:cstheme="majorBidi"/>
                <w:bCs/>
                <w:sz w:val="20"/>
                <w:szCs w:val="20"/>
                <w:lang w:val="en-AU"/>
              </w:rPr>
            </w:pPr>
            <w:r w:rsidRPr="00F91CC3">
              <w:rPr>
                <w:rFonts w:ascii="Arial Narrow" w:eastAsiaTheme="majorEastAsia" w:hAnsi="Arial Narrow" w:cstheme="majorBidi"/>
                <w:bCs/>
                <w:sz w:val="20"/>
                <w:szCs w:val="20"/>
                <w:lang w:val="en-AU"/>
              </w:rPr>
              <w:t>Group 6</w:t>
            </w:r>
          </w:p>
          <w:p w14:paraId="00F31BC1" w14:textId="449D2E59" w:rsidR="00034A31" w:rsidRPr="00F91CC3" w:rsidRDefault="00034A31" w:rsidP="00CF10BA">
            <w:pPr>
              <w:keepNext/>
              <w:keepLines/>
              <w:widowControl w:val="0"/>
              <w:jc w:val="left"/>
              <w:rPr>
                <w:rFonts w:ascii="Arial Narrow" w:eastAsiaTheme="majorEastAsia" w:hAnsi="Arial Narrow" w:cstheme="majorBidi"/>
                <w:bCs/>
                <w:sz w:val="20"/>
                <w:szCs w:val="20"/>
                <w:lang w:val="en-AU"/>
              </w:rPr>
            </w:pPr>
            <w:r w:rsidRPr="00F91CC3">
              <w:rPr>
                <w:rFonts w:ascii="Arial Narrow" w:eastAsiaTheme="majorEastAsia" w:hAnsi="Arial Narrow" w:cstheme="majorBidi"/>
                <w:bCs/>
                <w:sz w:val="20"/>
                <w:szCs w:val="20"/>
                <w:lang w:val="en-AU"/>
              </w:rPr>
              <w:t>There were 3 patients with a PEx with 4 total events. The observed event rate per year was 0.78.</w:t>
            </w:r>
          </w:p>
          <w:p w14:paraId="097C7E07" w14:textId="77777777" w:rsidR="00034A31" w:rsidRPr="00F91CC3" w:rsidRDefault="00034A31" w:rsidP="00CF10BA">
            <w:pPr>
              <w:keepNext/>
              <w:keepLines/>
              <w:widowControl w:val="0"/>
              <w:jc w:val="left"/>
              <w:rPr>
                <w:rFonts w:ascii="Arial Narrow" w:eastAsiaTheme="majorEastAsia" w:hAnsi="Arial Narrow" w:cstheme="majorBidi"/>
                <w:bCs/>
                <w:sz w:val="20"/>
                <w:szCs w:val="20"/>
                <w:lang w:val="en-AU"/>
              </w:rPr>
            </w:pPr>
            <w:r w:rsidRPr="00F91CC3">
              <w:rPr>
                <w:rFonts w:ascii="Arial Narrow" w:eastAsiaTheme="majorEastAsia" w:hAnsi="Arial Narrow" w:cstheme="majorBidi"/>
                <w:bCs/>
                <w:sz w:val="20"/>
                <w:szCs w:val="20"/>
                <w:lang w:val="en-AU"/>
              </w:rPr>
              <w:t>Group 7</w:t>
            </w:r>
          </w:p>
          <w:p w14:paraId="587F1D69" w14:textId="592B4FCB" w:rsidR="00034A31" w:rsidRPr="00F91CC3" w:rsidRDefault="00034A31" w:rsidP="00CF10BA">
            <w:pPr>
              <w:keepNext/>
              <w:keepLines/>
              <w:widowControl w:val="0"/>
              <w:jc w:val="left"/>
              <w:rPr>
                <w:rFonts w:ascii="Arial Narrow" w:eastAsiaTheme="majorEastAsia" w:hAnsi="Arial Narrow" w:cstheme="majorBidi"/>
                <w:bCs/>
                <w:sz w:val="20"/>
                <w:szCs w:val="20"/>
                <w:lang w:val="en-AU"/>
              </w:rPr>
            </w:pPr>
            <w:r w:rsidRPr="00F91CC3">
              <w:rPr>
                <w:rFonts w:ascii="Arial Narrow" w:eastAsiaTheme="majorEastAsia" w:hAnsi="Arial Narrow" w:cstheme="majorBidi"/>
                <w:bCs/>
                <w:sz w:val="20"/>
                <w:szCs w:val="20"/>
                <w:lang w:val="en-AU"/>
              </w:rPr>
              <w:t>There was 1 patient with a PEx with 1 event. The observed event rate per year was 0.37.</w:t>
            </w:r>
          </w:p>
        </w:tc>
        <w:tc>
          <w:tcPr>
            <w:tcW w:w="766" w:type="pct"/>
          </w:tcPr>
          <w:p w14:paraId="1F982278" w14:textId="77777777" w:rsidR="00034A31" w:rsidRPr="00F91CC3" w:rsidRDefault="00034A31" w:rsidP="00CF10BA">
            <w:pPr>
              <w:keepNext/>
              <w:keepLines/>
              <w:widowControl w:val="0"/>
              <w:jc w:val="center"/>
              <w:rPr>
                <w:rFonts w:ascii="Arial Narrow" w:eastAsiaTheme="majorEastAsia" w:hAnsi="Arial Narrow" w:cstheme="majorBidi"/>
                <w:bCs/>
                <w:sz w:val="20"/>
                <w:szCs w:val="20"/>
                <w:lang w:val="en-AU"/>
              </w:rPr>
            </w:pPr>
            <w:r w:rsidRPr="00F91CC3">
              <w:rPr>
                <w:rFonts w:ascii="Arial Narrow" w:eastAsiaTheme="majorEastAsia" w:hAnsi="Arial Narrow" w:cstheme="majorBidi"/>
                <w:bCs/>
                <w:sz w:val="20"/>
                <w:szCs w:val="20"/>
                <w:lang w:val="en-AU"/>
              </w:rPr>
              <w:t>NR</w:t>
            </w:r>
          </w:p>
        </w:tc>
        <w:tc>
          <w:tcPr>
            <w:tcW w:w="765" w:type="pct"/>
          </w:tcPr>
          <w:p w14:paraId="2A6F252B" w14:textId="77777777" w:rsidR="00034A31" w:rsidRPr="00F91CC3" w:rsidRDefault="00034A31" w:rsidP="00CF10BA">
            <w:pPr>
              <w:keepNext/>
              <w:keepLines/>
              <w:widowControl w:val="0"/>
              <w:jc w:val="center"/>
              <w:rPr>
                <w:rFonts w:ascii="Arial Narrow" w:eastAsiaTheme="majorEastAsia" w:hAnsi="Arial Narrow" w:cstheme="majorBidi"/>
                <w:bCs/>
                <w:sz w:val="20"/>
                <w:szCs w:val="20"/>
                <w:lang w:val="en-AU"/>
              </w:rPr>
            </w:pPr>
            <w:r w:rsidRPr="00F91CC3">
              <w:rPr>
                <w:rFonts w:ascii="Arial Narrow" w:eastAsiaTheme="majorEastAsia" w:hAnsi="Arial Narrow" w:cstheme="majorBidi"/>
                <w:bCs/>
                <w:sz w:val="20"/>
                <w:szCs w:val="20"/>
                <w:lang w:val="en-AU"/>
              </w:rPr>
              <w:t>NR</w:t>
            </w:r>
          </w:p>
        </w:tc>
      </w:tr>
    </w:tbl>
    <w:p w14:paraId="48481301" w14:textId="77777777" w:rsidR="00034A31" w:rsidRPr="00F91CC3" w:rsidRDefault="00034A31" w:rsidP="00CF10BA">
      <w:pPr>
        <w:keepNext/>
        <w:keepLines/>
        <w:rPr>
          <w:rFonts w:ascii="Arial Narrow" w:eastAsiaTheme="majorEastAsia" w:hAnsi="Arial Narrow"/>
          <w:sz w:val="18"/>
        </w:rPr>
      </w:pPr>
      <w:r w:rsidRPr="00F91CC3">
        <w:rPr>
          <w:rFonts w:ascii="Arial Narrow" w:eastAsiaTheme="majorEastAsia" w:hAnsi="Arial Narrow"/>
          <w:sz w:val="18"/>
        </w:rPr>
        <w:t xml:space="preserve">Source: Table 2.3.14 p75; Table 2.3.15 p70; Table 14.2.2.1.b6 pp173-196 Attachment 5; Table 14.2.2.1.b7 pp158-189 Attachment 6; Table 2.3.18 p82; Table 2.3.20 p78, Table 2.3.21 p78; of the submission. </w:t>
      </w:r>
    </w:p>
    <w:p w14:paraId="100DF4FE" w14:textId="77777777" w:rsidR="00034A31" w:rsidRPr="00F91CC3" w:rsidRDefault="00034A31" w:rsidP="00CF10BA">
      <w:pPr>
        <w:keepNext/>
        <w:keepLines/>
        <w:rPr>
          <w:rFonts w:ascii="Arial Narrow" w:eastAsiaTheme="majorEastAsia" w:hAnsi="Arial Narrow"/>
          <w:sz w:val="18"/>
        </w:rPr>
      </w:pPr>
      <w:r w:rsidRPr="00F91CC3">
        <w:rPr>
          <w:rFonts w:ascii="Arial Narrow" w:eastAsiaTheme="majorEastAsia" w:hAnsi="Arial Narrow"/>
          <w:sz w:val="18"/>
        </w:rPr>
        <w:lastRenderedPageBreak/>
        <w:t>CF = cystic fibrosis; FAS = Full Analysis Set; FE-1 = faecal elastase-1; IRT = immunoreactive trypsin; IVA = ivacaftor; MCID = minimum clinical important difference; NHS = National health Service; NR = not reported; PEx = pulmonary exacerbations; SD = standard deviation; SwCl = sweat chloride.</w:t>
      </w:r>
    </w:p>
    <w:p w14:paraId="027C6FC5" w14:textId="77777777" w:rsidR="00034A31" w:rsidRPr="00F91CC3" w:rsidRDefault="00034A31" w:rsidP="00CF10BA">
      <w:pPr>
        <w:keepNext/>
        <w:keepLines/>
        <w:rPr>
          <w:rFonts w:ascii="Arial Narrow" w:eastAsiaTheme="majorEastAsia" w:hAnsi="Arial Narrow"/>
          <w:sz w:val="18"/>
        </w:rPr>
      </w:pPr>
      <w:r w:rsidRPr="00F91CC3">
        <w:rPr>
          <w:rFonts w:ascii="Arial Narrow" w:eastAsiaTheme="majorEastAsia" w:hAnsi="Arial Narrow"/>
          <w:sz w:val="18"/>
          <w:vertAlign w:val="superscript"/>
        </w:rPr>
        <w:t>a</w:t>
      </w:r>
      <w:r w:rsidRPr="00F91CC3">
        <w:rPr>
          <w:rFonts w:ascii="Arial Narrow" w:eastAsiaTheme="majorEastAsia" w:hAnsi="Arial Narrow"/>
          <w:sz w:val="18"/>
        </w:rPr>
        <w:t xml:space="preserve"> Assessed as absolute change from baseline at Week 24.</w:t>
      </w:r>
    </w:p>
    <w:p w14:paraId="29A7C057" w14:textId="3A9B23F2" w:rsidR="008C4A1B" w:rsidRPr="00F91CC3" w:rsidRDefault="008C4A1B" w:rsidP="00CF10BA">
      <w:pPr>
        <w:keepNext/>
        <w:keepLines/>
        <w:rPr>
          <w:rFonts w:ascii="Arial Narrow" w:eastAsiaTheme="majorEastAsia" w:hAnsi="Arial Narrow"/>
          <w:sz w:val="18"/>
        </w:rPr>
      </w:pPr>
      <w:r w:rsidRPr="00F91CC3">
        <w:rPr>
          <w:rFonts w:ascii="Arial Narrow" w:eastAsiaTheme="majorEastAsia" w:hAnsi="Arial Narrow"/>
          <w:sz w:val="18"/>
          <w:vertAlign w:val="superscript"/>
        </w:rPr>
        <w:t>b</w:t>
      </w:r>
      <w:r w:rsidRPr="00F91CC3">
        <w:rPr>
          <w:rFonts w:ascii="Arial Narrow" w:eastAsiaTheme="majorEastAsia" w:hAnsi="Arial Narrow"/>
          <w:sz w:val="18"/>
        </w:rPr>
        <w:t xml:space="preserve"> Definition 1: Treatment with oral, inhaled, or intravenous (IV) antibiotics AND fulfillment of one or more of the criteria from List A or List B, within 3 days before antibiotic start date through antibiotic stop date.</w:t>
      </w:r>
    </w:p>
    <w:p w14:paraId="7AD89495" w14:textId="708D1AEE" w:rsidR="00034A31" w:rsidRPr="00F91CC3" w:rsidRDefault="008C4A1B" w:rsidP="00CF10BA">
      <w:pPr>
        <w:keepNext/>
        <w:keepLines/>
        <w:rPr>
          <w:rFonts w:ascii="Arial Narrow" w:eastAsiaTheme="majorEastAsia" w:hAnsi="Arial Narrow"/>
          <w:sz w:val="18"/>
        </w:rPr>
      </w:pPr>
      <w:r w:rsidRPr="00F91CC3">
        <w:rPr>
          <w:rFonts w:ascii="Arial Narrow" w:eastAsiaTheme="majorEastAsia" w:hAnsi="Arial Narrow"/>
          <w:sz w:val="18"/>
          <w:vertAlign w:val="superscript"/>
        </w:rPr>
        <w:t>c</w:t>
      </w:r>
      <w:r w:rsidRPr="00F91CC3">
        <w:rPr>
          <w:rFonts w:ascii="Arial Narrow" w:eastAsiaTheme="majorEastAsia" w:hAnsi="Arial Narrow"/>
          <w:sz w:val="18"/>
        </w:rPr>
        <w:t xml:space="preserve"> Definition 2: Treatment with oral, inhaled, or IV antibiotics AND fulfillment of one criterion from List A or two criteria from List B, within the period 3 days before antibiotic start date through antibiotic stop date.</w:t>
      </w:r>
    </w:p>
    <w:p w14:paraId="704F01B0" w14:textId="30CDDBB7" w:rsidR="008C4A1B" w:rsidRPr="00F91CC3" w:rsidRDefault="008C4A1B" w:rsidP="00CF10BA">
      <w:pPr>
        <w:keepNext/>
        <w:keepLines/>
        <w:rPr>
          <w:rFonts w:ascii="Arial Narrow" w:eastAsiaTheme="majorEastAsia" w:hAnsi="Arial Narrow"/>
          <w:sz w:val="18"/>
        </w:rPr>
      </w:pPr>
      <w:r w:rsidRPr="00F91CC3">
        <w:rPr>
          <w:rFonts w:ascii="Arial Narrow" w:eastAsiaTheme="majorEastAsia" w:hAnsi="Arial Narrow"/>
          <w:sz w:val="18"/>
        </w:rPr>
        <w:t>List A: Oxygen saturation &lt; 90% on room air or ≥ 5% decrease from baseline; New lobar infiltrate(s) or atelectasis on chest x-ray; Haemoptysis (more than streaks on more than one occasion in past week).</w:t>
      </w:r>
    </w:p>
    <w:p w14:paraId="4F9E8412" w14:textId="01179FF9" w:rsidR="008C4A1B" w:rsidRPr="00F91CC3" w:rsidRDefault="008C4A1B" w:rsidP="00F07396">
      <w:pPr>
        <w:keepNext/>
        <w:keepLines/>
        <w:spacing w:after="120"/>
        <w:rPr>
          <w:rFonts w:ascii="Arial Narrow" w:eastAsiaTheme="majorEastAsia" w:hAnsi="Arial Narrow"/>
          <w:sz w:val="18"/>
        </w:rPr>
      </w:pPr>
      <w:r w:rsidRPr="00F91CC3">
        <w:rPr>
          <w:rFonts w:ascii="Arial Narrow" w:eastAsiaTheme="majorEastAsia" w:hAnsi="Arial Narrow"/>
          <w:sz w:val="18"/>
        </w:rPr>
        <w:t>List B:</w:t>
      </w:r>
      <w:r w:rsidRPr="00F91CC3">
        <w:t xml:space="preserve"> </w:t>
      </w:r>
      <w:r w:rsidRPr="00F91CC3">
        <w:rPr>
          <w:rFonts w:ascii="Arial Narrow" w:eastAsiaTheme="majorEastAsia" w:hAnsi="Arial Narrow"/>
          <w:sz w:val="18"/>
        </w:rPr>
        <w:t>Increased work of breathing or respiratory rate (duration ≥ 3 days); New or increased adventitial sounds on lung examination (duration ≥ 3 days); Weight loss ≥ 5% decrease from highest value or decrease across one major percentile for age in past 6 months; Increased cough (duration ≥ 3 days); Worked harder to breathe during physical activity (duration ≥ 3 days); Increased chest congestion or change in sputum (duration ≥ 3 days).</w:t>
      </w:r>
    </w:p>
    <w:p w14:paraId="61C904ED" w14:textId="3EA92C96" w:rsidR="00034A31" w:rsidRPr="00F07396" w:rsidRDefault="00034A31" w:rsidP="00F07396">
      <w:pPr>
        <w:pStyle w:val="Heading3"/>
        <w:rPr>
          <w:rFonts w:asciiTheme="minorHAnsi" w:hAnsiTheme="minorHAnsi"/>
          <w:b/>
          <w:bCs/>
          <w:iCs/>
          <w:snapToGrid w:val="0"/>
          <w:u w:val="none"/>
        </w:rPr>
      </w:pPr>
      <w:r w:rsidRPr="00F07396">
        <w:rPr>
          <w:rFonts w:asciiTheme="minorHAnsi" w:hAnsiTheme="minorHAnsi"/>
          <w:b/>
          <w:bCs/>
          <w:iCs/>
          <w:snapToGrid w:val="0"/>
          <w:u w:val="none"/>
        </w:rPr>
        <w:t xml:space="preserve">R117H and </w:t>
      </w:r>
      <w:r w:rsidR="0085497D" w:rsidRPr="00F07396">
        <w:rPr>
          <w:rFonts w:asciiTheme="minorHAnsi" w:hAnsiTheme="minorHAnsi"/>
          <w:b/>
          <w:bCs/>
          <w:iCs/>
          <w:snapToGrid w:val="0"/>
          <w:u w:val="none"/>
        </w:rPr>
        <w:t xml:space="preserve">non-splice </w:t>
      </w:r>
      <w:r w:rsidR="008C4A1B" w:rsidRPr="00F07396">
        <w:rPr>
          <w:rFonts w:asciiTheme="minorHAnsi" w:hAnsiTheme="minorHAnsi"/>
          <w:b/>
          <w:bCs/>
          <w:iCs/>
          <w:snapToGrid w:val="0"/>
          <w:u w:val="none"/>
        </w:rPr>
        <w:t>RF</w:t>
      </w:r>
      <w:r w:rsidR="00757CE7" w:rsidRPr="00F07396">
        <w:rPr>
          <w:rFonts w:asciiTheme="minorHAnsi" w:hAnsiTheme="minorHAnsi"/>
          <w:b/>
          <w:bCs/>
          <w:iCs/>
          <w:snapToGrid w:val="0"/>
          <w:u w:val="none"/>
        </w:rPr>
        <w:t xml:space="preserve"> population</w:t>
      </w:r>
    </w:p>
    <w:p w14:paraId="77CEDF1F" w14:textId="2485F92F" w:rsidR="00034A31" w:rsidRPr="00F91CC3" w:rsidRDefault="00034A31" w:rsidP="00034A31">
      <w:pPr>
        <w:numPr>
          <w:ilvl w:val="1"/>
          <w:numId w:val="1"/>
        </w:numPr>
        <w:spacing w:after="120"/>
        <w:rPr>
          <w:rFonts w:asciiTheme="minorHAnsi" w:hAnsiTheme="minorHAnsi"/>
          <w:i/>
          <w:snapToGrid w:val="0"/>
        </w:rPr>
      </w:pPr>
      <w:r w:rsidRPr="00F91CC3">
        <w:rPr>
          <w:rFonts w:asciiTheme="minorHAnsi" w:hAnsiTheme="minorHAnsi"/>
        </w:rPr>
        <w:t>A summary of the results for absolute change from baseline in ppFEV</w:t>
      </w:r>
      <w:r w:rsidRPr="00F91CC3">
        <w:rPr>
          <w:rFonts w:asciiTheme="minorHAnsi" w:hAnsiTheme="minorHAnsi"/>
          <w:vertAlign w:val="subscript"/>
        </w:rPr>
        <w:t>1</w:t>
      </w:r>
      <w:r w:rsidRPr="00F91CC3">
        <w:rPr>
          <w:rFonts w:asciiTheme="minorHAnsi" w:hAnsiTheme="minorHAnsi"/>
        </w:rPr>
        <w:t xml:space="preserve"> is presented in </w:t>
      </w:r>
      <w:r w:rsidRPr="00F91CC3">
        <w:rPr>
          <w:rFonts w:asciiTheme="minorHAnsi" w:hAnsiTheme="minorHAnsi"/>
        </w:rPr>
        <w:fldChar w:fldCharType="begin"/>
      </w:r>
      <w:r w:rsidRPr="00F91CC3">
        <w:rPr>
          <w:rFonts w:asciiTheme="minorHAnsi" w:hAnsiTheme="minorHAnsi"/>
        </w:rPr>
        <w:instrText xml:space="preserve"> REF _Ref144310649 \h  \* MERGEFORMAT </w:instrText>
      </w:r>
      <w:r w:rsidRPr="00F91CC3">
        <w:rPr>
          <w:rFonts w:asciiTheme="minorHAnsi" w:hAnsiTheme="minorHAnsi"/>
        </w:rPr>
      </w:r>
      <w:r w:rsidRPr="00F91CC3">
        <w:rPr>
          <w:rFonts w:asciiTheme="minorHAnsi" w:hAnsiTheme="minorHAnsi"/>
        </w:rPr>
        <w:fldChar w:fldCharType="separate"/>
      </w:r>
      <w:r w:rsidR="008D6198" w:rsidRPr="008D6198">
        <w:rPr>
          <w:rFonts w:asciiTheme="minorHAnsi" w:hAnsiTheme="minorHAnsi"/>
          <w:snapToGrid w:val="0"/>
        </w:rPr>
        <w:t>Table 6</w:t>
      </w:r>
      <w:r w:rsidRPr="00F91CC3">
        <w:rPr>
          <w:rFonts w:asciiTheme="minorHAnsi" w:hAnsiTheme="minorHAnsi"/>
        </w:rPr>
        <w:fldChar w:fldCharType="end"/>
      </w:r>
      <w:r w:rsidRPr="00F91CC3">
        <w:rPr>
          <w:rFonts w:asciiTheme="minorHAnsi" w:hAnsiTheme="minorHAnsi"/>
          <w:i/>
          <w:snapToGrid w:val="0"/>
        </w:rPr>
        <w:t xml:space="preserve">. </w:t>
      </w:r>
      <w:r w:rsidRPr="00F91CC3">
        <w:rPr>
          <w:rFonts w:asciiTheme="minorHAnsi" w:hAnsiTheme="minorHAnsi"/>
          <w:snapToGrid w:val="0"/>
        </w:rPr>
        <w:t>Results from all studies indicated an improvement in absolute change from baseline in ppFEV</w:t>
      </w:r>
      <w:r w:rsidRPr="00F91CC3">
        <w:rPr>
          <w:rFonts w:asciiTheme="minorHAnsi" w:hAnsiTheme="minorHAnsi"/>
          <w:snapToGrid w:val="0"/>
          <w:vertAlign w:val="subscript"/>
        </w:rPr>
        <w:t>1</w:t>
      </w:r>
      <w:r w:rsidRPr="00F91CC3">
        <w:rPr>
          <w:rFonts w:asciiTheme="minorHAnsi" w:hAnsiTheme="minorHAnsi"/>
          <w:snapToGrid w:val="0"/>
        </w:rPr>
        <w:t xml:space="preserve">, where reported. </w:t>
      </w:r>
    </w:p>
    <w:p w14:paraId="3AAE5F38" w14:textId="2EB36841" w:rsidR="00034A31" w:rsidRPr="00F91CC3" w:rsidRDefault="00034A31" w:rsidP="00B462A1">
      <w:pPr>
        <w:pStyle w:val="3-BodyText"/>
        <w:rPr>
          <w:i/>
        </w:rPr>
      </w:pPr>
      <w:r w:rsidRPr="00F91CC3">
        <w:t>Study 110: an improvement in absolute change from baseline in ppFEV</w:t>
      </w:r>
      <w:r w:rsidRPr="00F91CC3">
        <w:rPr>
          <w:vertAlign w:val="subscript"/>
        </w:rPr>
        <w:t>1</w:t>
      </w:r>
      <w:r w:rsidRPr="00F91CC3">
        <w:t xml:space="preserve"> (LS mean difference) of 2.11 (95% CI -1.13, 5.35; p=0.20) </w:t>
      </w:r>
      <w:r w:rsidR="00831AAB" w:rsidRPr="00F91CC3">
        <w:t xml:space="preserve">was observed </w:t>
      </w:r>
      <w:r w:rsidRPr="00F91CC3">
        <w:t xml:space="preserve">for the ivacaftor arm compared to placebo. </w:t>
      </w:r>
    </w:p>
    <w:p w14:paraId="4E87B8B7" w14:textId="67BB4866" w:rsidR="00034A31" w:rsidRPr="00F91CC3" w:rsidRDefault="00034A31" w:rsidP="00B462A1">
      <w:pPr>
        <w:pStyle w:val="3-BodyText"/>
        <w:rPr>
          <w:i/>
        </w:rPr>
      </w:pPr>
      <w:r w:rsidRPr="00F91CC3">
        <w:t>Study 112: an improvement in absolute change from baseline in ppFEV</w:t>
      </w:r>
      <w:r w:rsidRPr="00F91CC3">
        <w:rPr>
          <w:vertAlign w:val="subscript"/>
        </w:rPr>
        <w:t>1</w:t>
      </w:r>
      <w:r w:rsidRPr="00F91CC3">
        <w:t xml:space="preserve"> (LS mean (SE) change) of 3.0</w:t>
      </w:r>
      <w:r w:rsidR="00D146CF" w:rsidRPr="00F91CC3">
        <w:t xml:space="preserve"> </w:t>
      </w:r>
      <w:r w:rsidRPr="00F91CC3">
        <w:t>(1.6) for the ivacaftor arm</w:t>
      </w:r>
      <w:r w:rsidR="00D16506" w:rsidRPr="00F91CC3">
        <w:t xml:space="preserve"> at 104 weeks</w:t>
      </w:r>
      <w:r w:rsidRPr="00F91CC3">
        <w:t xml:space="preserve">. </w:t>
      </w:r>
    </w:p>
    <w:p w14:paraId="39A49A62" w14:textId="00AE6C24" w:rsidR="006F24B9" w:rsidRPr="00F91CC3" w:rsidRDefault="00034A31" w:rsidP="006F24B9">
      <w:pPr>
        <w:numPr>
          <w:ilvl w:val="1"/>
          <w:numId w:val="1"/>
        </w:numPr>
        <w:spacing w:after="120"/>
        <w:rPr>
          <w:rFonts w:asciiTheme="minorHAnsi" w:hAnsiTheme="minorHAnsi"/>
          <w:iCs/>
          <w:snapToGrid w:val="0"/>
          <w:color w:val="0066FF"/>
        </w:rPr>
      </w:pPr>
      <w:r w:rsidRPr="00F91CC3">
        <w:t>Study 122: an improvement in absolute change from baseline in ppFEV</w:t>
      </w:r>
      <w:r w:rsidRPr="00F91CC3">
        <w:rPr>
          <w:vertAlign w:val="subscript"/>
        </w:rPr>
        <w:t>1</w:t>
      </w:r>
      <w:r w:rsidRPr="00F91CC3">
        <w:t xml:space="preserve"> (mean (SD)) of 1.7</w:t>
      </w:r>
      <w:r w:rsidR="00D146CF" w:rsidRPr="00F91CC3">
        <w:t xml:space="preserve"> </w:t>
      </w:r>
      <w:r w:rsidRPr="00F91CC3">
        <w:t xml:space="preserve">(9.7) in the 3 years following ivacaftor initiation. In contrast, in the supplementary </w:t>
      </w:r>
      <w:r w:rsidR="0015511C" w:rsidRPr="00F91CC3">
        <w:t>h</w:t>
      </w:r>
      <w:r w:rsidRPr="00F91CC3">
        <w:t xml:space="preserve">istorical </w:t>
      </w:r>
      <w:r w:rsidR="0015511C" w:rsidRPr="00F91CC3">
        <w:t>c</w:t>
      </w:r>
      <w:r w:rsidRPr="00F91CC3">
        <w:t>ohort, mean ppFEV</w:t>
      </w:r>
      <w:r w:rsidRPr="00F91CC3">
        <w:rPr>
          <w:vertAlign w:val="subscript"/>
        </w:rPr>
        <w:t>1</w:t>
      </w:r>
      <w:r w:rsidRPr="00F91CC3">
        <w:t xml:space="preserve"> tended to decrease numerically over the 3-year period.</w:t>
      </w:r>
      <w:r w:rsidRPr="00F91CC3">
        <w:rPr>
          <w:i/>
        </w:rPr>
        <w:t xml:space="preserve"> </w:t>
      </w:r>
      <w:r w:rsidRPr="00F91CC3">
        <w:rPr>
          <w:iCs/>
        </w:rPr>
        <w:t xml:space="preserve">Data for the </w:t>
      </w:r>
      <w:r w:rsidR="00CF0614" w:rsidRPr="00F91CC3">
        <w:rPr>
          <w:iCs/>
        </w:rPr>
        <w:t>h</w:t>
      </w:r>
      <w:r w:rsidRPr="00F91CC3">
        <w:rPr>
          <w:iCs/>
        </w:rPr>
        <w:t xml:space="preserve">istorical </w:t>
      </w:r>
      <w:r w:rsidR="00CF0614" w:rsidRPr="00F91CC3">
        <w:rPr>
          <w:iCs/>
        </w:rPr>
        <w:t>c</w:t>
      </w:r>
      <w:r w:rsidRPr="00F91CC3">
        <w:rPr>
          <w:iCs/>
        </w:rPr>
        <w:t>ohort should be interpreted with caution due to a different time frame for data collection (as compared with the ivacaftor arm in Study 122), changes in standard of care, and changes in registry data collection practices over time.</w:t>
      </w:r>
    </w:p>
    <w:p w14:paraId="1B0A2B16" w14:textId="6D33C567" w:rsidR="006F24B9" w:rsidRPr="00F91CC3" w:rsidRDefault="006F24B9" w:rsidP="006F24B9">
      <w:pPr>
        <w:numPr>
          <w:ilvl w:val="1"/>
          <w:numId w:val="1"/>
        </w:numPr>
        <w:spacing w:after="120"/>
        <w:rPr>
          <w:rFonts w:asciiTheme="minorHAnsi" w:hAnsiTheme="minorHAnsi"/>
          <w:snapToGrid w:val="0"/>
          <w:color w:val="0066FF"/>
        </w:rPr>
      </w:pPr>
      <w:r w:rsidRPr="00F91CC3">
        <w:rPr>
          <w:rFonts w:asciiTheme="minorHAnsi" w:hAnsiTheme="minorHAnsi"/>
          <w:iCs/>
          <w:snapToGrid w:val="0"/>
        </w:rPr>
        <w:t>Subgroup analyses by age for Study 110, 112 and 122 showed mixed results in ppFEV</w:t>
      </w:r>
      <w:r w:rsidRPr="00F91CC3">
        <w:rPr>
          <w:rFonts w:asciiTheme="minorHAnsi" w:hAnsiTheme="minorHAnsi"/>
          <w:iCs/>
          <w:snapToGrid w:val="0"/>
          <w:vertAlign w:val="subscript"/>
        </w:rPr>
        <w:t>1</w:t>
      </w:r>
      <w:r w:rsidRPr="00F91CC3">
        <w:rPr>
          <w:rFonts w:asciiTheme="minorHAnsi" w:hAnsiTheme="minorHAnsi"/>
          <w:iCs/>
          <w:snapToGrid w:val="0"/>
        </w:rPr>
        <w:t xml:space="preserve"> with regard to the comparison of ivacaftor and placebo arms. Notably, in Study 110, there was a statistically significant change in ppFEV</w:t>
      </w:r>
      <w:r w:rsidRPr="00F91CC3">
        <w:rPr>
          <w:rFonts w:asciiTheme="minorHAnsi" w:hAnsiTheme="minorHAnsi"/>
          <w:iCs/>
          <w:snapToGrid w:val="0"/>
          <w:vertAlign w:val="subscript"/>
        </w:rPr>
        <w:t>1</w:t>
      </w:r>
      <w:r w:rsidRPr="00F91CC3">
        <w:rPr>
          <w:rFonts w:asciiTheme="minorHAnsi" w:hAnsiTheme="minorHAnsi"/>
          <w:iCs/>
          <w:snapToGrid w:val="0"/>
        </w:rPr>
        <w:t xml:space="preserve"> in favour of ivacaftor for those over 18 years of age (p=0.01), but in favour of placebo relative to </w:t>
      </w:r>
      <w:r w:rsidR="009467DF" w:rsidRPr="00F91CC3">
        <w:rPr>
          <w:rFonts w:asciiTheme="minorHAnsi" w:hAnsiTheme="minorHAnsi"/>
          <w:iCs/>
          <w:snapToGrid w:val="0"/>
        </w:rPr>
        <w:t>ivacaftor</w:t>
      </w:r>
      <w:r w:rsidRPr="00F91CC3">
        <w:rPr>
          <w:rFonts w:asciiTheme="minorHAnsi" w:hAnsiTheme="minorHAnsi"/>
          <w:iCs/>
          <w:snapToGrid w:val="0"/>
        </w:rPr>
        <w:t xml:space="preserve"> in those 6 to 11 years of age (p=0.03). The Advisory Committee on Medicines (ACM) noted that this may be explained by the relatively good lung function (&gt;90% ppFEV</w:t>
      </w:r>
      <w:r w:rsidRPr="00F91CC3">
        <w:rPr>
          <w:rFonts w:asciiTheme="minorHAnsi" w:hAnsiTheme="minorHAnsi"/>
          <w:iCs/>
          <w:snapToGrid w:val="0"/>
          <w:vertAlign w:val="subscript"/>
        </w:rPr>
        <w:t>1</w:t>
      </w:r>
      <w:r w:rsidRPr="00F91CC3">
        <w:rPr>
          <w:rFonts w:asciiTheme="minorHAnsi" w:hAnsiTheme="minorHAnsi"/>
          <w:iCs/>
          <w:snapToGrid w:val="0"/>
        </w:rPr>
        <w:t xml:space="preserve">) at baseline in the younger age cohort in Study 110 and Study 112 </w:t>
      </w:r>
      <w:r w:rsidRPr="00F91CC3">
        <w:rPr>
          <w:rFonts w:asciiTheme="minorHAnsi" w:hAnsiTheme="minorHAnsi" w:cstheme="minorHAnsi"/>
          <w:iCs/>
          <w:snapToGrid w:val="0"/>
        </w:rPr>
        <w:t>(Ivacaftor, ACM meeting 308, February 2016)</w:t>
      </w:r>
      <w:r w:rsidR="009467DF" w:rsidRPr="00F91CC3">
        <w:rPr>
          <w:rFonts w:asciiTheme="minorHAnsi" w:hAnsiTheme="minorHAnsi"/>
          <w:iCs/>
          <w:snapToGrid w:val="0"/>
        </w:rPr>
        <w:t>. T</w:t>
      </w:r>
      <w:r w:rsidRPr="00F91CC3">
        <w:rPr>
          <w:rFonts w:asciiTheme="minorHAnsi" w:hAnsiTheme="minorHAnsi"/>
          <w:iCs/>
          <w:snapToGrid w:val="0"/>
        </w:rPr>
        <w:t>he natural disease progression for CF patients with R117H mutation, wherein lung function decline occurs later in life</w:t>
      </w:r>
      <w:r w:rsidRPr="00F91CC3">
        <w:rPr>
          <w:rFonts w:asciiTheme="minorHAnsi" w:hAnsiTheme="minorHAnsi" w:cs="Times New Roman"/>
          <w:iCs/>
          <w:snapToGrid w:val="0"/>
          <w:vertAlign w:val="superscript"/>
        </w:rPr>
        <w:footnoteReference w:id="7"/>
      </w:r>
      <w:r w:rsidR="009467DF" w:rsidRPr="00F91CC3">
        <w:rPr>
          <w:rFonts w:asciiTheme="minorHAnsi" w:hAnsiTheme="minorHAnsi"/>
          <w:iCs/>
          <w:snapToGrid w:val="0"/>
        </w:rPr>
        <w:t>, may also explain this finding</w:t>
      </w:r>
      <w:r w:rsidRPr="00F91CC3">
        <w:rPr>
          <w:rFonts w:asciiTheme="minorHAnsi" w:hAnsiTheme="minorHAnsi"/>
          <w:i/>
          <w:snapToGrid w:val="0"/>
        </w:rPr>
        <w:t xml:space="preserve">. </w:t>
      </w:r>
    </w:p>
    <w:p w14:paraId="1443DE60" w14:textId="24F02C13" w:rsidR="00034A31" w:rsidRPr="00F91CC3" w:rsidRDefault="00034A31" w:rsidP="00B462A1">
      <w:pPr>
        <w:pStyle w:val="3-BodyText"/>
        <w:rPr>
          <w:i/>
        </w:rPr>
      </w:pPr>
      <w:r w:rsidRPr="00F91CC3">
        <w:t>Study 127: an improvement in absolute change from baseline in ppFEV</w:t>
      </w:r>
      <w:r w:rsidRPr="00F91CC3">
        <w:rPr>
          <w:vertAlign w:val="subscript"/>
        </w:rPr>
        <w:t>1</w:t>
      </w:r>
      <w:r w:rsidRPr="00F91CC3">
        <w:t xml:space="preserve"> (LS mean difference) of 2.7 (95% CI: 0.6, 4.7) for ivacaftor compared to placebo</w:t>
      </w:r>
      <w:r w:rsidR="00421F73" w:rsidRPr="00F91CC3">
        <w:t xml:space="preserve"> at </w:t>
      </w:r>
      <w:r w:rsidR="008D0EF6" w:rsidRPr="00F91CC3">
        <w:t>8</w:t>
      </w:r>
      <w:r w:rsidR="00421F73" w:rsidRPr="00F91CC3">
        <w:t xml:space="preserve"> weeks</w:t>
      </w:r>
      <w:r w:rsidRPr="00F91CC3">
        <w:t xml:space="preserve">. </w:t>
      </w:r>
      <w:r w:rsidRPr="00F91CC3">
        <w:lastRenderedPageBreak/>
        <w:t>There was a decline in pFEV</w:t>
      </w:r>
      <w:r w:rsidRPr="00F91CC3">
        <w:rPr>
          <w:vertAlign w:val="subscript"/>
        </w:rPr>
        <w:t>1</w:t>
      </w:r>
      <w:r w:rsidRPr="00F91CC3">
        <w:t xml:space="preserve"> in the D1152H mutation subgroup of -0.1 (95% CI: -4.3, 4.1).</w:t>
      </w:r>
    </w:p>
    <w:p w14:paraId="0AB6C918" w14:textId="37A14461" w:rsidR="00034A31" w:rsidRPr="00F91CC3" w:rsidRDefault="00034A31" w:rsidP="00B462A1">
      <w:pPr>
        <w:pStyle w:val="3-BodyText"/>
        <w:rPr>
          <w:i/>
        </w:rPr>
      </w:pPr>
      <w:r w:rsidRPr="00F91CC3">
        <w:t xml:space="preserve">Study 128: </w:t>
      </w:r>
      <w:bookmarkStart w:id="40" w:name="_Hlk144549004"/>
      <w:r w:rsidRPr="00F91CC3">
        <w:t>an improvement in absolute change from baseline in mean ppFEV</w:t>
      </w:r>
      <w:r w:rsidRPr="00F91CC3">
        <w:rPr>
          <w:vertAlign w:val="subscript"/>
        </w:rPr>
        <w:t>1</w:t>
      </w:r>
      <w:r w:rsidRPr="00F91CC3">
        <w:t xml:space="preserve"> of 1.7 (95% CI: 0.2, 3.2) and 2.2 (95% CI: 0.5, 3.9) in the sensitivity analysis.</w:t>
      </w:r>
      <w:bookmarkEnd w:id="40"/>
    </w:p>
    <w:p w14:paraId="2C4532F4" w14:textId="6FB464F9" w:rsidR="00034A31" w:rsidRPr="00F91CC3" w:rsidRDefault="00034A31" w:rsidP="002542B2">
      <w:pPr>
        <w:pStyle w:val="3-BodyText"/>
        <w:rPr>
          <w:rFonts w:cs="Calibri"/>
          <w:i/>
        </w:rPr>
      </w:pPr>
      <w:r w:rsidRPr="00F91CC3">
        <w:t xml:space="preserve">The PBAC has previously considered an improvement of </w:t>
      </w:r>
      <w:r w:rsidRPr="00F91CC3">
        <w:rPr>
          <w:rFonts w:cs="Calibri"/>
        </w:rPr>
        <w:t>≥ 10</w:t>
      </w:r>
      <w:r w:rsidR="00DB30EE" w:rsidRPr="00F91CC3">
        <w:rPr>
          <w:rFonts w:cs="Calibri"/>
        </w:rPr>
        <w:t xml:space="preserve"> percentage points</w:t>
      </w:r>
      <w:r w:rsidRPr="00F91CC3">
        <w:rPr>
          <w:rFonts w:cs="Calibri"/>
        </w:rPr>
        <w:t xml:space="preserve"> in absolute change from baseline in </w:t>
      </w:r>
      <w:r w:rsidRPr="00F91CC3">
        <w:t>ppFEV</w:t>
      </w:r>
      <w:r w:rsidRPr="00F91CC3">
        <w:rPr>
          <w:vertAlign w:val="subscript"/>
        </w:rPr>
        <w:t>1</w:t>
      </w:r>
      <w:r w:rsidRPr="00F91CC3">
        <w:rPr>
          <w:rFonts w:cs="Calibri"/>
        </w:rPr>
        <w:t xml:space="preserve"> </w:t>
      </w:r>
      <w:r w:rsidRPr="00F91CC3">
        <w:t xml:space="preserve">to be the MCID </w:t>
      </w:r>
      <w:r w:rsidRPr="00F91CC3">
        <w:rPr>
          <w:rFonts w:cs="Calibri"/>
        </w:rPr>
        <w:t>(</w:t>
      </w:r>
      <w:r w:rsidR="002542B2" w:rsidRPr="00F91CC3">
        <w:rPr>
          <w:rFonts w:cs="Calibri"/>
        </w:rPr>
        <w:t xml:space="preserve">paragraph 6.10, </w:t>
      </w:r>
      <w:r w:rsidR="00B93F1E" w:rsidRPr="00F91CC3">
        <w:rPr>
          <w:rFonts w:cs="Calibri"/>
        </w:rPr>
        <w:t>ELX/TEZ/IVA</w:t>
      </w:r>
      <w:r w:rsidR="002542B2" w:rsidRPr="00F91CC3">
        <w:rPr>
          <w:rFonts w:cs="Calibri"/>
        </w:rPr>
        <w:t xml:space="preserve"> PSD,</w:t>
      </w:r>
      <w:r w:rsidR="002542B2" w:rsidRPr="00F91CC3">
        <w:t xml:space="preserve"> </w:t>
      </w:r>
      <w:r w:rsidR="002542B2" w:rsidRPr="00F91CC3">
        <w:rPr>
          <w:rFonts w:cs="Calibri"/>
        </w:rPr>
        <w:t>November 2022 PBAC Meeting with March 2023 Addendum</w:t>
      </w:r>
      <w:r w:rsidR="002542B2" w:rsidRPr="00F91CC3">
        <w:rPr>
          <w:rFonts w:cs="Calibri"/>
          <w:i/>
        </w:rPr>
        <w:t>;</w:t>
      </w:r>
      <w:r w:rsidR="002542B2" w:rsidRPr="00F91CC3">
        <w:rPr>
          <w:rFonts w:cs="Calibri"/>
        </w:rPr>
        <w:t xml:space="preserve"> </w:t>
      </w:r>
      <w:r w:rsidRPr="00F91CC3">
        <w:t>paragraph 6.10, LUM/IVA PSD, March 2016 PBAC meeting; Section 12, ivacaftor, PSD, July 2013 PBAC meeting). None of the studies achieved a change in ppFEV</w:t>
      </w:r>
      <w:r w:rsidRPr="00F91CC3">
        <w:rPr>
          <w:vertAlign w:val="subscript"/>
        </w:rPr>
        <w:t xml:space="preserve">1 </w:t>
      </w:r>
      <w:r w:rsidRPr="00F91CC3">
        <w:sym w:font="Symbol" w:char="F0B3"/>
      </w:r>
      <w:r w:rsidRPr="00F91CC3">
        <w:t xml:space="preserve"> 10</w:t>
      </w:r>
      <w:r w:rsidR="007A2B30" w:rsidRPr="00F91CC3">
        <w:t xml:space="preserve"> percentage points</w:t>
      </w:r>
      <w:r w:rsidRPr="00F91CC3">
        <w:t>.</w:t>
      </w:r>
    </w:p>
    <w:p w14:paraId="745B4EE7" w14:textId="33197864" w:rsidR="00034A31" w:rsidRPr="00F91CC3" w:rsidRDefault="00034A31" w:rsidP="00034A31">
      <w:pPr>
        <w:keepNext/>
        <w:keepLines/>
        <w:rPr>
          <w:rFonts w:ascii="Arial Narrow" w:hAnsi="Arial Narrow"/>
          <w:b/>
          <w:bCs/>
          <w:sz w:val="20"/>
          <w:szCs w:val="18"/>
        </w:rPr>
      </w:pPr>
      <w:bookmarkStart w:id="41" w:name="_Ref144310649"/>
      <w:bookmarkStart w:id="42" w:name="_Hlk144132755"/>
      <w:r w:rsidRPr="00F91CC3">
        <w:rPr>
          <w:rFonts w:ascii="Arial Narrow" w:hAnsi="Arial Narrow"/>
          <w:b/>
          <w:bCs/>
          <w:sz w:val="20"/>
          <w:szCs w:val="18"/>
        </w:rPr>
        <w:t xml:space="preserve">Table </w:t>
      </w:r>
      <w:r w:rsidRPr="00F91CC3">
        <w:rPr>
          <w:rFonts w:ascii="Arial Narrow" w:hAnsi="Arial Narrow"/>
          <w:b/>
          <w:bCs/>
          <w:sz w:val="20"/>
          <w:szCs w:val="18"/>
        </w:rPr>
        <w:fldChar w:fldCharType="begin"/>
      </w:r>
      <w:r w:rsidRPr="00F91CC3">
        <w:rPr>
          <w:rFonts w:ascii="Arial Narrow" w:hAnsi="Arial Narrow"/>
          <w:b/>
          <w:bCs/>
          <w:sz w:val="20"/>
          <w:szCs w:val="18"/>
        </w:rPr>
        <w:instrText xml:space="preserve"> SEQ Table \* ARABIC </w:instrText>
      </w:r>
      <w:r w:rsidRPr="00F91CC3">
        <w:rPr>
          <w:rFonts w:ascii="Arial Narrow" w:hAnsi="Arial Narrow"/>
          <w:b/>
          <w:bCs/>
          <w:sz w:val="20"/>
          <w:szCs w:val="18"/>
        </w:rPr>
        <w:fldChar w:fldCharType="separate"/>
      </w:r>
      <w:r w:rsidR="008D6198">
        <w:rPr>
          <w:rFonts w:ascii="Arial Narrow" w:hAnsi="Arial Narrow"/>
          <w:b/>
          <w:bCs/>
          <w:noProof/>
          <w:sz w:val="20"/>
          <w:szCs w:val="18"/>
        </w:rPr>
        <w:t>6</w:t>
      </w:r>
      <w:r w:rsidRPr="00F91CC3">
        <w:rPr>
          <w:rFonts w:ascii="Arial Narrow" w:hAnsi="Arial Narrow"/>
          <w:b/>
          <w:bCs/>
          <w:sz w:val="20"/>
          <w:szCs w:val="18"/>
        </w:rPr>
        <w:fldChar w:fldCharType="end"/>
      </w:r>
      <w:bookmarkEnd w:id="41"/>
      <w:r w:rsidRPr="00F91CC3">
        <w:rPr>
          <w:rFonts w:ascii="Arial Narrow" w:hAnsi="Arial Narrow"/>
          <w:b/>
          <w:bCs/>
          <w:sz w:val="20"/>
          <w:szCs w:val="18"/>
        </w:rPr>
        <w:t>: Results of absolute change from baseline in ppFEV</w:t>
      </w:r>
      <w:r w:rsidRPr="00F91CC3">
        <w:rPr>
          <w:rFonts w:ascii="Arial Narrow" w:hAnsi="Arial Narrow"/>
          <w:b/>
          <w:bCs/>
          <w:sz w:val="20"/>
          <w:szCs w:val="18"/>
          <w:vertAlign w:val="subscript"/>
        </w:rPr>
        <w:t>1</w:t>
      </w:r>
      <w:r w:rsidRPr="00F91CC3">
        <w:rPr>
          <w:rFonts w:ascii="Arial Narrow" w:hAnsi="Arial Narrow"/>
          <w:b/>
          <w:bCs/>
          <w:sz w:val="20"/>
          <w:szCs w:val="18"/>
        </w:rPr>
        <w:t xml:space="preserve"> across the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709"/>
        <w:gridCol w:w="992"/>
        <w:gridCol w:w="1134"/>
        <w:gridCol w:w="568"/>
        <w:gridCol w:w="849"/>
        <w:gridCol w:w="568"/>
        <w:gridCol w:w="1134"/>
        <w:gridCol w:w="1225"/>
      </w:tblGrid>
      <w:tr w:rsidR="00034A31" w:rsidRPr="00F91CC3" w14:paraId="77975B00" w14:textId="77777777" w:rsidTr="003A3172">
        <w:trPr>
          <w:trHeight w:val="229"/>
        </w:trPr>
        <w:tc>
          <w:tcPr>
            <w:tcW w:w="1019" w:type="pct"/>
            <w:vMerge w:val="restart"/>
            <w:tcMar>
              <w:left w:w="11" w:type="dxa"/>
              <w:right w:w="11" w:type="dxa"/>
            </w:tcMar>
            <w:vAlign w:val="center"/>
          </w:tcPr>
          <w:p w14:paraId="6DEEDA7E" w14:textId="77777777" w:rsidR="00034A31" w:rsidRPr="00F91CC3" w:rsidRDefault="00034A31" w:rsidP="00034A31">
            <w:pPr>
              <w:keepNext/>
              <w:jc w:val="left"/>
              <w:rPr>
                <w:rFonts w:ascii="Arial Narrow" w:eastAsiaTheme="majorEastAsia" w:hAnsi="Arial Narrow" w:cstheme="majorBidi"/>
                <w:b/>
                <w:bCs/>
                <w:sz w:val="20"/>
              </w:rPr>
            </w:pPr>
            <w:r w:rsidRPr="00F91CC3">
              <w:rPr>
                <w:rFonts w:ascii="Arial Narrow" w:eastAsiaTheme="majorEastAsia" w:hAnsi="Arial Narrow" w:cstheme="majorBidi"/>
                <w:b/>
                <w:bCs/>
                <w:sz w:val="20"/>
              </w:rPr>
              <w:t>Trial, follow-up</w:t>
            </w:r>
          </w:p>
        </w:tc>
        <w:tc>
          <w:tcPr>
            <w:tcW w:w="393" w:type="pct"/>
            <w:vMerge w:val="restart"/>
            <w:tcMar>
              <w:left w:w="11" w:type="dxa"/>
              <w:right w:w="11" w:type="dxa"/>
            </w:tcMar>
            <w:vAlign w:val="center"/>
          </w:tcPr>
          <w:p w14:paraId="7F41073C"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
                <w:sz w:val="20"/>
              </w:rPr>
              <w:t>n</w:t>
            </w:r>
          </w:p>
        </w:tc>
        <w:tc>
          <w:tcPr>
            <w:tcW w:w="550" w:type="pct"/>
            <w:vMerge w:val="restart"/>
            <w:tcMar>
              <w:left w:w="11" w:type="dxa"/>
              <w:right w:w="11" w:type="dxa"/>
            </w:tcMar>
            <w:vAlign w:val="center"/>
          </w:tcPr>
          <w:p w14:paraId="7CBF858D"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
                <w:sz w:val="20"/>
              </w:rPr>
              <w:t xml:space="preserve">Mean baseline (SD/SE) </w:t>
            </w:r>
          </w:p>
        </w:tc>
        <w:tc>
          <w:tcPr>
            <w:tcW w:w="629" w:type="pct"/>
            <w:vMerge w:val="restart"/>
            <w:tcMar>
              <w:left w:w="11" w:type="dxa"/>
              <w:right w:w="11" w:type="dxa"/>
            </w:tcMar>
            <w:vAlign w:val="center"/>
          </w:tcPr>
          <w:p w14:paraId="5A735CB2"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
                <w:sz w:val="20"/>
              </w:rPr>
              <w:t>Mean change (SD/SE)</w:t>
            </w:r>
          </w:p>
        </w:tc>
        <w:tc>
          <w:tcPr>
            <w:tcW w:w="315" w:type="pct"/>
            <w:vMerge w:val="restart"/>
            <w:tcMar>
              <w:left w:w="11" w:type="dxa"/>
              <w:right w:w="11" w:type="dxa"/>
            </w:tcMar>
            <w:vAlign w:val="center"/>
          </w:tcPr>
          <w:p w14:paraId="16B7F6DA"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
                <w:sz w:val="20"/>
              </w:rPr>
              <w:t>n</w:t>
            </w:r>
          </w:p>
        </w:tc>
        <w:tc>
          <w:tcPr>
            <w:tcW w:w="471" w:type="pct"/>
            <w:vMerge w:val="restart"/>
            <w:tcMar>
              <w:left w:w="11" w:type="dxa"/>
              <w:right w:w="11" w:type="dxa"/>
            </w:tcMar>
            <w:vAlign w:val="center"/>
          </w:tcPr>
          <w:p w14:paraId="2A85C909"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
                <w:sz w:val="20"/>
              </w:rPr>
              <w:t>Mean baseline (SD/SE)</w:t>
            </w:r>
          </w:p>
        </w:tc>
        <w:tc>
          <w:tcPr>
            <w:tcW w:w="315" w:type="pct"/>
            <w:vMerge w:val="restart"/>
            <w:tcMar>
              <w:left w:w="11" w:type="dxa"/>
              <w:right w:w="11" w:type="dxa"/>
            </w:tcMar>
            <w:vAlign w:val="center"/>
          </w:tcPr>
          <w:p w14:paraId="697E2ED1"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
                <w:sz w:val="20"/>
              </w:rPr>
              <w:t xml:space="preserve">Mean change (SD/SE)  </w:t>
            </w:r>
          </w:p>
        </w:tc>
        <w:tc>
          <w:tcPr>
            <w:tcW w:w="629" w:type="pct"/>
            <w:vMerge w:val="restart"/>
            <w:tcMar>
              <w:left w:w="11" w:type="dxa"/>
              <w:right w:w="11" w:type="dxa"/>
            </w:tcMar>
            <w:vAlign w:val="center"/>
          </w:tcPr>
          <w:p w14:paraId="28D6EBE2" w14:textId="77777777" w:rsidR="00034A31" w:rsidRPr="00F91CC3" w:rsidRDefault="00034A31" w:rsidP="00034A31">
            <w:pPr>
              <w:keepNext/>
              <w:jc w:val="center"/>
              <w:rPr>
                <w:rFonts w:ascii="Arial Narrow" w:eastAsiaTheme="majorEastAsia" w:hAnsi="Arial Narrow" w:cstheme="majorBidi"/>
                <w:b/>
                <w:sz w:val="20"/>
                <w:vertAlign w:val="superscript"/>
              </w:rPr>
            </w:pPr>
            <w:r w:rsidRPr="00F91CC3">
              <w:rPr>
                <w:rFonts w:ascii="Arial Narrow" w:eastAsiaTheme="majorEastAsia" w:hAnsi="Arial Narrow" w:cstheme="majorBidi"/>
                <w:b/>
                <w:bCs/>
                <w:iCs/>
                <w:sz w:val="20"/>
              </w:rPr>
              <w:t>Mean difference (95% CI)</w:t>
            </w:r>
          </w:p>
        </w:tc>
        <w:tc>
          <w:tcPr>
            <w:tcW w:w="679" w:type="pct"/>
            <w:vMerge w:val="restart"/>
            <w:tcMar>
              <w:left w:w="11" w:type="dxa"/>
              <w:right w:w="11" w:type="dxa"/>
            </w:tcMar>
            <w:vAlign w:val="center"/>
          </w:tcPr>
          <w:p w14:paraId="5823FC6A" w14:textId="77777777" w:rsidR="00034A31" w:rsidRPr="00F91CC3" w:rsidRDefault="00034A31" w:rsidP="00034A31">
            <w:pPr>
              <w:keepNext/>
              <w:jc w:val="center"/>
              <w:rPr>
                <w:rFonts w:ascii="Arial Narrow" w:eastAsiaTheme="majorEastAsia" w:hAnsi="Arial Narrow" w:cstheme="majorBidi"/>
                <w:b/>
                <w:bCs/>
                <w:sz w:val="20"/>
              </w:rPr>
            </w:pPr>
            <w:r w:rsidRPr="00F91CC3">
              <w:rPr>
                <w:rFonts w:ascii="Arial Narrow" w:eastAsiaTheme="majorEastAsia" w:hAnsi="Arial Narrow" w:cstheme="majorBidi"/>
                <w:b/>
                <w:bCs/>
                <w:sz w:val="20"/>
              </w:rPr>
              <w:t>P-value</w:t>
            </w:r>
          </w:p>
        </w:tc>
      </w:tr>
      <w:tr w:rsidR="00034A31" w:rsidRPr="00F91CC3" w14:paraId="5082EAAB" w14:textId="77777777" w:rsidTr="003A3172">
        <w:trPr>
          <w:trHeight w:val="229"/>
        </w:trPr>
        <w:tc>
          <w:tcPr>
            <w:tcW w:w="1019" w:type="pct"/>
            <w:vMerge/>
            <w:tcMar>
              <w:left w:w="11" w:type="dxa"/>
              <w:right w:w="11" w:type="dxa"/>
            </w:tcMar>
            <w:vAlign w:val="center"/>
          </w:tcPr>
          <w:p w14:paraId="048B0FCE" w14:textId="77777777" w:rsidR="00034A31" w:rsidRPr="00F91CC3" w:rsidRDefault="00034A31" w:rsidP="00034A31">
            <w:pPr>
              <w:keepNext/>
              <w:jc w:val="left"/>
              <w:rPr>
                <w:rFonts w:ascii="Arial Narrow" w:eastAsiaTheme="majorEastAsia" w:hAnsi="Arial Narrow" w:cstheme="majorBidi"/>
                <w:bCs/>
                <w:sz w:val="20"/>
              </w:rPr>
            </w:pPr>
          </w:p>
        </w:tc>
        <w:tc>
          <w:tcPr>
            <w:tcW w:w="393" w:type="pct"/>
            <w:vMerge/>
            <w:tcMar>
              <w:left w:w="11" w:type="dxa"/>
              <w:right w:w="11" w:type="dxa"/>
            </w:tcMar>
            <w:vAlign w:val="center"/>
          </w:tcPr>
          <w:p w14:paraId="65EA0E9A" w14:textId="77777777" w:rsidR="00034A31" w:rsidRPr="00F91CC3" w:rsidRDefault="00034A31" w:rsidP="00034A31">
            <w:pPr>
              <w:keepNext/>
              <w:jc w:val="center"/>
              <w:rPr>
                <w:rFonts w:ascii="Arial Narrow" w:eastAsiaTheme="majorEastAsia" w:hAnsi="Arial Narrow" w:cstheme="majorBidi"/>
                <w:bCs/>
                <w:sz w:val="20"/>
              </w:rPr>
            </w:pPr>
          </w:p>
        </w:tc>
        <w:tc>
          <w:tcPr>
            <w:tcW w:w="550" w:type="pct"/>
            <w:vMerge/>
            <w:tcMar>
              <w:left w:w="11" w:type="dxa"/>
              <w:right w:w="11" w:type="dxa"/>
            </w:tcMar>
            <w:vAlign w:val="center"/>
          </w:tcPr>
          <w:p w14:paraId="5F3F0FB2" w14:textId="77777777" w:rsidR="00034A31" w:rsidRPr="00F91CC3" w:rsidRDefault="00034A31" w:rsidP="00034A31">
            <w:pPr>
              <w:keepNext/>
              <w:jc w:val="center"/>
              <w:rPr>
                <w:rFonts w:ascii="Arial Narrow" w:eastAsiaTheme="majorEastAsia" w:hAnsi="Arial Narrow" w:cstheme="majorBidi"/>
                <w:bCs/>
                <w:sz w:val="20"/>
              </w:rPr>
            </w:pPr>
          </w:p>
        </w:tc>
        <w:tc>
          <w:tcPr>
            <w:tcW w:w="629" w:type="pct"/>
            <w:vMerge/>
            <w:tcMar>
              <w:left w:w="11" w:type="dxa"/>
              <w:right w:w="11" w:type="dxa"/>
            </w:tcMar>
            <w:vAlign w:val="center"/>
          </w:tcPr>
          <w:p w14:paraId="114A1322" w14:textId="77777777" w:rsidR="00034A31" w:rsidRPr="00F91CC3" w:rsidRDefault="00034A31" w:rsidP="00034A31">
            <w:pPr>
              <w:keepNext/>
              <w:jc w:val="center"/>
              <w:rPr>
                <w:rFonts w:ascii="Arial Narrow" w:eastAsiaTheme="majorEastAsia" w:hAnsi="Arial Narrow" w:cstheme="majorBidi"/>
                <w:bCs/>
                <w:sz w:val="20"/>
              </w:rPr>
            </w:pPr>
          </w:p>
        </w:tc>
        <w:tc>
          <w:tcPr>
            <w:tcW w:w="315" w:type="pct"/>
            <w:vMerge/>
            <w:tcMar>
              <w:left w:w="11" w:type="dxa"/>
              <w:right w:w="11" w:type="dxa"/>
            </w:tcMar>
            <w:vAlign w:val="center"/>
          </w:tcPr>
          <w:p w14:paraId="61CCAF4E" w14:textId="77777777" w:rsidR="00034A31" w:rsidRPr="00F91CC3" w:rsidRDefault="00034A31" w:rsidP="00034A31">
            <w:pPr>
              <w:keepNext/>
              <w:jc w:val="center"/>
              <w:rPr>
                <w:rFonts w:ascii="Arial Narrow" w:eastAsiaTheme="majorEastAsia" w:hAnsi="Arial Narrow" w:cstheme="majorBidi"/>
                <w:bCs/>
                <w:sz w:val="20"/>
              </w:rPr>
            </w:pPr>
          </w:p>
        </w:tc>
        <w:tc>
          <w:tcPr>
            <w:tcW w:w="471" w:type="pct"/>
            <w:vMerge/>
            <w:tcMar>
              <w:left w:w="11" w:type="dxa"/>
              <w:right w:w="11" w:type="dxa"/>
            </w:tcMar>
            <w:vAlign w:val="center"/>
          </w:tcPr>
          <w:p w14:paraId="046E26C5" w14:textId="77777777" w:rsidR="00034A31" w:rsidRPr="00F91CC3" w:rsidRDefault="00034A31" w:rsidP="00034A31">
            <w:pPr>
              <w:keepNext/>
              <w:jc w:val="center"/>
              <w:rPr>
                <w:rFonts w:ascii="Arial Narrow" w:eastAsiaTheme="majorEastAsia" w:hAnsi="Arial Narrow" w:cstheme="majorBidi"/>
                <w:bCs/>
                <w:sz w:val="20"/>
              </w:rPr>
            </w:pPr>
          </w:p>
        </w:tc>
        <w:tc>
          <w:tcPr>
            <w:tcW w:w="315" w:type="pct"/>
            <w:vMerge/>
            <w:tcMar>
              <w:left w:w="11" w:type="dxa"/>
              <w:right w:w="11" w:type="dxa"/>
            </w:tcMar>
            <w:vAlign w:val="center"/>
          </w:tcPr>
          <w:p w14:paraId="10D20878" w14:textId="77777777" w:rsidR="00034A31" w:rsidRPr="00F91CC3" w:rsidRDefault="00034A31" w:rsidP="00034A31">
            <w:pPr>
              <w:keepNext/>
              <w:jc w:val="center"/>
              <w:rPr>
                <w:rFonts w:ascii="Arial Narrow" w:eastAsiaTheme="majorEastAsia" w:hAnsi="Arial Narrow" w:cstheme="majorBidi"/>
                <w:bCs/>
                <w:sz w:val="20"/>
              </w:rPr>
            </w:pPr>
          </w:p>
        </w:tc>
        <w:tc>
          <w:tcPr>
            <w:tcW w:w="629" w:type="pct"/>
            <w:vMerge/>
            <w:tcMar>
              <w:left w:w="11" w:type="dxa"/>
              <w:right w:w="11" w:type="dxa"/>
            </w:tcMar>
            <w:vAlign w:val="center"/>
          </w:tcPr>
          <w:p w14:paraId="649BA035" w14:textId="77777777" w:rsidR="00034A31" w:rsidRPr="00F91CC3" w:rsidRDefault="00034A31" w:rsidP="00034A31">
            <w:pPr>
              <w:keepNext/>
              <w:jc w:val="center"/>
              <w:rPr>
                <w:rFonts w:ascii="Arial Narrow" w:eastAsiaTheme="majorEastAsia" w:hAnsi="Arial Narrow" w:cstheme="majorBidi"/>
                <w:b/>
                <w:sz w:val="20"/>
              </w:rPr>
            </w:pPr>
          </w:p>
        </w:tc>
        <w:tc>
          <w:tcPr>
            <w:tcW w:w="679" w:type="pct"/>
            <w:vMerge/>
            <w:tcMar>
              <w:left w:w="11" w:type="dxa"/>
              <w:right w:w="11" w:type="dxa"/>
            </w:tcMar>
            <w:vAlign w:val="center"/>
          </w:tcPr>
          <w:p w14:paraId="415E0F6F" w14:textId="77777777" w:rsidR="00034A31" w:rsidRPr="00F91CC3" w:rsidRDefault="00034A31" w:rsidP="00034A31">
            <w:pPr>
              <w:keepNext/>
              <w:jc w:val="center"/>
              <w:rPr>
                <w:rFonts w:ascii="Arial Narrow" w:eastAsiaTheme="majorEastAsia" w:hAnsi="Arial Narrow" w:cstheme="majorBidi"/>
                <w:bCs/>
                <w:sz w:val="20"/>
              </w:rPr>
            </w:pPr>
          </w:p>
        </w:tc>
      </w:tr>
      <w:tr w:rsidR="00034A31" w:rsidRPr="00F91CC3" w14:paraId="4AE37A14" w14:textId="77777777" w:rsidTr="003A3172">
        <w:tc>
          <w:tcPr>
            <w:tcW w:w="1019" w:type="pct"/>
            <w:tcMar>
              <w:left w:w="11" w:type="dxa"/>
              <w:right w:w="11" w:type="dxa"/>
            </w:tcMar>
            <w:vAlign w:val="center"/>
          </w:tcPr>
          <w:p w14:paraId="497177B0" w14:textId="77777777" w:rsidR="00034A31" w:rsidRPr="00F91CC3" w:rsidRDefault="00034A31" w:rsidP="00034A31">
            <w:pPr>
              <w:keepNext/>
              <w:jc w:val="left"/>
              <w:rPr>
                <w:rFonts w:ascii="Arial Narrow" w:eastAsiaTheme="majorEastAsia" w:hAnsi="Arial Narrow" w:cstheme="majorBidi"/>
                <w:b/>
                <w:bCs/>
                <w:sz w:val="20"/>
              </w:rPr>
            </w:pPr>
          </w:p>
        </w:tc>
        <w:tc>
          <w:tcPr>
            <w:tcW w:w="1572" w:type="pct"/>
            <w:gridSpan w:val="3"/>
            <w:tcMar>
              <w:left w:w="11" w:type="dxa"/>
              <w:right w:w="11" w:type="dxa"/>
            </w:tcMar>
            <w:vAlign w:val="center"/>
          </w:tcPr>
          <w:p w14:paraId="2109856A" w14:textId="77777777" w:rsidR="00034A31" w:rsidRPr="00F91CC3" w:rsidRDefault="00034A31" w:rsidP="00034A31">
            <w:pPr>
              <w:keepNext/>
              <w:jc w:val="center"/>
              <w:rPr>
                <w:rFonts w:ascii="Arial Narrow" w:eastAsiaTheme="majorEastAsia" w:hAnsi="Arial Narrow" w:cstheme="majorBidi"/>
                <w:b/>
                <w:bCs/>
                <w:sz w:val="20"/>
              </w:rPr>
            </w:pPr>
            <w:r w:rsidRPr="00F91CC3">
              <w:rPr>
                <w:rFonts w:ascii="Arial Narrow" w:eastAsiaTheme="majorEastAsia" w:hAnsi="Arial Narrow" w:cstheme="majorBidi"/>
                <w:b/>
                <w:bCs/>
                <w:sz w:val="20"/>
              </w:rPr>
              <w:t>Ivacaftor</w:t>
            </w:r>
          </w:p>
        </w:tc>
        <w:tc>
          <w:tcPr>
            <w:tcW w:w="1101" w:type="pct"/>
            <w:gridSpan w:val="3"/>
            <w:tcMar>
              <w:left w:w="11" w:type="dxa"/>
              <w:right w:w="11" w:type="dxa"/>
            </w:tcMar>
            <w:vAlign w:val="center"/>
          </w:tcPr>
          <w:p w14:paraId="054FEB42" w14:textId="77777777" w:rsidR="00034A31" w:rsidRPr="00F91CC3" w:rsidRDefault="00034A31" w:rsidP="00034A31">
            <w:pPr>
              <w:keepNext/>
              <w:jc w:val="center"/>
              <w:rPr>
                <w:rFonts w:ascii="Arial Narrow" w:eastAsiaTheme="majorEastAsia" w:hAnsi="Arial Narrow" w:cstheme="majorBidi"/>
                <w:b/>
                <w:bCs/>
                <w:sz w:val="20"/>
              </w:rPr>
            </w:pPr>
            <w:r w:rsidRPr="00F91CC3">
              <w:rPr>
                <w:rFonts w:ascii="Arial Narrow" w:eastAsiaTheme="majorEastAsia" w:hAnsi="Arial Narrow" w:cstheme="majorBidi"/>
                <w:b/>
                <w:bCs/>
                <w:sz w:val="20"/>
              </w:rPr>
              <w:t xml:space="preserve">Placebo </w:t>
            </w:r>
          </w:p>
        </w:tc>
        <w:tc>
          <w:tcPr>
            <w:tcW w:w="629" w:type="pct"/>
            <w:tcMar>
              <w:left w:w="11" w:type="dxa"/>
              <w:right w:w="11" w:type="dxa"/>
            </w:tcMar>
            <w:vAlign w:val="center"/>
          </w:tcPr>
          <w:p w14:paraId="6600FBD8" w14:textId="77777777" w:rsidR="00034A31" w:rsidRPr="00F91CC3" w:rsidRDefault="00034A31" w:rsidP="00034A31">
            <w:pPr>
              <w:keepNext/>
              <w:jc w:val="center"/>
              <w:rPr>
                <w:rFonts w:ascii="Arial Narrow" w:eastAsiaTheme="majorEastAsia" w:hAnsi="Arial Narrow" w:cstheme="majorBidi"/>
                <w:b/>
                <w:sz w:val="20"/>
              </w:rPr>
            </w:pPr>
          </w:p>
        </w:tc>
        <w:tc>
          <w:tcPr>
            <w:tcW w:w="679" w:type="pct"/>
            <w:tcMar>
              <w:left w:w="11" w:type="dxa"/>
              <w:right w:w="11" w:type="dxa"/>
            </w:tcMar>
            <w:vAlign w:val="center"/>
          </w:tcPr>
          <w:p w14:paraId="4ECA8880" w14:textId="77777777" w:rsidR="00034A31" w:rsidRPr="00F91CC3" w:rsidRDefault="00034A31" w:rsidP="00034A31">
            <w:pPr>
              <w:keepNext/>
              <w:jc w:val="center"/>
              <w:rPr>
                <w:rFonts w:ascii="Arial Narrow" w:eastAsiaTheme="majorEastAsia" w:hAnsi="Arial Narrow" w:cstheme="majorBidi"/>
                <w:b/>
                <w:bCs/>
                <w:sz w:val="20"/>
              </w:rPr>
            </w:pPr>
          </w:p>
        </w:tc>
      </w:tr>
      <w:tr w:rsidR="00034A31" w:rsidRPr="00F91CC3" w14:paraId="2714BE76" w14:textId="77777777" w:rsidTr="003A3172">
        <w:tc>
          <w:tcPr>
            <w:tcW w:w="1019" w:type="pct"/>
            <w:tcMar>
              <w:left w:w="11" w:type="dxa"/>
              <w:right w:w="11" w:type="dxa"/>
            </w:tcMar>
            <w:vAlign w:val="center"/>
          </w:tcPr>
          <w:p w14:paraId="13CF3A78"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Study 108, average of w4 and w8</w:t>
            </w:r>
          </w:p>
        </w:tc>
        <w:tc>
          <w:tcPr>
            <w:tcW w:w="393" w:type="pct"/>
            <w:tcMar>
              <w:left w:w="11" w:type="dxa"/>
              <w:right w:w="11" w:type="dxa"/>
            </w:tcMar>
            <w:vAlign w:val="center"/>
          </w:tcPr>
          <w:p w14:paraId="1002C1F9" w14:textId="77777777" w:rsidR="00034A31" w:rsidRPr="00F91CC3" w:rsidRDefault="00034A31" w:rsidP="00034A31">
            <w:pPr>
              <w:keepNext/>
              <w:jc w:val="center"/>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156</w:t>
            </w:r>
          </w:p>
        </w:tc>
        <w:tc>
          <w:tcPr>
            <w:tcW w:w="550" w:type="pct"/>
            <w:tcMar>
              <w:left w:w="11" w:type="dxa"/>
              <w:right w:w="11" w:type="dxa"/>
            </w:tcMar>
            <w:vAlign w:val="center"/>
          </w:tcPr>
          <w:p w14:paraId="54D81FA8" w14:textId="77777777" w:rsidR="00034A31" w:rsidRPr="00F91CC3" w:rsidRDefault="00034A31" w:rsidP="00034A31">
            <w:pPr>
              <w:keepNext/>
              <w:jc w:val="center"/>
              <w:rPr>
                <w:rFonts w:ascii="Arial Narrow" w:eastAsiaTheme="majorEastAsia" w:hAnsi="Arial Narrow" w:cstheme="majorBidi"/>
                <w:bCs/>
                <w:sz w:val="20"/>
                <w:szCs w:val="20"/>
              </w:rPr>
            </w:pPr>
            <w:r w:rsidRPr="00F91CC3">
              <w:rPr>
                <w:rFonts w:ascii="Arial Narrow" w:eastAsiaTheme="majorEastAsia" w:hAnsi="Arial Narrow" w:cs="Times New Roman"/>
                <w:bCs/>
                <w:sz w:val="20"/>
                <w:szCs w:val="20"/>
              </w:rPr>
              <w:t>62.1 (14.6)</w:t>
            </w:r>
          </w:p>
        </w:tc>
        <w:tc>
          <w:tcPr>
            <w:tcW w:w="629" w:type="pct"/>
            <w:tcMar>
              <w:left w:w="11" w:type="dxa"/>
              <w:right w:w="11" w:type="dxa"/>
            </w:tcMar>
            <w:vAlign w:val="center"/>
          </w:tcPr>
          <w:p w14:paraId="024364B3" w14:textId="77777777" w:rsidR="00034A31" w:rsidRPr="00F91CC3" w:rsidRDefault="00034A31" w:rsidP="00034A31">
            <w:pPr>
              <w:keepNext/>
              <w:jc w:val="center"/>
              <w:rPr>
                <w:rFonts w:ascii="Arial Narrow" w:eastAsiaTheme="majorEastAsia" w:hAnsi="Arial Narrow" w:cstheme="majorBidi"/>
                <w:bCs/>
                <w:sz w:val="20"/>
                <w:szCs w:val="20"/>
              </w:rPr>
            </w:pPr>
            <w:r w:rsidRPr="00F91CC3">
              <w:rPr>
                <w:rFonts w:ascii="Arial Narrow" w:eastAsiaTheme="majorEastAsia" w:hAnsi="Arial Narrow" w:cs="Times New Roman"/>
                <w:bCs/>
                <w:sz w:val="20"/>
                <w:szCs w:val="20"/>
              </w:rPr>
              <w:t>4.4 (0.5)</w:t>
            </w:r>
          </w:p>
        </w:tc>
        <w:tc>
          <w:tcPr>
            <w:tcW w:w="315" w:type="pct"/>
            <w:tcMar>
              <w:left w:w="11" w:type="dxa"/>
              <w:right w:w="11" w:type="dxa"/>
            </w:tcMar>
            <w:vAlign w:val="center"/>
          </w:tcPr>
          <w:p w14:paraId="6E7AD362" w14:textId="77777777" w:rsidR="00034A31" w:rsidRPr="00F91CC3" w:rsidRDefault="00034A31" w:rsidP="00034A31">
            <w:pPr>
              <w:keepNext/>
              <w:jc w:val="center"/>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161</w:t>
            </w:r>
          </w:p>
        </w:tc>
        <w:tc>
          <w:tcPr>
            <w:tcW w:w="471" w:type="pct"/>
            <w:tcMar>
              <w:left w:w="11" w:type="dxa"/>
              <w:right w:w="11" w:type="dxa"/>
            </w:tcMar>
            <w:vAlign w:val="center"/>
          </w:tcPr>
          <w:p w14:paraId="790C44D2" w14:textId="77777777" w:rsidR="00034A31" w:rsidRPr="00F91CC3" w:rsidRDefault="00034A31" w:rsidP="00034A31">
            <w:pPr>
              <w:keepNext/>
              <w:jc w:val="center"/>
              <w:rPr>
                <w:rFonts w:ascii="Arial Narrow" w:eastAsiaTheme="majorEastAsia" w:hAnsi="Arial Narrow" w:cstheme="majorBidi"/>
                <w:bCs/>
                <w:sz w:val="20"/>
                <w:szCs w:val="20"/>
              </w:rPr>
            </w:pPr>
            <w:r w:rsidRPr="00F91CC3">
              <w:rPr>
                <w:rFonts w:ascii="Arial Narrow" w:eastAsiaTheme="majorEastAsia" w:hAnsi="Arial Narrow" w:cs="Times New Roman"/>
                <w:bCs/>
                <w:sz w:val="20"/>
                <w:szCs w:val="20"/>
              </w:rPr>
              <w:t>62.2 (14.3)</w:t>
            </w:r>
          </w:p>
        </w:tc>
        <w:tc>
          <w:tcPr>
            <w:tcW w:w="315" w:type="pct"/>
            <w:tcMar>
              <w:left w:w="11" w:type="dxa"/>
              <w:right w:w="11" w:type="dxa"/>
            </w:tcMar>
            <w:vAlign w:val="center"/>
          </w:tcPr>
          <w:p w14:paraId="66B9248C" w14:textId="77777777" w:rsidR="00034A31" w:rsidRPr="00F91CC3" w:rsidRDefault="00034A31" w:rsidP="00034A31">
            <w:pPr>
              <w:keepNext/>
              <w:jc w:val="center"/>
              <w:rPr>
                <w:rFonts w:ascii="Arial Narrow" w:eastAsiaTheme="majorEastAsia" w:hAnsi="Arial Narrow" w:cstheme="majorBidi"/>
                <w:bCs/>
                <w:sz w:val="20"/>
                <w:szCs w:val="20"/>
              </w:rPr>
            </w:pPr>
            <w:r w:rsidRPr="00F91CC3">
              <w:rPr>
                <w:rFonts w:ascii="Arial Narrow" w:eastAsiaTheme="majorEastAsia" w:hAnsi="Arial Narrow" w:cs="Times New Roman"/>
                <w:bCs/>
                <w:sz w:val="20"/>
                <w:szCs w:val="20"/>
              </w:rPr>
              <w:t>-0.3 (0.5)</w:t>
            </w:r>
          </w:p>
        </w:tc>
        <w:tc>
          <w:tcPr>
            <w:tcW w:w="629" w:type="pct"/>
            <w:tcMar>
              <w:left w:w="11" w:type="dxa"/>
              <w:right w:w="11" w:type="dxa"/>
            </w:tcMar>
            <w:vAlign w:val="center"/>
          </w:tcPr>
          <w:p w14:paraId="67BBFD3A" w14:textId="77777777" w:rsidR="00034A31" w:rsidRPr="00F91CC3" w:rsidRDefault="00034A31" w:rsidP="00034A31">
            <w:pPr>
              <w:keepNext/>
              <w:jc w:val="center"/>
              <w:rPr>
                <w:rFonts w:ascii="Arial Narrow" w:eastAsiaTheme="majorEastAsia" w:hAnsi="Arial Narrow" w:cstheme="majorBidi"/>
                <w:bCs/>
                <w:sz w:val="20"/>
                <w:szCs w:val="20"/>
              </w:rPr>
            </w:pPr>
            <w:r w:rsidRPr="00F91CC3">
              <w:rPr>
                <w:rFonts w:ascii="Arial Narrow" w:eastAsiaTheme="majorEastAsia" w:hAnsi="Arial Narrow" w:cs="Times New Roman"/>
                <w:b/>
                <w:sz w:val="20"/>
                <w:szCs w:val="20"/>
              </w:rPr>
              <w:t>4.7 (3.7, 5.8)</w:t>
            </w:r>
          </w:p>
        </w:tc>
        <w:tc>
          <w:tcPr>
            <w:tcW w:w="679" w:type="pct"/>
            <w:tcMar>
              <w:left w:w="11" w:type="dxa"/>
              <w:right w:w="11" w:type="dxa"/>
            </w:tcMar>
            <w:vAlign w:val="center"/>
          </w:tcPr>
          <w:p w14:paraId="31EE8944" w14:textId="77777777" w:rsidR="00034A31" w:rsidRPr="00F91CC3" w:rsidRDefault="00034A31" w:rsidP="00034A31">
            <w:pPr>
              <w:keepNext/>
              <w:jc w:val="center"/>
              <w:rPr>
                <w:rFonts w:ascii="Arial Narrow" w:eastAsiaTheme="majorEastAsia" w:hAnsi="Arial Narrow" w:cstheme="majorBidi"/>
                <w:bCs/>
                <w:sz w:val="20"/>
                <w:szCs w:val="20"/>
              </w:rPr>
            </w:pPr>
            <w:r w:rsidRPr="00F91CC3">
              <w:rPr>
                <w:rFonts w:ascii="Arial Narrow" w:eastAsiaTheme="majorEastAsia" w:hAnsi="Arial Narrow" w:cs="Times New Roman"/>
                <w:b/>
                <w:sz w:val="20"/>
                <w:szCs w:val="20"/>
              </w:rPr>
              <w:t>&lt;0.0001</w:t>
            </w:r>
          </w:p>
        </w:tc>
      </w:tr>
      <w:tr w:rsidR="00034A31" w:rsidRPr="00F91CC3" w14:paraId="1B60595B" w14:textId="77777777" w:rsidTr="003A3172">
        <w:tc>
          <w:tcPr>
            <w:tcW w:w="1019" w:type="pct"/>
            <w:tcMar>
              <w:left w:w="11" w:type="dxa"/>
              <w:right w:w="11" w:type="dxa"/>
            </w:tcMar>
            <w:vAlign w:val="center"/>
          </w:tcPr>
          <w:p w14:paraId="61DB76A7"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Study 110, w24</w:t>
            </w:r>
          </w:p>
        </w:tc>
        <w:tc>
          <w:tcPr>
            <w:tcW w:w="393" w:type="pct"/>
            <w:tcMar>
              <w:left w:w="11" w:type="dxa"/>
              <w:right w:w="11" w:type="dxa"/>
            </w:tcMar>
            <w:vAlign w:val="center"/>
          </w:tcPr>
          <w:p w14:paraId="3B63D0F1"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szCs w:val="20"/>
              </w:rPr>
              <w:t>34</w:t>
            </w:r>
          </w:p>
        </w:tc>
        <w:tc>
          <w:tcPr>
            <w:tcW w:w="550" w:type="pct"/>
            <w:tcMar>
              <w:left w:w="11" w:type="dxa"/>
              <w:right w:w="11" w:type="dxa"/>
            </w:tcMar>
            <w:vAlign w:val="center"/>
          </w:tcPr>
          <w:p w14:paraId="7F537315"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szCs w:val="20"/>
              </w:rPr>
              <w:t>75.70</w:t>
            </w:r>
            <w:r w:rsidRPr="00F91CC3">
              <w:rPr>
                <w:rFonts w:ascii="Arial Narrow" w:eastAsiaTheme="majorEastAsia" w:hAnsi="Arial Narrow" w:cstheme="majorBidi"/>
                <w:bCs/>
                <w:sz w:val="20"/>
                <w:vertAlign w:val="superscript"/>
              </w:rPr>
              <w:t>a</w:t>
            </w:r>
          </w:p>
        </w:tc>
        <w:tc>
          <w:tcPr>
            <w:tcW w:w="629" w:type="pct"/>
            <w:tcMar>
              <w:left w:w="11" w:type="dxa"/>
              <w:right w:w="11" w:type="dxa"/>
            </w:tcMar>
            <w:vAlign w:val="center"/>
          </w:tcPr>
          <w:p w14:paraId="3F72DC0C"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szCs w:val="20"/>
              </w:rPr>
              <w:t>2.57</w:t>
            </w:r>
            <w:r w:rsidRPr="00F91CC3">
              <w:rPr>
                <w:rFonts w:ascii="Arial Narrow" w:eastAsiaTheme="majorEastAsia" w:hAnsi="Arial Narrow" w:cstheme="majorBidi"/>
                <w:bCs/>
                <w:sz w:val="20"/>
                <w:vertAlign w:val="superscript"/>
              </w:rPr>
              <w:t>b</w:t>
            </w:r>
          </w:p>
        </w:tc>
        <w:tc>
          <w:tcPr>
            <w:tcW w:w="315" w:type="pct"/>
            <w:tcMar>
              <w:left w:w="11" w:type="dxa"/>
              <w:right w:w="11" w:type="dxa"/>
            </w:tcMar>
            <w:vAlign w:val="center"/>
          </w:tcPr>
          <w:p w14:paraId="34709618"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szCs w:val="20"/>
              </w:rPr>
              <w:t>35</w:t>
            </w:r>
          </w:p>
        </w:tc>
        <w:tc>
          <w:tcPr>
            <w:tcW w:w="471" w:type="pct"/>
            <w:tcMar>
              <w:left w:w="11" w:type="dxa"/>
              <w:right w:w="11" w:type="dxa"/>
            </w:tcMar>
            <w:vAlign w:val="center"/>
          </w:tcPr>
          <w:p w14:paraId="5E3AF979"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szCs w:val="20"/>
              </w:rPr>
              <w:t>70.23</w:t>
            </w:r>
          </w:p>
        </w:tc>
        <w:tc>
          <w:tcPr>
            <w:tcW w:w="315" w:type="pct"/>
            <w:tcMar>
              <w:left w:w="11" w:type="dxa"/>
              <w:right w:w="11" w:type="dxa"/>
            </w:tcMar>
            <w:vAlign w:val="center"/>
          </w:tcPr>
          <w:p w14:paraId="1781803C" w14:textId="77777777" w:rsidR="00034A31" w:rsidRPr="00F91CC3" w:rsidRDefault="00034A31" w:rsidP="00034A31">
            <w:pPr>
              <w:keepNext/>
              <w:jc w:val="center"/>
              <w:rPr>
                <w:rFonts w:ascii="Arial Narrow" w:eastAsiaTheme="majorEastAsia" w:hAnsi="Arial Narrow" w:cstheme="majorBidi"/>
                <w:b/>
                <w:bCs/>
                <w:sz w:val="20"/>
              </w:rPr>
            </w:pPr>
            <w:r w:rsidRPr="00F91CC3">
              <w:rPr>
                <w:rFonts w:ascii="Arial Narrow" w:eastAsiaTheme="majorEastAsia" w:hAnsi="Arial Narrow" w:cstheme="majorBidi"/>
                <w:bCs/>
                <w:sz w:val="20"/>
                <w:szCs w:val="20"/>
              </w:rPr>
              <w:t>0.46</w:t>
            </w:r>
            <w:r w:rsidRPr="00F91CC3">
              <w:rPr>
                <w:rFonts w:ascii="Arial Narrow" w:eastAsiaTheme="majorEastAsia" w:hAnsi="Arial Narrow" w:cstheme="majorBidi"/>
                <w:bCs/>
                <w:sz w:val="20"/>
                <w:szCs w:val="20"/>
                <w:vertAlign w:val="superscript"/>
              </w:rPr>
              <w:t>a</w:t>
            </w:r>
            <w:r w:rsidRPr="00F91CC3">
              <w:rPr>
                <w:rFonts w:ascii="Arial Narrow" w:eastAsiaTheme="majorEastAsia" w:hAnsi="Arial Narrow" w:cstheme="majorBidi"/>
                <w:bCs/>
                <w:sz w:val="20"/>
                <w:vertAlign w:val="superscript"/>
              </w:rPr>
              <w:t>b</w:t>
            </w:r>
          </w:p>
        </w:tc>
        <w:tc>
          <w:tcPr>
            <w:tcW w:w="629" w:type="pct"/>
            <w:tcMar>
              <w:left w:w="11" w:type="dxa"/>
              <w:right w:w="11" w:type="dxa"/>
            </w:tcMar>
            <w:vAlign w:val="center"/>
          </w:tcPr>
          <w:p w14:paraId="5E213923" w14:textId="77777777" w:rsidR="00034A31" w:rsidRPr="00F91CC3" w:rsidRDefault="00034A31" w:rsidP="00034A31">
            <w:pPr>
              <w:keepNext/>
              <w:jc w:val="center"/>
              <w:rPr>
                <w:rFonts w:ascii="Arial Narrow" w:eastAsiaTheme="majorEastAsia" w:hAnsi="Arial Narrow" w:cstheme="majorBidi"/>
                <w:b/>
                <w:sz w:val="20"/>
              </w:rPr>
            </w:pPr>
            <w:r w:rsidRPr="00F91CC3">
              <w:rPr>
                <w:rFonts w:ascii="Arial Narrow" w:eastAsiaTheme="majorEastAsia" w:hAnsi="Arial Narrow" w:cstheme="majorBidi"/>
                <w:bCs/>
                <w:sz w:val="20"/>
                <w:szCs w:val="20"/>
              </w:rPr>
              <w:t>2.11 (-1.13, 5.35)</w:t>
            </w:r>
          </w:p>
        </w:tc>
        <w:tc>
          <w:tcPr>
            <w:tcW w:w="679" w:type="pct"/>
            <w:tcMar>
              <w:left w:w="11" w:type="dxa"/>
              <w:right w:w="11" w:type="dxa"/>
            </w:tcMar>
            <w:vAlign w:val="center"/>
          </w:tcPr>
          <w:p w14:paraId="3B99EE86"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szCs w:val="20"/>
              </w:rPr>
              <w:t>0.1979</w:t>
            </w:r>
          </w:p>
        </w:tc>
      </w:tr>
      <w:tr w:rsidR="00034A31" w:rsidRPr="00F91CC3" w14:paraId="6ECE0DFD" w14:textId="77777777" w:rsidTr="003A3172">
        <w:tc>
          <w:tcPr>
            <w:tcW w:w="1019" w:type="pct"/>
            <w:tcMar>
              <w:left w:w="11" w:type="dxa"/>
              <w:right w:w="11" w:type="dxa"/>
            </w:tcMar>
            <w:vAlign w:val="center"/>
          </w:tcPr>
          <w:p w14:paraId="6A3502F0"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Study 112, w104</w:t>
            </w:r>
          </w:p>
        </w:tc>
        <w:tc>
          <w:tcPr>
            <w:tcW w:w="393" w:type="pct"/>
            <w:tcMar>
              <w:left w:w="11" w:type="dxa"/>
              <w:right w:w="11" w:type="dxa"/>
            </w:tcMar>
            <w:vAlign w:val="center"/>
          </w:tcPr>
          <w:p w14:paraId="0EBE931F"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szCs w:val="20"/>
              </w:rPr>
              <w:t>65</w:t>
            </w:r>
          </w:p>
        </w:tc>
        <w:tc>
          <w:tcPr>
            <w:tcW w:w="550" w:type="pct"/>
            <w:tcMar>
              <w:left w:w="11" w:type="dxa"/>
              <w:right w:w="11" w:type="dxa"/>
            </w:tcMar>
            <w:vAlign w:val="center"/>
          </w:tcPr>
          <w:p w14:paraId="401ECF3F"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imes New Roman"/>
                <w:bCs/>
                <w:sz w:val="20"/>
                <w:szCs w:val="20"/>
              </w:rPr>
              <w:t>71.8</w:t>
            </w:r>
            <w:r w:rsidRPr="00F91CC3">
              <w:rPr>
                <w:rFonts w:ascii="Arial Narrow" w:eastAsiaTheme="majorEastAsia" w:hAnsi="Arial Narrow" w:cstheme="majorBidi"/>
                <w:bCs/>
                <w:sz w:val="20"/>
                <w:vertAlign w:val="superscript"/>
              </w:rPr>
              <w:t>a</w:t>
            </w:r>
          </w:p>
        </w:tc>
        <w:tc>
          <w:tcPr>
            <w:tcW w:w="629" w:type="pct"/>
            <w:tcMar>
              <w:left w:w="11" w:type="dxa"/>
              <w:right w:w="11" w:type="dxa"/>
            </w:tcMar>
            <w:vAlign w:val="center"/>
          </w:tcPr>
          <w:p w14:paraId="79018C8F"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imes New Roman"/>
                <w:bCs/>
                <w:sz w:val="20"/>
                <w:szCs w:val="20"/>
              </w:rPr>
              <w:t>3.0</w:t>
            </w:r>
            <w:r w:rsidRPr="00F91CC3">
              <w:rPr>
                <w:rFonts w:ascii="Arial Narrow" w:eastAsiaTheme="majorEastAsia" w:hAnsi="Arial Narrow" w:cstheme="majorBidi"/>
                <w:bCs/>
                <w:sz w:val="20"/>
                <w:vertAlign w:val="superscript"/>
              </w:rPr>
              <w:t>b</w:t>
            </w:r>
          </w:p>
        </w:tc>
        <w:tc>
          <w:tcPr>
            <w:tcW w:w="315" w:type="pct"/>
            <w:tcMar>
              <w:left w:w="11" w:type="dxa"/>
              <w:right w:w="11" w:type="dxa"/>
            </w:tcMar>
            <w:vAlign w:val="center"/>
          </w:tcPr>
          <w:p w14:paraId="4B7A40A3"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NR</w:t>
            </w:r>
          </w:p>
        </w:tc>
        <w:tc>
          <w:tcPr>
            <w:tcW w:w="471" w:type="pct"/>
            <w:tcMar>
              <w:left w:w="11" w:type="dxa"/>
              <w:right w:w="11" w:type="dxa"/>
            </w:tcMar>
            <w:vAlign w:val="center"/>
          </w:tcPr>
          <w:p w14:paraId="2C0E7C44"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NR</w:t>
            </w:r>
          </w:p>
        </w:tc>
        <w:tc>
          <w:tcPr>
            <w:tcW w:w="315" w:type="pct"/>
            <w:tcMar>
              <w:left w:w="11" w:type="dxa"/>
              <w:right w:w="11" w:type="dxa"/>
            </w:tcMar>
            <w:vAlign w:val="center"/>
          </w:tcPr>
          <w:p w14:paraId="42C20861"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NR</w:t>
            </w:r>
          </w:p>
        </w:tc>
        <w:tc>
          <w:tcPr>
            <w:tcW w:w="629" w:type="pct"/>
            <w:tcMar>
              <w:left w:w="11" w:type="dxa"/>
              <w:right w:w="11" w:type="dxa"/>
            </w:tcMar>
            <w:vAlign w:val="center"/>
          </w:tcPr>
          <w:p w14:paraId="28C85C9D" w14:textId="77777777" w:rsidR="00034A31" w:rsidRPr="00F91CC3" w:rsidRDefault="00034A31" w:rsidP="00034A31">
            <w:pPr>
              <w:keepNext/>
              <w:jc w:val="center"/>
              <w:rPr>
                <w:rFonts w:ascii="Arial Narrow" w:eastAsiaTheme="majorEastAsia" w:hAnsi="Arial Narrow" w:cstheme="majorBidi"/>
                <w:b/>
                <w:sz w:val="20"/>
              </w:rPr>
            </w:pPr>
            <w:r w:rsidRPr="00F91CC3">
              <w:rPr>
                <w:rFonts w:ascii="Arial Narrow" w:eastAsiaTheme="majorEastAsia" w:hAnsi="Arial Narrow" w:cstheme="majorBidi"/>
                <w:bCs/>
                <w:sz w:val="20"/>
              </w:rPr>
              <w:t>NR</w:t>
            </w:r>
          </w:p>
        </w:tc>
        <w:tc>
          <w:tcPr>
            <w:tcW w:w="679" w:type="pct"/>
            <w:tcMar>
              <w:left w:w="11" w:type="dxa"/>
              <w:right w:w="11" w:type="dxa"/>
            </w:tcMar>
            <w:vAlign w:val="center"/>
          </w:tcPr>
          <w:p w14:paraId="2995B1AD"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NR</w:t>
            </w:r>
          </w:p>
        </w:tc>
      </w:tr>
      <w:tr w:rsidR="00034A31" w:rsidRPr="00F91CC3" w14:paraId="43F769C8" w14:textId="77777777" w:rsidTr="003A3172">
        <w:tc>
          <w:tcPr>
            <w:tcW w:w="1019" w:type="pct"/>
            <w:tcMar>
              <w:left w:w="11" w:type="dxa"/>
              <w:right w:w="11" w:type="dxa"/>
            </w:tcMar>
          </w:tcPr>
          <w:p w14:paraId="71FBA26F"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Study 113, w2</w:t>
            </w:r>
          </w:p>
        </w:tc>
        <w:tc>
          <w:tcPr>
            <w:tcW w:w="393" w:type="pct"/>
            <w:tcMar>
              <w:left w:w="11" w:type="dxa"/>
              <w:right w:w="11" w:type="dxa"/>
            </w:tcMar>
            <w:vAlign w:val="center"/>
          </w:tcPr>
          <w:p w14:paraId="5D938285" w14:textId="77777777" w:rsidR="00034A31" w:rsidRPr="00F91CC3" w:rsidRDefault="00034A31" w:rsidP="00034A31">
            <w:pPr>
              <w:keepNext/>
              <w:jc w:val="center"/>
              <w:rPr>
                <w:rFonts w:ascii="Arial Narrow" w:eastAsiaTheme="majorEastAsia" w:hAnsi="Arial Narrow" w:cstheme="majorBidi"/>
                <w:bCs/>
                <w:sz w:val="20"/>
                <w:szCs w:val="20"/>
              </w:rPr>
            </w:pPr>
            <w:r w:rsidRPr="00F91CC3">
              <w:rPr>
                <w:rFonts w:ascii="Arial Narrow" w:eastAsiaTheme="majorEastAsia" w:hAnsi="Arial Narrow" w:cstheme="majorBidi"/>
                <w:bCs/>
                <w:sz w:val="20"/>
              </w:rPr>
              <w:t>24</w:t>
            </w:r>
          </w:p>
        </w:tc>
        <w:tc>
          <w:tcPr>
            <w:tcW w:w="550" w:type="pct"/>
            <w:tcMar>
              <w:left w:w="11" w:type="dxa"/>
              <w:right w:w="11" w:type="dxa"/>
            </w:tcMar>
            <w:vAlign w:val="center"/>
          </w:tcPr>
          <w:p w14:paraId="7F030E71" w14:textId="77777777" w:rsidR="00034A31" w:rsidRPr="00F91CC3" w:rsidRDefault="00034A31" w:rsidP="00034A31">
            <w:pPr>
              <w:keepNext/>
              <w:jc w:val="center"/>
              <w:rPr>
                <w:rFonts w:ascii="Arial Narrow" w:eastAsiaTheme="majorEastAsia" w:hAnsi="Arial Narrow" w:cs="Times New Roman"/>
                <w:bCs/>
                <w:sz w:val="20"/>
                <w:szCs w:val="20"/>
              </w:rPr>
            </w:pPr>
            <w:r w:rsidRPr="00F91CC3">
              <w:rPr>
                <w:rFonts w:ascii="Arial Narrow" w:eastAsiaTheme="majorEastAsia" w:hAnsi="Arial Narrow" w:cstheme="majorBidi"/>
                <w:bCs/>
                <w:sz w:val="20"/>
              </w:rPr>
              <w:t>NR</w:t>
            </w:r>
          </w:p>
        </w:tc>
        <w:tc>
          <w:tcPr>
            <w:tcW w:w="629" w:type="pct"/>
            <w:tcMar>
              <w:left w:w="11" w:type="dxa"/>
              <w:right w:w="11" w:type="dxa"/>
            </w:tcMar>
            <w:vAlign w:val="center"/>
          </w:tcPr>
          <w:p w14:paraId="334DF4FF" w14:textId="77777777" w:rsidR="00034A31" w:rsidRPr="00F91CC3" w:rsidRDefault="00034A31" w:rsidP="00034A31">
            <w:pPr>
              <w:keepNext/>
              <w:jc w:val="center"/>
              <w:rPr>
                <w:rFonts w:ascii="Arial Narrow" w:eastAsiaTheme="majorEastAsia" w:hAnsi="Arial Narrow" w:cs="Times New Roman"/>
                <w:bCs/>
                <w:sz w:val="20"/>
                <w:szCs w:val="20"/>
              </w:rPr>
            </w:pPr>
            <w:r w:rsidRPr="00F91CC3">
              <w:rPr>
                <w:rFonts w:ascii="Arial Narrow" w:eastAsiaTheme="majorEastAsia" w:hAnsi="Arial Narrow" w:cstheme="majorBidi"/>
                <w:bCs/>
                <w:sz w:val="20"/>
              </w:rPr>
              <w:t>NR</w:t>
            </w:r>
          </w:p>
        </w:tc>
        <w:tc>
          <w:tcPr>
            <w:tcW w:w="315" w:type="pct"/>
            <w:tcMar>
              <w:left w:w="11" w:type="dxa"/>
              <w:right w:w="11" w:type="dxa"/>
            </w:tcMar>
            <w:vAlign w:val="center"/>
          </w:tcPr>
          <w:p w14:paraId="50BC9C7F"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24</w:t>
            </w:r>
          </w:p>
        </w:tc>
        <w:tc>
          <w:tcPr>
            <w:tcW w:w="471" w:type="pct"/>
            <w:tcMar>
              <w:left w:w="11" w:type="dxa"/>
              <w:right w:w="11" w:type="dxa"/>
            </w:tcMar>
            <w:vAlign w:val="center"/>
          </w:tcPr>
          <w:p w14:paraId="6ECCA760"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NR</w:t>
            </w:r>
          </w:p>
        </w:tc>
        <w:tc>
          <w:tcPr>
            <w:tcW w:w="315" w:type="pct"/>
            <w:tcMar>
              <w:left w:w="11" w:type="dxa"/>
              <w:right w:w="11" w:type="dxa"/>
            </w:tcMar>
            <w:vAlign w:val="center"/>
          </w:tcPr>
          <w:p w14:paraId="3C3DF5A7"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NR</w:t>
            </w:r>
          </w:p>
        </w:tc>
        <w:tc>
          <w:tcPr>
            <w:tcW w:w="629" w:type="pct"/>
            <w:tcMar>
              <w:left w:w="11" w:type="dxa"/>
              <w:right w:w="11" w:type="dxa"/>
            </w:tcMar>
            <w:vAlign w:val="center"/>
          </w:tcPr>
          <w:p w14:paraId="3005D12D"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szCs w:val="20"/>
              </w:rPr>
              <w:t>2.3</w:t>
            </w:r>
            <w:r w:rsidRPr="00F91CC3">
              <w:rPr>
                <w:rFonts w:ascii="Arial Narrow" w:eastAsiaTheme="majorEastAsia" w:hAnsi="Arial Narrow" w:cstheme="majorBidi"/>
                <w:bCs/>
                <w:sz w:val="20"/>
                <w:vertAlign w:val="superscript"/>
              </w:rPr>
              <w:t>c</w:t>
            </w:r>
            <w:r w:rsidRPr="00F91CC3">
              <w:rPr>
                <w:rFonts w:ascii="Arial Narrow" w:eastAsiaTheme="majorEastAsia" w:hAnsi="Arial Narrow" w:cstheme="majorBidi"/>
                <w:bCs/>
                <w:sz w:val="20"/>
                <w:szCs w:val="20"/>
              </w:rPr>
              <w:t xml:space="preserve"> (95% CI: 0.4, 4.1)</w:t>
            </w:r>
          </w:p>
        </w:tc>
        <w:tc>
          <w:tcPr>
            <w:tcW w:w="679" w:type="pct"/>
            <w:tcMar>
              <w:left w:w="11" w:type="dxa"/>
              <w:right w:w="11" w:type="dxa"/>
            </w:tcMar>
            <w:vAlign w:val="center"/>
          </w:tcPr>
          <w:p w14:paraId="6A366617"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NR</w:t>
            </w:r>
          </w:p>
        </w:tc>
      </w:tr>
      <w:tr w:rsidR="00034A31" w:rsidRPr="00F91CC3" w14:paraId="2D1D10A0" w14:textId="77777777" w:rsidTr="003A3172">
        <w:trPr>
          <w:trHeight w:val="229"/>
        </w:trPr>
        <w:tc>
          <w:tcPr>
            <w:tcW w:w="1019" w:type="pct"/>
            <w:tcMar>
              <w:left w:w="11" w:type="dxa"/>
              <w:right w:w="11" w:type="dxa"/>
            </w:tcMar>
            <w:vAlign w:val="center"/>
          </w:tcPr>
          <w:p w14:paraId="05A1E6F1"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Study 122, w156</w:t>
            </w:r>
          </w:p>
        </w:tc>
        <w:tc>
          <w:tcPr>
            <w:tcW w:w="393" w:type="pct"/>
            <w:tcMar>
              <w:left w:w="11" w:type="dxa"/>
              <w:right w:w="11" w:type="dxa"/>
            </w:tcMar>
            <w:vAlign w:val="center"/>
          </w:tcPr>
          <w:p w14:paraId="2F255164"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szCs w:val="20"/>
              </w:rPr>
              <w:t>305</w:t>
            </w:r>
          </w:p>
        </w:tc>
        <w:tc>
          <w:tcPr>
            <w:tcW w:w="550" w:type="pct"/>
            <w:tcMar>
              <w:left w:w="11" w:type="dxa"/>
              <w:right w:w="11" w:type="dxa"/>
            </w:tcMar>
            <w:vAlign w:val="center"/>
          </w:tcPr>
          <w:p w14:paraId="45B038C1"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imes New Roman"/>
                <w:bCs/>
                <w:sz w:val="20"/>
                <w:szCs w:val="20"/>
              </w:rPr>
              <w:t>69.1 (24.8)</w:t>
            </w:r>
          </w:p>
        </w:tc>
        <w:tc>
          <w:tcPr>
            <w:tcW w:w="629" w:type="pct"/>
            <w:tcMar>
              <w:left w:w="11" w:type="dxa"/>
              <w:right w:w="11" w:type="dxa"/>
            </w:tcMar>
            <w:vAlign w:val="center"/>
          </w:tcPr>
          <w:p w14:paraId="147E0C46"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imes New Roman"/>
                <w:bCs/>
                <w:sz w:val="20"/>
                <w:szCs w:val="20"/>
              </w:rPr>
              <w:t>1.7 (9.7)</w:t>
            </w:r>
          </w:p>
        </w:tc>
        <w:tc>
          <w:tcPr>
            <w:tcW w:w="315" w:type="pct"/>
            <w:tcMar>
              <w:left w:w="11" w:type="dxa"/>
              <w:right w:w="11" w:type="dxa"/>
            </w:tcMar>
            <w:vAlign w:val="center"/>
          </w:tcPr>
          <w:p w14:paraId="42A989D5"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NR</w:t>
            </w:r>
          </w:p>
        </w:tc>
        <w:tc>
          <w:tcPr>
            <w:tcW w:w="471" w:type="pct"/>
            <w:tcMar>
              <w:left w:w="11" w:type="dxa"/>
              <w:right w:w="11" w:type="dxa"/>
            </w:tcMar>
            <w:vAlign w:val="center"/>
          </w:tcPr>
          <w:p w14:paraId="7D199741"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NR</w:t>
            </w:r>
          </w:p>
        </w:tc>
        <w:tc>
          <w:tcPr>
            <w:tcW w:w="315" w:type="pct"/>
            <w:tcMar>
              <w:left w:w="11" w:type="dxa"/>
              <w:right w:w="11" w:type="dxa"/>
            </w:tcMar>
            <w:vAlign w:val="center"/>
          </w:tcPr>
          <w:p w14:paraId="59CC8183"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NR</w:t>
            </w:r>
          </w:p>
        </w:tc>
        <w:tc>
          <w:tcPr>
            <w:tcW w:w="629" w:type="pct"/>
            <w:tcMar>
              <w:left w:w="11" w:type="dxa"/>
              <w:right w:w="11" w:type="dxa"/>
            </w:tcMar>
            <w:vAlign w:val="center"/>
          </w:tcPr>
          <w:p w14:paraId="159163D2" w14:textId="77777777" w:rsidR="00034A31" w:rsidRPr="00F91CC3" w:rsidRDefault="00034A31" w:rsidP="00034A31">
            <w:pPr>
              <w:keepNext/>
              <w:jc w:val="center"/>
              <w:rPr>
                <w:rFonts w:ascii="Arial Narrow" w:eastAsiaTheme="majorEastAsia" w:hAnsi="Arial Narrow" w:cstheme="majorBidi"/>
                <w:b/>
                <w:bCs/>
                <w:sz w:val="20"/>
              </w:rPr>
            </w:pPr>
            <w:r w:rsidRPr="00F91CC3">
              <w:rPr>
                <w:rFonts w:ascii="Arial Narrow" w:eastAsiaTheme="majorEastAsia" w:hAnsi="Arial Narrow" w:cstheme="majorBidi"/>
                <w:bCs/>
                <w:sz w:val="20"/>
              </w:rPr>
              <w:t>NR</w:t>
            </w:r>
          </w:p>
        </w:tc>
        <w:tc>
          <w:tcPr>
            <w:tcW w:w="679" w:type="pct"/>
            <w:tcMar>
              <w:left w:w="11" w:type="dxa"/>
              <w:right w:w="11" w:type="dxa"/>
            </w:tcMar>
            <w:vAlign w:val="center"/>
          </w:tcPr>
          <w:p w14:paraId="05AF31FB"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NR</w:t>
            </w:r>
          </w:p>
        </w:tc>
      </w:tr>
      <w:tr w:rsidR="00034A31" w:rsidRPr="00F91CC3" w14:paraId="472D6116" w14:textId="77777777" w:rsidTr="003A3172">
        <w:trPr>
          <w:trHeight w:val="229"/>
        </w:trPr>
        <w:tc>
          <w:tcPr>
            <w:tcW w:w="1019" w:type="pct"/>
            <w:tcMar>
              <w:left w:w="11" w:type="dxa"/>
              <w:right w:w="11" w:type="dxa"/>
            </w:tcMar>
            <w:vAlign w:val="center"/>
          </w:tcPr>
          <w:p w14:paraId="4F138492" w14:textId="77777777" w:rsidR="00034A31" w:rsidRPr="00F91CC3" w:rsidRDefault="00034A31" w:rsidP="00034A31">
            <w:pPr>
              <w:keepNext/>
              <w:jc w:val="left"/>
              <w:rPr>
                <w:rFonts w:ascii="Arial Narrow" w:eastAsiaTheme="majorEastAsia" w:hAnsi="Arial Narrow" w:cstheme="majorBidi"/>
                <w:b/>
                <w:bCs/>
                <w:sz w:val="20"/>
              </w:rPr>
            </w:pPr>
            <w:r w:rsidRPr="00F91CC3">
              <w:rPr>
                <w:rFonts w:ascii="Arial Narrow" w:eastAsiaTheme="majorEastAsia" w:hAnsi="Arial Narrow" w:cstheme="majorBidi"/>
                <w:bCs/>
                <w:sz w:val="20"/>
              </w:rPr>
              <w:t>Study 127, w8</w:t>
            </w:r>
          </w:p>
        </w:tc>
        <w:tc>
          <w:tcPr>
            <w:tcW w:w="393" w:type="pct"/>
            <w:tcMar>
              <w:left w:w="11" w:type="dxa"/>
              <w:right w:w="11" w:type="dxa"/>
            </w:tcMar>
            <w:vAlign w:val="center"/>
          </w:tcPr>
          <w:p w14:paraId="3AD1A297"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szCs w:val="20"/>
              </w:rPr>
              <w:t>38</w:t>
            </w:r>
          </w:p>
        </w:tc>
        <w:tc>
          <w:tcPr>
            <w:tcW w:w="550" w:type="pct"/>
            <w:tcMar>
              <w:left w:w="11" w:type="dxa"/>
              <w:right w:w="11" w:type="dxa"/>
            </w:tcMar>
            <w:vAlign w:val="center"/>
          </w:tcPr>
          <w:p w14:paraId="1757549F"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szCs w:val="20"/>
              </w:rPr>
              <w:t>74.0 (16.9)</w:t>
            </w:r>
          </w:p>
        </w:tc>
        <w:tc>
          <w:tcPr>
            <w:tcW w:w="629" w:type="pct"/>
            <w:tcMar>
              <w:left w:w="11" w:type="dxa"/>
              <w:right w:w="11" w:type="dxa"/>
            </w:tcMar>
            <w:vAlign w:val="center"/>
          </w:tcPr>
          <w:p w14:paraId="0C562278"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0.2 (0.8)</w:t>
            </w:r>
          </w:p>
        </w:tc>
        <w:tc>
          <w:tcPr>
            <w:tcW w:w="315" w:type="pct"/>
            <w:tcMar>
              <w:left w:w="11" w:type="dxa"/>
              <w:right w:w="11" w:type="dxa"/>
            </w:tcMar>
            <w:vAlign w:val="center"/>
          </w:tcPr>
          <w:p w14:paraId="5F750CBD"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szCs w:val="20"/>
              </w:rPr>
              <w:t>38</w:t>
            </w:r>
          </w:p>
        </w:tc>
        <w:tc>
          <w:tcPr>
            <w:tcW w:w="471" w:type="pct"/>
            <w:tcMar>
              <w:left w:w="11" w:type="dxa"/>
              <w:right w:w="11" w:type="dxa"/>
            </w:tcMar>
            <w:vAlign w:val="center"/>
          </w:tcPr>
          <w:p w14:paraId="2876A2E0"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szCs w:val="20"/>
              </w:rPr>
              <w:t>74.0 (16.9)</w:t>
            </w:r>
          </w:p>
        </w:tc>
        <w:tc>
          <w:tcPr>
            <w:tcW w:w="315" w:type="pct"/>
            <w:tcMar>
              <w:left w:w="11" w:type="dxa"/>
              <w:right w:w="11" w:type="dxa"/>
            </w:tcMar>
            <w:vAlign w:val="center"/>
          </w:tcPr>
          <w:p w14:paraId="6A533AA6"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-0.5 (0.8)</w:t>
            </w:r>
          </w:p>
        </w:tc>
        <w:tc>
          <w:tcPr>
            <w:tcW w:w="629" w:type="pct"/>
            <w:tcMar>
              <w:left w:w="11" w:type="dxa"/>
              <w:right w:w="11" w:type="dxa"/>
            </w:tcMar>
            <w:vAlign w:val="center"/>
          </w:tcPr>
          <w:p w14:paraId="15FDD2E4" w14:textId="77777777" w:rsidR="00034A31" w:rsidRPr="00F91CC3" w:rsidRDefault="00034A31" w:rsidP="00034A31">
            <w:pPr>
              <w:keepNext/>
              <w:jc w:val="center"/>
              <w:rPr>
                <w:rFonts w:ascii="Arial Narrow" w:eastAsiaTheme="majorEastAsia" w:hAnsi="Arial Narrow" w:cstheme="majorBidi"/>
                <w:b/>
                <w:bCs/>
                <w:sz w:val="20"/>
              </w:rPr>
            </w:pPr>
            <w:r w:rsidRPr="00F91CC3">
              <w:rPr>
                <w:rFonts w:ascii="Arial Narrow" w:eastAsiaTheme="majorEastAsia" w:hAnsi="Arial Narrow" w:cstheme="majorBidi"/>
                <w:bCs/>
                <w:sz w:val="20"/>
                <w:szCs w:val="20"/>
              </w:rPr>
              <w:t>2.7 (0.6, 4.7)</w:t>
            </w:r>
          </w:p>
        </w:tc>
        <w:tc>
          <w:tcPr>
            <w:tcW w:w="679" w:type="pct"/>
            <w:tcMar>
              <w:left w:w="11" w:type="dxa"/>
              <w:right w:w="11" w:type="dxa"/>
            </w:tcMar>
            <w:vAlign w:val="center"/>
          </w:tcPr>
          <w:p w14:paraId="45902D79"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NR</w:t>
            </w:r>
          </w:p>
        </w:tc>
      </w:tr>
      <w:tr w:rsidR="00034A31" w:rsidRPr="00F91CC3" w14:paraId="5FBDBB84" w14:textId="77777777" w:rsidTr="003A3172">
        <w:tc>
          <w:tcPr>
            <w:tcW w:w="1019" w:type="pct"/>
            <w:tcMar>
              <w:left w:w="11" w:type="dxa"/>
              <w:right w:w="11" w:type="dxa"/>
            </w:tcMar>
            <w:vAlign w:val="center"/>
          </w:tcPr>
          <w:p w14:paraId="32F25293"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Study 128, w156</w:t>
            </w:r>
          </w:p>
        </w:tc>
        <w:tc>
          <w:tcPr>
            <w:tcW w:w="393" w:type="pct"/>
            <w:tcMar>
              <w:left w:w="11" w:type="dxa"/>
              <w:right w:w="11" w:type="dxa"/>
            </w:tcMar>
            <w:vAlign w:val="center"/>
          </w:tcPr>
          <w:p w14:paraId="1556931E"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268</w:t>
            </w:r>
          </w:p>
        </w:tc>
        <w:tc>
          <w:tcPr>
            <w:tcW w:w="550" w:type="pct"/>
            <w:tcMar>
              <w:left w:w="11" w:type="dxa"/>
              <w:right w:w="11" w:type="dxa"/>
            </w:tcMar>
            <w:vAlign w:val="center"/>
          </w:tcPr>
          <w:p w14:paraId="3556A4D7"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2.6</w:t>
            </w:r>
            <w:r w:rsidRPr="00F91CC3">
              <w:rPr>
                <w:rFonts w:ascii="Arial Narrow" w:eastAsiaTheme="majorEastAsia" w:hAnsi="Arial Narrow" w:cstheme="majorBidi"/>
                <w:bCs/>
                <w:sz w:val="20"/>
                <w:vertAlign w:val="superscript"/>
              </w:rPr>
              <w:t>a</w:t>
            </w:r>
          </w:p>
        </w:tc>
        <w:tc>
          <w:tcPr>
            <w:tcW w:w="629" w:type="pct"/>
            <w:tcMar>
              <w:left w:w="11" w:type="dxa"/>
              <w:right w:w="11" w:type="dxa"/>
            </w:tcMar>
            <w:vAlign w:val="center"/>
          </w:tcPr>
          <w:p w14:paraId="57FE95C2"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1.7</w:t>
            </w:r>
          </w:p>
        </w:tc>
        <w:tc>
          <w:tcPr>
            <w:tcW w:w="315" w:type="pct"/>
            <w:tcMar>
              <w:left w:w="11" w:type="dxa"/>
              <w:right w:w="11" w:type="dxa"/>
            </w:tcMar>
            <w:vAlign w:val="center"/>
          </w:tcPr>
          <w:p w14:paraId="5CC42285"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NR</w:t>
            </w:r>
          </w:p>
        </w:tc>
        <w:tc>
          <w:tcPr>
            <w:tcW w:w="471" w:type="pct"/>
            <w:tcMar>
              <w:left w:w="11" w:type="dxa"/>
              <w:right w:w="11" w:type="dxa"/>
            </w:tcMar>
            <w:vAlign w:val="center"/>
          </w:tcPr>
          <w:p w14:paraId="6B6D297F"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NR</w:t>
            </w:r>
          </w:p>
        </w:tc>
        <w:tc>
          <w:tcPr>
            <w:tcW w:w="315" w:type="pct"/>
            <w:tcMar>
              <w:left w:w="11" w:type="dxa"/>
              <w:right w:w="11" w:type="dxa"/>
            </w:tcMar>
            <w:vAlign w:val="center"/>
          </w:tcPr>
          <w:p w14:paraId="55DDDD87"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NR</w:t>
            </w:r>
          </w:p>
        </w:tc>
        <w:tc>
          <w:tcPr>
            <w:tcW w:w="629" w:type="pct"/>
            <w:tcMar>
              <w:left w:w="11" w:type="dxa"/>
              <w:right w:w="11" w:type="dxa"/>
            </w:tcMar>
            <w:vAlign w:val="center"/>
          </w:tcPr>
          <w:p w14:paraId="3B886F91" w14:textId="77777777" w:rsidR="00034A31" w:rsidRPr="00F91CC3" w:rsidRDefault="00034A31" w:rsidP="00034A31">
            <w:pPr>
              <w:keepNext/>
              <w:jc w:val="center"/>
              <w:rPr>
                <w:rFonts w:ascii="Arial Narrow" w:eastAsiaTheme="majorEastAsia" w:hAnsi="Arial Narrow" w:cstheme="majorBidi"/>
                <w:b/>
                <w:sz w:val="20"/>
              </w:rPr>
            </w:pPr>
            <w:r w:rsidRPr="00F91CC3">
              <w:rPr>
                <w:rFonts w:ascii="Arial Narrow" w:eastAsiaTheme="majorEastAsia" w:hAnsi="Arial Narrow" w:cstheme="majorBidi"/>
                <w:bCs/>
                <w:sz w:val="20"/>
              </w:rPr>
              <w:t>NR</w:t>
            </w:r>
          </w:p>
        </w:tc>
        <w:tc>
          <w:tcPr>
            <w:tcW w:w="679" w:type="pct"/>
            <w:tcMar>
              <w:left w:w="11" w:type="dxa"/>
              <w:right w:w="11" w:type="dxa"/>
            </w:tcMar>
            <w:vAlign w:val="center"/>
          </w:tcPr>
          <w:p w14:paraId="7C2CDA40" w14:textId="77777777" w:rsidR="00034A31" w:rsidRPr="00F91CC3" w:rsidRDefault="00034A31" w:rsidP="00034A31">
            <w:pPr>
              <w:keepNext/>
              <w:jc w:val="center"/>
              <w:rPr>
                <w:rFonts w:ascii="Arial Narrow" w:eastAsiaTheme="majorEastAsia" w:hAnsi="Arial Narrow" w:cstheme="majorBidi"/>
                <w:b/>
                <w:sz w:val="20"/>
              </w:rPr>
            </w:pPr>
            <w:r w:rsidRPr="00F91CC3">
              <w:rPr>
                <w:rFonts w:ascii="Arial Narrow" w:eastAsiaTheme="majorEastAsia" w:hAnsi="Arial Narrow" w:cstheme="majorBidi"/>
                <w:bCs/>
                <w:sz w:val="20"/>
              </w:rPr>
              <w:t>NR</w:t>
            </w:r>
          </w:p>
        </w:tc>
      </w:tr>
    </w:tbl>
    <w:p w14:paraId="11F84D2A" w14:textId="77777777" w:rsidR="00034A31" w:rsidRPr="00F07396" w:rsidRDefault="00034A31" w:rsidP="00F07396">
      <w:pPr>
        <w:keepNext/>
        <w:keepLines/>
        <w:rPr>
          <w:rFonts w:ascii="Arial Narrow" w:eastAsiaTheme="majorEastAsia" w:hAnsi="Arial Narrow"/>
          <w:sz w:val="18"/>
        </w:rPr>
      </w:pPr>
      <w:r w:rsidRPr="00F07396">
        <w:rPr>
          <w:rFonts w:ascii="Arial Narrow" w:eastAsiaTheme="majorEastAsia" w:hAnsi="Arial Narrow"/>
          <w:sz w:val="18"/>
        </w:rPr>
        <w:t>Source: Study 110: Table 2.4.8 p92, Table 11-1 p126 Attachment 7; Study 112: Table 11-3 p75 Attachment 8; Study 113: Table 2.7.3 p121; Study 127: Table 2.7.12 p132; Study 108: Table 2.7.37 p169 of the submission.</w:t>
      </w:r>
    </w:p>
    <w:p w14:paraId="7DB4EF0A" w14:textId="77777777" w:rsidR="00034A31" w:rsidRPr="00F07396" w:rsidRDefault="00034A31" w:rsidP="00F07396">
      <w:pPr>
        <w:keepNext/>
        <w:keepLines/>
        <w:rPr>
          <w:rFonts w:ascii="Arial Narrow" w:eastAsiaTheme="majorEastAsia" w:hAnsi="Arial Narrow"/>
          <w:sz w:val="18"/>
        </w:rPr>
      </w:pPr>
      <w:r w:rsidRPr="00F07396">
        <w:rPr>
          <w:rFonts w:ascii="Arial Narrow" w:eastAsiaTheme="majorEastAsia" w:hAnsi="Arial Narrow"/>
          <w:sz w:val="18"/>
        </w:rPr>
        <w:t>CI = confidence interval; NR = not reported; ppFEV1 = percent predicted forced expiratory volume in 1 second; SD = standard deviation; SE = standard error; w = week.</w:t>
      </w:r>
    </w:p>
    <w:p w14:paraId="214347F9" w14:textId="77777777" w:rsidR="00034A31" w:rsidRPr="00F07396" w:rsidRDefault="00034A31" w:rsidP="00F07396">
      <w:pPr>
        <w:keepNext/>
        <w:keepLines/>
        <w:rPr>
          <w:rFonts w:ascii="Arial Narrow" w:eastAsiaTheme="majorEastAsia" w:hAnsi="Arial Narrow"/>
          <w:sz w:val="18"/>
        </w:rPr>
      </w:pPr>
      <w:r w:rsidRPr="00F07396">
        <w:rPr>
          <w:rFonts w:ascii="Arial Narrow" w:eastAsiaTheme="majorEastAsia" w:hAnsi="Arial Narrow"/>
          <w:sz w:val="18"/>
        </w:rPr>
        <w:t>a SD/SE not reported</w:t>
      </w:r>
    </w:p>
    <w:p w14:paraId="2D2CE051" w14:textId="77777777" w:rsidR="00034A31" w:rsidRPr="00F07396" w:rsidRDefault="00034A31" w:rsidP="00F07396">
      <w:pPr>
        <w:keepNext/>
        <w:keepLines/>
        <w:rPr>
          <w:rFonts w:ascii="Arial Narrow" w:eastAsiaTheme="majorEastAsia" w:hAnsi="Arial Narrow"/>
          <w:sz w:val="18"/>
        </w:rPr>
      </w:pPr>
      <w:r w:rsidRPr="00F07396">
        <w:rPr>
          <w:rFonts w:ascii="Arial Narrow" w:eastAsiaTheme="majorEastAsia" w:hAnsi="Arial Narrow"/>
          <w:sz w:val="18"/>
        </w:rPr>
        <w:t>b LS mean</w:t>
      </w:r>
    </w:p>
    <w:p w14:paraId="2DA65A7E" w14:textId="77777777" w:rsidR="00034A31" w:rsidRPr="00F07396" w:rsidRDefault="00034A31" w:rsidP="00F07396">
      <w:pPr>
        <w:keepNext/>
        <w:keepLines/>
        <w:rPr>
          <w:rFonts w:ascii="Arial Narrow" w:eastAsiaTheme="majorEastAsia" w:hAnsi="Arial Narrow"/>
          <w:sz w:val="18"/>
        </w:rPr>
      </w:pPr>
      <w:r w:rsidRPr="00F07396">
        <w:rPr>
          <w:rFonts w:ascii="Arial Narrow" w:eastAsiaTheme="majorEastAsia" w:hAnsi="Arial Narrow"/>
          <w:sz w:val="18"/>
        </w:rPr>
        <w:t>c posterior mean as calculated by Bayesian Hierarchical model</w:t>
      </w:r>
      <w:bookmarkEnd w:id="42"/>
    </w:p>
    <w:p w14:paraId="23A850A8" w14:textId="1460C971" w:rsidR="00526273" w:rsidRPr="00F07396" w:rsidRDefault="00034A31" w:rsidP="00F07396">
      <w:pPr>
        <w:keepNext/>
        <w:keepLines/>
        <w:spacing w:after="120"/>
        <w:rPr>
          <w:rFonts w:ascii="Arial Narrow" w:eastAsiaTheme="majorEastAsia" w:hAnsi="Arial Narrow"/>
          <w:sz w:val="18"/>
        </w:rPr>
      </w:pPr>
      <w:r w:rsidRPr="00F07396">
        <w:rPr>
          <w:rFonts w:ascii="Arial Narrow" w:eastAsiaTheme="majorEastAsia" w:hAnsi="Arial Narrow"/>
          <w:sz w:val="18"/>
        </w:rPr>
        <w:t>Bold indicates a statistically significant difference.</w:t>
      </w:r>
    </w:p>
    <w:p w14:paraId="09EDAEA4" w14:textId="7663A805" w:rsidR="00034A31" w:rsidRPr="00F91CC3" w:rsidRDefault="00034A31" w:rsidP="00F07396">
      <w:pPr>
        <w:pStyle w:val="3-BodyText"/>
        <w:snapToGrid w:val="0"/>
      </w:pPr>
      <w:r w:rsidRPr="00F91CC3">
        <w:t xml:space="preserve">A summary of the results for absolute change from baseline in SwCl is presented in </w:t>
      </w:r>
      <w:r w:rsidRPr="00F91CC3">
        <w:fldChar w:fldCharType="begin"/>
      </w:r>
      <w:r w:rsidRPr="00F91CC3">
        <w:instrText xml:space="preserve"> REF _Ref144310721 \h </w:instrText>
      </w:r>
      <w:r w:rsidR="00D2602E" w:rsidRPr="00F91CC3">
        <w:instrText xml:space="preserve"> \* MERGEFORMAT </w:instrText>
      </w:r>
      <w:r w:rsidRPr="00F91CC3">
        <w:fldChar w:fldCharType="separate"/>
      </w:r>
      <w:r w:rsidR="008D6198" w:rsidRPr="008D6198">
        <w:t>Table 7</w:t>
      </w:r>
      <w:r w:rsidRPr="00F91CC3">
        <w:fldChar w:fldCharType="end"/>
      </w:r>
      <w:r w:rsidRPr="00F91CC3">
        <w:t>. A numeric reduction in SwCl was observed across all the studies that assessed this outcome. The SwCl MCID was met in all studies except Study 108.</w:t>
      </w:r>
    </w:p>
    <w:p w14:paraId="7E517149" w14:textId="07107CF8" w:rsidR="00034A31" w:rsidRPr="00F91CC3" w:rsidRDefault="00034A31" w:rsidP="00526273">
      <w:pPr>
        <w:pStyle w:val="3-BodyText"/>
        <w:rPr>
          <w:iCs/>
        </w:rPr>
      </w:pPr>
      <w:r w:rsidRPr="00F91CC3">
        <w:t xml:space="preserve">A statistically significant reduction in SwCl was also observed in the subgroup analysis by age (6 to 11 years and </w:t>
      </w:r>
      <w:r w:rsidRPr="00F91CC3">
        <w:rPr>
          <w:rFonts w:cstheme="minorHAnsi"/>
        </w:rPr>
        <w:t>≥</w:t>
      </w:r>
      <w:r w:rsidRPr="00F91CC3">
        <w:t xml:space="preserve"> 18 years subgroups) in Study 110 and in the </w:t>
      </w:r>
      <w:r w:rsidRPr="00F91CC3">
        <w:rPr>
          <w:rFonts w:cstheme="minorHAnsi"/>
        </w:rPr>
        <w:t>≥</w:t>
      </w:r>
      <w:r w:rsidRPr="00F91CC3">
        <w:t xml:space="preserve"> 18 years subgroup in Study 112. </w:t>
      </w:r>
      <w:r w:rsidRPr="00F91CC3">
        <w:rPr>
          <w:iCs/>
        </w:rPr>
        <w:t xml:space="preserve">In both studies SwCl fell below 60 mmol/L thereby meeting the MCID proposed by the submission. </w:t>
      </w:r>
    </w:p>
    <w:p w14:paraId="1F66221C" w14:textId="09704D65" w:rsidR="00034A31" w:rsidRPr="00F91CC3" w:rsidRDefault="00034A31" w:rsidP="00526273">
      <w:pPr>
        <w:pStyle w:val="3-BodyText"/>
      </w:pPr>
      <w:r w:rsidRPr="00F91CC3">
        <w:t>For Study 113</w:t>
      </w:r>
      <w:r w:rsidR="00526273" w:rsidRPr="00F91CC3">
        <w:t>,</w:t>
      </w:r>
      <w:r w:rsidRPr="00F91CC3">
        <w:t xml:space="preserve"> </w:t>
      </w:r>
      <w:r w:rsidR="00526273" w:rsidRPr="00F91CC3">
        <w:t>the</w:t>
      </w:r>
      <w:r w:rsidRPr="00F91CC3">
        <w:t xml:space="preserve"> absolute change from baseline in SwCl (mean (SD) change) of −15.7 (14.8), met the MCID. No comparat</w:t>
      </w:r>
      <w:r w:rsidR="00E37DBA" w:rsidRPr="00F91CC3">
        <w:t>ive</w:t>
      </w:r>
      <w:r w:rsidRPr="00F91CC3">
        <w:t xml:space="preserve"> data was available as this was measured at the end of the 8-week open-label period, after the 2</w:t>
      </w:r>
      <w:r w:rsidR="00526273" w:rsidRPr="00F91CC3">
        <w:t>-</w:t>
      </w:r>
      <w:r w:rsidRPr="00F91CC3">
        <w:t>week crossover periods.</w:t>
      </w:r>
      <w:r w:rsidR="00526273" w:rsidRPr="00F91CC3">
        <w:t xml:space="preserve"> For </w:t>
      </w:r>
      <w:r w:rsidRPr="00F91CC3">
        <w:t>Study 127</w:t>
      </w:r>
      <w:r w:rsidR="00526273" w:rsidRPr="00F91CC3">
        <w:t xml:space="preserve">, there was </w:t>
      </w:r>
      <w:r w:rsidRPr="00F91CC3">
        <w:t xml:space="preserve">an improvement in absolute change from baseline in SwCl (LS mean </w:t>
      </w:r>
      <w:r w:rsidRPr="00F91CC3">
        <w:lastRenderedPageBreak/>
        <w:t xml:space="preserve">difference) of -9.2 (95% CI: 12.4, -5.9) in the ivacaftor arm compared to placebo. </w:t>
      </w:r>
      <w:r w:rsidRPr="00F91CC3">
        <w:rPr>
          <w:iCs/>
        </w:rPr>
        <w:t>Baseline SwCl was already below 60 mmol/L in Study 127</w:t>
      </w:r>
      <w:r w:rsidRPr="00F91CC3">
        <w:rPr>
          <w:i/>
        </w:rPr>
        <w:t>.</w:t>
      </w:r>
      <w:r w:rsidRPr="00F91CC3">
        <w:t xml:space="preserve"> </w:t>
      </w:r>
    </w:p>
    <w:p w14:paraId="608E5E16" w14:textId="6C98A63D" w:rsidR="00034A31" w:rsidRPr="00F91CC3" w:rsidRDefault="00034A31" w:rsidP="00034A31">
      <w:pPr>
        <w:keepNext/>
        <w:keepLines/>
        <w:rPr>
          <w:rFonts w:ascii="Arial Narrow" w:hAnsi="Arial Narrow"/>
          <w:b/>
          <w:bCs/>
          <w:sz w:val="20"/>
          <w:szCs w:val="18"/>
        </w:rPr>
      </w:pPr>
      <w:bookmarkStart w:id="43" w:name="_Ref144310721"/>
      <w:r w:rsidRPr="00F91CC3">
        <w:rPr>
          <w:rFonts w:ascii="Arial Narrow" w:hAnsi="Arial Narrow"/>
          <w:b/>
          <w:bCs/>
          <w:sz w:val="20"/>
          <w:szCs w:val="18"/>
        </w:rPr>
        <w:t xml:space="preserve">Table </w:t>
      </w:r>
      <w:r w:rsidRPr="00F91CC3">
        <w:rPr>
          <w:rFonts w:ascii="Arial Narrow" w:hAnsi="Arial Narrow"/>
          <w:b/>
          <w:bCs/>
          <w:sz w:val="20"/>
          <w:szCs w:val="18"/>
        </w:rPr>
        <w:fldChar w:fldCharType="begin"/>
      </w:r>
      <w:r w:rsidRPr="00F91CC3">
        <w:rPr>
          <w:rFonts w:ascii="Arial Narrow" w:hAnsi="Arial Narrow"/>
          <w:b/>
          <w:bCs/>
          <w:sz w:val="20"/>
          <w:szCs w:val="18"/>
        </w:rPr>
        <w:instrText xml:space="preserve"> SEQ Table \* ARABIC </w:instrText>
      </w:r>
      <w:r w:rsidRPr="00F91CC3">
        <w:rPr>
          <w:rFonts w:ascii="Arial Narrow" w:hAnsi="Arial Narrow"/>
          <w:b/>
          <w:bCs/>
          <w:sz w:val="20"/>
          <w:szCs w:val="18"/>
        </w:rPr>
        <w:fldChar w:fldCharType="separate"/>
      </w:r>
      <w:r w:rsidR="008D6198">
        <w:rPr>
          <w:rFonts w:ascii="Arial Narrow" w:hAnsi="Arial Narrow"/>
          <w:b/>
          <w:bCs/>
          <w:noProof/>
          <w:sz w:val="20"/>
          <w:szCs w:val="18"/>
        </w:rPr>
        <w:t>7</w:t>
      </w:r>
      <w:r w:rsidRPr="00F91CC3">
        <w:rPr>
          <w:rFonts w:ascii="Arial Narrow" w:hAnsi="Arial Narrow"/>
          <w:b/>
          <w:bCs/>
          <w:sz w:val="20"/>
          <w:szCs w:val="18"/>
        </w:rPr>
        <w:fldChar w:fldCharType="end"/>
      </w:r>
      <w:bookmarkEnd w:id="43"/>
      <w:r w:rsidRPr="00F91CC3">
        <w:rPr>
          <w:rFonts w:ascii="Arial Narrow" w:hAnsi="Arial Narrow"/>
          <w:b/>
          <w:bCs/>
          <w:sz w:val="20"/>
          <w:szCs w:val="18"/>
        </w:rPr>
        <w:t>: Results of absolute change from baseline in SwCl across the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95"/>
        <w:gridCol w:w="723"/>
        <w:gridCol w:w="1145"/>
        <w:gridCol w:w="1004"/>
        <w:gridCol w:w="716"/>
        <w:gridCol w:w="1145"/>
        <w:gridCol w:w="1003"/>
        <w:gridCol w:w="1304"/>
        <w:gridCol w:w="682"/>
      </w:tblGrid>
      <w:tr w:rsidR="00034A31" w:rsidRPr="00F91CC3" w14:paraId="23D6515F" w14:textId="77777777" w:rsidTr="002A2AB2">
        <w:trPr>
          <w:trHeight w:val="229"/>
        </w:trPr>
        <w:tc>
          <w:tcPr>
            <w:tcW w:w="718" w:type="pct"/>
            <w:vMerge w:val="restart"/>
            <w:tcMar>
              <w:left w:w="11" w:type="dxa"/>
              <w:right w:w="11" w:type="dxa"/>
            </w:tcMar>
            <w:vAlign w:val="center"/>
          </w:tcPr>
          <w:p w14:paraId="50BC4ADB" w14:textId="77777777" w:rsidR="00034A31" w:rsidRPr="00F91CC3" w:rsidRDefault="00034A31" w:rsidP="00034A31">
            <w:pPr>
              <w:keepNext/>
              <w:jc w:val="left"/>
              <w:rPr>
                <w:rFonts w:ascii="Arial Narrow" w:eastAsiaTheme="majorEastAsia" w:hAnsi="Arial Narrow" w:cstheme="majorBidi"/>
                <w:b/>
                <w:bCs/>
                <w:sz w:val="20"/>
              </w:rPr>
            </w:pPr>
            <w:r w:rsidRPr="00F91CC3">
              <w:rPr>
                <w:rFonts w:ascii="Arial Narrow" w:eastAsiaTheme="majorEastAsia" w:hAnsi="Arial Narrow" w:cstheme="majorBidi"/>
                <w:b/>
                <w:bCs/>
                <w:sz w:val="20"/>
              </w:rPr>
              <w:t>Study, follow-up</w:t>
            </w:r>
          </w:p>
        </w:tc>
        <w:tc>
          <w:tcPr>
            <w:tcW w:w="401" w:type="pct"/>
            <w:vMerge w:val="restart"/>
            <w:tcMar>
              <w:left w:w="11" w:type="dxa"/>
              <w:right w:w="11" w:type="dxa"/>
            </w:tcMar>
            <w:vAlign w:val="center"/>
          </w:tcPr>
          <w:p w14:paraId="62909DBB"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
                <w:sz w:val="20"/>
              </w:rPr>
              <w:t>n</w:t>
            </w:r>
          </w:p>
        </w:tc>
        <w:tc>
          <w:tcPr>
            <w:tcW w:w="635" w:type="pct"/>
            <w:vMerge w:val="restart"/>
            <w:tcMar>
              <w:left w:w="11" w:type="dxa"/>
              <w:right w:w="11" w:type="dxa"/>
            </w:tcMar>
            <w:vAlign w:val="center"/>
          </w:tcPr>
          <w:p w14:paraId="60FFF788"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
                <w:sz w:val="20"/>
              </w:rPr>
              <w:t xml:space="preserve">Mean baseline (SD/SE) </w:t>
            </w:r>
          </w:p>
        </w:tc>
        <w:tc>
          <w:tcPr>
            <w:tcW w:w="557" w:type="pct"/>
            <w:vMerge w:val="restart"/>
            <w:tcMar>
              <w:left w:w="11" w:type="dxa"/>
              <w:right w:w="11" w:type="dxa"/>
            </w:tcMar>
            <w:vAlign w:val="center"/>
          </w:tcPr>
          <w:p w14:paraId="56C80C20"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
                <w:sz w:val="20"/>
              </w:rPr>
              <w:t>Mean change (SD/SE)</w:t>
            </w:r>
          </w:p>
        </w:tc>
        <w:tc>
          <w:tcPr>
            <w:tcW w:w="397" w:type="pct"/>
            <w:vMerge w:val="restart"/>
            <w:tcMar>
              <w:left w:w="11" w:type="dxa"/>
              <w:right w:w="11" w:type="dxa"/>
            </w:tcMar>
            <w:vAlign w:val="center"/>
          </w:tcPr>
          <w:p w14:paraId="5385FACB"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
                <w:sz w:val="20"/>
              </w:rPr>
              <w:t>n</w:t>
            </w:r>
          </w:p>
        </w:tc>
        <w:tc>
          <w:tcPr>
            <w:tcW w:w="635" w:type="pct"/>
            <w:vMerge w:val="restart"/>
            <w:tcMar>
              <w:left w:w="11" w:type="dxa"/>
              <w:right w:w="11" w:type="dxa"/>
            </w:tcMar>
            <w:vAlign w:val="center"/>
          </w:tcPr>
          <w:p w14:paraId="55F32F69"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
                <w:sz w:val="20"/>
              </w:rPr>
              <w:t>Mean baseline (SD/SE)</w:t>
            </w:r>
          </w:p>
        </w:tc>
        <w:tc>
          <w:tcPr>
            <w:tcW w:w="556" w:type="pct"/>
            <w:vMerge w:val="restart"/>
            <w:tcMar>
              <w:left w:w="11" w:type="dxa"/>
              <w:right w:w="11" w:type="dxa"/>
            </w:tcMar>
            <w:vAlign w:val="center"/>
          </w:tcPr>
          <w:p w14:paraId="6D6EBE09"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
                <w:sz w:val="20"/>
              </w:rPr>
              <w:t xml:space="preserve">Mean change (SD/SE)  </w:t>
            </w:r>
          </w:p>
        </w:tc>
        <w:tc>
          <w:tcPr>
            <w:tcW w:w="723" w:type="pct"/>
            <w:vMerge w:val="restart"/>
            <w:tcMar>
              <w:left w:w="11" w:type="dxa"/>
              <w:right w:w="11" w:type="dxa"/>
            </w:tcMar>
            <w:vAlign w:val="center"/>
          </w:tcPr>
          <w:p w14:paraId="4C7D58E1" w14:textId="77777777" w:rsidR="00034A31" w:rsidRPr="00F91CC3" w:rsidRDefault="00034A31" w:rsidP="00034A31">
            <w:pPr>
              <w:keepNext/>
              <w:jc w:val="center"/>
              <w:rPr>
                <w:rFonts w:ascii="Arial Narrow" w:eastAsiaTheme="majorEastAsia" w:hAnsi="Arial Narrow" w:cstheme="majorBidi"/>
                <w:b/>
                <w:sz w:val="20"/>
                <w:vertAlign w:val="superscript"/>
              </w:rPr>
            </w:pPr>
            <w:r w:rsidRPr="00F91CC3">
              <w:rPr>
                <w:rFonts w:ascii="Arial Narrow" w:eastAsiaTheme="majorEastAsia" w:hAnsi="Arial Narrow" w:cstheme="majorBidi"/>
                <w:b/>
                <w:bCs/>
                <w:iCs/>
                <w:sz w:val="20"/>
              </w:rPr>
              <w:t>Mean difference (95% CI)</w:t>
            </w:r>
          </w:p>
        </w:tc>
        <w:tc>
          <w:tcPr>
            <w:tcW w:w="378" w:type="pct"/>
            <w:vMerge w:val="restart"/>
            <w:tcMar>
              <w:left w:w="11" w:type="dxa"/>
              <w:right w:w="11" w:type="dxa"/>
            </w:tcMar>
            <w:vAlign w:val="center"/>
          </w:tcPr>
          <w:p w14:paraId="7FC78215" w14:textId="77777777" w:rsidR="00034A31" w:rsidRPr="00F91CC3" w:rsidRDefault="00034A31" w:rsidP="00034A31">
            <w:pPr>
              <w:keepNext/>
              <w:jc w:val="center"/>
              <w:rPr>
                <w:rFonts w:ascii="Arial Narrow" w:eastAsiaTheme="majorEastAsia" w:hAnsi="Arial Narrow" w:cstheme="majorBidi"/>
                <w:b/>
                <w:bCs/>
                <w:sz w:val="20"/>
              </w:rPr>
            </w:pPr>
            <w:r w:rsidRPr="00F91CC3">
              <w:rPr>
                <w:rFonts w:ascii="Arial Narrow" w:eastAsiaTheme="majorEastAsia" w:hAnsi="Arial Narrow" w:cstheme="majorBidi"/>
                <w:b/>
                <w:bCs/>
                <w:sz w:val="20"/>
              </w:rPr>
              <w:t>P-value</w:t>
            </w:r>
          </w:p>
        </w:tc>
      </w:tr>
      <w:tr w:rsidR="00034A31" w:rsidRPr="00F91CC3" w14:paraId="0620A0D1" w14:textId="77777777" w:rsidTr="002A2AB2">
        <w:trPr>
          <w:trHeight w:val="229"/>
        </w:trPr>
        <w:tc>
          <w:tcPr>
            <w:tcW w:w="718" w:type="pct"/>
            <w:vMerge/>
            <w:tcMar>
              <w:left w:w="11" w:type="dxa"/>
              <w:right w:w="11" w:type="dxa"/>
            </w:tcMar>
            <w:vAlign w:val="center"/>
          </w:tcPr>
          <w:p w14:paraId="6FFC7928" w14:textId="77777777" w:rsidR="00034A31" w:rsidRPr="00F91CC3" w:rsidRDefault="00034A31" w:rsidP="00034A31">
            <w:pPr>
              <w:keepNext/>
              <w:jc w:val="left"/>
              <w:rPr>
                <w:rFonts w:ascii="Arial Narrow" w:eastAsiaTheme="majorEastAsia" w:hAnsi="Arial Narrow" w:cstheme="majorBidi"/>
                <w:bCs/>
                <w:sz w:val="20"/>
              </w:rPr>
            </w:pPr>
          </w:p>
        </w:tc>
        <w:tc>
          <w:tcPr>
            <w:tcW w:w="401" w:type="pct"/>
            <w:vMerge/>
            <w:tcMar>
              <w:left w:w="11" w:type="dxa"/>
              <w:right w:w="11" w:type="dxa"/>
            </w:tcMar>
            <w:vAlign w:val="center"/>
          </w:tcPr>
          <w:p w14:paraId="43C0F6F5" w14:textId="77777777" w:rsidR="00034A31" w:rsidRPr="00F91CC3" w:rsidRDefault="00034A31" w:rsidP="00034A31">
            <w:pPr>
              <w:keepNext/>
              <w:jc w:val="center"/>
              <w:rPr>
                <w:rFonts w:ascii="Arial Narrow" w:eastAsiaTheme="majorEastAsia" w:hAnsi="Arial Narrow" w:cstheme="majorBidi"/>
                <w:bCs/>
                <w:sz w:val="20"/>
              </w:rPr>
            </w:pPr>
          </w:p>
        </w:tc>
        <w:tc>
          <w:tcPr>
            <w:tcW w:w="635" w:type="pct"/>
            <w:vMerge/>
            <w:tcMar>
              <w:left w:w="11" w:type="dxa"/>
              <w:right w:w="11" w:type="dxa"/>
            </w:tcMar>
            <w:vAlign w:val="center"/>
          </w:tcPr>
          <w:p w14:paraId="5CCEDF8E" w14:textId="77777777" w:rsidR="00034A31" w:rsidRPr="00F91CC3" w:rsidRDefault="00034A31" w:rsidP="00034A31">
            <w:pPr>
              <w:keepNext/>
              <w:jc w:val="center"/>
              <w:rPr>
                <w:rFonts w:ascii="Arial Narrow" w:eastAsiaTheme="majorEastAsia" w:hAnsi="Arial Narrow" w:cstheme="majorBidi"/>
                <w:bCs/>
                <w:sz w:val="20"/>
              </w:rPr>
            </w:pPr>
          </w:p>
        </w:tc>
        <w:tc>
          <w:tcPr>
            <w:tcW w:w="557" w:type="pct"/>
            <w:vMerge/>
            <w:tcMar>
              <w:left w:w="11" w:type="dxa"/>
              <w:right w:w="11" w:type="dxa"/>
            </w:tcMar>
            <w:vAlign w:val="center"/>
          </w:tcPr>
          <w:p w14:paraId="07634087" w14:textId="77777777" w:rsidR="00034A31" w:rsidRPr="00F91CC3" w:rsidRDefault="00034A31" w:rsidP="00034A31">
            <w:pPr>
              <w:keepNext/>
              <w:jc w:val="center"/>
              <w:rPr>
                <w:rFonts w:ascii="Arial Narrow" w:eastAsiaTheme="majorEastAsia" w:hAnsi="Arial Narrow" w:cstheme="majorBidi"/>
                <w:bCs/>
                <w:sz w:val="20"/>
              </w:rPr>
            </w:pPr>
          </w:p>
        </w:tc>
        <w:tc>
          <w:tcPr>
            <w:tcW w:w="397" w:type="pct"/>
            <w:vMerge/>
            <w:tcMar>
              <w:left w:w="11" w:type="dxa"/>
              <w:right w:w="11" w:type="dxa"/>
            </w:tcMar>
            <w:vAlign w:val="center"/>
          </w:tcPr>
          <w:p w14:paraId="05AF2AC7" w14:textId="77777777" w:rsidR="00034A31" w:rsidRPr="00F91CC3" w:rsidRDefault="00034A31" w:rsidP="00034A31">
            <w:pPr>
              <w:keepNext/>
              <w:jc w:val="center"/>
              <w:rPr>
                <w:rFonts w:ascii="Arial Narrow" w:eastAsiaTheme="majorEastAsia" w:hAnsi="Arial Narrow" w:cstheme="majorBidi"/>
                <w:bCs/>
                <w:sz w:val="20"/>
              </w:rPr>
            </w:pPr>
          </w:p>
        </w:tc>
        <w:tc>
          <w:tcPr>
            <w:tcW w:w="635" w:type="pct"/>
            <w:vMerge/>
            <w:tcMar>
              <w:left w:w="11" w:type="dxa"/>
              <w:right w:w="11" w:type="dxa"/>
            </w:tcMar>
            <w:vAlign w:val="center"/>
          </w:tcPr>
          <w:p w14:paraId="2C08BC75" w14:textId="77777777" w:rsidR="00034A31" w:rsidRPr="00F91CC3" w:rsidRDefault="00034A31" w:rsidP="00034A31">
            <w:pPr>
              <w:keepNext/>
              <w:jc w:val="center"/>
              <w:rPr>
                <w:rFonts w:ascii="Arial Narrow" w:eastAsiaTheme="majorEastAsia" w:hAnsi="Arial Narrow" w:cstheme="majorBidi"/>
                <w:bCs/>
                <w:sz w:val="20"/>
              </w:rPr>
            </w:pPr>
          </w:p>
        </w:tc>
        <w:tc>
          <w:tcPr>
            <w:tcW w:w="556" w:type="pct"/>
            <w:vMerge/>
            <w:tcMar>
              <w:left w:w="11" w:type="dxa"/>
              <w:right w:w="11" w:type="dxa"/>
            </w:tcMar>
            <w:vAlign w:val="center"/>
          </w:tcPr>
          <w:p w14:paraId="663295C4" w14:textId="77777777" w:rsidR="00034A31" w:rsidRPr="00F91CC3" w:rsidRDefault="00034A31" w:rsidP="00034A31">
            <w:pPr>
              <w:keepNext/>
              <w:jc w:val="center"/>
              <w:rPr>
                <w:rFonts w:ascii="Arial Narrow" w:eastAsiaTheme="majorEastAsia" w:hAnsi="Arial Narrow" w:cstheme="majorBidi"/>
                <w:bCs/>
                <w:sz w:val="20"/>
              </w:rPr>
            </w:pPr>
          </w:p>
        </w:tc>
        <w:tc>
          <w:tcPr>
            <w:tcW w:w="723" w:type="pct"/>
            <w:vMerge/>
            <w:tcMar>
              <w:left w:w="11" w:type="dxa"/>
              <w:right w:w="11" w:type="dxa"/>
            </w:tcMar>
            <w:vAlign w:val="center"/>
          </w:tcPr>
          <w:p w14:paraId="3DA8620F" w14:textId="77777777" w:rsidR="00034A31" w:rsidRPr="00F91CC3" w:rsidRDefault="00034A31" w:rsidP="00034A31">
            <w:pPr>
              <w:keepNext/>
              <w:jc w:val="center"/>
              <w:rPr>
                <w:rFonts w:ascii="Arial Narrow" w:eastAsiaTheme="majorEastAsia" w:hAnsi="Arial Narrow" w:cstheme="majorBidi"/>
                <w:b/>
                <w:sz w:val="20"/>
              </w:rPr>
            </w:pPr>
          </w:p>
        </w:tc>
        <w:tc>
          <w:tcPr>
            <w:tcW w:w="378" w:type="pct"/>
            <w:vMerge/>
            <w:tcMar>
              <w:left w:w="11" w:type="dxa"/>
              <w:right w:w="11" w:type="dxa"/>
            </w:tcMar>
            <w:vAlign w:val="center"/>
          </w:tcPr>
          <w:p w14:paraId="7FC6BBD4" w14:textId="77777777" w:rsidR="00034A31" w:rsidRPr="00F91CC3" w:rsidRDefault="00034A31" w:rsidP="00034A31">
            <w:pPr>
              <w:keepNext/>
              <w:jc w:val="center"/>
              <w:rPr>
                <w:rFonts w:ascii="Arial Narrow" w:eastAsiaTheme="majorEastAsia" w:hAnsi="Arial Narrow" w:cstheme="majorBidi"/>
                <w:bCs/>
                <w:sz w:val="20"/>
              </w:rPr>
            </w:pPr>
          </w:p>
        </w:tc>
      </w:tr>
      <w:tr w:rsidR="00034A31" w:rsidRPr="00F91CC3" w14:paraId="128BB9CA" w14:textId="77777777" w:rsidTr="002A2AB2">
        <w:tc>
          <w:tcPr>
            <w:tcW w:w="718" w:type="pct"/>
            <w:tcMar>
              <w:left w:w="11" w:type="dxa"/>
              <w:right w:w="11" w:type="dxa"/>
            </w:tcMar>
            <w:vAlign w:val="center"/>
          </w:tcPr>
          <w:p w14:paraId="2CC61B83" w14:textId="77777777" w:rsidR="00034A31" w:rsidRPr="00F91CC3" w:rsidRDefault="00034A31" w:rsidP="00034A31">
            <w:pPr>
              <w:keepNext/>
              <w:jc w:val="left"/>
              <w:rPr>
                <w:rFonts w:ascii="Arial Narrow" w:eastAsiaTheme="majorEastAsia" w:hAnsi="Arial Narrow" w:cstheme="majorBidi"/>
                <w:b/>
                <w:bCs/>
                <w:sz w:val="20"/>
              </w:rPr>
            </w:pPr>
          </w:p>
        </w:tc>
        <w:tc>
          <w:tcPr>
            <w:tcW w:w="1593" w:type="pct"/>
            <w:gridSpan w:val="3"/>
            <w:tcMar>
              <w:left w:w="11" w:type="dxa"/>
              <w:right w:w="11" w:type="dxa"/>
            </w:tcMar>
            <w:vAlign w:val="center"/>
          </w:tcPr>
          <w:p w14:paraId="471A4329" w14:textId="77777777" w:rsidR="00034A31" w:rsidRPr="00F91CC3" w:rsidRDefault="00034A31" w:rsidP="00034A31">
            <w:pPr>
              <w:keepNext/>
              <w:jc w:val="center"/>
              <w:rPr>
                <w:rFonts w:ascii="Arial Narrow" w:eastAsiaTheme="majorEastAsia" w:hAnsi="Arial Narrow" w:cstheme="majorBidi"/>
                <w:b/>
                <w:bCs/>
                <w:sz w:val="20"/>
              </w:rPr>
            </w:pPr>
            <w:r w:rsidRPr="00F91CC3">
              <w:rPr>
                <w:rFonts w:ascii="Arial Narrow" w:eastAsiaTheme="majorEastAsia" w:hAnsi="Arial Narrow" w:cstheme="majorBidi"/>
                <w:b/>
                <w:bCs/>
                <w:sz w:val="20"/>
              </w:rPr>
              <w:t>Ivacaftor</w:t>
            </w:r>
          </w:p>
        </w:tc>
        <w:tc>
          <w:tcPr>
            <w:tcW w:w="1588" w:type="pct"/>
            <w:gridSpan w:val="3"/>
            <w:tcMar>
              <w:left w:w="11" w:type="dxa"/>
              <w:right w:w="11" w:type="dxa"/>
            </w:tcMar>
            <w:vAlign w:val="center"/>
          </w:tcPr>
          <w:p w14:paraId="558F5C2D" w14:textId="77777777" w:rsidR="00034A31" w:rsidRPr="00F91CC3" w:rsidRDefault="00034A31" w:rsidP="00034A31">
            <w:pPr>
              <w:keepNext/>
              <w:jc w:val="center"/>
              <w:rPr>
                <w:rFonts w:ascii="Arial Narrow" w:eastAsiaTheme="majorEastAsia" w:hAnsi="Arial Narrow" w:cstheme="majorBidi"/>
                <w:b/>
                <w:bCs/>
                <w:sz w:val="20"/>
              </w:rPr>
            </w:pPr>
            <w:r w:rsidRPr="00F91CC3">
              <w:rPr>
                <w:rFonts w:ascii="Arial Narrow" w:eastAsiaTheme="majorEastAsia" w:hAnsi="Arial Narrow" w:cstheme="majorBidi"/>
                <w:b/>
                <w:bCs/>
                <w:sz w:val="20"/>
              </w:rPr>
              <w:t xml:space="preserve">Placebo </w:t>
            </w:r>
          </w:p>
        </w:tc>
        <w:tc>
          <w:tcPr>
            <w:tcW w:w="723" w:type="pct"/>
            <w:tcMar>
              <w:left w:w="11" w:type="dxa"/>
              <w:right w:w="11" w:type="dxa"/>
            </w:tcMar>
            <w:vAlign w:val="center"/>
          </w:tcPr>
          <w:p w14:paraId="77D013D8" w14:textId="77777777" w:rsidR="00034A31" w:rsidRPr="00F91CC3" w:rsidRDefault="00034A31" w:rsidP="00034A31">
            <w:pPr>
              <w:keepNext/>
              <w:jc w:val="center"/>
              <w:rPr>
                <w:rFonts w:ascii="Arial Narrow" w:eastAsiaTheme="majorEastAsia" w:hAnsi="Arial Narrow" w:cstheme="majorBidi"/>
                <w:b/>
                <w:sz w:val="20"/>
              </w:rPr>
            </w:pPr>
          </w:p>
        </w:tc>
        <w:tc>
          <w:tcPr>
            <w:tcW w:w="378" w:type="pct"/>
            <w:tcMar>
              <w:left w:w="11" w:type="dxa"/>
              <w:right w:w="11" w:type="dxa"/>
            </w:tcMar>
            <w:vAlign w:val="center"/>
          </w:tcPr>
          <w:p w14:paraId="04963C16" w14:textId="77777777" w:rsidR="00034A31" w:rsidRPr="00F91CC3" w:rsidRDefault="00034A31" w:rsidP="00034A31">
            <w:pPr>
              <w:keepNext/>
              <w:jc w:val="center"/>
              <w:rPr>
                <w:rFonts w:ascii="Arial Narrow" w:eastAsiaTheme="majorEastAsia" w:hAnsi="Arial Narrow" w:cstheme="majorBidi"/>
                <w:b/>
                <w:bCs/>
                <w:sz w:val="20"/>
              </w:rPr>
            </w:pPr>
          </w:p>
        </w:tc>
      </w:tr>
      <w:tr w:rsidR="00034A31" w:rsidRPr="00F91CC3" w14:paraId="1E06999C" w14:textId="77777777" w:rsidTr="002A2AB2">
        <w:tc>
          <w:tcPr>
            <w:tcW w:w="718" w:type="pct"/>
            <w:tcMar>
              <w:left w:w="11" w:type="dxa"/>
              <w:right w:w="11" w:type="dxa"/>
            </w:tcMar>
            <w:vAlign w:val="center"/>
          </w:tcPr>
          <w:p w14:paraId="15632ACA"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Study 110, w24</w:t>
            </w:r>
          </w:p>
        </w:tc>
        <w:tc>
          <w:tcPr>
            <w:tcW w:w="401" w:type="pct"/>
            <w:tcMar>
              <w:left w:w="11" w:type="dxa"/>
              <w:right w:w="11" w:type="dxa"/>
            </w:tcMar>
            <w:vAlign w:val="center"/>
          </w:tcPr>
          <w:p w14:paraId="186D47E6"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szCs w:val="20"/>
              </w:rPr>
              <w:t>35</w:t>
            </w:r>
          </w:p>
        </w:tc>
        <w:tc>
          <w:tcPr>
            <w:tcW w:w="635" w:type="pct"/>
            <w:tcMar>
              <w:left w:w="11" w:type="dxa"/>
              <w:right w:w="11" w:type="dxa"/>
            </w:tcMar>
            <w:vAlign w:val="center"/>
          </w:tcPr>
          <w:p w14:paraId="336C0518"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szCs w:val="20"/>
              </w:rPr>
              <w:t>67.26</w:t>
            </w:r>
            <w:r w:rsidRPr="00F91CC3">
              <w:rPr>
                <w:rFonts w:ascii="Arial Narrow" w:eastAsiaTheme="majorEastAsia" w:hAnsi="Arial Narrow" w:cstheme="majorBidi"/>
                <w:bCs/>
                <w:sz w:val="20"/>
                <w:szCs w:val="20"/>
                <w:vertAlign w:val="superscript"/>
              </w:rPr>
              <w:t>a</w:t>
            </w:r>
          </w:p>
        </w:tc>
        <w:tc>
          <w:tcPr>
            <w:tcW w:w="557" w:type="pct"/>
            <w:tcMar>
              <w:left w:w="11" w:type="dxa"/>
              <w:right w:w="11" w:type="dxa"/>
            </w:tcMar>
            <w:vAlign w:val="center"/>
          </w:tcPr>
          <w:p w14:paraId="520C2895" w14:textId="75545209"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szCs w:val="20"/>
              </w:rPr>
              <w:t>-26.28</w:t>
            </w:r>
            <w:r w:rsidRPr="00F91CC3">
              <w:rPr>
                <w:rFonts w:ascii="Arial Narrow" w:eastAsiaTheme="majorEastAsia" w:hAnsi="Arial Narrow" w:cstheme="majorBidi"/>
                <w:bCs/>
                <w:sz w:val="20"/>
                <w:szCs w:val="20"/>
                <w:vertAlign w:val="superscript"/>
              </w:rPr>
              <w:t>a</w:t>
            </w:r>
            <w:r w:rsidR="00D2602E" w:rsidRPr="00F91CC3">
              <w:rPr>
                <w:rFonts w:ascii="Arial Narrow" w:eastAsiaTheme="majorEastAsia" w:hAnsi="Arial Narrow" w:cstheme="majorBidi"/>
                <w:bCs/>
                <w:sz w:val="20"/>
                <w:szCs w:val="20"/>
                <w:vertAlign w:val="superscript"/>
              </w:rPr>
              <w:t xml:space="preserve">, </w:t>
            </w:r>
            <w:r w:rsidRPr="00F91CC3">
              <w:rPr>
                <w:rFonts w:ascii="Arial Narrow" w:eastAsiaTheme="majorEastAsia" w:hAnsi="Arial Narrow" w:cstheme="majorBidi"/>
                <w:bCs/>
                <w:sz w:val="20"/>
                <w:szCs w:val="20"/>
                <w:vertAlign w:val="superscript"/>
              </w:rPr>
              <w:t>b</w:t>
            </w:r>
          </w:p>
        </w:tc>
        <w:tc>
          <w:tcPr>
            <w:tcW w:w="397" w:type="pct"/>
            <w:tcMar>
              <w:left w:w="11" w:type="dxa"/>
              <w:right w:w="11" w:type="dxa"/>
            </w:tcMar>
            <w:vAlign w:val="center"/>
          </w:tcPr>
          <w:p w14:paraId="377DC52E"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szCs w:val="20"/>
              </w:rPr>
              <w:t>35</w:t>
            </w:r>
          </w:p>
        </w:tc>
        <w:tc>
          <w:tcPr>
            <w:tcW w:w="635" w:type="pct"/>
            <w:tcMar>
              <w:left w:w="11" w:type="dxa"/>
              <w:right w:w="11" w:type="dxa"/>
            </w:tcMar>
            <w:vAlign w:val="center"/>
          </w:tcPr>
          <w:p w14:paraId="6F024283"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szCs w:val="20"/>
              </w:rPr>
              <w:t>73.44</w:t>
            </w:r>
            <w:r w:rsidRPr="00F91CC3">
              <w:rPr>
                <w:rFonts w:ascii="Arial Narrow" w:eastAsiaTheme="majorEastAsia" w:hAnsi="Arial Narrow" w:cstheme="majorBidi"/>
                <w:bCs/>
                <w:sz w:val="20"/>
                <w:szCs w:val="20"/>
                <w:vertAlign w:val="superscript"/>
              </w:rPr>
              <w:t>a</w:t>
            </w:r>
          </w:p>
        </w:tc>
        <w:tc>
          <w:tcPr>
            <w:tcW w:w="556" w:type="pct"/>
            <w:tcMar>
              <w:left w:w="11" w:type="dxa"/>
              <w:right w:w="11" w:type="dxa"/>
            </w:tcMar>
            <w:vAlign w:val="center"/>
          </w:tcPr>
          <w:p w14:paraId="44BE7C66" w14:textId="148D93E4" w:rsidR="00034A31" w:rsidRPr="00F91CC3" w:rsidRDefault="00034A31" w:rsidP="00034A31">
            <w:pPr>
              <w:keepNext/>
              <w:jc w:val="center"/>
              <w:rPr>
                <w:rFonts w:ascii="Arial Narrow" w:eastAsiaTheme="majorEastAsia" w:hAnsi="Arial Narrow" w:cstheme="majorBidi"/>
                <w:b/>
                <w:bCs/>
                <w:sz w:val="20"/>
              </w:rPr>
            </w:pPr>
            <w:r w:rsidRPr="00F91CC3">
              <w:rPr>
                <w:rFonts w:ascii="Arial Narrow" w:eastAsiaTheme="majorEastAsia" w:hAnsi="Arial Narrow" w:cstheme="majorBidi"/>
                <w:bCs/>
                <w:sz w:val="20"/>
                <w:szCs w:val="20"/>
              </w:rPr>
              <w:t>-2.31</w:t>
            </w:r>
            <w:r w:rsidRPr="00F91CC3">
              <w:rPr>
                <w:rFonts w:ascii="Arial Narrow" w:eastAsiaTheme="majorEastAsia" w:hAnsi="Arial Narrow" w:cstheme="majorBidi"/>
                <w:bCs/>
                <w:sz w:val="20"/>
                <w:szCs w:val="20"/>
                <w:vertAlign w:val="superscript"/>
              </w:rPr>
              <w:t>a</w:t>
            </w:r>
            <w:r w:rsidR="00D2602E" w:rsidRPr="00F91CC3">
              <w:rPr>
                <w:rFonts w:ascii="Arial Narrow" w:eastAsiaTheme="majorEastAsia" w:hAnsi="Arial Narrow" w:cstheme="majorBidi"/>
                <w:bCs/>
                <w:sz w:val="20"/>
                <w:szCs w:val="20"/>
                <w:vertAlign w:val="superscript"/>
              </w:rPr>
              <w:t xml:space="preserve">, </w:t>
            </w:r>
            <w:r w:rsidRPr="00F91CC3">
              <w:rPr>
                <w:rFonts w:ascii="Arial Narrow" w:eastAsiaTheme="majorEastAsia" w:hAnsi="Arial Narrow" w:cstheme="majorBidi"/>
                <w:bCs/>
                <w:sz w:val="20"/>
                <w:szCs w:val="20"/>
                <w:vertAlign w:val="superscript"/>
              </w:rPr>
              <w:t>b</w:t>
            </w:r>
          </w:p>
        </w:tc>
        <w:tc>
          <w:tcPr>
            <w:tcW w:w="723" w:type="pct"/>
            <w:tcMar>
              <w:left w:w="11" w:type="dxa"/>
              <w:right w:w="11" w:type="dxa"/>
            </w:tcMar>
            <w:vAlign w:val="center"/>
          </w:tcPr>
          <w:p w14:paraId="5B3043AD" w14:textId="77777777" w:rsidR="00836508" w:rsidRPr="00F91CC3" w:rsidRDefault="00034A31" w:rsidP="00034A31">
            <w:pPr>
              <w:keepNext/>
              <w:jc w:val="center"/>
              <w:rPr>
                <w:rFonts w:ascii="Arial Narrow" w:eastAsiaTheme="majorEastAsia" w:hAnsi="Arial Narrow" w:cstheme="majorBidi"/>
                <w:b/>
                <w:sz w:val="20"/>
                <w:szCs w:val="20"/>
              </w:rPr>
            </w:pPr>
            <w:r w:rsidRPr="00F91CC3">
              <w:rPr>
                <w:rFonts w:ascii="Arial Narrow" w:eastAsiaTheme="majorEastAsia" w:hAnsi="Arial Narrow" w:cstheme="majorBidi"/>
                <w:b/>
                <w:sz w:val="20"/>
                <w:szCs w:val="20"/>
              </w:rPr>
              <w:t>-23.97</w:t>
            </w:r>
            <w:r w:rsidRPr="00F91CC3">
              <w:rPr>
                <w:rFonts w:ascii="Arial Narrow" w:eastAsiaTheme="majorEastAsia" w:hAnsi="Arial Narrow" w:cstheme="majorBidi"/>
                <w:b/>
                <w:sz w:val="20"/>
                <w:szCs w:val="20"/>
                <w:vertAlign w:val="superscript"/>
              </w:rPr>
              <w:t>b</w:t>
            </w:r>
            <w:r w:rsidRPr="00F91CC3">
              <w:rPr>
                <w:rFonts w:ascii="Arial Narrow" w:eastAsiaTheme="majorEastAsia" w:hAnsi="Arial Narrow" w:cstheme="majorBidi"/>
                <w:b/>
                <w:sz w:val="20"/>
                <w:szCs w:val="20"/>
              </w:rPr>
              <w:t xml:space="preserve"> </w:t>
            </w:r>
          </w:p>
          <w:p w14:paraId="5AB7229B" w14:textId="18E66EAB" w:rsidR="00034A31" w:rsidRPr="00F91CC3" w:rsidRDefault="00034A31" w:rsidP="00034A31">
            <w:pPr>
              <w:keepNext/>
              <w:jc w:val="center"/>
              <w:rPr>
                <w:rFonts w:ascii="Arial Narrow" w:eastAsiaTheme="majorEastAsia" w:hAnsi="Arial Narrow" w:cstheme="majorBidi"/>
                <w:b/>
                <w:sz w:val="20"/>
              </w:rPr>
            </w:pPr>
            <w:r w:rsidRPr="00F91CC3">
              <w:rPr>
                <w:rFonts w:ascii="Arial Narrow" w:eastAsiaTheme="majorEastAsia" w:hAnsi="Arial Narrow" w:cstheme="majorBidi"/>
                <w:b/>
                <w:sz w:val="20"/>
                <w:szCs w:val="20"/>
              </w:rPr>
              <w:t>(-28.01, -19.93)</w:t>
            </w:r>
          </w:p>
        </w:tc>
        <w:tc>
          <w:tcPr>
            <w:tcW w:w="378" w:type="pct"/>
            <w:tcMar>
              <w:left w:w="11" w:type="dxa"/>
              <w:right w:w="11" w:type="dxa"/>
            </w:tcMar>
            <w:vAlign w:val="center"/>
          </w:tcPr>
          <w:p w14:paraId="3EB76E13" w14:textId="77777777" w:rsidR="00034A31" w:rsidRPr="00F91CC3" w:rsidRDefault="00034A31" w:rsidP="00034A31">
            <w:pPr>
              <w:keepNext/>
              <w:jc w:val="center"/>
              <w:rPr>
                <w:rFonts w:ascii="Arial Narrow" w:eastAsiaTheme="majorEastAsia" w:hAnsi="Arial Narrow" w:cstheme="majorBidi"/>
                <w:b/>
                <w:sz w:val="20"/>
              </w:rPr>
            </w:pPr>
            <w:r w:rsidRPr="00F91CC3">
              <w:rPr>
                <w:rFonts w:ascii="Arial Narrow" w:eastAsiaTheme="majorEastAsia" w:hAnsi="Arial Narrow" w:cstheme="majorBidi"/>
                <w:b/>
                <w:sz w:val="20"/>
              </w:rPr>
              <w:t>&lt;0.0001</w:t>
            </w:r>
          </w:p>
        </w:tc>
      </w:tr>
      <w:tr w:rsidR="00034A31" w:rsidRPr="00F91CC3" w14:paraId="4CE312B3" w14:textId="77777777" w:rsidTr="002A2AB2">
        <w:tc>
          <w:tcPr>
            <w:tcW w:w="718" w:type="pct"/>
            <w:tcMar>
              <w:left w:w="11" w:type="dxa"/>
              <w:right w:w="11" w:type="dxa"/>
            </w:tcMar>
            <w:vAlign w:val="center"/>
          </w:tcPr>
          <w:p w14:paraId="7E3FACD1"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Study 112, w104</w:t>
            </w:r>
          </w:p>
        </w:tc>
        <w:tc>
          <w:tcPr>
            <w:tcW w:w="401" w:type="pct"/>
            <w:tcMar>
              <w:left w:w="11" w:type="dxa"/>
              <w:right w:w="11" w:type="dxa"/>
            </w:tcMar>
            <w:vAlign w:val="center"/>
          </w:tcPr>
          <w:p w14:paraId="6BD5C223"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szCs w:val="20"/>
              </w:rPr>
              <w:t>59</w:t>
            </w:r>
          </w:p>
        </w:tc>
        <w:tc>
          <w:tcPr>
            <w:tcW w:w="635" w:type="pct"/>
            <w:tcMar>
              <w:left w:w="11" w:type="dxa"/>
              <w:right w:w="11" w:type="dxa"/>
            </w:tcMar>
            <w:vAlign w:val="center"/>
          </w:tcPr>
          <w:p w14:paraId="0285AE6E"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imes New Roman"/>
                <w:bCs/>
                <w:sz w:val="20"/>
                <w:szCs w:val="20"/>
              </w:rPr>
              <w:t>60.9</w:t>
            </w:r>
          </w:p>
        </w:tc>
        <w:tc>
          <w:tcPr>
            <w:tcW w:w="557" w:type="pct"/>
            <w:tcMar>
              <w:left w:w="11" w:type="dxa"/>
              <w:right w:w="11" w:type="dxa"/>
            </w:tcMar>
            <w:vAlign w:val="center"/>
          </w:tcPr>
          <w:p w14:paraId="5D817339"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imes New Roman"/>
                <w:bCs/>
                <w:sz w:val="20"/>
                <w:szCs w:val="20"/>
              </w:rPr>
              <w:t>-11.9</w:t>
            </w:r>
            <w:r w:rsidRPr="00F91CC3">
              <w:rPr>
                <w:rFonts w:ascii="Arial Narrow" w:eastAsiaTheme="majorEastAsia" w:hAnsi="Arial Narrow" w:cstheme="majorBidi"/>
                <w:bCs/>
                <w:sz w:val="20"/>
                <w:szCs w:val="20"/>
                <w:vertAlign w:val="superscript"/>
              </w:rPr>
              <w:t>b</w:t>
            </w:r>
          </w:p>
        </w:tc>
        <w:tc>
          <w:tcPr>
            <w:tcW w:w="397" w:type="pct"/>
            <w:tcMar>
              <w:left w:w="11" w:type="dxa"/>
              <w:right w:w="11" w:type="dxa"/>
            </w:tcMar>
            <w:vAlign w:val="center"/>
          </w:tcPr>
          <w:p w14:paraId="4A2E3391"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NR</w:t>
            </w:r>
          </w:p>
        </w:tc>
        <w:tc>
          <w:tcPr>
            <w:tcW w:w="635" w:type="pct"/>
            <w:tcMar>
              <w:left w:w="11" w:type="dxa"/>
              <w:right w:w="11" w:type="dxa"/>
            </w:tcMar>
            <w:vAlign w:val="center"/>
          </w:tcPr>
          <w:p w14:paraId="697D14B2" w14:textId="77777777" w:rsidR="00034A31" w:rsidRPr="00F91CC3" w:rsidRDefault="00034A31" w:rsidP="00034A31">
            <w:pPr>
              <w:keepNext/>
              <w:jc w:val="center"/>
              <w:rPr>
                <w:rFonts w:ascii="Arial Narrow" w:eastAsiaTheme="majorEastAsia" w:hAnsi="Arial Narrow" w:cstheme="majorBidi"/>
                <w:bCs/>
                <w:sz w:val="20"/>
              </w:rPr>
            </w:pPr>
          </w:p>
        </w:tc>
        <w:tc>
          <w:tcPr>
            <w:tcW w:w="556" w:type="pct"/>
            <w:tcMar>
              <w:left w:w="11" w:type="dxa"/>
              <w:right w:w="11" w:type="dxa"/>
            </w:tcMar>
            <w:vAlign w:val="center"/>
          </w:tcPr>
          <w:p w14:paraId="7E8FD464" w14:textId="77777777" w:rsidR="00034A31" w:rsidRPr="00F91CC3" w:rsidRDefault="00034A31" w:rsidP="00034A31">
            <w:pPr>
              <w:keepNext/>
              <w:jc w:val="center"/>
              <w:rPr>
                <w:rFonts w:ascii="Arial Narrow" w:eastAsiaTheme="majorEastAsia" w:hAnsi="Arial Narrow" w:cstheme="majorBidi"/>
                <w:bCs/>
                <w:sz w:val="20"/>
              </w:rPr>
            </w:pPr>
          </w:p>
        </w:tc>
        <w:tc>
          <w:tcPr>
            <w:tcW w:w="723" w:type="pct"/>
            <w:tcMar>
              <w:left w:w="11" w:type="dxa"/>
              <w:right w:w="11" w:type="dxa"/>
            </w:tcMar>
          </w:tcPr>
          <w:p w14:paraId="6ED3F776" w14:textId="77777777" w:rsidR="00034A31" w:rsidRPr="00F91CC3" w:rsidRDefault="00034A31" w:rsidP="00034A31">
            <w:pPr>
              <w:keepNext/>
              <w:jc w:val="center"/>
              <w:rPr>
                <w:rFonts w:ascii="Arial Narrow" w:eastAsiaTheme="majorEastAsia" w:hAnsi="Arial Narrow" w:cstheme="majorBidi"/>
                <w:b/>
                <w:sz w:val="20"/>
              </w:rPr>
            </w:pPr>
            <w:r w:rsidRPr="00F91CC3">
              <w:rPr>
                <w:rFonts w:ascii="Arial Narrow" w:eastAsiaTheme="majorEastAsia" w:hAnsi="Arial Narrow" w:cstheme="majorBidi"/>
                <w:bCs/>
                <w:sz w:val="20"/>
              </w:rPr>
              <w:t>NR</w:t>
            </w:r>
          </w:p>
        </w:tc>
        <w:tc>
          <w:tcPr>
            <w:tcW w:w="378" w:type="pct"/>
            <w:tcMar>
              <w:left w:w="11" w:type="dxa"/>
              <w:right w:w="11" w:type="dxa"/>
            </w:tcMar>
          </w:tcPr>
          <w:p w14:paraId="54C962E0"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NR</w:t>
            </w:r>
          </w:p>
        </w:tc>
      </w:tr>
      <w:tr w:rsidR="00034A31" w:rsidRPr="00F91CC3" w14:paraId="5D7638A6" w14:textId="77777777" w:rsidTr="002A2AB2">
        <w:trPr>
          <w:trHeight w:val="229"/>
        </w:trPr>
        <w:tc>
          <w:tcPr>
            <w:tcW w:w="718" w:type="pct"/>
            <w:tcMar>
              <w:left w:w="11" w:type="dxa"/>
              <w:right w:w="11" w:type="dxa"/>
            </w:tcMar>
          </w:tcPr>
          <w:p w14:paraId="3E514960"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Study 113, w8</w:t>
            </w:r>
          </w:p>
        </w:tc>
        <w:tc>
          <w:tcPr>
            <w:tcW w:w="401" w:type="pct"/>
            <w:tcMar>
              <w:left w:w="11" w:type="dxa"/>
              <w:right w:w="11" w:type="dxa"/>
            </w:tcMar>
            <w:vAlign w:val="center"/>
          </w:tcPr>
          <w:p w14:paraId="4F78B460"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szCs w:val="20"/>
              </w:rPr>
              <w:t>24</w:t>
            </w:r>
          </w:p>
        </w:tc>
        <w:tc>
          <w:tcPr>
            <w:tcW w:w="635" w:type="pct"/>
            <w:tcMar>
              <w:left w:w="11" w:type="dxa"/>
              <w:right w:w="11" w:type="dxa"/>
            </w:tcMar>
            <w:vAlign w:val="center"/>
          </w:tcPr>
          <w:p w14:paraId="64ACB22C"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szCs w:val="20"/>
              </w:rPr>
              <w:t>64.7 (25.7)</w:t>
            </w:r>
          </w:p>
        </w:tc>
        <w:tc>
          <w:tcPr>
            <w:tcW w:w="557" w:type="pct"/>
            <w:tcMar>
              <w:left w:w="11" w:type="dxa"/>
              <w:right w:w="11" w:type="dxa"/>
            </w:tcMar>
            <w:vAlign w:val="center"/>
          </w:tcPr>
          <w:p w14:paraId="503C2005"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szCs w:val="20"/>
              </w:rPr>
              <w:t>−15.7 (14.8)</w:t>
            </w:r>
          </w:p>
        </w:tc>
        <w:tc>
          <w:tcPr>
            <w:tcW w:w="397" w:type="pct"/>
            <w:tcMar>
              <w:left w:w="11" w:type="dxa"/>
              <w:right w:w="11" w:type="dxa"/>
            </w:tcMar>
            <w:vAlign w:val="center"/>
          </w:tcPr>
          <w:p w14:paraId="2DA53815"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NR</w:t>
            </w:r>
          </w:p>
        </w:tc>
        <w:tc>
          <w:tcPr>
            <w:tcW w:w="635" w:type="pct"/>
            <w:tcMar>
              <w:left w:w="11" w:type="dxa"/>
              <w:right w:w="11" w:type="dxa"/>
            </w:tcMar>
            <w:vAlign w:val="center"/>
          </w:tcPr>
          <w:p w14:paraId="3665566B"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szCs w:val="20"/>
              </w:rPr>
              <w:t>18</w:t>
            </w:r>
          </w:p>
        </w:tc>
        <w:tc>
          <w:tcPr>
            <w:tcW w:w="556" w:type="pct"/>
            <w:tcMar>
              <w:left w:w="11" w:type="dxa"/>
              <w:right w:w="11" w:type="dxa"/>
            </w:tcMar>
            <w:vAlign w:val="center"/>
          </w:tcPr>
          <w:p w14:paraId="68B12A13"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imes New Roman"/>
                <w:bCs/>
                <w:sz w:val="20"/>
                <w:szCs w:val="20"/>
              </w:rPr>
              <w:t>53.4</w:t>
            </w:r>
          </w:p>
        </w:tc>
        <w:tc>
          <w:tcPr>
            <w:tcW w:w="723" w:type="pct"/>
            <w:tcMar>
              <w:left w:w="11" w:type="dxa"/>
              <w:right w:w="11" w:type="dxa"/>
            </w:tcMar>
          </w:tcPr>
          <w:p w14:paraId="6FA8079F" w14:textId="77777777" w:rsidR="00034A31" w:rsidRPr="00F91CC3" w:rsidRDefault="00034A31" w:rsidP="00034A31">
            <w:pPr>
              <w:keepNext/>
              <w:jc w:val="center"/>
              <w:rPr>
                <w:rFonts w:ascii="Arial Narrow" w:eastAsiaTheme="majorEastAsia" w:hAnsi="Arial Narrow" w:cstheme="majorBidi"/>
                <w:b/>
                <w:bCs/>
                <w:sz w:val="20"/>
              </w:rPr>
            </w:pPr>
            <w:r w:rsidRPr="00F91CC3">
              <w:rPr>
                <w:rFonts w:ascii="Arial Narrow" w:eastAsiaTheme="majorEastAsia" w:hAnsi="Arial Narrow" w:cstheme="majorBidi"/>
                <w:bCs/>
                <w:sz w:val="20"/>
              </w:rPr>
              <w:t>NR</w:t>
            </w:r>
          </w:p>
        </w:tc>
        <w:tc>
          <w:tcPr>
            <w:tcW w:w="378" w:type="pct"/>
            <w:tcMar>
              <w:left w:w="11" w:type="dxa"/>
              <w:right w:w="11" w:type="dxa"/>
            </w:tcMar>
          </w:tcPr>
          <w:p w14:paraId="1C394E1C"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NR</w:t>
            </w:r>
          </w:p>
        </w:tc>
      </w:tr>
      <w:tr w:rsidR="00034A31" w:rsidRPr="00F91CC3" w14:paraId="29B0AE96" w14:textId="77777777" w:rsidTr="002A2AB2">
        <w:trPr>
          <w:trHeight w:val="229"/>
        </w:trPr>
        <w:tc>
          <w:tcPr>
            <w:tcW w:w="718" w:type="pct"/>
            <w:tcMar>
              <w:left w:w="11" w:type="dxa"/>
              <w:right w:w="11" w:type="dxa"/>
            </w:tcMar>
            <w:vAlign w:val="center"/>
          </w:tcPr>
          <w:p w14:paraId="1B682627" w14:textId="77777777" w:rsidR="00034A31" w:rsidRPr="00F91CC3" w:rsidRDefault="00034A31" w:rsidP="00034A31">
            <w:pPr>
              <w:keepNext/>
              <w:jc w:val="left"/>
              <w:rPr>
                <w:rFonts w:ascii="Arial Narrow" w:eastAsiaTheme="majorEastAsia" w:hAnsi="Arial Narrow" w:cstheme="majorBidi"/>
                <w:b/>
                <w:bCs/>
                <w:sz w:val="20"/>
              </w:rPr>
            </w:pPr>
            <w:r w:rsidRPr="00F91CC3">
              <w:rPr>
                <w:rFonts w:ascii="Arial Narrow" w:eastAsiaTheme="majorEastAsia" w:hAnsi="Arial Narrow" w:cstheme="majorBidi"/>
                <w:bCs/>
                <w:sz w:val="20"/>
              </w:rPr>
              <w:t>Study 127, w8</w:t>
            </w:r>
          </w:p>
        </w:tc>
        <w:tc>
          <w:tcPr>
            <w:tcW w:w="401" w:type="pct"/>
            <w:tcMar>
              <w:left w:w="11" w:type="dxa"/>
              <w:right w:w="11" w:type="dxa"/>
            </w:tcMar>
            <w:vAlign w:val="center"/>
          </w:tcPr>
          <w:p w14:paraId="058C6496"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szCs w:val="20"/>
              </w:rPr>
              <w:t>38</w:t>
            </w:r>
          </w:p>
        </w:tc>
        <w:tc>
          <w:tcPr>
            <w:tcW w:w="635" w:type="pct"/>
            <w:tcMar>
              <w:left w:w="11" w:type="dxa"/>
              <w:right w:w="11" w:type="dxa"/>
            </w:tcMar>
            <w:vAlign w:val="center"/>
          </w:tcPr>
          <w:p w14:paraId="75FB8DBB"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szCs w:val="20"/>
              </w:rPr>
              <w:t xml:space="preserve">49.1 (24.0) </w:t>
            </w:r>
          </w:p>
        </w:tc>
        <w:tc>
          <w:tcPr>
            <w:tcW w:w="557" w:type="pct"/>
            <w:tcMar>
              <w:left w:w="11" w:type="dxa"/>
              <w:right w:w="11" w:type="dxa"/>
            </w:tcMar>
            <w:vAlign w:val="center"/>
          </w:tcPr>
          <w:p w14:paraId="4E792476"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szCs w:val="20"/>
              </w:rPr>
              <w:t>-9.3 (1.2)</w:t>
            </w:r>
            <w:r w:rsidRPr="00F91CC3">
              <w:rPr>
                <w:rFonts w:ascii="Arial Narrow" w:eastAsiaTheme="majorEastAsia" w:hAnsi="Arial Narrow" w:cstheme="majorBidi"/>
                <w:bCs/>
                <w:sz w:val="20"/>
                <w:szCs w:val="20"/>
                <w:vertAlign w:val="superscript"/>
              </w:rPr>
              <w:t xml:space="preserve"> b</w:t>
            </w:r>
            <w:r w:rsidRPr="00F91CC3">
              <w:rPr>
                <w:rFonts w:ascii="Arial Narrow" w:eastAsiaTheme="majorEastAsia" w:hAnsi="Arial Narrow" w:cstheme="majorBidi"/>
                <w:bCs/>
                <w:sz w:val="20"/>
                <w:szCs w:val="20"/>
              </w:rPr>
              <w:t xml:space="preserve"> </w:t>
            </w:r>
          </w:p>
        </w:tc>
        <w:tc>
          <w:tcPr>
            <w:tcW w:w="397" w:type="pct"/>
            <w:tcMar>
              <w:left w:w="11" w:type="dxa"/>
              <w:right w:w="11" w:type="dxa"/>
            </w:tcMar>
            <w:vAlign w:val="center"/>
          </w:tcPr>
          <w:p w14:paraId="1878A181"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szCs w:val="20"/>
              </w:rPr>
              <w:t>38</w:t>
            </w:r>
          </w:p>
        </w:tc>
        <w:tc>
          <w:tcPr>
            <w:tcW w:w="635" w:type="pct"/>
            <w:tcMar>
              <w:left w:w="11" w:type="dxa"/>
              <w:right w:w="11" w:type="dxa"/>
            </w:tcMar>
            <w:vAlign w:val="center"/>
          </w:tcPr>
          <w:p w14:paraId="66D89526"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szCs w:val="20"/>
              </w:rPr>
              <w:t xml:space="preserve">49.1 (24.0) </w:t>
            </w:r>
          </w:p>
        </w:tc>
        <w:tc>
          <w:tcPr>
            <w:tcW w:w="556" w:type="pct"/>
            <w:tcMar>
              <w:left w:w="11" w:type="dxa"/>
              <w:right w:w="11" w:type="dxa"/>
            </w:tcMar>
            <w:vAlign w:val="center"/>
          </w:tcPr>
          <w:p w14:paraId="1DDEB0FE"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szCs w:val="20"/>
              </w:rPr>
              <w:t>-0.1 (1.2)</w:t>
            </w:r>
            <w:r w:rsidRPr="00F91CC3">
              <w:rPr>
                <w:rFonts w:ascii="Arial Narrow" w:eastAsiaTheme="majorEastAsia" w:hAnsi="Arial Narrow" w:cstheme="majorBidi"/>
                <w:bCs/>
                <w:sz w:val="20"/>
                <w:szCs w:val="20"/>
                <w:vertAlign w:val="superscript"/>
              </w:rPr>
              <w:t xml:space="preserve"> b</w:t>
            </w:r>
            <w:r w:rsidRPr="00F91CC3">
              <w:rPr>
                <w:rFonts w:ascii="Arial Narrow" w:eastAsiaTheme="majorEastAsia" w:hAnsi="Arial Narrow" w:cstheme="majorBidi"/>
                <w:bCs/>
                <w:sz w:val="20"/>
                <w:szCs w:val="20"/>
              </w:rPr>
              <w:t xml:space="preserve"> </w:t>
            </w:r>
          </w:p>
        </w:tc>
        <w:tc>
          <w:tcPr>
            <w:tcW w:w="723" w:type="pct"/>
            <w:tcMar>
              <w:left w:w="11" w:type="dxa"/>
              <w:right w:w="11" w:type="dxa"/>
            </w:tcMar>
            <w:vAlign w:val="center"/>
          </w:tcPr>
          <w:p w14:paraId="0338C01E" w14:textId="77777777" w:rsidR="00034A31" w:rsidRPr="00F91CC3" w:rsidRDefault="00034A31" w:rsidP="00034A31">
            <w:pPr>
              <w:keepNext/>
              <w:jc w:val="center"/>
              <w:rPr>
                <w:rFonts w:ascii="Arial Narrow" w:eastAsiaTheme="majorEastAsia" w:hAnsi="Arial Narrow" w:cstheme="majorBidi"/>
                <w:b/>
                <w:bCs/>
                <w:sz w:val="20"/>
              </w:rPr>
            </w:pPr>
            <w:r w:rsidRPr="00F91CC3">
              <w:rPr>
                <w:rFonts w:ascii="Arial Narrow" w:eastAsiaTheme="majorEastAsia" w:hAnsi="Arial Narrow" w:cstheme="majorBidi"/>
                <w:bCs/>
                <w:sz w:val="20"/>
                <w:szCs w:val="20"/>
              </w:rPr>
              <w:t>-9.2</w:t>
            </w:r>
            <w:r w:rsidRPr="00F91CC3">
              <w:rPr>
                <w:rFonts w:ascii="Arial Narrow" w:eastAsiaTheme="majorEastAsia" w:hAnsi="Arial Narrow" w:cstheme="majorBidi"/>
                <w:bCs/>
                <w:sz w:val="20"/>
                <w:szCs w:val="20"/>
                <w:vertAlign w:val="superscript"/>
              </w:rPr>
              <w:t>b</w:t>
            </w:r>
            <w:r w:rsidRPr="00F91CC3">
              <w:rPr>
                <w:rFonts w:ascii="Arial Narrow" w:eastAsiaTheme="majorEastAsia" w:hAnsi="Arial Narrow" w:cstheme="majorBidi"/>
                <w:bCs/>
                <w:sz w:val="20"/>
                <w:szCs w:val="20"/>
              </w:rPr>
              <w:t xml:space="preserve"> (-12.4, -5.9) </w:t>
            </w:r>
          </w:p>
        </w:tc>
        <w:tc>
          <w:tcPr>
            <w:tcW w:w="378" w:type="pct"/>
            <w:tcMar>
              <w:left w:w="11" w:type="dxa"/>
              <w:right w:w="11" w:type="dxa"/>
            </w:tcMar>
            <w:vAlign w:val="center"/>
          </w:tcPr>
          <w:p w14:paraId="332EE916"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NR</w:t>
            </w:r>
          </w:p>
        </w:tc>
      </w:tr>
      <w:tr w:rsidR="00034A31" w:rsidRPr="00F91CC3" w14:paraId="09343A81" w14:textId="77777777" w:rsidTr="002A2AB2">
        <w:tc>
          <w:tcPr>
            <w:tcW w:w="718" w:type="pct"/>
            <w:tcMar>
              <w:left w:w="11" w:type="dxa"/>
              <w:right w:w="11" w:type="dxa"/>
            </w:tcMar>
            <w:vAlign w:val="center"/>
          </w:tcPr>
          <w:p w14:paraId="7A2686CE"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Study 108, average of w4 and w8</w:t>
            </w:r>
          </w:p>
        </w:tc>
        <w:tc>
          <w:tcPr>
            <w:tcW w:w="401" w:type="pct"/>
            <w:tcMar>
              <w:left w:w="11" w:type="dxa"/>
              <w:right w:w="11" w:type="dxa"/>
            </w:tcMar>
            <w:vAlign w:val="center"/>
          </w:tcPr>
          <w:p w14:paraId="330E96A1"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szCs w:val="20"/>
              </w:rPr>
              <w:t>155</w:t>
            </w:r>
          </w:p>
        </w:tc>
        <w:tc>
          <w:tcPr>
            <w:tcW w:w="635" w:type="pct"/>
            <w:tcMar>
              <w:left w:w="11" w:type="dxa"/>
              <w:right w:w="11" w:type="dxa"/>
            </w:tcMar>
            <w:vAlign w:val="center"/>
          </w:tcPr>
          <w:p w14:paraId="51B579D3"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imesNewRoman" w:hAnsi="Arial Narrow" w:cs="TimesNewRoman"/>
                <w:bCs/>
                <w:sz w:val="20"/>
                <w:szCs w:val="20"/>
              </w:rPr>
              <w:t>72.3 (25.7)</w:t>
            </w:r>
          </w:p>
        </w:tc>
        <w:tc>
          <w:tcPr>
            <w:tcW w:w="557" w:type="pct"/>
            <w:tcMar>
              <w:left w:w="11" w:type="dxa"/>
              <w:right w:w="11" w:type="dxa"/>
            </w:tcMar>
            <w:vAlign w:val="center"/>
          </w:tcPr>
          <w:p w14:paraId="3A0F7D9A"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imesNewRoman" w:hAnsi="Arial Narrow" w:cs="TimesNewRoman"/>
                <w:bCs/>
                <w:sz w:val="20"/>
                <w:szCs w:val="20"/>
              </w:rPr>
              <w:t>-4.9 (1.0)</w:t>
            </w:r>
            <w:r w:rsidRPr="00F91CC3">
              <w:rPr>
                <w:rFonts w:ascii="Arial Narrow" w:eastAsiaTheme="majorEastAsia" w:hAnsi="Arial Narrow" w:cstheme="majorBidi"/>
                <w:bCs/>
                <w:sz w:val="20"/>
                <w:szCs w:val="20"/>
                <w:vertAlign w:val="superscript"/>
              </w:rPr>
              <w:t xml:space="preserve"> b</w:t>
            </w:r>
          </w:p>
        </w:tc>
        <w:tc>
          <w:tcPr>
            <w:tcW w:w="397" w:type="pct"/>
            <w:tcMar>
              <w:left w:w="11" w:type="dxa"/>
              <w:right w:w="11" w:type="dxa"/>
            </w:tcMar>
            <w:vAlign w:val="center"/>
          </w:tcPr>
          <w:p w14:paraId="7F5250A3"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szCs w:val="20"/>
              </w:rPr>
              <w:t>157</w:t>
            </w:r>
          </w:p>
        </w:tc>
        <w:tc>
          <w:tcPr>
            <w:tcW w:w="635" w:type="pct"/>
            <w:tcMar>
              <w:left w:w="11" w:type="dxa"/>
              <w:right w:w="11" w:type="dxa"/>
            </w:tcMar>
            <w:vAlign w:val="center"/>
          </w:tcPr>
          <w:p w14:paraId="13EC794D"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imesNewRoman" w:hAnsi="Arial Narrow" w:cs="TimesNewRoman"/>
                <w:bCs/>
                <w:sz w:val="20"/>
                <w:szCs w:val="20"/>
              </w:rPr>
              <w:t>70.2 (25.7)</w:t>
            </w:r>
          </w:p>
        </w:tc>
        <w:tc>
          <w:tcPr>
            <w:tcW w:w="556" w:type="pct"/>
            <w:tcMar>
              <w:left w:w="11" w:type="dxa"/>
              <w:right w:w="11" w:type="dxa"/>
            </w:tcMar>
            <w:vAlign w:val="center"/>
          </w:tcPr>
          <w:p w14:paraId="71F62AA7"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imesNewRoman" w:hAnsi="Arial Narrow" w:cs="TimesNewRoman"/>
                <w:bCs/>
                <w:sz w:val="20"/>
                <w:szCs w:val="20"/>
              </w:rPr>
              <w:t>-0.4 (1.0)</w:t>
            </w:r>
            <w:r w:rsidRPr="00F91CC3">
              <w:rPr>
                <w:rFonts w:ascii="Arial Narrow" w:eastAsiaTheme="majorEastAsia" w:hAnsi="Arial Narrow" w:cstheme="majorBidi"/>
                <w:bCs/>
                <w:sz w:val="20"/>
                <w:szCs w:val="20"/>
                <w:vertAlign w:val="superscript"/>
              </w:rPr>
              <w:t xml:space="preserve"> b</w:t>
            </w:r>
          </w:p>
        </w:tc>
        <w:tc>
          <w:tcPr>
            <w:tcW w:w="723" w:type="pct"/>
            <w:tcMar>
              <w:left w:w="11" w:type="dxa"/>
              <w:right w:w="11" w:type="dxa"/>
            </w:tcMar>
            <w:vAlign w:val="center"/>
          </w:tcPr>
          <w:p w14:paraId="0BCF44E7" w14:textId="77777777" w:rsidR="00034A31" w:rsidRPr="00F91CC3" w:rsidRDefault="00034A31" w:rsidP="00034A31">
            <w:pPr>
              <w:keepNext/>
              <w:jc w:val="center"/>
              <w:rPr>
                <w:rFonts w:ascii="Arial Narrow" w:eastAsiaTheme="majorEastAsia" w:hAnsi="Arial Narrow" w:cstheme="majorBidi"/>
                <w:b/>
                <w:sz w:val="20"/>
              </w:rPr>
            </w:pPr>
            <w:r w:rsidRPr="00F91CC3">
              <w:rPr>
                <w:rFonts w:ascii="Arial Narrow" w:eastAsia="TimesNewRoman" w:hAnsi="Arial Narrow" w:cs="TimesNewRoman"/>
                <w:b/>
                <w:sz w:val="20"/>
                <w:szCs w:val="20"/>
              </w:rPr>
              <w:t>-4.5</w:t>
            </w:r>
            <w:r w:rsidRPr="00F91CC3">
              <w:rPr>
                <w:rFonts w:ascii="Arial Narrow" w:eastAsiaTheme="majorEastAsia" w:hAnsi="Arial Narrow" w:cstheme="majorBidi"/>
                <w:b/>
                <w:sz w:val="20"/>
                <w:szCs w:val="20"/>
                <w:vertAlign w:val="superscript"/>
              </w:rPr>
              <w:t xml:space="preserve"> b</w:t>
            </w:r>
            <w:r w:rsidRPr="00F91CC3">
              <w:rPr>
                <w:rFonts w:ascii="Arial Narrow" w:eastAsia="TimesNewRoman" w:hAnsi="Arial Narrow" w:cs="TimesNewRoman"/>
                <w:b/>
                <w:sz w:val="20"/>
                <w:szCs w:val="20"/>
              </w:rPr>
              <w:t xml:space="preserve"> (-6.7, -2.3)</w:t>
            </w:r>
          </w:p>
        </w:tc>
        <w:tc>
          <w:tcPr>
            <w:tcW w:w="378" w:type="pct"/>
            <w:tcMar>
              <w:left w:w="11" w:type="dxa"/>
              <w:right w:w="11" w:type="dxa"/>
            </w:tcMar>
            <w:vAlign w:val="center"/>
          </w:tcPr>
          <w:p w14:paraId="29930BB0" w14:textId="77777777" w:rsidR="00034A31" w:rsidRPr="00F91CC3" w:rsidRDefault="00034A31" w:rsidP="00034A31">
            <w:pPr>
              <w:keepNext/>
              <w:jc w:val="center"/>
              <w:rPr>
                <w:rFonts w:ascii="Arial Narrow" w:eastAsiaTheme="majorEastAsia" w:hAnsi="Arial Narrow" w:cstheme="majorBidi"/>
                <w:b/>
                <w:sz w:val="20"/>
              </w:rPr>
            </w:pPr>
            <w:r w:rsidRPr="00F91CC3">
              <w:rPr>
                <w:rFonts w:ascii="Arial Narrow" w:eastAsiaTheme="majorEastAsia" w:hAnsi="Arial Narrow" w:cs="Times New Roman"/>
                <w:b/>
                <w:sz w:val="20"/>
                <w:szCs w:val="20"/>
              </w:rPr>
              <w:t>&lt;0.0001</w:t>
            </w:r>
          </w:p>
        </w:tc>
      </w:tr>
    </w:tbl>
    <w:p w14:paraId="458C8F9B" w14:textId="77777777" w:rsidR="00034A31" w:rsidRPr="00F91CC3" w:rsidRDefault="00034A31" w:rsidP="00034A31">
      <w:pPr>
        <w:spacing w:after="120"/>
        <w:contextualSpacing/>
        <w:rPr>
          <w:rFonts w:ascii="Arial Narrow" w:hAnsi="Arial Narrow"/>
          <w:snapToGrid w:val="0"/>
          <w:sz w:val="18"/>
          <w:szCs w:val="22"/>
        </w:rPr>
      </w:pPr>
      <w:r w:rsidRPr="00F91CC3">
        <w:rPr>
          <w:rFonts w:ascii="Arial Narrow" w:hAnsi="Arial Narrow"/>
          <w:snapToGrid w:val="0"/>
          <w:sz w:val="18"/>
          <w:szCs w:val="22"/>
        </w:rPr>
        <w:t>Source: Study 110: Table 2.4.8p92; Table 11-6 p132 Attachment 7; Study 112: Table 11-15 p91 Attachment 8; Study 113: Table 2.7.2 pp119-120; Supplementary Table 2 p6; Attachment 15; Study 127: Table 11-5 pp57-58 Attachment 16; Study 108: Table 2.7.40 p172; of the submission.</w:t>
      </w:r>
    </w:p>
    <w:p w14:paraId="3C6E0427" w14:textId="77777777" w:rsidR="00034A31" w:rsidRPr="00F91CC3" w:rsidRDefault="00034A31" w:rsidP="00034A31">
      <w:pPr>
        <w:spacing w:after="120"/>
        <w:contextualSpacing/>
        <w:rPr>
          <w:rFonts w:ascii="Arial Narrow" w:hAnsi="Arial Narrow"/>
          <w:snapToGrid w:val="0"/>
          <w:sz w:val="18"/>
          <w:szCs w:val="22"/>
        </w:rPr>
      </w:pPr>
      <w:r w:rsidRPr="00F91CC3">
        <w:rPr>
          <w:rFonts w:ascii="Arial Narrow" w:hAnsi="Arial Narrow"/>
          <w:snapToGrid w:val="0"/>
          <w:sz w:val="18"/>
          <w:szCs w:val="22"/>
        </w:rPr>
        <w:t>CI = confidence interval; NR = not reported; SD = standard deviation; SE = standard error; SwCl = sweat chloride; w = week.</w:t>
      </w:r>
    </w:p>
    <w:p w14:paraId="63A213A6" w14:textId="77777777" w:rsidR="00034A31" w:rsidRPr="00F91CC3" w:rsidRDefault="00034A31" w:rsidP="00034A31">
      <w:pPr>
        <w:spacing w:after="120"/>
        <w:contextualSpacing/>
        <w:rPr>
          <w:rFonts w:ascii="Arial Narrow" w:hAnsi="Arial Narrow"/>
          <w:snapToGrid w:val="0"/>
          <w:sz w:val="18"/>
          <w:szCs w:val="22"/>
        </w:rPr>
      </w:pPr>
      <w:r w:rsidRPr="00F91CC3">
        <w:rPr>
          <w:rFonts w:ascii="Arial Narrow" w:hAnsi="Arial Narrow"/>
          <w:snapToGrid w:val="0"/>
          <w:sz w:val="18"/>
          <w:szCs w:val="22"/>
        </w:rPr>
        <w:t>a SD/SE not reported</w:t>
      </w:r>
    </w:p>
    <w:p w14:paraId="5BD8AC15" w14:textId="77777777" w:rsidR="00034A31" w:rsidRPr="00F91CC3" w:rsidRDefault="00034A31" w:rsidP="00034A31">
      <w:pPr>
        <w:spacing w:after="120"/>
        <w:contextualSpacing/>
        <w:rPr>
          <w:rFonts w:ascii="Arial Narrow" w:hAnsi="Arial Narrow"/>
          <w:snapToGrid w:val="0"/>
          <w:sz w:val="18"/>
          <w:szCs w:val="22"/>
        </w:rPr>
      </w:pPr>
      <w:r w:rsidRPr="00F91CC3">
        <w:rPr>
          <w:rFonts w:ascii="Arial Narrow" w:hAnsi="Arial Narrow"/>
          <w:snapToGrid w:val="0"/>
          <w:sz w:val="18"/>
          <w:szCs w:val="22"/>
        </w:rPr>
        <w:t>b LS mean</w:t>
      </w:r>
    </w:p>
    <w:p w14:paraId="1B6EF00B" w14:textId="733DB904" w:rsidR="00526273" w:rsidRPr="00F91CC3" w:rsidRDefault="00034A31" w:rsidP="005F70AA">
      <w:pPr>
        <w:spacing w:after="120"/>
        <w:contextualSpacing/>
        <w:rPr>
          <w:rFonts w:ascii="Arial Narrow" w:hAnsi="Arial Narrow"/>
          <w:snapToGrid w:val="0"/>
          <w:sz w:val="18"/>
          <w:szCs w:val="22"/>
        </w:rPr>
      </w:pPr>
      <w:r w:rsidRPr="00F91CC3">
        <w:rPr>
          <w:rFonts w:ascii="Arial Narrow" w:hAnsi="Arial Narrow"/>
          <w:snapToGrid w:val="0"/>
          <w:sz w:val="18"/>
          <w:szCs w:val="22"/>
        </w:rPr>
        <w:t>Bold indicates a statistically significant difference.</w:t>
      </w:r>
    </w:p>
    <w:p w14:paraId="39A6C7F6" w14:textId="52E7F9DA" w:rsidR="00034A31" w:rsidRPr="00F91CC3" w:rsidRDefault="00034A31" w:rsidP="00F07396">
      <w:pPr>
        <w:pStyle w:val="3-BodyText"/>
        <w:snapToGrid w:val="0"/>
      </w:pPr>
      <w:r w:rsidRPr="00F91CC3">
        <w:t xml:space="preserve">A summary of the results for absolute change from baseline in BMI is presented in </w:t>
      </w:r>
      <w:r w:rsidRPr="00F91CC3">
        <w:fldChar w:fldCharType="begin"/>
      </w:r>
      <w:r w:rsidRPr="00F91CC3">
        <w:instrText xml:space="preserve"> REF _Ref144310776 \h </w:instrText>
      </w:r>
      <w:r w:rsidR="00D2602E" w:rsidRPr="00F91CC3">
        <w:instrText xml:space="preserve"> \* MERGEFORMAT </w:instrText>
      </w:r>
      <w:r w:rsidRPr="00F91CC3">
        <w:fldChar w:fldCharType="separate"/>
      </w:r>
      <w:r w:rsidR="008D6198" w:rsidRPr="008D6198">
        <w:t>Table 8</w:t>
      </w:r>
      <w:r w:rsidRPr="00F91CC3">
        <w:fldChar w:fldCharType="end"/>
      </w:r>
      <w:r w:rsidRPr="00F91CC3">
        <w:t xml:space="preserve">. </w:t>
      </w:r>
      <w:bookmarkStart w:id="44" w:name="_Hlk144549257"/>
      <w:r w:rsidR="00652FF2" w:rsidRPr="00F91CC3">
        <w:t>T</w:t>
      </w:r>
      <w:r w:rsidRPr="00F91CC3">
        <w:t>here were numerical improvements for ivacaftor treated patients with respect to BMI.</w:t>
      </w:r>
    </w:p>
    <w:p w14:paraId="3BE094C7" w14:textId="53189902" w:rsidR="00034A31" w:rsidRPr="00F91CC3" w:rsidRDefault="00034A31" w:rsidP="003A6DC6">
      <w:pPr>
        <w:keepNext/>
        <w:keepLines/>
        <w:rPr>
          <w:rFonts w:ascii="Arial Narrow" w:hAnsi="Arial Narrow"/>
          <w:b/>
          <w:bCs/>
          <w:sz w:val="20"/>
          <w:szCs w:val="18"/>
        </w:rPr>
      </w:pPr>
      <w:bookmarkStart w:id="45" w:name="_Ref144310776"/>
      <w:bookmarkEnd w:id="44"/>
      <w:r w:rsidRPr="00F91CC3">
        <w:rPr>
          <w:rFonts w:ascii="Arial Narrow" w:hAnsi="Arial Narrow"/>
          <w:b/>
          <w:bCs/>
          <w:sz w:val="20"/>
          <w:szCs w:val="18"/>
        </w:rPr>
        <w:t xml:space="preserve">Table </w:t>
      </w:r>
      <w:r w:rsidRPr="00F91CC3">
        <w:rPr>
          <w:rFonts w:ascii="Arial Narrow" w:hAnsi="Arial Narrow"/>
          <w:b/>
          <w:bCs/>
          <w:sz w:val="20"/>
          <w:szCs w:val="18"/>
        </w:rPr>
        <w:fldChar w:fldCharType="begin"/>
      </w:r>
      <w:r w:rsidRPr="00F91CC3">
        <w:rPr>
          <w:rFonts w:ascii="Arial Narrow" w:hAnsi="Arial Narrow"/>
          <w:b/>
          <w:bCs/>
          <w:sz w:val="20"/>
          <w:szCs w:val="18"/>
        </w:rPr>
        <w:instrText xml:space="preserve"> SEQ Table \* ARABIC </w:instrText>
      </w:r>
      <w:r w:rsidRPr="00F91CC3">
        <w:rPr>
          <w:rFonts w:ascii="Arial Narrow" w:hAnsi="Arial Narrow"/>
          <w:b/>
          <w:bCs/>
          <w:sz w:val="20"/>
          <w:szCs w:val="18"/>
        </w:rPr>
        <w:fldChar w:fldCharType="separate"/>
      </w:r>
      <w:r w:rsidR="008D6198">
        <w:rPr>
          <w:rFonts w:ascii="Arial Narrow" w:hAnsi="Arial Narrow"/>
          <w:b/>
          <w:bCs/>
          <w:noProof/>
          <w:sz w:val="20"/>
          <w:szCs w:val="18"/>
        </w:rPr>
        <w:t>8</w:t>
      </w:r>
      <w:r w:rsidRPr="00F91CC3">
        <w:rPr>
          <w:rFonts w:ascii="Arial Narrow" w:hAnsi="Arial Narrow"/>
          <w:b/>
          <w:bCs/>
          <w:sz w:val="20"/>
          <w:szCs w:val="18"/>
        </w:rPr>
        <w:fldChar w:fldCharType="end"/>
      </w:r>
      <w:bookmarkEnd w:id="45"/>
      <w:r w:rsidRPr="00F91CC3">
        <w:rPr>
          <w:rFonts w:ascii="Arial Narrow" w:hAnsi="Arial Narrow"/>
          <w:b/>
          <w:bCs/>
          <w:sz w:val="20"/>
          <w:szCs w:val="18"/>
        </w:rPr>
        <w:t>: Results of absolute change from baseline in BMI across the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7"/>
        <w:gridCol w:w="719"/>
        <w:gridCol w:w="1142"/>
        <w:gridCol w:w="1003"/>
        <w:gridCol w:w="712"/>
        <w:gridCol w:w="1142"/>
        <w:gridCol w:w="1001"/>
        <w:gridCol w:w="1300"/>
        <w:gridCol w:w="711"/>
      </w:tblGrid>
      <w:tr w:rsidR="00034A31" w:rsidRPr="00F91CC3" w14:paraId="48BC8700" w14:textId="77777777" w:rsidTr="002A2AB2">
        <w:trPr>
          <w:trHeight w:val="229"/>
        </w:trPr>
        <w:tc>
          <w:tcPr>
            <w:tcW w:w="714" w:type="pct"/>
            <w:vMerge w:val="restart"/>
            <w:tcMar>
              <w:left w:w="11" w:type="dxa"/>
              <w:right w:w="11" w:type="dxa"/>
            </w:tcMar>
            <w:vAlign w:val="center"/>
          </w:tcPr>
          <w:p w14:paraId="31B8789A" w14:textId="77777777" w:rsidR="00034A31" w:rsidRPr="00F91CC3" w:rsidRDefault="00034A31" w:rsidP="00034A31">
            <w:pPr>
              <w:keepNext/>
              <w:jc w:val="left"/>
              <w:rPr>
                <w:rFonts w:ascii="Arial Narrow" w:eastAsiaTheme="majorEastAsia" w:hAnsi="Arial Narrow" w:cstheme="majorBidi"/>
                <w:b/>
                <w:bCs/>
                <w:sz w:val="20"/>
              </w:rPr>
            </w:pPr>
            <w:r w:rsidRPr="00F91CC3">
              <w:rPr>
                <w:rFonts w:ascii="Arial Narrow" w:eastAsiaTheme="majorEastAsia" w:hAnsi="Arial Narrow" w:cstheme="majorBidi"/>
                <w:b/>
                <w:bCs/>
                <w:sz w:val="20"/>
              </w:rPr>
              <w:t>Trial, follow-up</w:t>
            </w:r>
          </w:p>
        </w:tc>
        <w:tc>
          <w:tcPr>
            <w:tcW w:w="399" w:type="pct"/>
            <w:vMerge w:val="restart"/>
            <w:tcMar>
              <w:left w:w="11" w:type="dxa"/>
              <w:right w:w="11" w:type="dxa"/>
            </w:tcMar>
            <w:vAlign w:val="center"/>
          </w:tcPr>
          <w:p w14:paraId="0CF76B6A"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
                <w:sz w:val="20"/>
              </w:rPr>
              <w:t>n</w:t>
            </w:r>
          </w:p>
        </w:tc>
        <w:tc>
          <w:tcPr>
            <w:tcW w:w="633" w:type="pct"/>
            <w:vMerge w:val="restart"/>
            <w:tcMar>
              <w:left w:w="11" w:type="dxa"/>
              <w:right w:w="11" w:type="dxa"/>
            </w:tcMar>
            <w:vAlign w:val="center"/>
          </w:tcPr>
          <w:p w14:paraId="0AE06F38"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
                <w:sz w:val="20"/>
              </w:rPr>
              <w:t xml:space="preserve">Mean baseline (SD/SE) </w:t>
            </w:r>
          </w:p>
        </w:tc>
        <w:tc>
          <w:tcPr>
            <w:tcW w:w="556" w:type="pct"/>
            <w:vMerge w:val="restart"/>
            <w:tcMar>
              <w:left w:w="11" w:type="dxa"/>
              <w:right w:w="11" w:type="dxa"/>
            </w:tcMar>
            <w:vAlign w:val="center"/>
          </w:tcPr>
          <w:p w14:paraId="5F17632D"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
                <w:sz w:val="20"/>
              </w:rPr>
              <w:t>Mean change (SD/SE)</w:t>
            </w:r>
          </w:p>
        </w:tc>
        <w:tc>
          <w:tcPr>
            <w:tcW w:w="395" w:type="pct"/>
            <w:vMerge w:val="restart"/>
            <w:tcMar>
              <w:left w:w="11" w:type="dxa"/>
              <w:right w:w="11" w:type="dxa"/>
            </w:tcMar>
            <w:vAlign w:val="center"/>
          </w:tcPr>
          <w:p w14:paraId="1F449928"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
                <w:sz w:val="20"/>
              </w:rPr>
              <w:t>n</w:t>
            </w:r>
          </w:p>
        </w:tc>
        <w:tc>
          <w:tcPr>
            <w:tcW w:w="633" w:type="pct"/>
            <w:vMerge w:val="restart"/>
            <w:tcMar>
              <w:left w:w="11" w:type="dxa"/>
              <w:right w:w="11" w:type="dxa"/>
            </w:tcMar>
            <w:vAlign w:val="center"/>
          </w:tcPr>
          <w:p w14:paraId="25B444E9"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
                <w:sz w:val="20"/>
              </w:rPr>
              <w:t>Mean baseline (SD/SE)</w:t>
            </w:r>
          </w:p>
        </w:tc>
        <w:tc>
          <w:tcPr>
            <w:tcW w:w="555" w:type="pct"/>
            <w:vMerge w:val="restart"/>
            <w:tcMar>
              <w:left w:w="11" w:type="dxa"/>
              <w:right w:w="11" w:type="dxa"/>
            </w:tcMar>
            <w:vAlign w:val="center"/>
          </w:tcPr>
          <w:p w14:paraId="0FC46D06"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
                <w:sz w:val="20"/>
              </w:rPr>
              <w:t xml:space="preserve">Mean change (SD/SE)  </w:t>
            </w:r>
          </w:p>
        </w:tc>
        <w:tc>
          <w:tcPr>
            <w:tcW w:w="721" w:type="pct"/>
            <w:vMerge w:val="restart"/>
            <w:tcMar>
              <w:left w:w="11" w:type="dxa"/>
              <w:right w:w="11" w:type="dxa"/>
            </w:tcMar>
            <w:vAlign w:val="center"/>
          </w:tcPr>
          <w:p w14:paraId="7D973281" w14:textId="77777777" w:rsidR="00034A31" w:rsidRPr="00F91CC3" w:rsidRDefault="00034A31" w:rsidP="00034A31">
            <w:pPr>
              <w:keepNext/>
              <w:jc w:val="center"/>
              <w:rPr>
                <w:rFonts w:ascii="Arial Narrow" w:eastAsiaTheme="majorEastAsia" w:hAnsi="Arial Narrow" w:cstheme="majorBidi"/>
                <w:b/>
                <w:sz w:val="20"/>
                <w:vertAlign w:val="superscript"/>
              </w:rPr>
            </w:pPr>
            <w:r w:rsidRPr="00F91CC3">
              <w:rPr>
                <w:rFonts w:ascii="Arial Narrow" w:eastAsiaTheme="majorEastAsia" w:hAnsi="Arial Narrow" w:cstheme="majorBidi"/>
                <w:b/>
                <w:bCs/>
                <w:iCs/>
                <w:sz w:val="20"/>
              </w:rPr>
              <w:t>Mean difference (95% CI)</w:t>
            </w:r>
          </w:p>
        </w:tc>
        <w:tc>
          <w:tcPr>
            <w:tcW w:w="394" w:type="pct"/>
            <w:vMerge w:val="restart"/>
            <w:tcMar>
              <w:left w:w="11" w:type="dxa"/>
              <w:right w:w="11" w:type="dxa"/>
            </w:tcMar>
            <w:vAlign w:val="center"/>
          </w:tcPr>
          <w:p w14:paraId="2C7968F7" w14:textId="77777777" w:rsidR="00034A31" w:rsidRPr="00F91CC3" w:rsidRDefault="00034A31" w:rsidP="00034A31">
            <w:pPr>
              <w:keepNext/>
              <w:jc w:val="center"/>
              <w:rPr>
                <w:rFonts w:ascii="Arial Narrow" w:eastAsiaTheme="majorEastAsia" w:hAnsi="Arial Narrow" w:cstheme="majorBidi"/>
                <w:b/>
                <w:bCs/>
                <w:sz w:val="20"/>
              </w:rPr>
            </w:pPr>
            <w:r w:rsidRPr="00F91CC3">
              <w:rPr>
                <w:rFonts w:ascii="Arial Narrow" w:eastAsiaTheme="majorEastAsia" w:hAnsi="Arial Narrow" w:cstheme="majorBidi"/>
                <w:b/>
                <w:bCs/>
                <w:sz w:val="20"/>
              </w:rPr>
              <w:t>P-value</w:t>
            </w:r>
          </w:p>
        </w:tc>
      </w:tr>
      <w:tr w:rsidR="00034A31" w:rsidRPr="00F91CC3" w14:paraId="79533F6A" w14:textId="77777777" w:rsidTr="002A2AB2">
        <w:trPr>
          <w:trHeight w:val="229"/>
        </w:trPr>
        <w:tc>
          <w:tcPr>
            <w:tcW w:w="714" w:type="pct"/>
            <w:vMerge/>
            <w:tcMar>
              <w:left w:w="11" w:type="dxa"/>
              <w:right w:w="11" w:type="dxa"/>
            </w:tcMar>
            <w:vAlign w:val="center"/>
          </w:tcPr>
          <w:p w14:paraId="0393D87B" w14:textId="77777777" w:rsidR="00034A31" w:rsidRPr="00F91CC3" w:rsidRDefault="00034A31" w:rsidP="00034A31">
            <w:pPr>
              <w:keepNext/>
              <w:jc w:val="left"/>
              <w:rPr>
                <w:rFonts w:ascii="Arial Narrow" w:eastAsiaTheme="majorEastAsia" w:hAnsi="Arial Narrow" w:cstheme="majorBidi"/>
                <w:bCs/>
                <w:sz w:val="20"/>
              </w:rPr>
            </w:pPr>
          </w:p>
        </w:tc>
        <w:tc>
          <w:tcPr>
            <w:tcW w:w="399" w:type="pct"/>
            <w:vMerge/>
            <w:tcMar>
              <w:left w:w="11" w:type="dxa"/>
              <w:right w:w="11" w:type="dxa"/>
            </w:tcMar>
            <w:vAlign w:val="center"/>
          </w:tcPr>
          <w:p w14:paraId="59E4931D" w14:textId="77777777" w:rsidR="00034A31" w:rsidRPr="00F91CC3" w:rsidRDefault="00034A31" w:rsidP="00034A31">
            <w:pPr>
              <w:keepNext/>
              <w:jc w:val="center"/>
              <w:rPr>
                <w:rFonts w:ascii="Arial Narrow" w:eastAsiaTheme="majorEastAsia" w:hAnsi="Arial Narrow" w:cstheme="majorBidi"/>
                <w:bCs/>
                <w:sz w:val="20"/>
              </w:rPr>
            </w:pPr>
          </w:p>
        </w:tc>
        <w:tc>
          <w:tcPr>
            <w:tcW w:w="633" w:type="pct"/>
            <w:vMerge/>
            <w:tcMar>
              <w:left w:w="11" w:type="dxa"/>
              <w:right w:w="11" w:type="dxa"/>
            </w:tcMar>
            <w:vAlign w:val="center"/>
          </w:tcPr>
          <w:p w14:paraId="30ECB4B9" w14:textId="77777777" w:rsidR="00034A31" w:rsidRPr="00F91CC3" w:rsidRDefault="00034A31" w:rsidP="00034A31">
            <w:pPr>
              <w:keepNext/>
              <w:jc w:val="center"/>
              <w:rPr>
                <w:rFonts w:ascii="Arial Narrow" w:eastAsiaTheme="majorEastAsia" w:hAnsi="Arial Narrow" w:cstheme="majorBidi"/>
                <w:bCs/>
                <w:sz w:val="20"/>
              </w:rPr>
            </w:pPr>
          </w:p>
        </w:tc>
        <w:tc>
          <w:tcPr>
            <w:tcW w:w="556" w:type="pct"/>
            <w:vMerge/>
            <w:tcMar>
              <w:left w:w="11" w:type="dxa"/>
              <w:right w:w="11" w:type="dxa"/>
            </w:tcMar>
            <w:vAlign w:val="center"/>
          </w:tcPr>
          <w:p w14:paraId="03DDFA59" w14:textId="77777777" w:rsidR="00034A31" w:rsidRPr="00F91CC3" w:rsidRDefault="00034A31" w:rsidP="00034A31">
            <w:pPr>
              <w:keepNext/>
              <w:jc w:val="center"/>
              <w:rPr>
                <w:rFonts w:ascii="Arial Narrow" w:eastAsiaTheme="majorEastAsia" w:hAnsi="Arial Narrow" w:cstheme="majorBidi"/>
                <w:bCs/>
                <w:sz w:val="20"/>
              </w:rPr>
            </w:pPr>
          </w:p>
        </w:tc>
        <w:tc>
          <w:tcPr>
            <w:tcW w:w="395" w:type="pct"/>
            <w:vMerge/>
            <w:tcMar>
              <w:left w:w="11" w:type="dxa"/>
              <w:right w:w="11" w:type="dxa"/>
            </w:tcMar>
            <w:vAlign w:val="center"/>
          </w:tcPr>
          <w:p w14:paraId="75D9D357" w14:textId="77777777" w:rsidR="00034A31" w:rsidRPr="00F91CC3" w:rsidRDefault="00034A31" w:rsidP="00034A31">
            <w:pPr>
              <w:keepNext/>
              <w:jc w:val="center"/>
              <w:rPr>
                <w:rFonts w:ascii="Arial Narrow" w:eastAsiaTheme="majorEastAsia" w:hAnsi="Arial Narrow" w:cstheme="majorBidi"/>
                <w:bCs/>
                <w:sz w:val="20"/>
              </w:rPr>
            </w:pPr>
          </w:p>
        </w:tc>
        <w:tc>
          <w:tcPr>
            <w:tcW w:w="633" w:type="pct"/>
            <w:vMerge/>
            <w:tcMar>
              <w:left w:w="11" w:type="dxa"/>
              <w:right w:w="11" w:type="dxa"/>
            </w:tcMar>
            <w:vAlign w:val="center"/>
          </w:tcPr>
          <w:p w14:paraId="408D947C" w14:textId="77777777" w:rsidR="00034A31" w:rsidRPr="00F91CC3" w:rsidRDefault="00034A31" w:rsidP="00034A31">
            <w:pPr>
              <w:keepNext/>
              <w:jc w:val="center"/>
              <w:rPr>
                <w:rFonts w:ascii="Arial Narrow" w:eastAsiaTheme="majorEastAsia" w:hAnsi="Arial Narrow" w:cstheme="majorBidi"/>
                <w:bCs/>
                <w:sz w:val="20"/>
              </w:rPr>
            </w:pPr>
          </w:p>
        </w:tc>
        <w:tc>
          <w:tcPr>
            <w:tcW w:w="555" w:type="pct"/>
            <w:vMerge/>
            <w:tcMar>
              <w:left w:w="11" w:type="dxa"/>
              <w:right w:w="11" w:type="dxa"/>
            </w:tcMar>
            <w:vAlign w:val="center"/>
          </w:tcPr>
          <w:p w14:paraId="128637D6" w14:textId="77777777" w:rsidR="00034A31" w:rsidRPr="00F91CC3" w:rsidRDefault="00034A31" w:rsidP="00034A31">
            <w:pPr>
              <w:keepNext/>
              <w:jc w:val="center"/>
              <w:rPr>
                <w:rFonts w:ascii="Arial Narrow" w:eastAsiaTheme="majorEastAsia" w:hAnsi="Arial Narrow" w:cstheme="majorBidi"/>
                <w:bCs/>
                <w:sz w:val="20"/>
              </w:rPr>
            </w:pPr>
          </w:p>
        </w:tc>
        <w:tc>
          <w:tcPr>
            <w:tcW w:w="721" w:type="pct"/>
            <w:vMerge/>
            <w:tcMar>
              <w:left w:w="11" w:type="dxa"/>
              <w:right w:w="11" w:type="dxa"/>
            </w:tcMar>
            <w:vAlign w:val="center"/>
          </w:tcPr>
          <w:p w14:paraId="4218B79A" w14:textId="77777777" w:rsidR="00034A31" w:rsidRPr="00F91CC3" w:rsidRDefault="00034A31" w:rsidP="00034A31">
            <w:pPr>
              <w:keepNext/>
              <w:jc w:val="center"/>
              <w:rPr>
                <w:rFonts w:ascii="Arial Narrow" w:eastAsiaTheme="majorEastAsia" w:hAnsi="Arial Narrow" w:cstheme="majorBidi"/>
                <w:b/>
                <w:sz w:val="20"/>
              </w:rPr>
            </w:pPr>
          </w:p>
        </w:tc>
        <w:tc>
          <w:tcPr>
            <w:tcW w:w="394" w:type="pct"/>
            <w:vMerge/>
            <w:tcMar>
              <w:left w:w="11" w:type="dxa"/>
              <w:right w:w="11" w:type="dxa"/>
            </w:tcMar>
            <w:vAlign w:val="center"/>
          </w:tcPr>
          <w:p w14:paraId="494864E3" w14:textId="77777777" w:rsidR="00034A31" w:rsidRPr="00F91CC3" w:rsidRDefault="00034A31" w:rsidP="00034A31">
            <w:pPr>
              <w:keepNext/>
              <w:jc w:val="center"/>
              <w:rPr>
                <w:rFonts w:ascii="Arial Narrow" w:eastAsiaTheme="majorEastAsia" w:hAnsi="Arial Narrow" w:cstheme="majorBidi"/>
                <w:bCs/>
                <w:sz w:val="20"/>
              </w:rPr>
            </w:pPr>
          </w:p>
        </w:tc>
      </w:tr>
      <w:tr w:rsidR="00034A31" w:rsidRPr="00F91CC3" w14:paraId="12288444" w14:textId="77777777" w:rsidTr="002A2AB2">
        <w:tc>
          <w:tcPr>
            <w:tcW w:w="714" w:type="pct"/>
            <w:tcMar>
              <w:left w:w="11" w:type="dxa"/>
              <w:right w:w="11" w:type="dxa"/>
            </w:tcMar>
            <w:vAlign w:val="center"/>
          </w:tcPr>
          <w:p w14:paraId="09B4B561" w14:textId="77777777" w:rsidR="00034A31" w:rsidRPr="00F91CC3" w:rsidRDefault="00034A31" w:rsidP="00034A31">
            <w:pPr>
              <w:keepNext/>
              <w:jc w:val="left"/>
              <w:rPr>
                <w:rFonts w:ascii="Arial Narrow" w:eastAsiaTheme="majorEastAsia" w:hAnsi="Arial Narrow" w:cstheme="majorBidi"/>
                <w:b/>
                <w:bCs/>
                <w:sz w:val="20"/>
              </w:rPr>
            </w:pPr>
          </w:p>
        </w:tc>
        <w:tc>
          <w:tcPr>
            <w:tcW w:w="1588" w:type="pct"/>
            <w:gridSpan w:val="3"/>
            <w:tcMar>
              <w:left w:w="11" w:type="dxa"/>
              <w:right w:w="11" w:type="dxa"/>
            </w:tcMar>
            <w:vAlign w:val="center"/>
          </w:tcPr>
          <w:p w14:paraId="749F050E" w14:textId="77777777" w:rsidR="00034A31" w:rsidRPr="00F91CC3" w:rsidRDefault="00034A31" w:rsidP="00034A31">
            <w:pPr>
              <w:keepNext/>
              <w:jc w:val="center"/>
              <w:rPr>
                <w:rFonts w:ascii="Arial Narrow" w:eastAsiaTheme="majorEastAsia" w:hAnsi="Arial Narrow" w:cstheme="majorBidi"/>
                <w:b/>
                <w:bCs/>
                <w:sz w:val="20"/>
              </w:rPr>
            </w:pPr>
            <w:r w:rsidRPr="00F91CC3">
              <w:rPr>
                <w:rFonts w:ascii="Arial Narrow" w:eastAsiaTheme="majorEastAsia" w:hAnsi="Arial Narrow" w:cstheme="majorBidi"/>
                <w:b/>
                <w:bCs/>
                <w:sz w:val="20"/>
              </w:rPr>
              <w:t>Ivacaftor</w:t>
            </w:r>
          </w:p>
        </w:tc>
        <w:tc>
          <w:tcPr>
            <w:tcW w:w="1583" w:type="pct"/>
            <w:gridSpan w:val="3"/>
            <w:tcMar>
              <w:left w:w="11" w:type="dxa"/>
              <w:right w:w="11" w:type="dxa"/>
            </w:tcMar>
            <w:vAlign w:val="center"/>
          </w:tcPr>
          <w:p w14:paraId="1391DA7B" w14:textId="77777777" w:rsidR="00034A31" w:rsidRPr="00F91CC3" w:rsidRDefault="00034A31" w:rsidP="00034A31">
            <w:pPr>
              <w:keepNext/>
              <w:jc w:val="center"/>
              <w:rPr>
                <w:rFonts w:ascii="Arial Narrow" w:eastAsiaTheme="majorEastAsia" w:hAnsi="Arial Narrow" w:cstheme="majorBidi"/>
                <w:b/>
                <w:bCs/>
                <w:sz w:val="20"/>
              </w:rPr>
            </w:pPr>
            <w:r w:rsidRPr="00F91CC3">
              <w:rPr>
                <w:rFonts w:ascii="Arial Narrow" w:eastAsiaTheme="majorEastAsia" w:hAnsi="Arial Narrow" w:cstheme="majorBidi"/>
                <w:b/>
                <w:bCs/>
                <w:sz w:val="20"/>
              </w:rPr>
              <w:t xml:space="preserve">Placebo </w:t>
            </w:r>
          </w:p>
        </w:tc>
        <w:tc>
          <w:tcPr>
            <w:tcW w:w="721" w:type="pct"/>
            <w:tcMar>
              <w:left w:w="11" w:type="dxa"/>
              <w:right w:w="11" w:type="dxa"/>
            </w:tcMar>
            <w:vAlign w:val="center"/>
          </w:tcPr>
          <w:p w14:paraId="5D7765D7" w14:textId="77777777" w:rsidR="00034A31" w:rsidRPr="00F91CC3" w:rsidRDefault="00034A31" w:rsidP="00034A31">
            <w:pPr>
              <w:keepNext/>
              <w:jc w:val="center"/>
              <w:rPr>
                <w:rFonts w:ascii="Arial Narrow" w:eastAsiaTheme="majorEastAsia" w:hAnsi="Arial Narrow" w:cstheme="majorBidi"/>
                <w:b/>
                <w:sz w:val="20"/>
              </w:rPr>
            </w:pPr>
          </w:p>
        </w:tc>
        <w:tc>
          <w:tcPr>
            <w:tcW w:w="394" w:type="pct"/>
            <w:tcMar>
              <w:left w:w="11" w:type="dxa"/>
              <w:right w:w="11" w:type="dxa"/>
            </w:tcMar>
            <w:vAlign w:val="center"/>
          </w:tcPr>
          <w:p w14:paraId="488ADC0C" w14:textId="77777777" w:rsidR="00034A31" w:rsidRPr="00F91CC3" w:rsidRDefault="00034A31" w:rsidP="00034A31">
            <w:pPr>
              <w:keepNext/>
              <w:jc w:val="center"/>
              <w:rPr>
                <w:rFonts w:ascii="Arial Narrow" w:eastAsiaTheme="majorEastAsia" w:hAnsi="Arial Narrow" w:cstheme="majorBidi"/>
                <w:b/>
                <w:bCs/>
                <w:sz w:val="20"/>
              </w:rPr>
            </w:pPr>
          </w:p>
        </w:tc>
      </w:tr>
      <w:tr w:rsidR="00034A31" w:rsidRPr="00F91CC3" w14:paraId="10308013" w14:textId="77777777" w:rsidTr="002A2AB2">
        <w:tc>
          <w:tcPr>
            <w:tcW w:w="714" w:type="pct"/>
            <w:tcMar>
              <w:left w:w="11" w:type="dxa"/>
              <w:right w:w="11" w:type="dxa"/>
            </w:tcMar>
            <w:vAlign w:val="center"/>
          </w:tcPr>
          <w:p w14:paraId="3766D841"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Study 110, w24</w:t>
            </w:r>
          </w:p>
        </w:tc>
        <w:tc>
          <w:tcPr>
            <w:tcW w:w="399" w:type="pct"/>
            <w:tcMar>
              <w:left w:w="11" w:type="dxa"/>
              <w:right w:w="11" w:type="dxa"/>
            </w:tcMar>
            <w:vAlign w:val="center"/>
          </w:tcPr>
          <w:p w14:paraId="7F830E40"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szCs w:val="20"/>
              </w:rPr>
              <w:t>34</w:t>
            </w:r>
          </w:p>
        </w:tc>
        <w:tc>
          <w:tcPr>
            <w:tcW w:w="633" w:type="pct"/>
            <w:tcMar>
              <w:left w:w="11" w:type="dxa"/>
              <w:right w:w="11" w:type="dxa"/>
            </w:tcMar>
            <w:vAlign w:val="center"/>
          </w:tcPr>
          <w:p w14:paraId="61C6A8E1"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szCs w:val="20"/>
              </w:rPr>
              <w:t>24.48</w:t>
            </w:r>
            <w:r w:rsidRPr="00F91CC3">
              <w:rPr>
                <w:rFonts w:ascii="Arial Narrow" w:eastAsiaTheme="majorEastAsia" w:hAnsi="Arial Narrow" w:cstheme="majorBidi"/>
                <w:bCs/>
                <w:sz w:val="20"/>
                <w:szCs w:val="20"/>
                <w:vertAlign w:val="superscript"/>
              </w:rPr>
              <w:t>a</w:t>
            </w:r>
          </w:p>
        </w:tc>
        <w:tc>
          <w:tcPr>
            <w:tcW w:w="556" w:type="pct"/>
            <w:tcMar>
              <w:left w:w="11" w:type="dxa"/>
              <w:right w:w="11" w:type="dxa"/>
            </w:tcMar>
            <w:vAlign w:val="center"/>
          </w:tcPr>
          <w:p w14:paraId="1D49B4DB"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szCs w:val="20"/>
              </w:rPr>
              <w:t>0.49</w:t>
            </w:r>
            <w:r w:rsidRPr="00F91CC3">
              <w:rPr>
                <w:rFonts w:ascii="Arial Narrow" w:eastAsiaTheme="majorEastAsia" w:hAnsi="Arial Narrow" w:cstheme="majorBidi"/>
                <w:bCs/>
                <w:sz w:val="20"/>
                <w:szCs w:val="20"/>
                <w:vertAlign w:val="superscript"/>
              </w:rPr>
              <w:t>ab</w:t>
            </w:r>
          </w:p>
        </w:tc>
        <w:tc>
          <w:tcPr>
            <w:tcW w:w="395" w:type="pct"/>
            <w:tcMar>
              <w:left w:w="11" w:type="dxa"/>
              <w:right w:w="11" w:type="dxa"/>
            </w:tcMar>
            <w:vAlign w:val="center"/>
          </w:tcPr>
          <w:p w14:paraId="2FABE55D"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szCs w:val="20"/>
              </w:rPr>
              <w:t>35</w:t>
            </w:r>
          </w:p>
        </w:tc>
        <w:tc>
          <w:tcPr>
            <w:tcW w:w="633" w:type="pct"/>
            <w:tcMar>
              <w:left w:w="11" w:type="dxa"/>
              <w:right w:w="11" w:type="dxa"/>
            </w:tcMar>
            <w:vAlign w:val="center"/>
          </w:tcPr>
          <w:p w14:paraId="708AF647"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szCs w:val="20"/>
              </w:rPr>
              <w:t>23.07</w:t>
            </w:r>
            <w:r w:rsidRPr="00F91CC3">
              <w:rPr>
                <w:rFonts w:ascii="Arial Narrow" w:eastAsiaTheme="majorEastAsia" w:hAnsi="Arial Narrow" w:cstheme="majorBidi"/>
                <w:bCs/>
                <w:sz w:val="20"/>
                <w:szCs w:val="20"/>
                <w:vertAlign w:val="superscript"/>
              </w:rPr>
              <w:t>a</w:t>
            </w:r>
          </w:p>
        </w:tc>
        <w:tc>
          <w:tcPr>
            <w:tcW w:w="555" w:type="pct"/>
            <w:tcMar>
              <w:left w:w="11" w:type="dxa"/>
              <w:right w:w="11" w:type="dxa"/>
            </w:tcMar>
            <w:vAlign w:val="center"/>
          </w:tcPr>
          <w:p w14:paraId="1E16E54D" w14:textId="77777777" w:rsidR="00034A31" w:rsidRPr="00F91CC3" w:rsidRDefault="00034A31" w:rsidP="00034A31">
            <w:pPr>
              <w:keepNext/>
              <w:jc w:val="center"/>
              <w:rPr>
                <w:rFonts w:ascii="Arial Narrow" w:eastAsiaTheme="majorEastAsia" w:hAnsi="Arial Narrow" w:cstheme="majorBidi"/>
                <w:b/>
                <w:bCs/>
                <w:sz w:val="20"/>
              </w:rPr>
            </w:pPr>
            <w:r w:rsidRPr="00F91CC3">
              <w:rPr>
                <w:rFonts w:ascii="Arial Narrow" w:eastAsiaTheme="majorEastAsia" w:hAnsi="Arial Narrow" w:cstheme="majorBidi"/>
                <w:bCs/>
                <w:sz w:val="20"/>
                <w:szCs w:val="20"/>
              </w:rPr>
              <w:t>0.23</w:t>
            </w:r>
            <w:r w:rsidRPr="00F91CC3">
              <w:rPr>
                <w:rFonts w:ascii="Arial Narrow" w:eastAsiaTheme="majorEastAsia" w:hAnsi="Arial Narrow" w:cstheme="majorBidi"/>
                <w:bCs/>
                <w:sz w:val="20"/>
                <w:szCs w:val="20"/>
                <w:vertAlign w:val="superscript"/>
              </w:rPr>
              <w:t>ab</w:t>
            </w:r>
          </w:p>
        </w:tc>
        <w:tc>
          <w:tcPr>
            <w:tcW w:w="721" w:type="pct"/>
            <w:tcMar>
              <w:left w:w="11" w:type="dxa"/>
              <w:right w:w="11" w:type="dxa"/>
            </w:tcMar>
            <w:vAlign w:val="center"/>
          </w:tcPr>
          <w:p w14:paraId="6F6776D6" w14:textId="77777777" w:rsidR="00034A31" w:rsidRPr="00F91CC3" w:rsidRDefault="00034A31" w:rsidP="00034A31">
            <w:pPr>
              <w:keepNext/>
              <w:jc w:val="center"/>
              <w:rPr>
                <w:rFonts w:ascii="Arial Narrow" w:eastAsiaTheme="majorEastAsia" w:hAnsi="Arial Narrow" w:cstheme="majorBidi"/>
                <w:b/>
                <w:sz w:val="20"/>
              </w:rPr>
            </w:pPr>
            <w:r w:rsidRPr="00F91CC3">
              <w:rPr>
                <w:rFonts w:ascii="Arial Narrow" w:eastAsiaTheme="majorEastAsia" w:hAnsi="Arial Narrow" w:cstheme="majorBidi"/>
                <w:bCs/>
                <w:sz w:val="20"/>
                <w:szCs w:val="20"/>
              </w:rPr>
              <w:t>0.26</w:t>
            </w:r>
            <w:r w:rsidRPr="00F91CC3">
              <w:rPr>
                <w:rFonts w:ascii="Arial Narrow" w:eastAsiaTheme="majorEastAsia" w:hAnsi="Arial Narrow" w:cstheme="majorBidi"/>
                <w:bCs/>
                <w:sz w:val="20"/>
                <w:szCs w:val="20"/>
                <w:vertAlign w:val="superscript"/>
              </w:rPr>
              <w:t>b</w:t>
            </w:r>
            <w:r w:rsidRPr="00F91CC3">
              <w:rPr>
                <w:rFonts w:ascii="Arial Narrow" w:eastAsiaTheme="majorEastAsia" w:hAnsi="Arial Narrow" w:cstheme="majorBidi"/>
                <w:bCs/>
                <w:sz w:val="20"/>
                <w:szCs w:val="20"/>
              </w:rPr>
              <w:br/>
              <w:t>(-1.57, 2.09)</w:t>
            </w:r>
          </w:p>
        </w:tc>
        <w:tc>
          <w:tcPr>
            <w:tcW w:w="394" w:type="pct"/>
            <w:tcMar>
              <w:left w:w="11" w:type="dxa"/>
              <w:right w:w="11" w:type="dxa"/>
            </w:tcMar>
            <w:vAlign w:val="center"/>
          </w:tcPr>
          <w:p w14:paraId="6F46F4F6"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szCs w:val="20"/>
              </w:rPr>
              <w:t>0.7780</w:t>
            </w:r>
          </w:p>
        </w:tc>
      </w:tr>
      <w:tr w:rsidR="00034A31" w:rsidRPr="00F91CC3" w14:paraId="60F0C83D" w14:textId="77777777" w:rsidTr="002A2AB2">
        <w:tc>
          <w:tcPr>
            <w:tcW w:w="714" w:type="pct"/>
            <w:tcMar>
              <w:left w:w="11" w:type="dxa"/>
              <w:right w:w="11" w:type="dxa"/>
            </w:tcMar>
            <w:vAlign w:val="center"/>
          </w:tcPr>
          <w:p w14:paraId="2FAE1260"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Study 112, w104</w:t>
            </w:r>
          </w:p>
        </w:tc>
        <w:tc>
          <w:tcPr>
            <w:tcW w:w="399" w:type="pct"/>
            <w:tcMar>
              <w:left w:w="11" w:type="dxa"/>
              <w:right w:w="11" w:type="dxa"/>
            </w:tcMar>
            <w:vAlign w:val="center"/>
          </w:tcPr>
          <w:p w14:paraId="4403AC90"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szCs w:val="20"/>
              </w:rPr>
              <w:t>65</w:t>
            </w:r>
          </w:p>
        </w:tc>
        <w:tc>
          <w:tcPr>
            <w:tcW w:w="633" w:type="pct"/>
            <w:tcMar>
              <w:left w:w="11" w:type="dxa"/>
              <w:right w:w="11" w:type="dxa"/>
            </w:tcMar>
            <w:vAlign w:val="center"/>
          </w:tcPr>
          <w:p w14:paraId="5BFFF949"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imes New Roman"/>
                <w:bCs/>
                <w:sz w:val="20"/>
                <w:szCs w:val="20"/>
              </w:rPr>
              <w:t>23.75</w:t>
            </w:r>
            <w:r w:rsidRPr="00F91CC3">
              <w:rPr>
                <w:rFonts w:ascii="Arial Narrow" w:eastAsiaTheme="majorEastAsia" w:hAnsi="Arial Narrow" w:cstheme="majorBidi"/>
                <w:bCs/>
                <w:sz w:val="20"/>
                <w:szCs w:val="20"/>
                <w:vertAlign w:val="superscript"/>
              </w:rPr>
              <w:t>a</w:t>
            </w:r>
          </w:p>
        </w:tc>
        <w:tc>
          <w:tcPr>
            <w:tcW w:w="556" w:type="pct"/>
            <w:tcMar>
              <w:left w:w="11" w:type="dxa"/>
              <w:right w:w="11" w:type="dxa"/>
            </w:tcMar>
            <w:vAlign w:val="center"/>
          </w:tcPr>
          <w:p w14:paraId="060B51B8"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imes New Roman"/>
                <w:bCs/>
                <w:sz w:val="20"/>
                <w:szCs w:val="20"/>
              </w:rPr>
              <w:t>1.20</w:t>
            </w:r>
            <w:r w:rsidRPr="00F91CC3">
              <w:rPr>
                <w:rFonts w:ascii="Arial Narrow" w:eastAsiaTheme="majorEastAsia" w:hAnsi="Arial Narrow" w:cs="Times New Roman"/>
                <w:bCs/>
                <w:sz w:val="20"/>
                <w:szCs w:val="20"/>
                <w:vertAlign w:val="superscript"/>
              </w:rPr>
              <w:t>a</w:t>
            </w:r>
            <w:r w:rsidRPr="00F91CC3">
              <w:rPr>
                <w:rFonts w:ascii="Arial Narrow" w:eastAsiaTheme="majorEastAsia" w:hAnsi="Arial Narrow" w:cstheme="majorBidi"/>
                <w:bCs/>
                <w:sz w:val="20"/>
                <w:szCs w:val="20"/>
                <w:vertAlign w:val="superscript"/>
              </w:rPr>
              <w:t>b</w:t>
            </w:r>
          </w:p>
        </w:tc>
        <w:tc>
          <w:tcPr>
            <w:tcW w:w="395" w:type="pct"/>
            <w:tcMar>
              <w:left w:w="11" w:type="dxa"/>
              <w:right w:w="11" w:type="dxa"/>
            </w:tcMar>
            <w:vAlign w:val="center"/>
          </w:tcPr>
          <w:p w14:paraId="7B4ABE68"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NR</w:t>
            </w:r>
          </w:p>
        </w:tc>
        <w:tc>
          <w:tcPr>
            <w:tcW w:w="633" w:type="pct"/>
            <w:tcMar>
              <w:left w:w="11" w:type="dxa"/>
              <w:right w:w="11" w:type="dxa"/>
            </w:tcMar>
          </w:tcPr>
          <w:p w14:paraId="7D778F51"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NR</w:t>
            </w:r>
          </w:p>
        </w:tc>
        <w:tc>
          <w:tcPr>
            <w:tcW w:w="555" w:type="pct"/>
            <w:tcMar>
              <w:left w:w="11" w:type="dxa"/>
              <w:right w:w="11" w:type="dxa"/>
            </w:tcMar>
          </w:tcPr>
          <w:p w14:paraId="6EC21A39"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NR</w:t>
            </w:r>
          </w:p>
        </w:tc>
        <w:tc>
          <w:tcPr>
            <w:tcW w:w="721" w:type="pct"/>
            <w:tcMar>
              <w:left w:w="11" w:type="dxa"/>
              <w:right w:w="11" w:type="dxa"/>
            </w:tcMar>
          </w:tcPr>
          <w:p w14:paraId="2774EA07" w14:textId="77777777" w:rsidR="00034A31" w:rsidRPr="00F91CC3" w:rsidRDefault="00034A31" w:rsidP="00034A31">
            <w:pPr>
              <w:keepNext/>
              <w:jc w:val="center"/>
              <w:rPr>
                <w:rFonts w:ascii="Arial Narrow" w:eastAsiaTheme="majorEastAsia" w:hAnsi="Arial Narrow" w:cstheme="majorBidi"/>
                <w:b/>
                <w:sz w:val="20"/>
              </w:rPr>
            </w:pPr>
            <w:r w:rsidRPr="00F91CC3">
              <w:rPr>
                <w:rFonts w:ascii="Arial Narrow" w:eastAsiaTheme="majorEastAsia" w:hAnsi="Arial Narrow" w:cstheme="majorBidi"/>
                <w:bCs/>
                <w:sz w:val="20"/>
              </w:rPr>
              <w:t>NR</w:t>
            </w:r>
          </w:p>
        </w:tc>
        <w:tc>
          <w:tcPr>
            <w:tcW w:w="394" w:type="pct"/>
            <w:tcMar>
              <w:left w:w="11" w:type="dxa"/>
              <w:right w:w="11" w:type="dxa"/>
            </w:tcMar>
          </w:tcPr>
          <w:p w14:paraId="4B42E8FB"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NR</w:t>
            </w:r>
          </w:p>
        </w:tc>
      </w:tr>
      <w:tr w:rsidR="00034A31" w:rsidRPr="00F91CC3" w14:paraId="2FF01A0E" w14:textId="77777777" w:rsidTr="002A2AB2">
        <w:trPr>
          <w:trHeight w:val="229"/>
        </w:trPr>
        <w:tc>
          <w:tcPr>
            <w:tcW w:w="714" w:type="pct"/>
            <w:tcMar>
              <w:left w:w="11" w:type="dxa"/>
              <w:right w:w="11" w:type="dxa"/>
            </w:tcMar>
          </w:tcPr>
          <w:p w14:paraId="103EAAF3"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Study 113, w8</w:t>
            </w:r>
          </w:p>
        </w:tc>
        <w:tc>
          <w:tcPr>
            <w:tcW w:w="399" w:type="pct"/>
            <w:tcMar>
              <w:left w:w="11" w:type="dxa"/>
              <w:right w:w="11" w:type="dxa"/>
            </w:tcMar>
            <w:vAlign w:val="center"/>
          </w:tcPr>
          <w:p w14:paraId="4F30D723"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NR</w:t>
            </w:r>
          </w:p>
        </w:tc>
        <w:tc>
          <w:tcPr>
            <w:tcW w:w="633" w:type="pct"/>
            <w:tcMar>
              <w:left w:w="11" w:type="dxa"/>
              <w:right w:w="11" w:type="dxa"/>
            </w:tcMar>
            <w:vAlign w:val="center"/>
          </w:tcPr>
          <w:p w14:paraId="1FBA2FA9"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24.2 (4.8)</w:t>
            </w:r>
          </w:p>
        </w:tc>
        <w:tc>
          <w:tcPr>
            <w:tcW w:w="556" w:type="pct"/>
            <w:tcMar>
              <w:left w:w="11" w:type="dxa"/>
              <w:right w:w="11" w:type="dxa"/>
            </w:tcMar>
            <w:vAlign w:val="center"/>
          </w:tcPr>
          <w:p w14:paraId="44C326FC"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szCs w:val="20"/>
              </w:rPr>
              <w:t>0.5 (0.7)</w:t>
            </w:r>
          </w:p>
        </w:tc>
        <w:tc>
          <w:tcPr>
            <w:tcW w:w="395" w:type="pct"/>
            <w:tcMar>
              <w:left w:w="11" w:type="dxa"/>
              <w:right w:w="11" w:type="dxa"/>
            </w:tcMar>
            <w:vAlign w:val="center"/>
          </w:tcPr>
          <w:p w14:paraId="0DBB5B0E"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NR</w:t>
            </w:r>
          </w:p>
        </w:tc>
        <w:tc>
          <w:tcPr>
            <w:tcW w:w="633" w:type="pct"/>
            <w:tcMar>
              <w:left w:w="11" w:type="dxa"/>
              <w:right w:w="11" w:type="dxa"/>
            </w:tcMar>
          </w:tcPr>
          <w:p w14:paraId="67A0E2D4"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NR</w:t>
            </w:r>
          </w:p>
        </w:tc>
        <w:tc>
          <w:tcPr>
            <w:tcW w:w="555" w:type="pct"/>
            <w:tcMar>
              <w:left w:w="11" w:type="dxa"/>
              <w:right w:w="11" w:type="dxa"/>
            </w:tcMar>
          </w:tcPr>
          <w:p w14:paraId="222AC871"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NR</w:t>
            </w:r>
          </w:p>
        </w:tc>
        <w:tc>
          <w:tcPr>
            <w:tcW w:w="721" w:type="pct"/>
            <w:tcMar>
              <w:left w:w="11" w:type="dxa"/>
              <w:right w:w="11" w:type="dxa"/>
            </w:tcMar>
          </w:tcPr>
          <w:p w14:paraId="5E586054" w14:textId="77777777" w:rsidR="00034A31" w:rsidRPr="00F91CC3" w:rsidRDefault="00034A31" w:rsidP="00034A31">
            <w:pPr>
              <w:keepNext/>
              <w:jc w:val="center"/>
              <w:rPr>
                <w:rFonts w:ascii="Arial Narrow" w:eastAsiaTheme="majorEastAsia" w:hAnsi="Arial Narrow" w:cstheme="majorBidi"/>
                <w:b/>
                <w:bCs/>
                <w:sz w:val="20"/>
              </w:rPr>
            </w:pPr>
            <w:r w:rsidRPr="00F91CC3">
              <w:rPr>
                <w:rFonts w:ascii="Arial Narrow" w:eastAsiaTheme="majorEastAsia" w:hAnsi="Arial Narrow" w:cstheme="majorBidi"/>
                <w:bCs/>
                <w:sz w:val="20"/>
              </w:rPr>
              <w:t>NR</w:t>
            </w:r>
          </w:p>
        </w:tc>
        <w:tc>
          <w:tcPr>
            <w:tcW w:w="394" w:type="pct"/>
            <w:tcMar>
              <w:left w:w="11" w:type="dxa"/>
              <w:right w:w="11" w:type="dxa"/>
            </w:tcMar>
          </w:tcPr>
          <w:p w14:paraId="7F746914"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NR</w:t>
            </w:r>
          </w:p>
        </w:tc>
      </w:tr>
      <w:tr w:rsidR="00034A31" w:rsidRPr="00F91CC3" w14:paraId="1A33945C" w14:textId="77777777" w:rsidTr="002A2AB2">
        <w:tc>
          <w:tcPr>
            <w:tcW w:w="714" w:type="pct"/>
            <w:tcMar>
              <w:left w:w="11" w:type="dxa"/>
              <w:right w:w="11" w:type="dxa"/>
            </w:tcMar>
            <w:vAlign w:val="center"/>
          </w:tcPr>
          <w:p w14:paraId="2924533E"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Study 108, average of w4 and w8</w:t>
            </w:r>
          </w:p>
        </w:tc>
        <w:tc>
          <w:tcPr>
            <w:tcW w:w="399" w:type="pct"/>
            <w:tcMar>
              <w:left w:w="11" w:type="dxa"/>
              <w:right w:w="11" w:type="dxa"/>
            </w:tcMar>
            <w:vAlign w:val="center"/>
          </w:tcPr>
          <w:p w14:paraId="719A484A"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szCs w:val="20"/>
              </w:rPr>
              <w:t>156</w:t>
            </w:r>
          </w:p>
        </w:tc>
        <w:tc>
          <w:tcPr>
            <w:tcW w:w="633" w:type="pct"/>
            <w:tcMar>
              <w:left w:w="11" w:type="dxa"/>
              <w:right w:w="11" w:type="dxa"/>
            </w:tcMar>
            <w:vAlign w:val="center"/>
          </w:tcPr>
          <w:p w14:paraId="46D425C2"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NR</w:t>
            </w:r>
          </w:p>
        </w:tc>
        <w:tc>
          <w:tcPr>
            <w:tcW w:w="556" w:type="pct"/>
            <w:tcMar>
              <w:left w:w="11" w:type="dxa"/>
              <w:right w:w="11" w:type="dxa"/>
            </w:tcMar>
            <w:vAlign w:val="center"/>
          </w:tcPr>
          <w:p w14:paraId="53B96C73" w14:textId="77777777" w:rsidR="00034A31" w:rsidRPr="00F91CC3" w:rsidRDefault="00034A31" w:rsidP="00034A31">
            <w:pPr>
              <w:keepNext/>
              <w:jc w:val="center"/>
              <w:rPr>
                <w:rFonts w:ascii="Arial Narrow" w:eastAsiaTheme="majorEastAsia" w:hAnsi="Arial Narrow" w:cstheme="majorBidi"/>
                <w:bCs/>
                <w:sz w:val="20"/>
                <w:vertAlign w:val="superscript"/>
              </w:rPr>
            </w:pPr>
            <w:r w:rsidRPr="00F91CC3">
              <w:rPr>
                <w:rFonts w:ascii="Arial Narrow" w:eastAsia="TimesNewRoman" w:hAnsi="Arial Narrow" w:cs="TimesNewRoman"/>
                <w:bCs/>
                <w:sz w:val="20"/>
                <w:szCs w:val="20"/>
              </w:rPr>
              <w:t>0.47 (0.80)</w:t>
            </w:r>
            <w:r w:rsidRPr="00F91CC3">
              <w:rPr>
                <w:rFonts w:ascii="Arial Narrow" w:eastAsia="TimesNewRoman" w:hAnsi="Arial Narrow" w:cs="TimesNewRoman"/>
                <w:bCs/>
                <w:sz w:val="20"/>
                <w:szCs w:val="20"/>
                <w:vertAlign w:val="superscript"/>
              </w:rPr>
              <w:t>b</w:t>
            </w:r>
          </w:p>
        </w:tc>
        <w:tc>
          <w:tcPr>
            <w:tcW w:w="395" w:type="pct"/>
            <w:tcMar>
              <w:left w:w="11" w:type="dxa"/>
              <w:right w:w="11" w:type="dxa"/>
            </w:tcMar>
            <w:vAlign w:val="center"/>
          </w:tcPr>
          <w:p w14:paraId="0B8263FA"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161</w:t>
            </w:r>
          </w:p>
        </w:tc>
        <w:tc>
          <w:tcPr>
            <w:tcW w:w="633" w:type="pct"/>
            <w:tcMar>
              <w:left w:w="11" w:type="dxa"/>
              <w:right w:w="11" w:type="dxa"/>
            </w:tcMar>
            <w:vAlign w:val="center"/>
          </w:tcPr>
          <w:p w14:paraId="24422C63"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NR</w:t>
            </w:r>
          </w:p>
        </w:tc>
        <w:tc>
          <w:tcPr>
            <w:tcW w:w="555" w:type="pct"/>
            <w:tcMar>
              <w:left w:w="11" w:type="dxa"/>
              <w:right w:w="11" w:type="dxa"/>
            </w:tcMar>
            <w:vAlign w:val="center"/>
          </w:tcPr>
          <w:p w14:paraId="19AD9F25" w14:textId="77777777" w:rsidR="00034A31" w:rsidRPr="00F91CC3" w:rsidRDefault="00034A31" w:rsidP="00034A31">
            <w:pPr>
              <w:keepNext/>
              <w:jc w:val="center"/>
              <w:rPr>
                <w:rFonts w:ascii="Arial Narrow" w:eastAsiaTheme="majorEastAsia" w:hAnsi="Arial Narrow" w:cstheme="majorBidi"/>
                <w:bCs/>
                <w:sz w:val="20"/>
                <w:vertAlign w:val="superscript"/>
              </w:rPr>
            </w:pPr>
            <w:r w:rsidRPr="00F91CC3">
              <w:rPr>
                <w:rFonts w:ascii="Arial Narrow" w:eastAsia="TimesNewRoman" w:hAnsi="Arial Narrow" w:cs="TimesNewRoman"/>
                <w:bCs/>
                <w:sz w:val="20"/>
                <w:szCs w:val="20"/>
              </w:rPr>
              <w:t>0.18 (0.81)</w:t>
            </w:r>
            <w:r w:rsidRPr="00F91CC3">
              <w:rPr>
                <w:rFonts w:ascii="Arial Narrow" w:eastAsia="TimesNewRoman" w:hAnsi="Arial Narrow" w:cs="TimesNewRoman"/>
                <w:bCs/>
                <w:sz w:val="20"/>
                <w:szCs w:val="20"/>
                <w:vertAlign w:val="superscript"/>
              </w:rPr>
              <w:t>b</w:t>
            </w:r>
          </w:p>
        </w:tc>
        <w:tc>
          <w:tcPr>
            <w:tcW w:w="721" w:type="pct"/>
            <w:tcMar>
              <w:left w:w="11" w:type="dxa"/>
              <w:right w:w="11" w:type="dxa"/>
            </w:tcMar>
            <w:vAlign w:val="center"/>
          </w:tcPr>
          <w:p w14:paraId="34BF055D" w14:textId="77777777" w:rsidR="00034A31" w:rsidRPr="00F91CC3" w:rsidRDefault="00034A31" w:rsidP="00034A31">
            <w:pPr>
              <w:keepNext/>
              <w:jc w:val="center"/>
              <w:rPr>
                <w:rFonts w:ascii="Arial Narrow" w:eastAsiaTheme="majorEastAsia" w:hAnsi="Arial Narrow" w:cstheme="majorBidi"/>
                <w:sz w:val="20"/>
              </w:rPr>
            </w:pPr>
            <w:r w:rsidRPr="00F91CC3">
              <w:rPr>
                <w:rFonts w:ascii="Arial Narrow" w:eastAsiaTheme="majorEastAsia" w:hAnsi="Arial Narrow" w:cstheme="majorBidi"/>
                <w:bCs/>
                <w:sz w:val="20"/>
              </w:rPr>
              <w:t>NR</w:t>
            </w:r>
          </w:p>
        </w:tc>
        <w:tc>
          <w:tcPr>
            <w:tcW w:w="394" w:type="pct"/>
            <w:tcMar>
              <w:left w:w="11" w:type="dxa"/>
              <w:right w:w="11" w:type="dxa"/>
            </w:tcMar>
            <w:vAlign w:val="center"/>
          </w:tcPr>
          <w:p w14:paraId="1F3DA019"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NR</w:t>
            </w:r>
          </w:p>
        </w:tc>
      </w:tr>
    </w:tbl>
    <w:p w14:paraId="75D11F86" w14:textId="77777777" w:rsidR="00034A31" w:rsidRPr="00F91CC3" w:rsidRDefault="00034A31" w:rsidP="00034A31">
      <w:pPr>
        <w:spacing w:after="120"/>
        <w:contextualSpacing/>
        <w:rPr>
          <w:rFonts w:ascii="Arial Narrow" w:hAnsi="Arial Narrow"/>
          <w:snapToGrid w:val="0"/>
          <w:sz w:val="18"/>
          <w:szCs w:val="22"/>
        </w:rPr>
      </w:pPr>
      <w:r w:rsidRPr="00F91CC3">
        <w:rPr>
          <w:rFonts w:ascii="Arial Narrow" w:hAnsi="Arial Narrow"/>
          <w:snapToGrid w:val="0"/>
          <w:sz w:val="18"/>
          <w:szCs w:val="22"/>
        </w:rPr>
        <w:t>Source: Study 110: Table 2.4.8p92; Table 11-9 p135 Attachment 7; Study 112: Table 11-8 p79 Attachment 8; Study 113: p3 Attachment 14; Study 108: Table 2.7.41 p172; of the submission.</w:t>
      </w:r>
    </w:p>
    <w:p w14:paraId="72B35542" w14:textId="6E4D7538" w:rsidR="00034A31" w:rsidRPr="00F91CC3" w:rsidRDefault="00034A31" w:rsidP="00034A31">
      <w:pPr>
        <w:spacing w:after="120"/>
        <w:contextualSpacing/>
        <w:rPr>
          <w:rFonts w:ascii="Arial Narrow" w:hAnsi="Arial Narrow"/>
          <w:snapToGrid w:val="0"/>
          <w:sz w:val="18"/>
          <w:szCs w:val="22"/>
        </w:rPr>
      </w:pPr>
      <w:r w:rsidRPr="00F91CC3">
        <w:rPr>
          <w:rFonts w:ascii="Arial Narrow" w:hAnsi="Arial Narrow"/>
          <w:snapToGrid w:val="0"/>
          <w:sz w:val="18"/>
          <w:szCs w:val="22"/>
        </w:rPr>
        <w:t>BMI = body mass index; CI = confidence interval; NR = not reported; SD = standard deviation; SE = standard error; w = week.</w:t>
      </w:r>
    </w:p>
    <w:p w14:paraId="64DAAF4C" w14:textId="77777777" w:rsidR="00034A31" w:rsidRPr="00F91CC3" w:rsidRDefault="00034A31" w:rsidP="00034A31">
      <w:pPr>
        <w:spacing w:after="120"/>
        <w:contextualSpacing/>
        <w:rPr>
          <w:rFonts w:ascii="Arial Narrow" w:hAnsi="Arial Narrow"/>
          <w:snapToGrid w:val="0"/>
          <w:sz w:val="18"/>
          <w:szCs w:val="22"/>
        </w:rPr>
      </w:pPr>
      <w:r w:rsidRPr="00F91CC3">
        <w:rPr>
          <w:rFonts w:ascii="Arial Narrow" w:hAnsi="Arial Narrow"/>
          <w:snapToGrid w:val="0"/>
          <w:sz w:val="18"/>
          <w:szCs w:val="22"/>
          <w:vertAlign w:val="superscript"/>
        </w:rPr>
        <w:t>a</w:t>
      </w:r>
      <w:r w:rsidRPr="00F91CC3">
        <w:rPr>
          <w:rFonts w:ascii="Arial Narrow" w:hAnsi="Arial Narrow"/>
          <w:snapToGrid w:val="0"/>
          <w:sz w:val="18"/>
          <w:szCs w:val="22"/>
        </w:rPr>
        <w:t xml:space="preserve"> SD/SE not reported</w:t>
      </w:r>
    </w:p>
    <w:p w14:paraId="13B67D00" w14:textId="56C3F929" w:rsidR="00526273" w:rsidRPr="00F91CC3" w:rsidRDefault="00034A31" w:rsidP="00034A31">
      <w:pPr>
        <w:spacing w:after="120"/>
        <w:contextualSpacing/>
        <w:rPr>
          <w:rFonts w:ascii="Arial Narrow" w:hAnsi="Arial Narrow"/>
          <w:snapToGrid w:val="0"/>
          <w:sz w:val="18"/>
          <w:szCs w:val="22"/>
        </w:rPr>
      </w:pPr>
      <w:r w:rsidRPr="00F91CC3">
        <w:rPr>
          <w:rFonts w:ascii="Arial Narrow" w:hAnsi="Arial Narrow"/>
          <w:snapToGrid w:val="0"/>
          <w:sz w:val="18"/>
          <w:szCs w:val="22"/>
          <w:vertAlign w:val="superscript"/>
        </w:rPr>
        <w:t>b</w:t>
      </w:r>
      <w:r w:rsidRPr="00F91CC3">
        <w:rPr>
          <w:rFonts w:ascii="Arial Narrow" w:hAnsi="Arial Narrow"/>
          <w:snapToGrid w:val="0"/>
          <w:sz w:val="18"/>
          <w:szCs w:val="22"/>
        </w:rPr>
        <w:t xml:space="preserve"> LS mean</w:t>
      </w:r>
    </w:p>
    <w:p w14:paraId="44306BCA" w14:textId="673E7ED5" w:rsidR="00034A31" w:rsidRPr="00F91CC3" w:rsidRDefault="00034A31" w:rsidP="00F07396">
      <w:pPr>
        <w:pStyle w:val="3-BodyText"/>
        <w:snapToGrid w:val="0"/>
      </w:pPr>
      <w:r w:rsidRPr="00F91CC3">
        <w:t xml:space="preserve">In Study 108, the estimated PEx event rate per year was lower for the ivacaftor arm versus placebo (0.29 vs 0.63, p=0.0532). Study 110 calculated a hazard ratio for time to first PEx which was not statistically significant, (HR 0.928, p=0.8556). In Study 112, the annualised event rate for all PEx was 0.41. In Study 122, changes from pre-treatment baseline in the mean number of PEx events were lower in each of the 12-month intervals after ivacaftor treatment initiation. In Study 127 there were 2 PEx in 2 patients; 1 in the placebo group and 1 in ivacaftor. For Study 128, the percentage of patients who experienced ≥ 1 PEx, and the mean annualised number of PEx events </w:t>
      </w:r>
      <w:r w:rsidRPr="00F91CC3">
        <w:lastRenderedPageBreak/>
        <w:t xml:space="preserve">were numerically lower in each of the 3 study years after ivacaftor initiation than at baseline. </w:t>
      </w:r>
    </w:p>
    <w:p w14:paraId="10A3F42F" w14:textId="0467A861" w:rsidR="00034A31" w:rsidRPr="00F91CC3" w:rsidRDefault="00034A31" w:rsidP="00034A31">
      <w:pPr>
        <w:numPr>
          <w:ilvl w:val="1"/>
          <w:numId w:val="1"/>
        </w:numPr>
        <w:spacing w:after="120"/>
        <w:rPr>
          <w:rFonts w:asciiTheme="minorHAnsi" w:hAnsiTheme="minorHAnsi"/>
          <w:snapToGrid w:val="0"/>
        </w:rPr>
      </w:pPr>
      <w:r w:rsidRPr="00F91CC3">
        <w:rPr>
          <w:rFonts w:asciiTheme="minorHAnsi" w:hAnsiTheme="minorHAnsi"/>
          <w:snapToGrid w:val="0"/>
        </w:rPr>
        <w:t xml:space="preserve">In Study 108, 22 (14.1%) subjects in the ivacaftor arm and 21 (13.0%) subjects in the placebo group had &lt;200 μg/g of FE-1 (pancreatic insufficiency) at study baseline. The within group mean change in FE-1 from study baseline to the average of Week 4 and Week 8 was -16.1 μg/g the ivacaftor arm. In Study 110, a decrease from baseline at </w:t>
      </w:r>
      <w:r w:rsidR="00526273" w:rsidRPr="00F91CC3">
        <w:rPr>
          <w:rFonts w:asciiTheme="minorHAnsi" w:hAnsiTheme="minorHAnsi"/>
          <w:snapToGrid w:val="0"/>
        </w:rPr>
        <w:t>W</w:t>
      </w:r>
      <w:r w:rsidRPr="00F91CC3">
        <w:rPr>
          <w:rFonts w:asciiTheme="minorHAnsi" w:hAnsiTheme="minorHAnsi"/>
          <w:snapToGrid w:val="0"/>
        </w:rPr>
        <w:t>eek 24 in FE-1 was seen for the placebo group (15.2619 μg/g) while there was a slight increase for the ivacaftor group (0.1587 μg/g). However, the treatment difference of 15.4206 μg/g (95% CI:  29.4148, 60.2560) was not statistically significant (p = 0.4922). The investigators provided an interpretation that FE-1 was assessed as normal (&gt; 200 μg/g) at Week 104 for all subjects in whom it was evaluated who rolled over from Study 110 into Study 112. One patient had low FE-1 (&lt; 200 μg/g) at the end of the study period, i.e., below the threshold for pancreatic insufficiency.</w:t>
      </w:r>
    </w:p>
    <w:p w14:paraId="7CDB73B5" w14:textId="77777777" w:rsidR="00034A31" w:rsidRPr="00F91CC3" w:rsidRDefault="00034A31" w:rsidP="00034A31">
      <w:pPr>
        <w:numPr>
          <w:ilvl w:val="1"/>
          <w:numId w:val="1"/>
        </w:numPr>
        <w:spacing w:after="120"/>
        <w:rPr>
          <w:rFonts w:asciiTheme="minorHAnsi" w:hAnsiTheme="minorHAnsi"/>
          <w:snapToGrid w:val="0"/>
        </w:rPr>
      </w:pPr>
      <w:r w:rsidRPr="00F91CC3">
        <w:rPr>
          <w:rFonts w:asciiTheme="minorHAnsi" w:hAnsiTheme="minorHAnsi"/>
          <w:snapToGrid w:val="0"/>
        </w:rPr>
        <w:t>For the outcome of absolute change from baseline in IRT, the within group mean change in IRT from study baseline to Week 8 was -23.2 ng/mL in the ivacaftor arm and -2.1 ng/mL in the placebo group.</w:t>
      </w:r>
    </w:p>
    <w:p w14:paraId="09F2CF48" w14:textId="529A8AAC" w:rsidR="00034A31" w:rsidRPr="00F91CC3" w:rsidRDefault="00034A31" w:rsidP="00034A31">
      <w:pPr>
        <w:numPr>
          <w:ilvl w:val="1"/>
          <w:numId w:val="1"/>
        </w:numPr>
        <w:spacing w:after="120"/>
        <w:rPr>
          <w:rFonts w:asciiTheme="minorHAnsi" w:hAnsiTheme="minorHAnsi"/>
          <w:snapToGrid w:val="0"/>
        </w:rPr>
      </w:pPr>
      <w:r w:rsidRPr="00F91CC3">
        <w:rPr>
          <w:rFonts w:asciiTheme="minorHAnsi" w:hAnsiTheme="minorHAnsi"/>
        </w:rPr>
        <w:t xml:space="preserve">A summary of the results for absolute change from baseline in the CFQ-R Respiratory Domain is presented in </w:t>
      </w:r>
      <w:r w:rsidRPr="00F91CC3">
        <w:rPr>
          <w:rFonts w:asciiTheme="minorHAnsi" w:hAnsiTheme="minorHAnsi"/>
        </w:rPr>
        <w:fldChar w:fldCharType="begin"/>
      </w:r>
      <w:r w:rsidRPr="00F91CC3">
        <w:rPr>
          <w:rFonts w:asciiTheme="minorHAnsi" w:hAnsiTheme="minorHAnsi"/>
        </w:rPr>
        <w:instrText xml:space="preserve"> REF _Ref144310823 \h </w:instrText>
      </w:r>
      <w:r w:rsidR="00B462A1" w:rsidRPr="00F91CC3">
        <w:rPr>
          <w:rFonts w:asciiTheme="minorHAnsi" w:hAnsiTheme="minorHAnsi"/>
        </w:rPr>
        <w:instrText xml:space="preserve"> \* MERGEFORMAT </w:instrText>
      </w:r>
      <w:r w:rsidRPr="00F91CC3">
        <w:rPr>
          <w:rFonts w:asciiTheme="minorHAnsi" w:hAnsiTheme="minorHAnsi"/>
        </w:rPr>
      </w:r>
      <w:r w:rsidRPr="00F91CC3">
        <w:rPr>
          <w:rFonts w:asciiTheme="minorHAnsi" w:hAnsiTheme="minorHAnsi"/>
        </w:rPr>
        <w:fldChar w:fldCharType="separate"/>
      </w:r>
      <w:r w:rsidR="008D6198" w:rsidRPr="008D6198">
        <w:rPr>
          <w:rFonts w:asciiTheme="minorHAnsi" w:hAnsiTheme="minorHAnsi"/>
        </w:rPr>
        <w:t>Table 9</w:t>
      </w:r>
      <w:r w:rsidRPr="00F91CC3">
        <w:rPr>
          <w:rFonts w:asciiTheme="minorHAnsi" w:hAnsiTheme="minorHAnsi"/>
        </w:rPr>
        <w:fldChar w:fldCharType="end"/>
      </w:r>
      <w:r w:rsidRPr="00F91CC3">
        <w:rPr>
          <w:rFonts w:asciiTheme="minorHAnsi" w:hAnsiTheme="minorHAnsi"/>
        </w:rPr>
        <w:t>. Results for Study 108, 110, 112 and 127 show that patients in the ivacaftor arms</w:t>
      </w:r>
      <w:r w:rsidRPr="00F91CC3">
        <w:rPr>
          <w:rFonts w:asciiTheme="minorHAnsi" w:hAnsiTheme="minorHAnsi"/>
          <w:snapToGrid w:val="0"/>
        </w:rPr>
        <w:t xml:space="preserve"> experienced an improvement in the CFQ-R Respiratory Domain that met the prespecified MCID of 4 points.</w:t>
      </w:r>
      <w:r w:rsidRPr="00F91CC3">
        <w:rPr>
          <w:rFonts w:asciiTheme="minorHAnsi" w:hAnsiTheme="minorHAnsi"/>
          <w:i/>
          <w:snapToGrid w:val="0"/>
        </w:rPr>
        <w:t xml:space="preserve"> </w:t>
      </w:r>
    </w:p>
    <w:p w14:paraId="4306BF9E" w14:textId="3136BD5B" w:rsidR="00034A31" w:rsidRPr="00F91CC3" w:rsidRDefault="00034A31" w:rsidP="00034A31">
      <w:pPr>
        <w:keepNext/>
        <w:keepLines/>
        <w:rPr>
          <w:rFonts w:ascii="Arial Narrow" w:hAnsi="Arial Narrow"/>
          <w:b/>
          <w:bCs/>
          <w:sz w:val="20"/>
          <w:szCs w:val="18"/>
        </w:rPr>
      </w:pPr>
      <w:bookmarkStart w:id="46" w:name="_Ref144310823"/>
      <w:r w:rsidRPr="00F91CC3">
        <w:rPr>
          <w:rFonts w:ascii="Arial Narrow" w:hAnsi="Arial Narrow"/>
          <w:b/>
          <w:bCs/>
          <w:sz w:val="20"/>
          <w:szCs w:val="18"/>
        </w:rPr>
        <w:t xml:space="preserve">Table </w:t>
      </w:r>
      <w:r w:rsidRPr="00F91CC3">
        <w:rPr>
          <w:rFonts w:ascii="Arial Narrow" w:hAnsi="Arial Narrow"/>
          <w:b/>
          <w:bCs/>
          <w:sz w:val="20"/>
          <w:szCs w:val="18"/>
        </w:rPr>
        <w:fldChar w:fldCharType="begin"/>
      </w:r>
      <w:r w:rsidRPr="00F91CC3">
        <w:rPr>
          <w:rFonts w:ascii="Arial Narrow" w:hAnsi="Arial Narrow"/>
          <w:b/>
          <w:bCs/>
          <w:sz w:val="20"/>
          <w:szCs w:val="18"/>
        </w:rPr>
        <w:instrText xml:space="preserve"> SEQ Table \* ARABIC </w:instrText>
      </w:r>
      <w:r w:rsidRPr="00F91CC3">
        <w:rPr>
          <w:rFonts w:ascii="Arial Narrow" w:hAnsi="Arial Narrow"/>
          <w:b/>
          <w:bCs/>
          <w:sz w:val="20"/>
          <w:szCs w:val="18"/>
        </w:rPr>
        <w:fldChar w:fldCharType="separate"/>
      </w:r>
      <w:r w:rsidR="008D6198">
        <w:rPr>
          <w:rFonts w:ascii="Arial Narrow" w:hAnsi="Arial Narrow"/>
          <w:b/>
          <w:bCs/>
          <w:noProof/>
          <w:sz w:val="20"/>
          <w:szCs w:val="18"/>
        </w:rPr>
        <w:t>9</w:t>
      </w:r>
      <w:r w:rsidRPr="00F91CC3">
        <w:rPr>
          <w:rFonts w:ascii="Arial Narrow" w:hAnsi="Arial Narrow"/>
          <w:b/>
          <w:bCs/>
          <w:sz w:val="20"/>
          <w:szCs w:val="18"/>
        </w:rPr>
        <w:fldChar w:fldCharType="end"/>
      </w:r>
      <w:bookmarkEnd w:id="46"/>
      <w:r w:rsidRPr="00F91CC3">
        <w:rPr>
          <w:rFonts w:ascii="Arial Narrow" w:hAnsi="Arial Narrow"/>
          <w:b/>
          <w:bCs/>
          <w:sz w:val="20"/>
          <w:szCs w:val="18"/>
        </w:rPr>
        <w:t>: Results of absolute change from baseline in CFQ-R Respiratory Domain across the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7"/>
        <w:gridCol w:w="719"/>
        <w:gridCol w:w="1142"/>
        <w:gridCol w:w="1003"/>
        <w:gridCol w:w="712"/>
        <w:gridCol w:w="1142"/>
        <w:gridCol w:w="1001"/>
        <w:gridCol w:w="1300"/>
        <w:gridCol w:w="711"/>
      </w:tblGrid>
      <w:tr w:rsidR="00034A31" w:rsidRPr="00F91CC3" w14:paraId="588BE3E7" w14:textId="77777777" w:rsidTr="002A2AB2">
        <w:trPr>
          <w:trHeight w:val="229"/>
        </w:trPr>
        <w:tc>
          <w:tcPr>
            <w:tcW w:w="714" w:type="pct"/>
            <w:vMerge w:val="restart"/>
            <w:tcMar>
              <w:left w:w="11" w:type="dxa"/>
              <w:right w:w="11" w:type="dxa"/>
            </w:tcMar>
            <w:vAlign w:val="center"/>
          </w:tcPr>
          <w:p w14:paraId="74F1EEA8" w14:textId="77777777" w:rsidR="00034A31" w:rsidRPr="00F91CC3" w:rsidRDefault="00034A31" w:rsidP="00034A31">
            <w:pPr>
              <w:keepNext/>
              <w:jc w:val="left"/>
              <w:rPr>
                <w:rFonts w:ascii="Arial Narrow" w:eastAsiaTheme="majorEastAsia" w:hAnsi="Arial Narrow" w:cstheme="majorBidi"/>
                <w:b/>
                <w:bCs/>
                <w:sz w:val="20"/>
              </w:rPr>
            </w:pPr>
            <w:r w:rsidRPr="00F91CC3">
              <w:rPr>
                <w:rFonts w:ascii="Arial Narrow" w:eastAsiaTheme="majorEastAsia" w:hAnsi="Arial Narrow" w:cstheme="majorBidi"/>
                <w:b/>
                <w:bCs/>
                <w:sz w:val="20"/>
              </w:rPr>
              <w:t>Trial, follow-up</w:t>
            </w:r>
          </w:p>
        </w:tc>
        <w:tc>
          <w:tcPr>
            <w:tcW w:w="399" w:type="pct"/>
            <w:vMerge w:val="restart"/>
            <w:tcMar>
              <w:left w:w="11" w:type="dxa"/>
              <w:right w:w="11" w:type="dxa"/>
            </w:tcMar>
            <w:vAlign w:val="center"/>
          </w:tcPr>
          <w:p w14:paraId="005D9035"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
                <w:sz w:val="20"/>
              </w:rPr>
              <w:t>n</w:t>
            </w:r>
          </w:p>
        </w:tc>
        <w:tc>
          <w:tcPr>
            <w:tcW w:w="633" w:type="pct"/>
            <w:vMerge w:val="restart"/>
            <w:tcMar>
              <w:left w:w="11" w:type="dxa"/>
              <w:right w:w="11" w:type="dxa"/>
            </w:tcMar>
            <w:vAlign w:val="center"/>
          </w:tcPr>
          <w:p w14:paraId="2071E765"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
                <w:sz w:val="20"/>
              </w:rPr>
              <w:t xml:space="preserve">Mean baseline (SD/SE) </w:t>
            </w:r>
          </w:p>
        </w:tc>
        <w:tc>
          <w:tcPr>
            <w:tcW w:w="556" w:type="pct"/>
            <w:vMerge w:val="restart"/>
            <w:tcMar>
              <w:left w:w="11" w:type="dxa"/>
              <w:right w:w="11" w:type="dxa"/>
            </w:tcMar>
            <w:vAlign w:val="center"/>
          </w:tcPr>
          <w:p w14:paraId="4CC6D2A0"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
                <w:sz w:val="20"/>
              </w:rPr>
              <w:t>Mean change (SD/SE)</w:t>
            </w:r>
          </w:p>
        </w:tc>
        <w:tc>
          <w:tcPr>
            <w:tcW w:w="395" w:type="pct"/>
            <w:vMerge w:val="restart"/>
            <w:tcMar>
              <w:left w:w="11" w:type="dxa"/>
              <w:right w:w="11" w:type="dxa"/>
            </w:tcMar>
            <w:vAlign w:val="center"/>
          </w:tcPr>
          <w:p w14:paraId="028B308D"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
                <w:sz w:val="20"/>
              </w:rPr>
              <w:t>n</w:t>
            </w:r>
          </w:p>
        </w:tc>
        <w:tc>
          <w:tcPr>
            <w:tcW w:w="633" w:type="pct"/>
            <w:vMerge w:val="restart"/>
            <w:tcMar>
              <w:left w:w="11" w:type="dxa"/>
              <w:right w:w="11" w:type="dxa"/>
            </w:tcMar>
            <w:vAlign w:val="center"/>
          </w:tcPr>
          <w:p w14:paraId="30D23E55"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
                <w:sz w:val="20"/>
              </w:rPr>
              <w:t>Mean baseline (SD/SE)</w:t>
            </w:r>
          </w:p>
        </w:tc>
        <w:tc>
          <w:tcPr>
            <w:tcW w:w="555" w:type="pct"/>
            <w:vMerge w:val="restart"/>
            <w:tcMar>
              <w:left w:w="11" w:type="dxa"/>
              <w:right w:w="11" w:type="dxa"/>
            </w:tcMar>
            <w:vAlign w:val="center"/>
          </w:tcPr>
          <w:p w14:paraId="0CAE03B3"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
                <w:sz w:val="20"/>
              </w:rPr>
              <w:t xml:space="preserve">Mean change (SD/SE)  </w:t>
            </w:r>
          </w:p>
        </w:tc>
        <w:tc>
          <w:tcPr>
            <w:tcW w:w="721" w:type="pct"/>
            <w:vMerge w:val="restart"/>
            <w:tcMar>
              <w:left w:w="11" w:type="dxa"/>
              <w:right w:w="11" w:type="dxa"/>
            </w:tcMar>
            <w:vAlign w:val="center"/>
          </w:tcPr>
          <w:p w14:paraId="0AD092B8" w14:textId="77777777" w:rsidR="00034A31" w:rsidRPr="00F91CC3" w:rsidRDefault="00034A31" w:rsidP="00034A31">
            <w:pPr>
              <w:keepNext/>
              <w:jc w:val="center"/>
              <w:rPr>
                <w:rFonts w:ascii="Arial Narrow" w:eastAsiaTheme="majorEastAsia" w:hAnsi="Arial Narrow" w:cstheme="majorBidi"/>
                <w:b/>
                <w:sz w:val="20"/>
                <w:vertAlign w:val="superscript"/>
              </w:rPr>
            </w:pPr>
            <w:r w:rsidRPr="00F91CC3">
              <w:rPr>
                <w:rFonts w:ascii="Arial Narrow" w:eastAsiaTheme="majorEastAsia" w:hAnsi="Arial Narrow" w:cstheme="majorBidi"/>
                <w:b/>
                <w:bCs/>
                <w:iCs/>
                <w:sz w:val="20"/>
              </w:rPr>
              <w:t>Mean difference (95% CI)</w:t>
            </w:r>
          </w:p>
        </w:tc>
        <w:tc>
          <w:tcPr>
            <w:tcW w:w="394" w:type="pct"/>
            <w:vMerge w:val="restart"/>
            <w:tcMar>
              <w:left w:w="11" w:type="dxa"/>
              <w:right w:w="11" w:type="dxa"/>
            </w:tcMar>
            <w:vAlign w:val="center"/>
          </w:tcPr>
          <w:p w14:paraId="7E994228" w14:textId="77777777" w:rsidR="00034A31" w:rsidRPr="00F91CC3" w:rsidRDefault="00034A31" w:rsidP="00034A31">
            <w:pPr>
              <w:keepNext/>
              <w:jc w:val="center"/>
              <w:rPr>
                <w:rFonts w:ascii="Arial Narrow" w:eastAsiaTheme="majorEastAsia" w:hAnsi="Arial Narrow" w:cstheme="majorBidi"/>
                <w:b/>
                <w:bCs/>
                <w:sz w:val="20"/>
              </w:rPr>
            </w:pPr>
            <w:r w:rsidRPr="00F91CC3">
              <w:rPr>
                <w:rFonts w:ascii="Arial Narrow" w:eastAsiaTheme="majorEastAsia" w:hAnsi="Arial Narrow" w:cstheme="majorBidi"/>
                <w:b/>
                <w:bCs/>
                <w:sz w:val="20"/>
              </w:rPr>
              <w:t>P-value</w:t>
            </w:r>
          </w:p>
        </w:tc>
      </w:tr>
      <w:tr w:rsidR="00034A31" w:rsidRPr="00F91CC3" w14:paraId="30DFE8B7" w14:textId="77777777" w:rsidTr="002A2AB2">
        <w:trPr>
          <w:trHeight w:val="229"/>
        </w:trPr>
        <w:tc>
          <w:tcPr>
            <w:tcW w:w="714" w:type="pct"/>
            <w:vMerge/>
            <w:tcMar>
              <w:left w:w="11" w:type="dxa"/>
              <w:right w:w="11" w:type="dxa"/>
            </w:tcMar>
            <w:vAlign w:val="center"/>
          </w:tcPr>
          <w:p w14:paraId="09B2FA00" w14:textId="77777777" w:rsidR="00034A31" w:rsidRPr="00F91CC3" w:rsidRDefault="00034A31" w:rsidP="00034A31">
            <w:pPr>
              <w:keepNext/>
              <w:jc w:val="left"/>
              <w:rPr>
                <w:rFonts w:ascii="Arial Narrow" w:eastAsiaTheme="majorEastAsia" w:hAnsi="Arial Narrow" w:cstheme="majorBidi"/>
                <w:bCs/>
                <w:sz w:val="20"/>
              </w:rPr>
            </w:pPr>
          </w:p>
        </w:tc>
        <w:tc>
          <w:tcPr>
            <w:tcW w:w="399" w:type="pct"/>
            <w:vMerge/>
            <w:tcMar>
              <w:left w:w="11" w:type="dxa"/>
              <w:right w:w="11" w:type="dxa"/>
            </w:tcMar>
            <w:vAlign w:val="center"/>
          </w:tcPr>
          <w:p w14:paraId="322D86C0" w14:textId="77777777" w:rsidR="00034A31" w:rsidRPr="00F91CC3" w:rsidRDefault="00034A31" w:rsidP="00034A31">
            <w:pPr>
              <w:keepNext/>
              <w:jc w:val="center"/>
              <w:rPr>
                <w:rFonts w:ascii="Arial Narrow" w:eastAsiaTheme="majorEastAsia" w:hAnsi="Arial Narrow" w:cstheme="majorBidi"/>
                <w:bCs/>
                <w:sz w:val="20"/>
              </w:rPr>
            </w:pPr>
          </w:p>
        </w:tc>
        <w:tc>
          <w:tcPr>
            <w:tcW w:w="633" w:type="pct"/>
            <w:vMerge/>
            <w:tcMar>
              <w:left w:w="11" w:type="dxa"/>
              <w:right w:w="11" w:type="dxa"/>
            </w:tcMar>
            <w:vAlign w:val="center"/>
          </w:tcPr>
          <w:p w14:paraId="179748CC" w14:textId="77777777" w:rsidR="00034A31" w:rsidRPr="00F91CC3" w:rsidRDefault="00034A31" w:rsidP="00034A31">
            <w:pPr>
              <w:keepNext/>
              <w:jc w:val="center"/>
              <w:rPr>
                <w:rFonts w:ascii="Arial Narrow" w:eastAsiaTheme="majorEastAsia" w:hAnsi="Arial Narrow" w:cstheme="majorBidi"/>
                <w:bCs/>
                <w:sz w:val="20"/>
              </w:rPr>
            </w:pPr>
          </w:p>
        </w:tc>
        <w:tc>
          <w:tcPr>
            <w:tcW w:w="556" w:type="pct"/>
            <w:vMerge/>
            <w:tcMar>
              <w:left w:w="11" w:type="dxa"/>
              <w:right w:w="11" w:type="dxa"/>
            </w:tcMar>
            <w:vAlign w:val="center"/>
          </w:tcPr>
          <w:p w14:paraId="21D073CE" w14:textId="77777777" w:rsidR="00034A31" w:rsidRPr="00F91CC3" w:rsidRDefault="00034A31" w:rsidP="00034A31">
            <w:pPr>
              <w:keepNext/>
              <w:jc w:val="center"/>
              <w:rPr>
                <w:rFonts w:ascii="Arial Narrow" w:eastAsiaTheme="majorEastAsia" w:hAnsi="Arial Narrow" w:cstheme="majorBidi"/>
                <w:bCs/>
                <w:sz w:val="20"/>
              </w:rPr>
            </w:pPr>
          </w:p>
        </w:tc>
        <w:tc>
          <w:tcPr>
            <w:tcW w:w="395" w:type="pct"/>
            <w:vMerge/>
            <w:tcMar>
              <w:left w:w="11" w:type="dxa"/>
              <w:right w:w="11" w:type="dxa"/>
            </w:tcMar>
            <w:vAlign w:val="center"/>
          </w:tcPr>
          <w:p w14:paraId="54F77A6E" w14:textId="77777777" w:rsidR="00034A31" w:rsidRPr="00F91CC3" w:rsidRDefault="00034A31" w:rsidP="00034A31">
            <w:pPr>
              <w:keepNext/>
              <w:jc w:val="center"/>
              <w:rPr>
                <w:rFonts w:ascii="Arial Narrow" w:eastAsiaTheme="majorEastAsia" w:hAnsi="Arial Narrow" w:cstheme="majorBidi"/>
                <w:bCs/>
                <w:sz w:val="20"/>
              </w:rPr>
            </w:pPr>
          </w:p>
        </w:tc>
        <w:tc>
          <w:tcPr>
            <w:tcW w:w="633" w:type="pct"/>
            <w:vMerge/>
            <w:tcMar>
              <w:left w:w="11" w:type="dxa"/>
              <w:right w:w="11" w:type="dxa"/>
            </w:tcMar>
            <w:vAlign w:val="center"/>
          </w:tcPr>
          <w:p w14:paraId="3520AA93" w14:textId="77777777" w:rsidR="00034A31" w:rsidRPr="00F91CC3" w:rsidRDefault="00034A31" w:rsidP="00034A31">
            <w:pPr>
              <w:keepNext/>
              <w:jc w:val="center"/>
              <w:rPr>
                <w:rFonts w:ascii="Arial Narrow" w:eastAsiaTheme="majorEastAsia" w:hAnsi="Arial Narrow" w:cstheme="majorBidi"/>
                <w:bCs/>
                <w:sz w:val="20"/>
              </w:rPr>
            </w:pPr>
          </w:p>
        </w:tc>
        <w:tc>
          <w:tcPr>
            <w:tcW w:w="555" w:type="pct"/>
            <w:vMerge/>
            <w:tcMar>
              <w:left w:w="11" w:type="dxa"/>
              <w:right w:w="11" w:type="dxa"/>
            </w:tcMar>
            <w:vAlign w:val="center"/>
          </w:tcPr>
          <w:p w14:paraId="413C905C" w14:textId="77777777" w:rsidR="00034A31" w:rsidRPr="00F91CC3" w:rsidRDefault="00034A31" w:rsidP="00034A31">
            <w:pPr>
              <w:keepNext/>
              <w:jc w:val="center"/>
              <w:rPr>
                <w:rFonts w:ascii="Arial Narrow" w:eastAsiaTheme="majorEastAsia" w:hAnsi="Arial Narrow" w:cstheme="majorBidi"/>
                <w:bCs/>
                <w:sz w:val="20"/>
              </w:rPr>
            </w:pPr>
          </w:p>
        </w:tc>
        <w:tc>
          <w:tcPr>
            <w:tcW w:w="721" w:type="pct"/>
            <w:vMerge/>
            <w:tcMar>
              <w:left w:w="11" w:type="dxa"/>
              <w:right w:w="11" w:type="dxa"/>
            </w:tcMar>
            <w:vAlign w:val="center"/>
          </w:tcPr>
          <w:p w14:paraId="4B7AF3C9" w14:textId="77777777" w:rsidR="00034A31" w:rsidRPr="00F91CC3" w:rsidRDefault="00034A31" w:rsidP="00034A31">
            <w:pPr>
              <w:keepNext/>
              <w:jc w:val="center"/>
              <w:rPr>
                <w:rFonts w:ascii="Arial Narrow" w:eastAsiaTheme="majorEastAsia" w:hAnsi="Arial Narrow" w:cstheme="majorBidi"/>
                <w:b/>
                <w:sz w:val="20"/>
              </w:rPr>
            </w:pPr>
          </w:p>
        </w:tc>
        <w:tc>
          <w:tcPr>
            <w:tcW w:w="394" w:type="pct"/>
            <w:vMerge/>
            <w:tcMar>
              <w:left w:w="11" w:type="dxa"/>
              <w:right w:w="11" w:type="dxa"/>
            </w:tcMar>
            <w:vAlign w:val="center"/>
          </w:tcPr>
          <w:p w14:paraId="46E7421B" w14:textId="77777777" w:rsidR="00034A31" w:rsidRPr="00F91CC3" w:rsidRDefault="00034A31" w:rsidP="00034A31">
            <w:pPr>
              <w:keepNext/>
              <w:jc w:val="center"/>
              <w:rPr>
                <w:rFonts w:ascii="Arial Narrow" w:eastAsiaTheme="majorEastAsia" w:hAnsi="Arial Narrow" w:cstheme="majorBidi"/>
                <w:bCs/>
                <w:sz w:val="20"/>
              </w:rPr>
            </w:pPr>
          </w:p>
        </w:tc>
      </w:tr>
      <w:tr w:rsidR="00034A31" w:rsidRPr="00F91CC3" w14:paraId="7D739224" w14:textId="77777777" w:rsidTr="002A2AB2">
        <w:tc>
          <w:tcPr>
            <w:tcW w:w="714" w:type="pct"/>
            <w:tcMar>
              <w:left w:w="11" w:type="dxa"/>
              <w:right w:w="11" w:type="dxa"/>
            </w:tcMar>
            <w:vAlign w:val="center"/>
          </w:tcPr>
          <w:p w14:paraId="18EF8555" w14:textId="77777777" w:rsidR="00034A31" w:rsidRPr="00F91CC3" w:rsidRDefault="00034A31" w:rsidP="00034A31">
            <w:pPr>
              <w:keepNext/>
              <w:jc w:val="left"/>
              <w:rPr>
                <w:rFonts w:ascii="Arial Narrow" w:eastAsiaTheme="majorEastAsia" w:hAnsi="Arial Narrow" w:cstheme="majorBidi"/>
                <w:b/>
                <w:bCs/>
                <w:sz w:val="20"/>
              </w:rPr>
            </w:pPr>
          </w:p>
        </w:tc>
        <w:tc>
          <w:tcPr>
            <w:tcW w:w="1588" w:type="pct"/>
            <w:gridSpan w:val="3"/>
            <w:tcMar>
              <w:left w:w="11" w:type="dxa"/>
              <w:right w:w="11" w:type="dxa"/>
            </w:tcMar>
            <w:vAlign w:val="center"/>
          </w:tcPr>
          <w:p w14:paraId="37DAC0FB" w14:textId="77777777" w:rsidR="00034A31" w:rsidRPr="00F91CC3" w:rsidRDefault="00034A31" w:rsidP="00034A31">
            <w:pPr>
              <w:keepNext/>
              <w:jc w:val="center"/>
              <w:rPr>
                <w:rFonts w:ascii="Arial Narrow" w:eastAsiaTheme="majorEastAsia" w:hAnsi="Arial Narrow" w:cstheme="majorBidi"/>
                <w:b/>
                <w:bCs/>
                <w:sz w:val="20"/>
              </w:rPr>
            </w:pPr>
            <w:r w:rsidRPr="00F91CC3">
              <w:rPr>
                <w:rFonts w:ascii="Arial Narrow" w:eastAsiaTheme="majorEastAsia" w:hAnsi="Arial Narrow" w:cstheme="majorBidi"/>
                <w:b/>
                <w:bCs/>
                <w:sz w:val="20"/>
              </w:rPr>
              <w:t>Ivacaftor</w:t>
            </w:r>
          </w:p>
        </w:tc>
        <w:tc>
          <w:tcPr>
            <w:tcW w:w="1583" w:type="pct"/>
            <w:gridSpan w:val="3"/>
            <w:tcMar>
              <w:left w:w="11" w:type="dxa"/>
              <w:right w:w="11" w:type="dxa"/>
            </w:tcMar>
            <w:vAlign w:val="center"/>
          </w:tcPr>
          <w:p w14:paraId="5E2A3260" w14:textId="77777777" w:rsidR="00034A31" w:rsidRPr="00F91CC3" w:rsidRDefault="00034A31" w:rsidP="00034A31">
            <w:pPr>
              <w:keepNext/>
              <w:jc w:val="center"/>
              <w:rPr>
                <w:rFonts w:ascii="Arial Narrow" w:eastAsiaTheme="majorEastAsia" w:hAnsi="Arial Narrow" w:cstheme="majorBidi"/>
                <w:b/>
                <w:bCs/>
                <w:sz w:val="20"/>
              </w:rPr>
            </w:pPr>
            <w:r w:rsidRPr="00F91CC3">
              <w:rPr>
                <w:rFonts w:ascii="Arial Narrow" w:eastAsiaTheme="majorEastAsia" w:hAnsi="Arial Narrow" w:cstheme="majorBidi"/>
                <w:b/>
                <w:bCs/>
                <w:sz w:val="20"/>
              </w:rPr>
              <w:t xml:space="preserve">Placebo </w:t>
            </w:r>
          </w:p>
        </w:tc>
        <w:tc>
          <w:tcPr>
            <w:tcW w:w="721" w:type="pct"/>
            <w:tcMar>
              <w:left w:w="11" w:type="dxa"/>
              <w:right w:w="11" w:type="dxa"/>
            </w:tcMar>
            <w:vAlign w:val="center"/>
          </w:tcPr>
          <w:p w14:paraId="13DB7ADF" w14:textId="77777777" w:rsidR="00034A31" w:rsidRPr="00F91CC3" w:rsidRDefault="00034A31" w:rsidP="00034A31">
            <w:pPr>
              <w:keepNext/>
              <w:jc w:val="center"/>
              <w:rPr>
                <w:rFonts w:ascii="Arial Narrow" w:eastAsiaTheme="majorEastAsia" w:hAnsi="Arial Narrow" w:cstheme="majorBidi"/>
                <w:b/>
                <w:sz w:val="20"/>
              </w:rPr>
            </w:pPr>
          </w:p>
        </w:tc>
        <w:tc>
          <w:tcPr>
            <w:tcW w:w="394" w:type="pct"/>
            <w:tcMar>
              <w:left w:w="11" w:type="dxa"/>
              <w:right w:w="11" w:type="dxa"/>
            </w:tcMar>
            <w:vAlign w:val="center"/>
          </w:tcPr>
          <w:p w14:paraId="6605895D" w14:textId="77777777" w:rsidR="00034A31" w:rsidRPr="00F91CC3" w:rsidRDefault="00034A31" w:rsidP="00034A31">
            <w:pPr>
              <w:keepNext/>
              <w:jc w:val="center"/>
              <w:rPr>
                <w:rFonts w:ascii="Arial Narrow" w:eastAsiaTheme="majorEastAsia" w:hAnsi="Arial Narrow" w:cstheme="majorBidi"/>
                <w:b/>
                <w:bCs/>
                <w:sz w:val="20"/>
              </w:rPr>
            </w:pPr>
          </w:p>
        </w:tc>
      </w:tr>
      <w:tr w:rsidR="00034A31" w:rsidRPr="00F91CC3" w14:paraId="5B34E78C" w14:textId="77777777" w:rsidTr="002A2AB2">
        <w:tc>
          <w:tcPr>
            <w:tcW w:w="714" w:type="pct"/>
            <w:tcMar>
              <w:left w:w="11" w:type="dxa"/>
              <w:right w:w="11" w:type="dxa"/>
            </w:tcMar>
            <w:vAlign w:val="center"/>
          </w:tcPr>
          <w:p w14:paraId="55BA7BB8"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Study 110, w24</w:t>
            </w:r>
          </w:p>
        </w:tc>
        <w:tc>
          <w:tcPr>
            <w:tcW w:w="399" w:type="pct"/>
            <w:tcMar>
              <w:left w:w="11" w:type="dxa"/>
              <w:right w:w="11" w:type="dxa"/>
            </w:tcMar>
            <w:vAlign w:val="center"/>
          </w:tcPr>
          <w:p w14:paraId="6E29196F" w14:textId="77777777" w:rsidR="00034A31" w:rsidRPr="00F91CC3" w:rsidRDefault="00034A31" w:rsidP="00034A31">
            <w:pPr>
              <w:keepNext/>
              <w:jc w:val="center"/>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33</w:t>
            </w:r>
          </w:p>
        </w:tc>
        <w:tc>
          <w:tcPr>
            <w:tcW w:w="633" w:type="pct"/>
            <w:tcMar>
              <w:left w:w="11" w:type="dxa"/>
              <w:right w:w="11" w:type="dxa"/>
            </w:tcMar>
            <w:vAlign w:val="center"/>
          </w:tcPr>
          <w:p w14:paraId="39C19E20" w14:textId="77777777" w:rsidR="00034A31" w:rsidRPr="00F91CC3" w:rsidRDefault="00034A31" w:rsidP="00034A31">
            <w:pPr>
              <w:keepNext/>
              <w:jc w:val="center"/>
              <w:rPr>
                <w:rFonts w:ascii="Arial Narrow" w:eastAsiaTheme="majorEastAsia" w:hAnsi="Arial Narrow" w:cstheme="majorBidi"/>
                <w:bCs/>
                <w:sz w:val="20"/>
                <w:szCs w:val="20"/>
                <w:vertAlign w:val="superscript"/>
              </w:rPr>
            </w:pPr>
            <w:r w:rsidRPr="00F91CC3">
              <w:rPr>
                <w:rFonts w:ascii="Arial Narrow" w:eastAsiaTheme="majorEastAsia" w:hAnsi="Arial Narrow" w:cstheme="majorBidi"/>
                <w:bCs/>
                <w:sz w:val="20"/>
                <w:szCs w:val="20"/>
              </w:rPr>
              <w:t>75.27</w:t>
            </w:r>
            <w:r w:rsidRPr="00F91CC3">
              <w:rPr>
                <w:rFonts w:ascii="Arial Narrow" w:eastAsiaTheme="majorEastAsia" w:hAnsi="Arial Narrow" w:cstheme="majorBidi"/>
                <w:bCs/>
                <w:sz w:val="20"/>
                <w:szCs w:val="20"/>
                <w:vertAlign w:val="superscript"/>
              </w:rPr>
              <w:t>a</w:t>
            </w:r>
          </w:p>
        </w:tc>
        <w:tc>
          <w:tcPr>
            <w:tcW w:w="556" w:type="pct"/>
            <w:tcMar>
              <w:left w:w="11" w:type="dxa"/>
              <w:right w:w="11" w:type="dxa"/>
            </w:tcMar>
            <w:vAlign w:val="center"/>
          </w:tcPr>
          <w:p w14:paraId="53DC138E" w14:textId="77777777" w:rsidR="00034A31" w:rsidRPr="00F91CC3" w:rsidRDefault="00034A31" w:rsidP="00034A31">
            <w:pPr>
              <w:keepNext/>
              <w:jc w:val="center"/>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7.56</w:t>
            </w:r>
            <w:r w:rsidRPr="00F91CC3">
              <w:rPr>
                <w:rFonts w:ascii="Arial Narrow" w:eastAsiaTheme="majorEastAsia" w:hAnsi="Arial Narrow" w:cstheme="majorBidi"/>
                <w:bCs/>
                <w:sz w:val="20"/>
                <w:szCs w:val="20"/>
                <w:vertAlign w:val="superscript"/>
              </w:rPr>
              <w:t>ab</w:t>
            </w:r>
          </w:p>
        </w:tc>
        <w:tc>
          <w:tcPr>
            <w:tcW w:w="395" w:type="pct"/>
            <w:tcMar>
              <w:left w:w="11" w:type="dxa"/>
              <w:right w:w="11" w:type="dxa"/>
            </w:tcMar>
            <w:vAlign w:val="center"/>
          </w:tcPr>
          <w:p w14:paraId="3CE717F0" w14:textId="77777777" w:rsidR="00034A31" w:rsidRPr="00F91CC3" w:rsidRDefault="00034A31" w:rsidP="00034A31">
            <w:pPr>
              <w:keepNext/>
              <w:jc w:val="center"/>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34</w:t>
            </w:r>
          </w:p>
        </w:tc>
        <w:tc>
          <w:tcPr>
            <w:tcW w:w="633" w:type="pct"/>
            <w:tcMar>
              <w:left w:w="11" w:type="dxa"/>
              <w:right w:w="11" w:type="dxa"/>
            </w:tcMar>
            <w:vAlign w:val="center"/>
          </w:tcPr>
          <w:p w14:paraId="088E1481" w14:textId="77777777" w:rsidR="00034A31" w:rsidRPr="00F91CC3" w:rsidRDefault="00034A31" w:rsidP="00034A31">
            <w:pPr>
              <w:keepNext/>
              <w:jc w:val="center"/>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66.42</w:t>
            </w:r>
            <w:r w:rsidRPr="00F91CC3">
              <w:rPr>
                <w:rFonts w:ascii="Arial Narrow" w:eastAsiaTheme="majorEastAsia" w:hAnsi="Arial Narrow" w:cstheme="majorBidi"/>
                <w:bCs/>
                <w:sz w:val="20"/>
                <w:szCs w:val="20"/>
                <w:vertAlign w:val="superscript"/>
              </w:rPr>
              <w:t>a</w:t>
            </w:r>
          </w:p>
        </w:tc>
        <w:tc>
          <w:tcPr>
            <w:tcW w:w="555" w:type="pct"/>
            <w:tcMar>
              <w:left w:w="11" w:type="dxa"/>
              <w:right w:w="11" w:type="dxa"/>
            </w:tcMar>
            <w:vAlign w:val="center"/>
          </w:tcPr>
          <w:p w14:paraId="4DB542D3" w14:textId="77777777" w:rsidR="00034A31" w:rsidRPr="00F91CC3" w:rsidRDefault="00034A31" w:rsidP="00034A31">
            <w:pPr>
              <w:keepNext/>
              <w:jc w:val="center"/>
              <w:rPr>
                <w:rFonts w:ascii="Arial Narrow" w:eastAsiaTheme="majorEastAsia" w:hAnsi="Arial Narrow" w:cstheme="majorBidi"/>
                <w:b/>
                <w:bCs/>
                <w:sz w:val="20"/>
                <w:szCs w:val="20"/>
              </w:rPr>
            </w:pPr>
            <w:r w:rsidRPr="00F91CC3">
              <w:rPr>
                <w:rFonts w:ascii="Arial Narrow" w:eastAsiaTheme="majorEastAsia" w:hAnsi="Arial Narrow" w:cstheme="majorBidi"/>
                <w:bCs/>
                <w:sz w:val="20"/>
                <w:szCs w:val="20"/>
              </w:rPr>
              <w:t>-0.83</w:t>
            </w:r>
            <w:r w:rsidRPr="00F91CC3">
              <w:rPr>
                <w:rFonts w:ascii="Arial Narrow" w:eastAsiaTheme="majorEastAsia" w:hAnsi="Arial Narrow" w:cstheme="majorBidi"/>
                <w:bCs/>
                <w:sz w:val="20"/>
                <w:szCs w:val="20"/>
                <w:vertAlign w:val="superscript"/>
              </w:rPr>
              <w:t>ab</w:t>
            </w:r>
          </w:p>
        </w:tc>
        <w:tc>
          <w:tcPr>
            <w:tcW w:w="721" w:type="pct"/>
            <w:tcMar>
              <w:left w:w="11" w:type="dxa"/>
              <w:right w:w="11" w:type="dxa"/>
            </w:tcMar>
            <w:vAlign w:val="center"/>
          </w:tcPr>
          <w:p w14:paraId="3DD167B4" w14:textId="77777777" w:rsidR="00034A31" w:rsidRPr="00F91CC3" w:rsidRDefault="00034A31" w:rsidP="00034A31">
            <w:pPr>
              <w:keepNext/>
              <w:jc w:val="center"/>
              <w:rPr>
                <w:rFonts w:ascii="Arial Narrow" w:eastAsiaTheme="majorEastAsia" w:hAnsi="Arial Narrow" w:cstheme="majorBidi"/>
                <w:b/>
                <w:bCs/>
                <w:sz w:val="20"/>
                <w:szCs w:val="20"/>
              </w:rPr>
            </w:pPr>
            <w:r w:rsidRPr="00F91CC3">
              <w:rPr>
                <w:rFonts w:ascii="Arial Narrow" w:eastAsiaTheme="majorEastAsia" w:hAnsi="Arial Narrow" w:cstheme="majorBidi"/>
                <w:bCs/>
                <w:sz w:val="20"/>
                <w:szCs w:val="20"/>
              </w:rPr>
              <w:t>8.39</w:t>
            </w:r>
            <w:r w:rsidRPr="00F91CC3">
              <w:rPr>
                <w:rFonts w:ascii="Arial Narrow" w:eastAsiaTheme="majorEastAsia" w:hAnsi="Arial Narrow" w:cstheme="majorBidi"/>
                <w:bCs/>
                <w:sz w:val="20"/>
                <w:szCs w:val="20"/>
                <w:vertAlign w:val="superscript"/>
              </w:rPr>
              <w:t>b</w:t>
            </w:r>
            <w:r w:rsidRPr="00F91CC3">
              <w:rPr>
                <w:rFonts w:ascii="Arial Narrow" w:eastAsiaTheme="majorEastAsia" w:hAnsi="Arial Narrow" w:cstheme="majorBidi"/>
                <w:bCs/>
                <w:sz w:val="20"/>
                <w:szCs w:val="20"/>
              </w:rPr>
              <w:br/>
              <w:t>(2.17,14.61)</w:t>
            </w:r>
          </w:p>
        </w:tc>
        <w:tc>
          <w:tcPr>
            <w:tcW w:w="394" w:type="pct"/>
            <w:tcMar>
              <w:left w:w="11" w:type="dxa"/>
              <w:right w:w="11" w:type="dxa"/>
            </w:tcMar>
            <w:vAlign w:val="center"/>
          </w:tcPr>
          <w:p w14:paraId="25843012" w14:textId="77777777" w:rsidR="00034A31" w:rsidRPr="00F91CC3" w:rsidRDefault="00034A31" w:rsidP="00034A31">
            <w:pPr>
              <w:keepNext/>
              <w:jc w:val="center"/>
              <w:rPr>
                <w:rFonts w:ascii="Arial Narrow" w:eastAsiaTheme="majorEastAsia" w:hAnsi="Arial Narrow" w:cstheme="majorBidi"/>
                <w:b/>
                <w:bCs/>
                <w:sz w:val="20"/>
                <w:szCs w:val="20"/>
              </w:rPr>
            </w:pPr>
            <w:r w:rsidRPr="00F91CC3">
              <w:rPr>
                <w:rFonts w:ascii="Arial Narrow" w:eastAsiaTheme="majorEastAsia" w:hAnsi="Arial Narrow" w:cstheme="majorBidi"/>
                <w:b/>
                <w:bCs/>
                <w:sz w:val="20"/>
                <w:szCs w:val="20"/>
              </w:rPr>
              <w:t>0.0091</w:t>
            </w:r>
          </w:p>
        </w:tc>
      </w:tr>
      <w:tr w:rsidR="00034A31" w:rsidRPr="00F91CC3" w14:paraId="05AEBC6B" w14:textId="77777777" w:rsidTr="002A2AB2">
        <w:tc>
          <w:tcPr>
            <w:tcW w:w="714" w:type="pct"/>
            <w:tcMar>
              <w:left w:w="11" w:type="dxa"/>
              <w:right w:w="11" w:type="dxa"/>
            </w:tcMar>
            <w:vAlign w:val="center"/>
          </w:tcPr>
          <w:p w14:paraId="17A3CADE"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Study 112, w104</w:t>
            </w:r>
          </w:p>
        </w:tc>
        <w:tc>
          <w:tcPr>
            <w:tcW w:w="399" w:type="pct"/>
            <w:tcMar>
              <w:left w:w="11" w:type="dxa"/>
              <w:right w:w="11" w:type="dxa"/>
            </w:tcMar>
            <w:vAlign w:val="center"/>
          </w:tcPr>
          <w:p w14:paraId="01AA546F" w14:textId="77777777" w:rsidR="00034A31" w:rsidRPr="00F91CC3" w:rsidRDefault="00034A31" w:rsidP="00034A31">
            <w:pPr>
              <w:keepNext/>
              <w:jc w:val="center"/>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65</w:t>
            </w:r>
          </w:p>
        </w:tc>
        <w:tc>
          <w:tcPr>
            <w:tcW w:w="633" w:type="pct"/>
            <w:tcMar>
              <w:left w:w="11" w:type="dxa"/>
              <w:right w:w="11" w:type="dxa"/>
            </w:tcMar>
            <w:vAlign w:val="center"/>
          </w:tcPr>
          <w:p w14:paraId="7E75D91F" w14:textId="77777777" w:rsidR="00034A31" w:rsidRPr="00F91CC3" w:rsidRDefault="00034A31" w:rsidP="00034A31">
            <w:pPr>
              <w:keepNext/>
              <w:jc w:val="center"/>
              <w:rPr>
                <w:rFonts w:ascii="Arial Narrow" w:eastAsiaTheme="majorEastAsia" w:hAnsi="Arial Narrow" w:cstheme="majorBidi"/>
                <w:bCs/>
                <w:sz w:val="20"/>
                <w:szCs w:val="20"/>
              </w:rPr>
            </w:pPr>
            <w:r w:rsidRPr="00F91CC3">
              <w:rPr>
                <w:rFonts w:ascii="Arial Narrow" w:eastAsiaTheme="majorEastAsia" w:hAnsi="Arial Narrow" w:cs="Times New Roman"/>
                <w:bCs/>
                <w:sz w:val="20"/>
                <w:szCs w:val="20"/>
              </w:rPr>
              <w:t>68.6</w:t>
            </w:r>
            <w:r w:rsidRPr="00F91CC3">
              <w:rPr>
                <w:rFonts w:ascii="Arial Narrow" w:eastAsiaTheme="majorEastAsia" w:hAnsi="Arial Narrow" w:cstheme="majorBidi"/>
                <w:bCs/>
                <w:sz w:val="20"/>
                <w:szCs w:val="20"/>
              </w:rPr>
              <w:t xml:space="preserve"> (21.6)</w:t>
            </w:r>
          </w:p>
        </w:tc>
        <w:tc>
          <w:tcPr>
            <w:tcW w:w="556" w:type="pct"/>
            <w:tcMar>
              <w:left w:w="11" w:type="dxa"/>
              <w:right w:w="11" w:type="dxa"/>
            </w:tcMar>
            <w:vAlign w:val="center"/>
          </w:tcPr>
          <w:p w14:paraId="0A178050" w14:textId="77777777" w:rsidR="00034A31" w:rsidRPr="00F91CC3" w:rsidRDefault="00034A31" w:rsidP="00034A31">
            <w:pPr>
              <w:keepNext/>
              <w:jc w:val="center"/>
              <w:rPr>
                <w:rFonts w:ascii="Arial Narrow" w:eastAsiaTheme="majorEastAsia" w:hAnsi="Arial Narrow" w:cstheme="majorBidi"/>
                <w:bCs/>
                <w:sz w:val="20"/>
                <w:szCs w:val="20"/>
              </w:rPr>
            </w:pPr>
            <w:r w:rsidRPr="00F91CC3">
              <w:rPr>
                <w:rFonts w:ascii="Arial Narrow" w:eastAsiaTheme="majorEastAsia" w:hAnsi="Arial Narrow" w:cs="Times New Roman"/>
                <w:bCs/>
                <w:sz w:val="20"/>
                <w:szCs w:val="20"/>
              </w:rPr>
              <w:t>8.3 (18.0)</w:t>
            </w:r>
            <w:r w:rsidRPr="00F91CC3">
              <w:rPr>
                <w:rFonts w:ascii="Arial Narrow" w:eastAsiaTheme="majorEastAsia" w:hAnsi="Arial Narrow" w:cstheme="majorBidi"/>
                <w:bCs/>
                <w:sz w:val="20"/>
                <w:szCs w:val="20"/>
                <w:vertAlign w:val="superscript"/>
              </w:rPr>
              <w:t>b</w:t>
            </w:r>
          </w:p>
        </w:tc>
        <w:tc>
          <w:tcPr>
            <w:tcW w:w="395" w:type="pct"/>
            <w:tcMar>
              <w:left w:w="11" w:type="dxa"/>
              <w:right w:w="11" w:type="dxa"/>
            </w:tcMar>
            <w:vAlign w:val="center"/>
          </w:tcPr>
          <w:p w14:paraId="42A23A6E" w14:textId="77777777" w:rsidR="00034A31" w:rsidRPr="00F91CC3" w:rsidRDefault="00034A31" w:rsidP="00034A31">
            <w:pPr>
              <w:keepNext/>
              <w:jc w:val="center"/>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NR</w:t>
            </w:r>
          </w:p>
        </w:tc>
        <w:tc>
          <w:tcPr>
            <w:tcW w:w="633" w:type="pct"/>
            <w:tcMar>
              <w:left w:w="11" w:type="dxa"/>
              <w:right w:w="11" w:type="dxa"/>
            </w:tcMar>
            <w:vAlign w:val="center"/>
          </w:tcPr>
          <w:p w14:paraId="64A85EBB" w14:textId="77777777" w:rsidR="00034A31" w:rsidRPr="00F91CC3" w:rsidRDefault="00034A31" w:rsidP="00034A31">
            <w:pPr>
              <w:keepNext/>
              <w:jc w:val="center"/>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NR</w:t>
            </w:r>
          </w:p>
        </w:tc>
        <w:tc>
          <w:tcPr>
            <w:tcW w:w="555" w:type="pct"/>
            <w:tcMar>
              <w:left w:w="11" w:type="dxa"/>
              <w:right w:w="11" w:type="dxa"/>
            </w:tcMar>
            <w:vAlign w:val="center"/>
          </w:tcPr>
          <w:p w14:paraId="2A4724CB" w14:textId="77777777" w:rsidR="00034A31" w:rsidRPr="00F91CC3" w:rsidRDefault="00034A31" w:rsidP="00034A31">
            <w:pPr>
              <w:keepNext/>
              <w:jc w:val="center"/>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NR</w:t>
            </w:r>
          </w:p>
        </w:tc>
        <w:tc>
          <w:tcPr>
            <w:tcW w:w="721" w:type="pct"/>
            <w:tcMar>
              <w:left w:w="11" w:type="dxa"/>
              <w:right w:w="11" w:type="dxa"/>
            </w:tcMar>
            <w:vAlign w:val="center"/>
          </w:tcPr>
          <w:p w14:paraId="065B5911" w14:textId="77777777" w:rsidR="00034A31" w:rsidRPr="00F91CC3" w:rsidRDefault="00034A31" w:rsidP="00034A31">
            <w:pPr>
              <w:keepNext/>
              <w:jc w:val="center"/>
              <w:rPr>
                <w:rFonts w:ascii="Arial Narrow" w:eastAsiaTheme="majorEastAsia" w:hAnsi="Arial Narrow" w:cstheme="majorBidi"/>
                <w:b/>
                <w:bCs/>
                <w:sz w:val="20"/>
                <w:szCs w:val="20"/>
              </w:rPr>
            </w:pPr>
            <w:r w:rsidRPr="00F91CC3">
              <w:rPr>
                <w:rFonts w:ascii="Arial Narrow" w:eastAsiaTheme="majorEastAsia" w:hAnsi="Arial Narrow" w:cstheme="majorBidi"/>
                <w:bCs/>
                <w:sz w:val="20"/>
                <w:szCs w:val="20"/>
              </w:rPr>
              <w:t>NR</w:t>
            </w:r>
          </w:p>
        </w:tc>
        <w:tc>
          <w:tcPr>
            <w:tcW w:w="394" w:type="pct"/>
            <w:tcMar>
              <w:left w:w="11" w:type="dxa"/>
              <w:right w:w="11" w:type="dxa"/>
            </w:tcMar>
            <w:vAlign w:val="center"/>
          </w:tcPr>
          <w:p w14:paraId="79748211" w14:textId="77777777" w:rsidR="00034A31" w:rsidRPr="00F91CC3" w:rsidRDefault="00034A31" w:rsidP="00034A31">
            <w:pPr>
              <w:keepNext/>
              <w:jc w:val="center"/>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NR</w:t>
            </w:r>
          </w:p>
        </w:tc>
      </w:tr>
      <w:tr w:rsidR="00034A31" w:rsidRPr="00F91CC3" w14:paraId="1D5AB6C9" w14:textId="77777777" w:rsidTr="002A2AB2">
        <w:trPr>
          <w:trHeight w:val="229"/>
        </w:trPr>
        <w:tc>
          <w:tcPr>
            <w:tcW w:w="714" w:type="pct"/>
            <w:tcMar>
              <w:left w:w="11" w:type="dxa"/>
              <w:right w:w="11" w:type="dxa"/>
            </w:tcMar>
          </w:tcPr>
          <w:p w14:paraId="1B7EFA43"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Study 127, w8</w:t>
            </w:r>
          </w:p>
        </w:tc>
        <w:tc>
          <w:tcPr>
            <w:tcW w:w="399" w:type="pct"/>
            <w:tcMar>
              <w:left w:w="11" w:type="dxa"/>
              <w:right w:w="11" w:type="dxa"/>
            </w:tcMar>
            <w:vAlign w:val="center"/>
          </w:tcPr>
          <w:p w14:paraId="7153A850" w14:textId="77777777" w:rsidR="00034A31" w:rsidRPr="00F91CC3" w:rsidRDefault="00034A31" w:rsidP="00034A31">
            <w:pPr>
              <w:keepNext/>
              <w:jc w:val="center"/>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38</w:t>
            </w:r>
          </w:p>
        </w:tc>
        <w:tc>
          <w:tcPr>
            <w:tcW w:w="633" w:type="pct"/>
            <w:tcMar>
              <w:left w:w="11" w:type="dxa"/>
              <w:right w:w="11" w:type="dxa"/>
            </w:tcMar>
            <w:vAlign w:val="center"/>
          </w:tcPr>
          <w:p w14:paraId="316D0C4F" w14:textId="77777777" w:rsidR="00034A31" w:rsidRPr="00F91CC3" w:rsidRDefault="00034A31" w:rsidP="00034A31">
            <w:pPr>
              <w:keepNext/>
              <w:jc w:val="center"/>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62.3 (20.3)</w:t>
            </w:r>
          </w:p>
        </w:tc>
        <w:tc>
          <w:tcPr>
            <w:tcW w:w="556" w:type="pct"/>
            <w:tcMar>
              <w:left w:w="11" w:type="dxa"/>
              <w:right w:w="11" w:type="dxa"/>
            </w:tcMar>
            <w:vAlign w:val="center"/>
          </w:tcPr>
          <w:p w14:paraId="3F7E074B" w14:textId="77777777" w:rsidR="00034A31" w:rsidRPr="00F91CC3" w:rsidRDefault="00034A31" w:rsidP="00034A31">
            <w:pPr>
              <w:autoSpaceDE w:val="0"/>
              <w:autoSpaceDN w:val="0"/>
              <w:adjustRightInd w:val="0"/>
              <w:jc w:val="center"/>
              <w:rPr>
                <w:rFonts w:ascii="Arial Narrow" w:hAnsi="Arial Narrow" w:cs="Calibri"/>
                <w:color w:val="000000"/>
                <w:sz w:val="20"/>
                <w:szCs w:val="20"/>
              </w:rPr>
            </w:pPr>
            <w:r w:rsidRPr="00F91CC3">
              <w:rPr>
                <w:rFonts w:ascii="Arial Narrow" w:hAnsi="Arial Narrow" w:cs="Calibri"/>
                <w:color w:val="000000"/>
                <w:sz w:val="20"/>
                <w:szCs w:val="20"/>
              </w:rPr>
              <w:t>17.1</w:t>
            </w:r>
            <w:r w:rsidRPr="00F91CC3">
              <w:rPr>
                <w:rFonts w:ascii="Arial Narrow" w:hAnsi="Arial Narrow" w:cs="Calibri"/>
                <w:color w:val="000000"/>
                <w:sz w:val="20"/>
                <w:szCs w:val="20"/>
                <w:vertAlign w:val="superscript"/>
              </w:rPr>
              <w:t>b</w:t>
            </w:r>
            <w:r w:rsidRPr="00F91CC3">
              <w:rPr>
                <w:rFonts w:ascii="Arial Narrow" w:hAnsi="Arial Narrow" w:cs="Calibri"/>
                <w:color w:val="000000"/>
                <w:sz w:val="20"/>
                <w:szCs w:val="20"/>
              </w:rPr>
              <w:t xml:space="preserve"> (2.4)</w:t>
            </w:r>
          </w:p>
        </w:tc>
        <w:tc>
          <w:tcPr>
            <w:tcW w:w="395" w:type="pct"/>
            <w:tcMar>
              <w:left w:w="11" w:type="dxa"/>
              <w:right w:w="11" w:type="dxa"/>
            </w:tcMar>
            <w:vAlign w:val="center"/>
          </w:tcPr>
          <w:p w14:paraId="60EAA4DB" w14:textId="77777777" w:rsidR="00034A31" w:rsidRPr="00F91CC3" w:rsidRDefault="00034A31" w:rsidP="00034A31">
            <w:pPr>
              <w:keepNext/>
              <w:jc w:val="center"/>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38</w:t>
            </w:r>
          </w:p>
        </w:tc>
        <w:tc>
          <w:tcPr>
            <w:tcW w:w="633" w:type="pct"/>
            <w:tcMar>
              <w:left w:w="11" w:type="dxa"/>
              <w:right w:w="11" w:type="dxa"/>
            </w:tcMar>
            <w:vAlign w:val="center"/>
          </w:tcPr>
          <w:p w14:paraId="24C352E2" w14:textId="77777777" w:rsidR="00034A31" w:rsidRPr="00F91CC3" w:rsidRDefault="00034A31" w:rsidP="00034A31">
            <w:pPr>
              <w:keepNext/>
              <w:jc w:val="center"/>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62.3 (20.3)</w:t>
            </w:r>
          </w:p>
        </w:tc>
        <w:tc>
          <w:tcPr>
            <w:tcW w:w="555" w:type="pct"/>
            <w:tcMar>
              <w:left w:w="11" w:type="dxa"/>
              <w:right w:w="11" w:type="dxa"/>
            </w:tcMar>
            <w:vAlign w:val="center"/>
          </w:tcPr>
          <w:p w14:paraId="744F5C19" w14:textId="77777777" w:rsidR="00034A31" w:rsidRPr="00F91CC3" w:rsidRDefault="00034A31" w:rsidP="00034A31">
            <w:pPr>
              <w:keepNext/>
              <w:jc w:val="center"/>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-1.7</w:t>
            </w:r>
            <w:r w:rsidRPr="00F91CC3">
              <w:rPr>
                <w:rFonts w:ascii="Arial Narrow" w:eastAsiaTheme="majorEastAsia" w:hAnsi="Arial Narrow" w:cstheme="majorBidi"/>
                <w:bCs/>
                <w:sz w:val="20"/>
                <w:szCs w:val="20"/>
                <w:vertAlign w:val="superscript"/>
              </w:rPr>
              <w:t>b</w:t>
            </w:r>
            <w:r w:rsidRPr="00F91CC3">
              <w:rPr>
                <w:rFonts w:ascii="Arial Narrow" w:eastAsiaTheme="majorEastAsia" w:hAnsi="Arial Narrow" w:cstheme="majorBidi"/>
                <w:bCs/>
                <w:sz w:val="20"/>
                <w:szCs w:val="20"/>
              </w:rPr>
              <w:t xml:space="preserve"> (2.3)</w:t>
            </w:r>
          </w:p>
        </w:tc>
        <w:tc>
          <w:tcPr>
            <w:tcW w:w="721" w:type="pct"/>
            <w:tcMar>
              <w:left w:w="11" w:type="dxa"/>
              <w:right w:w="11" w:type="dxa"/>
            </w:tcMar>
            <w:vAlign w:val="center"/>
          </w:tcPr>
          <w:p w14:paraId="238D2D89" w14:textId="77777777" w:rsidR="00034A31" w:rsidRPr="00F91CC3" w:rsidRDefault="00034A31" w:rsidP="00034A31">
            <w:pPr>
              <w:keepNext/>
              <w:jc w:val="center"/>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18.7 (12.5, 25.0)</w:t>
            </w:r>
          </w:p>
        </w:tc>
        <w:tc>
          <w:tcPr>
            <w:tcW w:w="394" w:type="pct"/>
            <w:tcMar>
              <w:left w:w="11" w:type="dxa"/>
              <w:right w:w="11" w:type="dxa"/>
            </w:tcMar>
            <w:vAlign w:val="center"/>
          </w:tcPr>
          <w:p w14:paraId="7A189D62" w14:textId="77777777" w:rsidR="00034A31" w:rsidRPr="00F91CC3" w:rsidRDefault="00034A31" w:rsidP="00034A31">
            <w:pPr>
              <w:keepNext/>
              <w:jc w:val="center"/>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NR</w:t>
            </w:r>
          </w:p>
        </w:tc>
      </w:tr>
      <w:tr w:rsidR="00034A31" w:rsidRPr="00F91CC3" w14:paraId="53094875" w14:textId="77777777" w:rsidTr="002A2AB2">
        <w:tc>
          <w:tcPr>
            <w:tcW w:w="714" w:type="pct"/>
            <w:tcMar>
              <w:left w:w="11" w:type="dxa"/>
              <w:right w:w="11" w:type="dxa"/>
            </w:tcMar>
            <w:vAlign w:val="center"/>
          </w:tcPr>
          <w:p w14:paraId="3C22EC00"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Study 108, average of w4 and w8</w:t>
            </w:r>
          </w:p>
        </w:tc>
        <w:tc>
          <w:tcPr>
            <w:tcW w:w="399" w:type="pct"/>
            <w:tcMar>
              <w:left w:w="11" w:type="dxa"/>
              <w:right w:w="11" w:type="dxa"/>
            </w:tcMar>
            <w:vAlign w:val="center"/>
          </w:tcPr>
          <w:p w14:paraId="22C49192"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156</w:t>
            </w:r>
          </w:p>
        </w:tc>
        <w:tc>
          <w:tcPr>
            <w:tcW w:w="633" w:type="pct"/>
            <w:tcMar>
              <w:left w:w="11" w:type="dxa"/>
              <w:right w:w="11" w:type="dxa"/>
            </w:tcMar>
            <w:vAlign w:val="center"/>
          </w:tcPr>
          <w:p w14:paraId="6A115226"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67.9 (16.9)</w:t>
            </w:r>
          </w:p>
        </w:tc>
        <w:tc>
          <w:tcPr>
            <w:tcW w:w="556" w:type="pct"/>
            <w:tcMar>
              <w:left w:w="11" w:type="dxa"/>
              <w:right w:w="11" w:type="dxa"/>
            </w:tcMar>
            <w:vAlign w:val="center"/>
          </w:tcPr>
          <w:p w14:paraId="358959EA"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8.7 (1.0)</w:t>
            </w:r>
          </w:p>
        </w:tc>
        <w:tc>
          <w:tcPr>
            <w:tcW w:w="395" w:type="pct"/>
            <w:tcMar>
              <w:left w:w="11" w:type="dxa"/>
              <w:right w:w="11" w:type="dxa"/>
            </w:tcMar>
            <w:vAlign w:val="center"/>
          </w:tcPr>
          <w:p w14:paraId="714B453D"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161</w:t>
            </w:r>
          </w:p>
        </w:tc>
        <w:tc>
          <w:tcPr>
            <w:tcW w:w="633" w:type="pct"/>
            <w:tcMar>
              <w:left w:w="11" w:type="dxa"/>
              <w:right w:w="11" w:type="dxa"/>
            </w:tcMar>
            <w:vAlign w:val="center"/>
          </w:tcPr>
          <w:p w14:paraId="6FAC3031"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68.7 (18.3)</w:t>
            </w:r>
          </w:p>
        </w:tc>
        <w:tc>
          <w:tcPr>
            <w:tcW w:w="555" w:type="pct"/>
            <w:tcMar>
              <w:left w:w="11" w:type="dxa"/>
              <w:right w:w="11" w:type="dxa"/>
            </w:tcMar>
            <w:vAlign w:val="center"/>
          </w:tcPr>
          <w:p w14:paraId="3BC1AB88"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-1.0 (1.0)</w:t>
            </w:r>
          </w:p>
        </w:tc>
        <w:tc>
          <w:tcPr>
            <w:tcW w:w="721" w:type="pct"/>
            <w:tcMar>
              <w:left w:w="11" w:type="dxa"/>
              <w:right w:w="11" w:type="dxa"/>
            </w:tcMar>
            <w:vAlign w:val="center"/>
          </w:tcPr>
          <w:p w14:paraId="0FDE5142"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9.7 (7.2, 12.2)</w:t>
            </w:r>
          </w:p>
        </w:tc>
        <w:tc>
          <w:tcPr>
            <w:tcW w:w="394" w:type="pct"/>
            <w:tcMar>
              <w:left w:w="11" w:type="dxa"/>
              <w:right w:w="11" w:type="dxa"/>
            </w:tcMar>
            <w:vAlign w:val="center"/>
          </w:tcPr>
          <w:p w14:paraId="5EE00413" w14:textId="77777777" w:rsidR="00034A31" w:rsidRPr="00F91CC3" w:rsidRDefault="00034A31" w:rsidP="00034A31">
            <w:pPr>
              <w:keepNext/>
              <w:jc w:val="center"/>
              <w:rPr>
                <w:rFonts w:ascii="Arial Narrow" w:eastAsiaTheme="majorEastAsia" w:hAnsi="Arial Narrow" w:cstheme="majorBidi"/>
                <w:b/>
                <w:bCs/>
                <w:sz w:val="20"/>
              </w:rPr>
            </w:pPr>
            <w:r w:rsidRPr="00F91CC3">
              <w:rPr>
                <w:rFonts w:ascii="Arial Narrow" w:eastAsiaTheme="majorEastAsia" w:hAnsi="Arial Narrow" w:cstheme="majorBidi"/>
                <w:b/>
                <w:bCs/>
                <w:sz w:val="20"/>
              </w:rPr>
              <w:t>&lt;0.0001</w:t>
            </w:r>
          </w:p>
        </w:tc>
      </w:tr>
    </w:tbl>
    <w:p w14:paraId="3F2660DA" w14:textId="0DBC340C" w:rsidR="00034A31" w:rsidRPr="00F91CC3" w:rsidRDefault="00034A31" w:rsidP="00034A31">
      <w:pPr>
        <w:contextualSpacing/>
        <w:rPr>
          <w:rFonts w:ascii="Arial Narrow" w:hAnsi="Arial Narrow"/>
          <w:snapToGrid w:val="0"/>
          <w:sz w:val="18"/>
          <w:szCs w:val="22"/>
        </w:rPr>
      </w:pPr>
      <w:r w:rsidRPr="00F91CC3">
        <w:rPr>
          <w:rFonts w:ascii="Arial Narrow" w:hAnsi="Arial Narrow"/>
          <w:snapToGrid w:val="0"/>
          <w:sz w:val="18"/>
          <w:szCs w:val="22"/>
        </w:rPr>
        <w:t>Source: Study 110: Table 2.4.8 p92, Table 11-12 p141; Study 112: Table 14.2.3.1 pp1229-1240 Attachment 8; Study 127: Table 11-6 p59 Attachment 16; Study 108: Table 2.7.39 p171; of the submission.</w:t>
      </w:r>
    </w:p>
    <w:p w14:paraId="3E5E688E" w14:textId="77777777" w:rsidR="00034A31" w:rsidRPr="00F91CC3" w:rsidRDefault="00034A31" w:rsidP="00034A31">
      <w:pPr>
        <w:contextualSpacing/>
        <w:rPr>
          <w:rFonts w:ascii="Arial Narrow" w:hAnsi="Arial Narrow"/>
          <w:snapToGrid w:val="0"/>
          <w:sz w:val="18"/>
          <w:szCs w:val="22"/>
        </w:rPr>
      </w:pPr>
      <w:r w:rsidRPr="00F91CC3">
        <w:rPr>
          <w:rFonts w:ascii="Arial Narrow" w:hAnsi="Arial Narrow"/>
          <w:snapToGrid w:val="0"/>
          <w:sz w:val="18"/>
          <w:szCs w:val="22"/>
        </w:rPr>
        <w:t xml:space="preserve">CFQ-R = </w:t>
      </w:r>
      <w:r w:rsidRPr="00F91CC3">
        <w:rPr>
          <w:rFonts w:ascii="Arial Narrow" w:hAnsi="Arial Narrow"/>
          <w:snapToGrid w:val="0"/>
          <w:sz w:val="16"/>
          <w:szCs w:val="16"/>
        </w:rPr>
        <w:t xml:space="preserve">Cystic Fibrosis Questionnaire-Revised; </w:t>
      </w:r>
      <w:r w:rsidRPr="00F91CC3">
        <w:rPr>
          <w:rFonts w:ascii="Arial Narrow" w:hAnsi="Arial Narrow"/>
          <w:snapToGrid w:val="0"/>
          <w:sz w:val="18"/>
          <w:szCs w:val="22"/>
        </w:rPr>
        <w:t>CI = confidence interval; NR = not reported; SD = standard deviation; SE = standard error; w = week.</w:t>
      </w:r>
    </w:p>
    <w:p w14:paraId="46DDF5DD" w14:textId="77777777" w:rsidR="00034A31" w:rsidRPr="00F91CC3" w:rsidRDefault="00034A31" w:rsidP="00034A31">
      <w:pPr>
        <w:rPr>
          <w:rFonts w:ascii="Arial Narrow" w:hAnsi="Arial Narrow"/>
          <w:sz w:val="18"/>
        </w:rPr>
      </w:pPr>
      <w:r w:rsidRPr="00F91CC3">
        <w:rPr>
          <w:rFonts w:ascii="Arial Narrow" w:hAnsi="Arial Narrow"/>
          <w:sz w:val="18"/>
        </w:rPr>
        <w:t>a SD/SE not reported</w:t>
      </w:r>
    </w:p>
    <w:p w14:paraId="4C2DF6CD" w14:textId="77777777" w:rsidR="00034A31" w:rsidRPr="00F91CC3" w:rsidRDefault="00034A31" w:rsidP="00034A31">
      <w:pPr>
        <w:rPr>
          <w:rFonts w:ascii="Arial Narrow" w:hAnsi="Arial Narrow"/>
          <w:sz w:val="18"/>
        </w:rPr>
      </w:pPr>
      <w:r w:rsidRPr="00F91CC3">
        <w:rPr>
          <w:rFonts w:ascii="Arial Narrow" w:hAnsi="Arial Narrow"/>
          <w:sz w:val="18"/>
        </w:rPr>
        <w:t>b LS mean</w:t>
      </w:r>
    </w:p>
    <w:p w14:paraId="31C4D62F" w14:textId="6759A95B" w:rsidR="00F07396" w:rsidRPr="00F07396" w:rsidRDefault="00034A31" w:rsidP="00F07396">
      <w:pPr>
        <w:spacing w:after="120"/>
        <w:contextualSpacing/>
        <w:rPr>
          <w:rFonts w:ascii="Arial Narrow" w:hAnsi="Arial Narrow"/>
          <w:snapToGrid w:val="0"/>
          <w:sz w:val="18"/>
          <w:szCs w:val="22"/>
        </w:rPr>
      </w:pPr>
      <w:r w:rsidRPr="00F91CC3">
        <w:rPr>
          <w:rFonts w:ascii="Arial Narrow" w:hAnsi="Arial Narrow"/>
          <w:snapToGrid w:val="0"/>
          <w:sz w:val="18"/>
          <w:szCs w:val="22"/>
        </w:rPr>
        <w:t>Bold indicates a statistically significant difference.</w:t>
      </w:r>
    </w:p>
    <w:p w14:paraId="2CD662F1" w14:textId="511FA54F" w:rsidR="00034A31" w:rsidRPr="00F07396" w:rsidRDefault="0085497D" w:rsidP="00F07396">
      <w:pPr>
        <w:pStyle w:val="Heading3"/>
        <w:rPr>
          <w:rFonts w:asciiTheme="minorHAnsi" w:hAnsiTheme="minorHAnsi"/>
          <w:b/>
          <w:bCs/>
          <w:iCs/>
          <w:snapToGrid w:val="0"/>
          <w:u w:val="none"/>
        </w:rPr>
      </w:pPr>
      <w:r w:rsidRPr="00F07396">
        <w:rPr>
          <w:rFonts w:asciiTheme="minorHAnsi" w:hAnsiTheme="minorHAnsi"/>
          <w:b/>
          <w:bCs/>
          <w:iCs/>
          <w:snapToGrid w:val="0"/>
          <w:u w:val="none"/>
        </w:rPr>
        <w:t xml:space="preserve">IVA-responsive </w:t>
      </w:r>
      <w:r w:rsidR="002B3C95" w:rsidRPr="00F07396">
        <w:rPr>
          <w:rFonts w:asciiTheme="minorHAnsi" w:hAnsiTheme="minorHAnsi"/>
          <w:b/>
          <w:bCs/>
          <w:iCs/>
          <w:snapToGrid w:val="0"/>
          <w:u w:val="none"/>
        </w:rPr>
        <w:t xml:space="preserve">rare </w:t>
      </w:r>
      <w:r w:rsidR="00757CE7" w:rsidRPr="00F07396">
        <w:rPr>
          <w:rFonts w:asciiTheme="minorHAnsi" w:hAnsiTheme="minorHAnsi"/>
          <w:b/>
          <w:bCs/>
          <w:iCs/>
          <w:snapToGrid w:val="0"/>
          <w:u w:val="none"/>
        </w:rPr>
        <w:t>mutation</w:t>
      </w:r>
      <w:r w:rsidR="002B3C95" w:rsidRPr="00F07396">
        <w:rPr>
          <w:rFonts w:asciiTheme="minorHAnsi" w:hAnsiTheme="minorHAnsi"/>
          <w:b/>
          <w:bCs/>
          <w:iCs/>
          <w:snapToGrid w:val="0"/>
          <w:u w:val="none"/>
        </w:rPr>
        <w:t>s</w:t>
      </w:r>
      <w:r w:rsidR="00757CE7" w:rsidRPr="00F07396">
        <w:rPr>
          <w:rFonts w:asciiTheme="minorHAnsi" w:hAnsiTheme="minorHAnsi"/>
          <w:b/>
          <w:bCs/>
          <w:iCs/>
          <w:snapToGrid w:val="0"/>
          <w:u w:val="none"/>
        </w:rPr>
        <w:t xml:space="preserve"> </w:t>
      </w:r>
      <w:r w:rsidRPr="00F07396">
        <w:rPr>
          <w:rFonts w:asciiTheme="minorHAnsi" w:hAnsiTheme="minorHAnsi"/>
          <w:b/>
          <w:bCs/>
          <w:iCs/>
          <w:snapToGrid w:val="0"/>
          <w:u w:val="none"/>
        </w:rPr>
        <w:t xml:space="preserve">population </w:t>
      </w:r>
      <w:r w:rsidR="00034A31" w:rsidRPr="00F07396">
        <w:rPr>
          <w:rFonts w:asciiTheme="minorHAnsi" w:hAnsiTheme="minorHAnsi"/>
          <w:b/>
          <w:bCs/>
          <w:iCs/>
          <w:snapToGrid w:val="0"/>
          <w:u w:val="none"/>
        </w:rPr>
        <w:t>(nonclinical studies)</w:t>
      </w:r>
    </w:p>
    <w:p w14:paraId="379E7D63" w14:textId="2BF46FFB" w:rsidR="00034A31" w:rsidRPr="00F91CC3" w:rsidRDefault="00034A31" w:rsidP="00F07396">
      <w:pPr>
        <w:pStyle w:val="3-BodyText"/>
        <w:snapToGrid w:val="0"/>
        <w:rPr>
          <w:color w:val="0066FF"/>
        </w:rPr>
      </w:pPr>
      <w:r w:rsidRPr="00F91CC3">
        <w:t xml:space="preserve">The submission presented 3 studies (Yu et al. (2012), Van Goor et al. (2014) and Report P289) to support the use of ivacaftor in approximately 92 rare mutations that are IVA-responsive based on FRT </w:t>
      </w:r>
      <w:r w:rsidRPr="00F91CC3">
        <w:rPr>
          <w:iCs/>
        </w:rPr>
        <w:t>in vitro</w:t>
      </w:r>
      <w:r w:rsidRPr="00F91CC3">
        <w:t xml:space="preserve"> assays. </w:t>
      </w:r>
      <w:r w:rsidRPr="00F91CC3">
        <w:rPr>
          <w:iCs/>
        </w:rPr>
        <w:t xml:space="preserve">The level of chloride transport for each mutant CFTR form was expressed as a percentage of normal CFTR. </w:t>
      </w:r>
      <w:bookmarkStart w:id="47" w:name="_Hlk144548354"/>
      <w:r w:rsidRPr="00F91CC3">
        <w:rPr>
          <w:iCs/>
        </w:rPr>
        <w:t xml:space="preserve">A response to ivacaftor was defined as &gt; 10-percentage point increase over baseline in chloride transport. </w:t>
      </w:r>
      <w:bookmarkStart w:id="48" w:name="_Hlk143277531"/>
      <w:bookmarkEnd w:id="47"/>
      <w:r w:rsidRPr="00F91CC3">
        <w:rPr>
          <w:iCs/>
        </w:rPr>
        <w:t xml:space="preserve">The submission claimed that &gt; 10% net increase in chloride transport is </w:t>
      </w:r>
      <w:r w:rsidRPr="00F91CC3">
        <w:rPr>
          <w:iCs/>
        </w:rPr>
        <w:lastRenderedPageBreak/>
        <w:t xml:space="preserve">predictive or reasonably expected to predict clinical benefit. However, the submission also noted that with individual mutations, this magnitude of change in in vitro response is not correlated with the magnitude of clinical response. </w:t>
      </w:r>
      <w:bookmarkEnd w:id="48"/>
      <w:r w:rsidRPr="00F91CC3">
        <w:t xml:space="preserve">The TGA Delegate’s Overview noted that the in vitro FRT assay data is not a predictor for clinical efficacy but identifies potentially responsive mutations (Ivacaftor, p12 TGA Delegate’s Overview, November 2022). </w:t>
      </w:r>
      <w:r w:rsidR="00B01B07" w:rsidRPr="00F91CC3">
        <w:t>T</w:t>
      </w:r>
      <w:r w:rsidRPr="00F91CC3">
        <w:t>he ACM concluded that the clinical and FRT assay studies were sufficient to demonstrate efficacy of ivacaftor in the proposed indication. The ACM acknowledged that the statement on the predictive potential of the FRT assay in Section 5.1 of the PI is acceptable due to the supportive clinical data and biological relevance for gating mutations.</w:t>
      </w:r>
    </w:p>
    <w:p w14:paraId="563CFD87" w14:textId="4C8309FA" w:rsidR="00034A31" w:rsidRPr="00F91CC3" w:rsidRDefault="00034A31" w:rsidP="00034A31">
      <w:pPr>
        <w:numPr>
          <w:ilvl w:val="1"/>
          <w:numId w:val="1"/>
        </w:numPr>
        <w:spacing w:after="120"/>
        <w:rPr>
          <w:rFonts w:asciiTheme="minorHAnsi" w:hAnsiTheme="minorHAnsi"/>
          <w:snapToGrid w:val="0"/>
          <w:color w:val="0066FF"/>
        </w:rPr>
      </w:pPr>
      <w:r w:rsidRPr="00F91CC3">
        <w:rPr>
          <w:rFonts w:asciiTheme="minorHAnsi" w:hAnsiTheme="minorHAnsi"/>
          <w:iCs/>
          <w:snapToGrid w:val="0"/>
        </w:rPr>
        <w:t xml:space="preserve">The mutations </w:t>
      </w:r>
      <w:r w:rsidR="009467DF" w:rsidRPr="00F91CC3">
        <w:rPr>
          <w:rFonts w:asciiTheme="minorHAnsi" w:hAnsiTheme="minorHAnsi"/>
          <w:iCs/>
          <w:snapToGrid w:val="0"/>
        </w:rPr>
        <w:t>that were tested in the FRT assay, and their corresponding chloride transport response,</w:t>
      </w:r>
      <w:r w:rsidR="00D2602E" w:rsidRPr="00F91CC3">
        <w:rPr>
          <w:rFonts w:asciiTheme="minorHAnsi" w:hAnsiTheme="minorHAnsi"/>
          <w:iCs/>
          <w:snapToGrid w:val="0"/>
        </w:rPr>
        <w:t xml:space="preserve"> were provided in the submission</w:t>
      </w:r>
      <w:r w:rsidRPr="00F91CC3">
        <w:rPr>
          <w:rFonts w:asciiTheme="minorHAnsi" w:hAnsiTheme="minorHAnsi"/>
          <w:iCs/>
          <w:snapToGrid w:val="0"/>
        </w:rPr>
        <w:t xml:space="preserve">. The 92 mutations </w:t>
      </w:r>
      <w:r w:rsidR="009467DF" w:rsidRPr="00F91CC3">
        <w:rPr>
          <w:rFonts w:asciiTheme="minorHAnsi" w:hAnsiTheme="minorHAnsi"/>
          <w:iCs/>
          <w:snapToGrid w:val="0"/>
        </w:rPr>
        <w:t xml:space="preserve">that achieved a positive in vitro response, and </w:t>
      </w:r>
      <w:r w:rsidRPr="00F91CC3">
        <w:rPr>
          <w:rFonts w:asciiTheme="minorHAnsi" w:hAnsiTheme="minorHAnsi"/>
          <w:iCs/>
          <w:snapToGrid w:val="0"/>
        </w:rPr>
        <w:t>for which this submission is seeking a PBS listing, are</w:t>
      </w:r>
      <w:r w:rsidR="00D2602E" w:rsidRPr="00F91CC3">
        <w:rPr>
          <w:rFonts w:asciiTheme="minorHAnsi" w:hAnsiTheme="minorHAnsi"/>
          <w:iCs/>
          <w:snapToGrid w:val="0"/>
        </w:rPr>
        <w:t xml:space="preserve"> included</w:t>
      </w:r>
      <w:r w:rsidRPr="00F91CC3">
        <w:rPr>
          <w:rFonts w:asciiTheme="minorHAnsi" w:hAnsiTheme="minorHAnsi"/>
          <w:iCs/>
          <w:snapToGrid w:val="0"/>
        </w:rPr>
        <w:t xml:space="preserve"> </w:t>
      </w:r>
      <w:r w:rsidR="006F24B9" w:rsidRPr="00F91CC3">
        <w:rPr>
          <w:rFonts w:asciiTheme="minorHAnsi" w:hAnsiTheme="minorHAnsi"/>
          <w:iCs/>
          <w:snapToGrid w:val="0"/>
        </w:rPr>
        <w:t xml:space="preserve"> in the Ivacaftor PI</w:t>
      </w:r>
      <w:r w:rsidRPr="00F91CC3">
        <w:rPr>
          <w:rFonts w:asciiTheme="minorHAnsi" w:hAnsiTheme="minorHAnsi"/>
          <w:iCs/>
          <w:snapToGrid w:val="0"/>
        </w:rPr>
        <w:t xml:space="preserve">. </w:t>
      </w:r>
    </w:p>
    <w:p w14:paraId="7CD71794" w14:textId="6B5A5768" w:rsidR="00034A31" w:rsidRPr="00F91CC3" w:rsidRDefault="00034A31" w:rsidP="00034A31">
      <w:pPr>
        <w:numPr>
          <w:ilvl w:val="1"/>
          <w:numId w:val="1"/>
        </w:numPr>
        <w:spacing w:after="120"/>
        <w:rPr>
          <w:rFonts w:asciiTheme="minorHAnsi" w:hAnsiTheme="minorHAnsi"/>
          <w:snapToGrid w:val="0"/>
        </w:rPr>
      </w:pPr>
      <w:r w:rsidRPr="00F91CC3">
        <w:rPr>
          <w:rFonts w:asciiTheme="minorHAnsi" w:hAnsiTheme="minorHAnsi"/>
          <w:snapToGrid w:val="0"/>
        </w:rPr>
        <w:t xml:space="preserve">There are a wide range of </w:t>
      </w:r>
      <w:r w:rsidRPr="00F91CC3">
        <w:rPr>
          <w:rFonts w:asciiTheme="minorHAnsi" w:hAnsiTheme="minorHAnsi"/>
          <w:iCs/>
          <w:snapToGrid w:val="0"/>
        </w:rPr>
        <w:t xml:space="preserve">in vitro </w:t>
      </w:r>
      <w:r w:rsidRPr="00F91CC3">
        <w:rPr>
          <w:rFonts w:asciiTheme="minorHAnsi" w:hAnsiTheme="minorHAnsi"/>
          <w:snapToGrid w:val="0"/>
        </w:rPr>
        <w:t xml:space="preserve">study techniques available to assess the sensitivity of mutations to drug or likely clinical efficacy; the Ussing technique described by the submission utilises FRT cell lines to assess sensitivity to drug (ivacaftor) in cell-lines which overexpress CFTR. The submission claimed that these in vitro assays could predict in vivo benefit, based on Ramalho et al. 2022. </w:t>
      </w:r>
      <w:r w:rsidRPr="00F91CC3">
        <w:rPr>
          <w:rFonts w:asciiTheme="minorHAnsi" w:hAnsiTheme="minorHAnsi"/>
          <w:iCs/>
          <w:snapToGrid w:val="0"/>
        </w:rPr>
        <w:t>Th</w:t>
      </w:r>
      <w:r w:rsidR="00B01B07" w:rsidRPr="00F91CC3">
        <w:rPr>
          <w:rFonts w:asciiTheme="minorHAnsi" w:hAnsiTheme="minorHAnsi"/>
          <w:iCs/>
          <w:snapToGrid w:val="0"/>
        </w:rPr>
        <w:t>e evaluation noted th</w:t>
      </w:r>
      <w:r w:rsidRPr="00F91CC3">
        <w:rPr>
          <w:rFonts w:asciiTheme="minorHAnsi" w:hAnsiTheme="minorHAnsi"/>
          <w:iCs/>
          <w:snapToGrid w:val="0"/>
        </w:rPr>
        <w:t>is paper stated that positive in vitro findings require further evaluation for clinical efficacy.</w:t>
      </w:r>
    </w:p>
    <w:p w14:paraId="62B08C6A" w14:textId="2D00C58D" w:rsidR="00034A31" w:rsidRPr="00F91CC3" w:rsidRDefault="00034A31" w:rsidP="00034A31">
      <w:pPr>
        <w:numPr>
          <w:ilvl w:val="1"/>
          <w:numId w:val="1"/>
        </w:numPr>
        <w:spacing w:after="120"/>
        <w:rPr>
          <w:rFonts w:asciiTheme="minorHAnsi" w:hAnsiTheme="minorHAnsi"/>
          <w:snapToGrid w:val="0"/>
        </w:rPr>
      </w:pPr>
      <w:r w:rsidRPr="00F91CC3">
        <w:rPr>
          <w:rFonts w:asciiTheme="minorHAnsi" w:hAnsiTheme="minorHAnsi"/>
          <w:iCs/>
          <w:snapToGrid w:val="0"/>
        </w:rPr>
        <w:t>The submission referenced 3 papers to support its in vitro to in</w:t>
      </w:r>
      <w:r w:rsidR="00D738D1" w:rsidRPr="00F91CC3">
        <w:rPr>
          <w:rFonts w:asciiTheme="minorHAnsi" w:hAnsiTheme="minorHAnsi"/>
          <w:iCs/>
          <w:snapToGrid w:val="0"/>
        </w:rPr>
        <w:t xml:space="preserve"> </w:t>
      </w:r>
      <w:r w:rsidRPr="00F91CC3">
        <w:rPr>
          <w:rFonts w:asciiTheme="minorHAnsi" w:hAnsiTheme="minorHAnsi"/>
          <w:iCs/>
          <w:snapToGrid w:val="0"/>
        </w:rPr>
        <w:t xml:space="preserve">vivo claim: </w:t>
      </w:r>
      <w:r w:rsidRPr="00F91CC3">
        <w:rPr>
          <w:rFonts w:asciiTheme="minorHAnsi" w:hAnsiTheme="minorHAnsi"/>
          <w:snapToGrid w:val="0"/>
        </w:rPr>
        <w:t>van Goor et al. (2011), Veit et al. (2018) and Guerra at al. (2020</w:t>
      </w:r>
      <w:r w:rsidR="00B01B07" w:rsidRPr="00F91CC3">
        <w:rPr>
          <w:rFonts w:asciiTheme="minorHAnsi" w:hAnsiTheme="minorHAnsi"/>
          <w:snapToGrid w:val="0"/>
        </w:rPr>
        <w:t>)</w:t>
      </w:r>
      <w:r w:rsidRPr="00F91CC3">
        <w:rPr>
          <w:rFonts w:asciiTheme="minorHAnsi" w:hAnsiTheme="minorHAnsi"/>
          <w:snapToGrid w:val="0"/>
        </w:rPr>
        <w:t>. van Goor 2011 and Veit</w:t>
      </w:r>
      <w:r w:rsidR="00E37DBA" w:rsidRPr="00F91CC3">
        <w:rPr>
          <w:rFonts w:asciiTheme="minorHAnsi" w:hAnsiTheme="minorHAnsi"/>
          <w:snapToGrid w:val="0"/>
        </w:rPr>
        <w:t xml:space="preserve"> </w:t>
      </w:r>
      <w:r w:rsidRPr="00F91CC3">
        <w:rPr>
          <w:rFonts w:asciiTheme="minorHAnsi" w:hAnsiTheme="minorHAnsi"/>
          <w:snapToGrid w:val="0"/>
        </w:rPr>
        <w:t>2018 focussed on lumacaftor’s efficacy in patients with a F508del mutation</w:t>
      </w:r>
      <w:r w:rsidRPr="00F91CC3">
        <w:rPr>
          <w:rFonts w:asciiTheme="minorHAnsi" w:hAnsiTheme="minorHAnsi"/>
          <w:iCs/>
          <w:snapToGrid w:val="0"/>
        </w:rPr>
        <w:t xml:space="preserve"> </w:t>
      </w:r>
      <w:r w:rsidRPr="00F91CC3">
        <w:rPr>
          <w:rFonts w:asciiTheme="minorHAnsi" w:hAnsiTheme="minorHAnsi"/>
          <w:snapToGrid w:val="0"/>
        </w:rPr>
        <w:t>which is consistent with a valid mechanism of action.</w:t>
      </w:r>
      <w:r w:rsidRPr="00F91CC3">
        <w:rPr>
          <w:rFonts w:asciiTheme="minorHAnsi" w:hAnsiTheme="minorHAnsi" w:cs="Times New Roman"/>
          <w:snapToGrid w:val="0"/>
          <w:vertAlign w:val="superscript"/>
        </w:rPr>
        <w:footnoteReference w:id="8"/>
      </w:r>
      <w:r w:rsidRPr="00F91CC3">
        <w:rPr>
          <w:rFonts w:asciiTheme="minorHAnsi" w:hAnsiTheme="minorHAnsi"/>
          <w:snapToGrid w:val="0"/>
          <w:vertAlign w:val="superscript"/>
        </w:rPr>
        <w:t>,</w:t>
      </w:r>
      <w:r w:rsidRPr="00F91CC3">
        <w:rPr>
          <w:rFonts w:asciiTheme="minorHAnsi" w:hAnsiTheme="minorHAnsi" w:cs="Times New Roman"/>
          <w:snapToGrid w:val="0"/>
          <w:vertAlign w:val="superscript"/>
        </w:rPr>
        <w:footnoteReference w:id="9"/>
      </w:r>
      <w:r w:rsidRPr="00F91CC3">
        <w:rPr>
          <w:rFonts w:asciiTheme="minorHAnsi" w:hAnsiTheme="minorHAnsi"/>
          <w:snapToGrid w:val="0"/>
        </w:rPr>
        <w:t xml:space="preserve"> The translation of in vitro to in vivo efficacy for patients with the F508del mutation does not necessarily mean that all mutations that demonstrate in vitro response will be predictive of clinical efficacy</w:t>
      </w:r>
      <w:r w:rsidRPr="00F91CC3">
        <w:rPr>
          <w:rFonts w:asciiTheme="minorHAnsi" w:hAnsiTheme="minorHAnsi"/>
          <w:i/>
          <w:iCs/>
          <w:snapToGrid w:val="0"/>
        </w:rPr>
        <w:t xml:space="preserve">. </w:t>
      </w:r>
      <w:r w:rsidRPr="00F91CC3">
        <w:rPr>
          <w:rFonts w:asciiTheme="minorHAnsi" w:hAnsiTheme="minorHAnsi"/>
          <w:snapToGrid w:val="0"/>
        </w:rPr>
        <w:t xml:space="preserve">Guerra et al. 2020 discussed a single case where </w:t>
      </w:r>
      <w:r w:rsidRPr="00F91CC3">
        <w:rPr>
          <w:rFonts w:asciiTheme="minorHAnsi" w:hAnsiTheme="minorHAnsi"/>
          <w:iCs/>
          <w:snapToGrid w:val="0"/>
        </w:rPr>
        <w:t>in vitro</w:t>
      </w:r>
      <w:r w:rsidRPr="00F91CC3">
        <w:rPr>
          <w:rFonts w:asciiTheme="minorHAnsi" w:hAnsiTheme="minorHAnsi"/>
          <w:snapToGrid w:val="0"/>
        </w:rPr>
        <w:t xml:space="preserve"> efficacy predicted </w:t>
      </w:r>
      <w:r w:rsidRPr="00F91CC3">
        <w:rPr>
          <w:rFonts w:asciiTheme="minorHAnsi" w:hAnsiTheme="minorHAnsi"/>
          <w:iCs/>
          <w:snapToGrid w:val="0"/>
        </w:rPr>
        <w:t>in vivo</w:t>
      </w:r>
      <w:r w:rsidRPr="00F91CC3">
        <w:rPr>
          <w:rFonts w:asciiTheme="minorHAnsi" w:hAnsiTheme="minorHAnsi"/>
          <w:snapToGrid w:val="0"/>
        </w:rPr>
        <w:t xml:space="preserve"> efficacy with the G970D mutation. The paper also discussed that whilst in vitro data may suggest efficacy, the dynamic genetic environment found in human cells can pose unique challenges. For example, in the G970R mutation (a class III gating mutation), messenger RNA decay caused a deletion of 59 amino acid residues, which caused little-to-no CFTR on the cell surface. This led to complete loss of function of potentiator/corrector therapy. The G970R mutation was included in Yu et al. (2012) study and demonstrated a &gt; 40% change in chloride transport from baseline, but in Study 112 patients with a G970R mutation (n=3) did not demonstrate a positive ppFEV</w:t>
      </w:r>
      <w:r w:rsidRPr="00F91CC3">
        <w:rPr>
          <w:rFonts w:asciiTheme="minorHAnsi" w:hAnsiTheme="minorHAnsi"/>
          <w:snapToGrid w:val="0"/>
          <w:vertAlign w:val="subscript"/>
        </w:rPr>
        <w:t>1</w:t>
      </w:r>
      <w:r w:rsidRPr="00F91CC3">
        <w:rPr>
          <w:rFonts w:asciiTheme="minorHAnsi" w:hAnsiTheme="minorHAnsi"/>
          <w:snapToGrid w:val="0"/>
        </w:rPr>
        <w:t xml:space="preserve"> response. </w:t>
      </w:r>
      <w:r w:rsidRPr="00F91CC3">
        <w:rPr>
          <w:rFonts w:asciiTheme="minorHAnsi" w:hAnsiTheme="minorHAnsi"/>
          <w:iCs/>
          <w:snapToGrid w:val="0"/>
        </w:rPr>
        <w:t>Ivacaftor is not indicated for use in patients with this mutation</w:t>
      </w:r>
      <w:r w:rsidRPr="00F91CC3">
        <w:rPr>
          <w:rFonts w:asciiTheme="minorHAnsi" w:hAnsiTheme="minorHAnsi" w:cs="Times New Roman"/>
          <w:iCs/>
          <w:snapToGrid w:val="0"/>
          <w:vertAlign w:val="superscript"/>
        </w:rPr>
        <w:footnoteReference w:id="10"/>
      </w:r>
      <w:r w:rsidRPr="00F91CC3">
        <w:rPr>
          <w:rFonts w:asciiTheme="minorHAnsi" w:hAnsiTheme="minorHAnsi"/>
          <w:iCs/>
          <w:snapToGrid w:val="0"/>
        </w:rPr>
        <w:t xml:space="preserve">. </w:t>
      </w:r>
      <w:r w:rsidRPr="00F91CC3">
        <w:rPr>
          <w:rFonts w:asciiTheme="minorHAnsi" w:hAnsiTheme="minorHAnsi"/>
          <w:iCs/>
          <w:snapToGrid w:val="0"/>
        </w:rPr>
        <w:lastRenderedPageBreak/>
        <w:t>Both the G970D and G970R mutations appeared responsive to ivacaftor in animal-cell in vitro studies, and it was not until they were tested in human cells that the inefficacy of ivacaftor therapy was realised in patients with the G970R mutation</w:t>
      </w:r>
      <w:r w:rsidRPr="00F91CC3">
        <w:rPr>
          <w:rFonts w:asciiTheme="minorHAnsi" w:hAnsiTheme="minorHAnsi"/>
          <w:i/>
          <w:snapToGrid w:val="0"/>
        </w:rPr>
        <w:t>.</w:t>
      </w:r>
    </w:p>
    <w:p w14:paraId="2A079DE5" w14:textId="77777777" w:rsidR="00034A31" w:rsidRPr="00F91CC3" w:rsidRDefault="00034A31" w:rsidP="00034A31">
      <w:pPr>
        <w:numPr>
          <w:ilvl w:val="1"/>
          <w:numId w:val="1"/>
        </w:numPr>
        <w:spacing w:after="120"/>
        <w:rPr>
          <w:rFonts w:asciiTheme="minorHAnsi" w:hAnsiTheme="minorHAnsi"/>
          <w:snapToGrid w:val="0"/>
        </w:rPr>
      </w:pPr>
      <w:r w:rsidRPr="00F91CC3">
        <w:rPr>
          <w:rFonts w:asciiTheme="minorHAnsi" w:hAnsiTheme="minorHAnsi"/>
          <w:iCs/>
          <w:snapToGrid w:val="0"/>
        </w:rPr>
        <w:t xml:space="preserve">Testing efficacy on animal cells in vitro is one of many steps that novel pharmacological treatments traditionally move through to identify potential treatment populations for clinical trials to demonstrate efficacy, and eventually reach clinical use. The FRT </w:t>
      </w:r>
      <w:r w:rsidRPr="00F91CC3">
        <w:rPr>
          <w:rFonts w:asciiTheme="minorHAnsi" w:hAnsiTheme="minorHAnsi"/>
          <w:snapToGrid w:val="0"/>
        </w:rPr>
        <w:t xml:space="preserve">in vitro </w:t>
      </w:r>
      <w:r w:rsidRPr="00F91CC3">
        <w:rPr>
          <w:rFonts w:asciiTheme="minorHAnsi" w:hAnsiTheme="minorHAnsi"/>
          <w:iCs/>
          <w:snapToGrid w:val="0"/>
        </w:rPr>
        <w:t>assays allow for high-throughput testing, however recent literature</w:t>
      </w:r>
      <w:r w:rsidRPr="00F91CC3">
        <w:rPr>
          <w:rFonts w:asciiTheme="minorHAnsi" w:hAnsiTheme="minorHAnsi" w:cs="Times New Roman"/>
          <w:iCs/>
          <w:snapToGrid w:val="0"/>
          <w:vertAlign w:val="superscript"/>
        </w:rPr>
        <w:footnoteReference w:id="11"/>
      </w:r>
      <w:r w:rsidRPr="00F91CC3">
        <w:rPr>
          <w:rFonts w:asciiTheme="minorHAnsi" w:hAnsiTheme="minorHAnsi"/>
          <w:iCs/>
          <w:snapToGrid w:val="0"/>
          <w:vertAlign w:val="superscript"/>
        </w:rPr>
        <w:t>,</w:t>
      </w:r>
      <w:r w:rsidRPr="00F91CC3">
        <w:rPr>
          <w:rFonts w:asciiTheme="minorHAnsi" w:hAnsiTheme="minorHAnsi" w:cs="Times New Roman"/>
          <w:iCs/>
          <w:snapToGrid w:val="0"/>
          <w:vertAlign w:val="superscript"/>
        </w:rPr>
        <w:footnoteReference w:id="12"/>
      </w:r>
      <w:r w:rsidRPr="00F91CC3">
        <w:rPr>
          <w:rFonts w:asciiTheme="minorHAnsi" w:hAnsiTheme="minorHAnsi"/>
          <w:iCs/>
          <w:snapToGrid w:val="0"/>
          <w:vertAlign w:val="superscript"/>
        </w:rPr>
        <w:t>,</w:t>
      </w:r>
      <w:r w:rsidRPr="00F91CC3">
        <w:rPr>
          <w:rFonts w:asciiTheme="minorHAnsi" w:hAnsiTheme="minorHAnsi" w:cs="Times New Roman"/>
          <w:iCs/>
          <w:snapToGrid w:val="0"/>
          <w:vertAlign w:val="superscript"/>
        </w:rPr>
        <w:footnoteReference w:id="13"/>
      </w:r>
      <w:r w:rsidRPr="00F91CC3">
        <w:rPr>
          <w:rFonts w:asciiTheme="minorHAnsi" w:hAnsiTheme="minorHAnsi"/>
          <w:iCs/>
          <w:snapToGrid w:val="0"/>
          <w:vertAlign w:val="superscript"/>
        </w:rPr>
        <w:t>,</w:t>
      </w:r>
      <w:r w:rsidRPr="00F91CC3">
        <w:rPr>
          <w:rFonts w:asciiTheme="minorHAnsi" w:hAnsiTheme="minorHAnsi" w:cs="Times New Roman"/>
          <w:iCs/>
          <w:snapToGrid w:val="0"/>
          <w:vertAlign w:val="superscript"/>
        </w:rPr>
        <w:footnoteReference w:id="14"/>
      </w:r>
      <w:r w:rsidRPr="00F91CC3">
        <w:rPr>
          <w:rFonts w:asciiTheme="minorHAnsi" w:hAnsiTheme="minorHAnsi"/>
          <w:iCs/>
          <w:snapToGrid w:val="0"/>
          <w:vertAlign w:val="superscript"/>
        </w:rPr>
        <w:t>,</w:t>
      </w:r>
      <w:r w:rsidRPr="00F91CC3">
        <w:rPr>
          <w:rFonts w:asciiTheme="minorHAnsi" w:hAnsiTheme="minorHAnsi" w:cs="Times New Roman"/>
          <w:iCs/>
          <w:snapToGrid w:val="0"/>
          <w:vertAlign w:val="superscript"/>
        </w:rPr>
        <w:footnoteReference w:id="15"/>
      </w:r>
      <w:r w:rsidRPr="00F91CC3">
        <w:rPr>
          <w:rFonts w:asciiTheme="minorHAnsi" w:hAnsiTheme="minorHAnsi"/>
          <w:iCs/>
          <w:snapToGrid w:val="0"/>
        </w:rPr>
        <w:t xml:space="preserve"> has emphasised the importance of validating the results from animal cell </w:t>
      </w:r>
      <w:r w:rsidRPr="00F91CC3">
        <w:rPr>
          <w:rFonts w:asciiTheme="minorHAnsi" w:hAnsiTheme="minorHAnsi"/>
          <w:snapToGrid w:val="0"/>
        </w:rPr>
        <w:t>in vitro</w:t>
      </w:r>
      <w:r w:rsidRPr="00F91CC3">
        <w:rPr>
          <w:rFonts w:asciiTheme="minorHAnsi" w:hAnsiTheme="minorHAnsi"/>
          <w:iCs/>
          <w:snapToGrid w:val="0"/>
        </w:rPr>
        <w:t xml:space="preserve"> assays with primary (human) cell </w:t>
      </w:r>
      <w:r w:rsidRPr="00F91CC3">
        <w:rPr>
          <w:rFonts w:asciiTheme="minorHAnsi" w:hAnsiTheme="minorHAnsi"/>
          <w:snapToGrid w:val="0"/>
        </w:rPr>
        <w:t xml:space="preserve">in vitro </w:t>
      </w:r>
      <w:r w:rsidRPr="00F91CC3">
        <w:rPr>
          <w:rFonts w:asciiTheme="minorHAnsi" w:hAnsiTheme="minorHAnsi"/>
          <w:iCs/>
          <w:snapToGrid w:val="0"/>
        </w:rPr>
        <w:t>assays. The approach adopted by the submission omits human cell in vitro testing and clinical trial efficacy data, relying on animal cell in vitro efficacy alone to predict clinical efficacy.</w:t>
      </w:r>
    </w:p>
    <w:p w14:paraId="01411670" w14:textId="77777777" w:rsidR="00034A31" w:rsidRPr="00F91CC3" w:rsidRDefault="00034A31" w:rsidP="00034A31">
      <w:pPr>
        <w:keepNext/>
        <w:spacing w:before="120" w:after="120"/>
        <w:outlineLvl w:val="1"/>
        <w:rPr>
          <w:rFonts w:asciiTheme="minorHAnsi" w:eastAsiaTheme="majorEastAsia" w:hAnsiTheme="minorHAnsi" w:cstheme="majorBidi"/>
          <w:b/>
          <w:i/>
          <w:spacing w:val="5"/>
          <w:kern w:val="28"/>
          <w:sz w:val="28"/>
          <w:szCs w:val="36"/>
        </w:rPr>
      </w:pPr>
      <w:bookmarkStart w:id="49" w:name="_Toc145484395"/>
      <w:r w:rsidRPr="00F91CC3">
        <w:rPr>
          <w:rFonts w:asciiTheme="minorHAnsi" w:eastAsiaTheme="majorEastAsia" w:hAnsiTheme="minorHAnsi" w:cstheme="majorBidi"/>
          <w:b/>
          <w:i/>
          <w:spacing w:val="5"/>
          <w:kern w:val="28"/>
          <w:sz w:val="28"/>
          <w:szCs w:val="36"/>
        </w:rPr>
        <w:t>Comparative harms</w:t>
      </w:r>
      <w:bookmarkEnd w:id="49"/>
    </w:p>
    <w:p w14:paraId="39067BAA" w14:textId="40D869AB" w:rsidR="00034A31" w:rsidRPr="00F91CC3" w:rsidRDefault="00034A31" w:rsidP="00034A31">
      <w:pPr>
        <w:numPr>
          <w:ilvl w:val="1"/>
          <w:numId w:val="1"/>
        </w:numPr>
        <w:spacing w:after="120"/>
        <w:rPr>
          <w:rFonts w:asciiTheme="minorHAnsi" w:hAnsiTheme="minorHAnsi"/>
          <w:iCs/>
          <w:snapToGrid w:val="0"/>
          <w:color w:val="0066FF"/>
        </w:rPr>
      </w:pPr>
      <w:r w:rsidRPr="00F91CC3">
        <w:rPr>
          <w:rFonts w:asciiTheme="minorHAnsi" w:hAnsiTheme="minorHAnsi"/>
          <w:iCs/>
          <w:snapToGrid w:val="0"/>
        </w:rPr>
        <w:t xml:space="preserve">In the gating mutation population, the adverse events (AEs) reported in Study 124 were consistent with the known safety profile of ivacaftor. These are summarised in </w:t>
      </w:r>
      <w:r w:rsidRPr="00F91CC3">
        <w:rPr>
          <w:rFonts w:asciiTheme="minorHAnsi" w:hAnsiTheme="minorHAnsi"/>
          <w:iCs/>
          <w:snapToGrid w:val="0"/>
        </w:rPr>
        <w:fldChar w:fldCharType="begin"/>
      </w:r>
      <w:r w:rsidRPr="00F91CC3">
        <w:rPr>
          <w:rFonts w:asciiTheme="minorHAnsi" w:hAnsiTheme="minorHAnsi"/>
          <w:iCs/>
          <w:snapToGrid w:val="0"/>
        </w:rPr>
        <w:instrText xml:space="preserve"> REF _Ref144310869 \h </w:instrText>
      </w:r>
      <w:r w:rsidR="0085159F" w:rsidRPr="00F91CC3">
        <w:rPr>
          <w:rFonts w:asciiTheme="minorHAnsi" w:hAnsiTheme="minorHAnsi"/>
          <w:iCs/>
          <w:snapToGrid w:val="0"/>
        </w:rPr>
        <w:instrText xml:space="preserve"> \* MERGEFORMAT </w:instrText>
      </w:r>
      <w:r w:rsidRPr="00F91CC3">
        <w:rPr>
          <w:rFonts w:asciiTheme="minorHAnsi" w:hAnsiTheme="minorHAnsi"/>
          <w:iCs/>
          <w:snapToGrid w:val="0"/>
        </w:rPr>
      </w:r>
      <w:r w:rsidRPr="00F91CC3">
        <w:rPr>
          <w:rFonts w:asciiTheme="minorHAnsi" w:hAnsiTheme="minorHAnsi"/>
          <w:iCs/>
          <w:snapToGrid w:val="0"/>
        </w:rPr>
        <w:fldChar w:fldCharType="separate"/>
      </w:r>
      <w:r w:rsidR="008D6198" w:rsidRPr="008D6198">
        <w:rPr>
          <w:rFonts w:asciiTheme="minorHAnsi" w:hAnsiTheme="minorHAnsi"/>
          <w:iCs/>
          <w:snapToGrid w:val="0"/>
        </w:rPr>
        <w:t>Table 10</w:t>
      </w:r>
      <w:r w:rsidRPr="00F91CC3">
        <w:rPr>
          <w:rFonts w:asciiTheme="minorHAnsi" w:hAnsiTheme="minorHAnsi"/>
          <w:iCs/>
          <w:snapToGrid w:val="0"/>
        </w:rPr>
        <w:fldChar w:fldCharType="end"/>
      </w:r>
      <w:r w:rsidRPr="00F91CC3">
        <w:rPr>
          <w:rFonts w:asciiTheme="minorHAnsi" w:hAnsiTheme="minorHAnsi"/>
          <w:iCs/>
          <w:snapToGrid w:val="0"/>
        </w:rPr>
        <w:t>.</w:t>
      </w:r>
    </w:p>
    <w:p w14:paraId="48C2EC58" w14:textId="63776680" w:rsidR="00034A31" w:rsidRPr="00F91CC3" w:rsidRDefault="00034A31" w:rsidP="00CF10BA">
      <w:pPr>
        <w:keepNext/>
        <w:keepLines/>
        <w:rPr>
          <w:rFonts w:ascii="Arial Narrow" w:hAnsi="Arial Narrow"/>
          <w:bCs/>
          <w:sz w:val="20"/>
        </w:rPr>
      </w:pPr>
      <w:bookmarkStart w:id="50" w:name="_Ref144310869"/>
      <w:r w:rsidRPr="00F91CC3">
        <w:rPr>
          <w:rFonts w:ascii="Arial Narrow" w:hAnsi="Arial Narrow"/>
          <w:b/>
          <w:bCs/>
          <w:sz w:val="20"/>
          <w:szCs w:val="18"/>
        </w:rPr>
        <w:lastRenderedPageBreak/>
        <w:t xml:space="preserve">Table </w:t>
      </w:r>
      <w:r w:rsidRPr="00F91CC3">
        <w:rPr>
          <w:rFonts w:ascii="Arial Narrow" w:hAnsi="Arial Narrow"/>
          <w:b/>
          <w:bCs/>
          <w:sz w:val="20"/>
          <w:szCs w:val="18"/>
        </w:rPr>
        <w:fldChar w:fldCharType="begin"/>
      </w:r>
      <w:r w:rsidRPr="00F91CC3">
        <w:rPr>
          <w:rFonts w:ascii="Arial Narrow" w:hAnsi="Arial Narrow"/>
          <w:b/>
          <w:bCs/>
          <w:sz w:val="20"/>
          <w:szCs w:val="18"/>
        </w:rPr>
        <w:instrText xml:space="preserve"> SEQ Table \* ARABIC </w:instrText>
      </w:r>
      <w:r w:rsidRPr="00F91CC3">
        <w:rPr>
          <w:rFonts w:ascii="Arial Narrow" w:hAnsi="Arial Narrow"/>
          <w:b/>
          <w:bCs/>
          <w:sz w:val="20"/>
          <w:szCs w:val="18"/>
        </w:rPr>
        <w:fldChar w:fldCharType="separate"/>
      </w:r>
      <w:r w:rsidR="008D6198">
        <w:rPr>
          <w:rFonts w:ascii="Arial Narrow" w:hAnsi="Arial Narrow"/>
          <w:b/>
          <w:bCs/>
          <w:noProof/>
          <w:sz w:val="20"/>
          <w:szCs w:val="18"/>
        </w:rPr>
        <w:t>10</w:t>
      </w:r>
      <w:r w:rsidRPr="00F91CC3">
        <w:rPr>
          <w:rFonts w:ascii="Arial Narrow" w:hAnsi="Arial Narrow"/>
          <w:b/>
          <w:bCs/>
          <w:sz w:val="20"/>
          <w:szCs w:val="18"/>
        </w:rPr>
        <w:fldChar w:fldCharType="end"/>
      </w:r>
      <w:bookmarkEnd w:id="50"/>
      <w:r w:rsidRPr="00F91CC3">
        <w:rPr>
          <w:rFonts w:ascii="Arial Narrow" w:hAnsi="Arial Narrow"/>
          <w:b/>
          <w:bCs/>
          <w:sz w:val="20"/>
          <w:szCs w:val="18"/>
        </w:rPr>
        <w:t>: Summary of the key adverse events in Study 124</w:t>
      </w:r>
    </w:p>
    <w:tbl>
      <w:tblPr>
        <w:tblStyle w:val="HTATableshaded2"/>
        <w:tblW w:w="5000" w:type="pct"/>
        <w:tblLayout w:type="fixed"/>
        <w:tblLook w:val="04A0" w:firstRow="1" w:lastRow="0" w:firstColumn="1" w:lastColumn="0" w:noHBand="0" w:noVBand="1"/>
      </w:tblPr>
      <w:tblGrid>
        <w:gridCol w:w="4266"/>
        <w:gridCol w:w="1187"/>
        <w:gridCol w:w="1188"/>
        <w:gridCol w:w="1188"/>
        <w:gridCol w:w="1188"/>
      </w:tblGrid>
      <w:tr w:rsidR="00034A31" w:rsidRPr="00F91CC3" w14:paraId="3D39EEFC" w14:textId="77777777" w:rsidTr="00D738D1">
        <w:trPr>
          <w:cnfStyle w:val="100000000000" w:firstRow="1" w:lastRow="0" w:firstColumn="0" w:lastColumn="0" w:oddVBand="0" w:evenVBand="0" w:oddHBand="0" w:evenHBand="0" w:firstRowFirstColumn="0" w:firstRowLastColumn="0" w:lastRowFirstColumn="0" w:lastRowLastColumn="0"/>
          <w:tblHeader/>
        </w:trPr>
        <w:tc>
          <w:tcPr>
            <w:tcW w:w="4265" w:type="dxa"/>
            <w:shd w:val="clear" w:color="auto" w:fill="auto"/>
          </w:tcPr>
          <w:p w14:paraId="78F1CB20" w14:textId="77777777" w:rsidR="00034A31" w:rsidRPr="00F91CC3" w:rsidRDefault="00034A31" w:rsidP="00CF10BA">
            <w:pPr>
              <w:keepNext/>
              <w:keepLines/>
              <w:spacing w:before="20"/>
              <w:jc w:val="left"/>
              <w:rPr>
                <w:rFonts w:ascii="Arial Narrow" w:hAnsi="Arial Narrow" w:cs="Times New Roman"/>
                <w:b/>
                <w:bCs/>
                <w:sz w:val="20"/>
                <w:szCs w:val="20"/>
              </w:rPr>
            </w:pPr>
          </w:p>
        </w:tc>
        <w:tc>
          <w:tcPr>
            <w:tcW w:w="2375" w:type="dxa"/>
            <w:gridSpan w:val="2"/>
            <w:shd w:val="clear" w:color="auto" w:fill="auto"/>
          </w:tcPr>
          <w:p w14:paraId="6F0A7EB0" w14:textId="77777777" w:rsidR="00034A31" w:rsidRPr="00F91CC3" w:rsidRDefault="00034A31" w:rsidP="00CF10BA">
            <w:pPr>
              <w:keepNext/>
              <w:keepLines/>
              <w:spacing w:before="20"/>
              <w:jc w:val="center"/>
              <w:rPr>
                <w:rFonts w:ascii="Arial Narrow" w:hAnsi="Arial Narrow" w:cs="Times New Roman"/>
                <w:b/>
                <w:bCs/>
                <w:sz w:val="20"/>
                <w:szCs w:val="20"/>
              </w:rPr>
            </w:pPr>
            <w:r w:rsidRPr="00F91CC3">
              <w:rPr>
                <w:rFonts w:ascii="Arial Narrow" w:hAnsi="Arial Narrow" w:cs="Times New Roman"/>
                <w:b/>
                <w:bCs/>
                <w:sz w:val="20"/>
                <w:szCs w:val="20"/>
              </w:rPr>
              <w:t>Part A</w:t>
            </w:r>
          </w:p>
        </w:tc>
        <w:tc>
          <w:tcPr>
            <w:tcW w:w="2376" w:type="dxa"/>
            <w:gridSpan w:val="2"/>
            <w:shd w:val="clear" w:color="auto" w:fill="auto"/>
          </w:tcPr>
          <w:p w14:paraId="00AB0DB8" w14:textId="77777777" w:rsidR="00034A31" w:rsidRPr="00F91CC3" w:rsidRDefault="00034A31" w:rsidP="00CF10BA">
            <w:pPr>
              <w:keepNext/>
              <w:keepLines/>
              <w:spacing w:before="20"/>
              <w:jc w:val="center"/>
              <w:rPr>
                <w:rFonts w:ascii="Arial Narrow" w:hAnsi="Arial Narrow" w:cs="Times New Roman"/>
                <w:b/>
                <w:bCs/>
                <w:sz w:val="20"/>
                <w:szCs w:val="20"/>
              </w:rPr>
            </w:pPr>
            <w:r w:rsidRPr="00F91CC3">
              <w:rPr>
                <w:rFonts w:ascii="Arial Narrow" w:hAnsi="Arial Narrow" w:cs="Times New Roman"/>
                <w:b/>
                <w:bCs/>
                <w:sz w:val="20"/>
                <w:szCs w:val="20"/>
              </w:rPr>
              <w:t>Part B</w:t>
            </w:r>
          </w:p>
        </w:tc>
      </w:tr>
      <w:tr w:rsidR="00034A31" w:rsidRPr="00F91CC3" w14:paraId="0AA7E9C3" w14:textId="77777777" w:rsidTr="00D738D1">
        <w:trPr>
          <w:cnfStyle w:val="100000000000" w:firstRow="1" w:lastRow="0" w:firstColumn="0" w:lastColumn="0" w:oddVBand="0" w:evenVBand="0" w:oddHBand="0" w:evenHBand="0" w:firstRowFirstColumn="0" w:firstRowLastColumn="0" w:lastRowFirstColumn="0" w:lastRowLastColumn="0"/>
          <w:tblHeader/>
        </w:trPr>
        <w:tc>
          <w:tcPr>
            <w:tcW w:w="4265" w:type="dxa"/>
            <w:shd w:val="clear" w:color="auto" w:fill="auto"/>
          </w:tcPr>
          <w:p w14:paraId="72921AA7" w14:textId="77777777" w:rsidR="00034A31" w:rsidRPr="00F91CC3" w:rsidRDefault="00034A31" w:rsidP="00CF10BA">
            <w:pPr>
              <w:keepNext/>
              <w:keepLines/>
              <w:spacing w:before="20"/>
              <w:jc w:val="left"/>
              <w:rPr>
                <w:rFonts w:ascii="Arial Narrow" w:hAnsi="Arial Narrow" w:cs="Times New Roman"/>
                <w:b/>
                <w:bCs/>
                <w:sz w:val="20"/>
                <w:szCs w:val="20"/>
                <w:vertAlign w:val="superscript"/>
              </w:rPr>
            </w:pPr>
            <w:r w:rsidRPr="00F91CC3">
              <w:rPr>
                <w:rFonts w:ascii="Arial Narrow" w:hAnsi="Arial Narrow" w:cs="Times New Roman"/>
                <w:b/>
                <w:bCs/>
                <w:sz w:val="20"/>
                <w:szCs w:val="20"/>
              </w:rPr>
              <w:t>System organ class</w:t>
            </w:r>
            <w:r w:rsidRPr="00F91CC3">
              <w:rPr>
                <w:rFonts w:ascii="Arial Narrow" w:hAnsi="Arial Narrow" w:cs="Times New Roman"/>
                <w:b/>
                <w:bCs/>
                <w:sz w:val="20"/>
                <w:szCs w:val="20"/>
                <w:vertAlign w:val="superscript"/>
              </w:rPr>
              <w:t>a</w:t>
            </w:r>
          </w:p>
          <w:p w14:paraId="6A156D8E" w14:textId="77777777" w:rsidR="00034A31" w:rsidRPr="00F91CC3" w:rsidRDefault="00034A31" w:rsidP="00CF10BA">
            <w:pPr>
              <w:keepNext/>
              <w:keepLines/>
              <w:spacing w:before="20"/>
              <w:jc w:val="left"/>
              <w:rPr>
                <w:rFonts w:ascii="Arial Narrow" w:hAnsi="Arial Narrow" w:cs="Times New Roman"/>
                <w:b/>
                <w:bCs/>
                <w:sz w:val="20"/>
                <w:szCs w:val="20"/>
              </w:rPr>
            </w:pPr>
            <w:r w:rsidRPr="00F91CC3">
              <w:rPr>
                <w:rFonts w:ascii="Arial Narrow" w:hAnsi="Arial Narrow" w:cs="Times New Roman"/>
                <w:b/>
                <w:bCs/>
                <w:sz w:val="20"/>
                <w:szCs w:val="20"/>
              </w:rPr>
              <w:t>Preferred Term</w:t>
            </w:r>
          </w:p>
        </w:tc>
        <w:tc>
          <w:tcPr>
            <w:tcW w:w="1187" w:type="dxa"/>
            <w:shd w:val="clear" w:color="auto" w:fill="auto"/>
          </w:tcPr>
          <w:p w14:paraId="5318C836" w14:textId="77777777" w:rsidR="00034A31" w:rsidRPr="00F91CC3" w:rsidRDefault="00034A31" w:rsidP="00CF10BA">
            <w:pPr>
              <w:keepNext/>
              <w:keepLines/>
              <w:spacing w:before="20"/>
              <w:jc w:val="center"/>
              <w:rPr>
                <w:rFonts w:ascii="Arial Narrow" w:hAnsi="Arial Narrow" w:cs="Times New Roman"/>
                <w:b/>
                <w:bCs/>
                <w:sz w:val="20"/>
                <w:szCs w:val="20"/>
              </w:rPr>
            </w:pPr>
            <w:r w:rsidRPr="00F91CC3">
              <w:rPr>
                <w:rFonts w:ascii="Arial Narrow" w:hAnsi="Arial Narrow" w:cs="Times New Roman"/>
                <w:b/>
                <w:bCs/>
                <w:sz w:val="20"/>
                <w:szCs w:val="20"/>
              </w:rPr>
              <w:t>Group 2</w:t>
            </w:r>
          </w:p>
          <w:p w14:paraId="78C5A178" w14:textId="77777777" w:rsidR="00034A31" w:rsidRPr="00F91CC3" w:rsidRDefault="00034A31" w:rsidP="00CF10BA">
            <w:pPr>
              <w:keepNext/>
              <w:keepLines/>
              <w:spacing w:before="20"/>
              <w:jc w:val="center"/>
              <w:rPr>
                <w:rFonts w:ascii="Arial Narrow" w:hAnsi="Arial Narrow" w:cs="Times New Roman"/>
                <w:b/>
                <w:bCs/>
                <w:sz w:val="20"/>
                <w:szCs w:val="20"/>
              </w:rPr>
            </w:pPr>
            <w:r w:rsidRPr="00F91CC3">
              <w:rPr>
                <w:rFonts w:ascii="Arial Narrow" w:hAnsi="Arial Narrow" w:cs="Times New Roman"/>
                <w:b/>
                <w:bCs/>
                <w:sz w:val="20"/>
                <w:szCs w:val="20"/>
              </w:rPr>
              <w:t>IVA 25/50 mg</w:t>
            </w:r>
          </w:p>
          <w:p w14:paraId="50D08156" w14:textId="77777777" w:rsidR="00034A31" w:rsidRPr="00F91CC3" w:rsidRDefault="00034A31" w:rsidP="00CF10BA">
            <w:pPr>
              <w:keepNext/>
              <w:keepLines/>
              <w:spacing w:before="20"/>
              <w:jc w:val="center"/>
              <w:rPr>
                <w:rFonts w:ascii="Arial Narrow" w:hAnsi="Arial Narrow" w:cs="Times New Roman"/>
                <w:b/>
                <w:bCs/>
                <w:sz w:val="20"/>
                <w:szCs w:val="20"/>
              </w:rPr>
            </w:pPr>
            <w:r w:rsidRPr="00F91CC3">
              <w:rPr>
                <w:rFonts w:ascii="Arial Narrow" w:hAnsi="Arial Narrow" w:cs="Times New Roman"/>
                <w:b/>
                <w:bCs/>
                <w:sz w:val="20"/>
                <w:szCs w:val="20"/>
              </w:rPr>
              <w:t>N = 6, n (%)</w:t>
            </w:r>
          </w:p>
        </w:tc>
        <w:tc>
          <w:tcPr>
            <w:tcW w:w="1188" w:type="dxa"/>
            <w:shd w:val="clear" w:color="auto" w:fill="auto"/>
          </w:tcPr>
          <w:p w14:paraId="69FEAD1C" w14:textId="77777777" w:rsidR="00034A31" w:rsidRPr="00F91CC3" w:rsidRDefault="00034A31" w:rsidP="00CF10BA">
            <w:pPr>
              <w:keepNext/>
              <w:keepLines/>
              <w:spacing w:before="20"/>
              <w:jc w:val="center"/>
              <w:rPr>
                <w:rFonts w:ascii="Arial Narrow" w:hAnsi="Arial Narrow" w:cs="Times New Roman"/>
                <w:b/>
                <w:bCs/>
                <w:sz w:val="20"/>
                <w:szCs w:val="20"/>
              </w:rPr>
            </w:pPr>
            <w:r w:rsidRPr="00F91CC3">
              <w:rPr>
                <w:rFonts w:ascii="Arial Narrow" w:hAnsi="Arial Narrow" w:cs="Times New Roman"/>
                <w:b/>
                <w:bCs/>
                <w:sz w:val="20"/>
                <w:szCs w:val="20"/>
              </w:rPr>
              <w:t>Group 3</w:t>
            </w:r>
          </w:p>
          <w:p w14:paraId="6A440873" w14:textId="77777777" w:rsidR="00034A31" w:rsidRPr="00F91CC3" w:rsidRDefault="00034A31" w:rsidP="00CF10BA">
            <w:pPr>
              <w:keepNext/>
              <w:keepLines/>
              <w:spacing w:before="20"/>
              <w:jc w:val="center"/>
              <w:rPr>
                <w:rFonts w:ascii="Arial Narrow" w:hAnsi="Arial Narrow" w:cs="Times New Roman"/>
                <w:b/>
                <w:bCs/>
                <w:sz w:val="20"/>
                <w:szCs w:val="20"/>
              </w:rPr>
            </w:pPr>
            <w:r w:rsidRPr="00F91CC3">
              <w:rPr>
                <w:rFonts w:ascii="Arial Narrow" w:hAnsi="Arial Narrow" w:cs="Times New Roman"/>
                <w:b/>
                <w:bCs/>
                <w:sz w:val="20"/>
                <w:szCs w:val="20"/>
              </w:rPr>
              <w:t>IVA 25/50 mg</w:t>
            </w:r>
          </w:p>
          <w:p w14:paraId="4F051897" w14:textId="77777777" w:rsidR="00034A31" w:rsidRPr="00F91CC3" w:rsidRDefault="00034A31" w:rsidP="00CF10BA">
            <w:pPr>
              <w:keepNext/>
              <w:keepLines/>
              <w:spacing w:before="20"/>
              <w:jc w:val="center"/>
              <w:rPr>
                <w:rFonts w:ascii="Arial Narrow" w:hAnsi="Arial Narrow" w:cs="Times New Roman"/>
                <w:b/>
                <w:bCs/>
                <w:sz w:val="20"/>
                <w:szCs w:val="20"/>
              </w:rPr>
            </w:pPr>
            <w:r w:rsidRPr="00F91CC3">
              <w:rPr>
                <w:rFonts w:ascii="Arial Narrow" w:hAnsi="Arial Narrow" w:cs="Times New Roman"/>
                <w:b/>
                <w:bCs/>
                <w:sz w:val="20"/>
                <w:szCs w:val="20"/>
              </w:rPr>
              <w:t>N = 6, n(%)</w:t>
            </w:r>
          </w:p>
        </w:tc>
        <w:tc>
          <w:tcPr>
            <w:tcW w:w="1188" w:type="dxa"/>
            <w:shd w:val="clear" w:color="auto" w:fill="auto"/>
          </w:tcPr>
          <w:p w14:paraId="118D3984" w14:textId="77777777" w:rsidR="00034A31" w:rsidRPr="00F91CC3" w:rsidRDefault="00034A31" w:rsidP="00CF10BA">
            <w:pPr>
              <w:keepNext/>
              <w:keepLines/>
              <w:spacing w:before="20"/>
              <w:jc w:val="center"/>
              <w:rPr>
                <w:rFonts w:ascii="Arial Narrow" w:hAnsi="Arial Narrow" w:cs="Times New Roman"/>
                <w:b/>
                <w:bCs/>
                <w:sz w:val="20"/>
                <w:szCs w:val="20"/>
              </w:rPr>
            </w:pPr>
            <w:r w:rsidRPr="00F91CC3">
              <w:rPr>
                <w:rFonts w:ascii="Arial Narrow" w:hAnsi="Arial Narrow" w:cs="Times New Roman"/>
                <w:b/>
                <w:bCs/>
                <w:sz w:val="20"/>
                <w:szCs w:val="20"/>
              </w:rPr>
              <w:t>Group 6</w:t>
            </w:r>
          </w:p>
          <w:p w14:paraId="71E43C91" w14:textId="77777777" w:rsidR="00034A31" w:rsidRPr="00F91CC3" w:rsidRDefault="00034A31" w:rsidP="00CF10BA">
            <w:pPr>
              <w:keepNext/>
              <w:keepLines/>
              <w:spacing w:before="20"/>
              <w:jc w:val="center"/>
              <w:rPr>
                <w:rFonts w:ascii="Arial Narrow" w:hAnsi="Arial Narrow" w:cs="Times New Roman"/>
                <w:b/>
                <w:bCs/>
                <w:sz w:val="20"/>
                <w:szCs w:val="20"/>
              </w:rPr>
            </w:pPr>
            <w:r w:rsidRPr="00F91CC3">
              <w:rPr>
                <w:rFonts w:ascii="Arial Narrow" w:hAnsi="Arial Narrow" w:cs="Times New Roman"/>
                <w:b/>
                <w:bCs/>
                <w:sz w:val="20"/>
                <w:szCs w:val="20"/>
              </w:rPr>
              <w:t>IVA 50mg</w:t>
            </w:r>
          </w:p>
          <w:p w14:paraId="5BF468AE" w14:textId="77777777" w:rsidR="00034A31" w:rsidRPr="00F91CC3" w:rsidRDefault="00034A31" w:rsidP="00CF10BA">
            <w:pPr>
              <w:keepNext/>
              <w:keepLines/>
              <w:spacing w:before="20"/>
              <w:jc w:val="center"/>
              <w:rPr>
                <w:rFonts w:ascii="Arial Narrow" w:hAnsi="Arial Narrow" w:cs="Times New Roman"/>
                <w:b/>
                <w:bCs/>
                <w:sz w:val="20"/>
                <w:szCs w:val="20"/>
              </w:rPr>
            </w:pPr>
            <w:r w:rsidRPr="00F91CC3">
              <w:rPr>
                <w:rFonts w:ascii="Arial Narrow" w:hAnsi="Arial Narrow" w:cs="Times New Roman"/>
                <w:b/>
                <w:bCs/>
                <w:sz w:val="20"/>
                <w:szCs w:val="20"/>
              </w:rPr>
              <w:t>N = 11, n (%)</w:t>
            </w:r>
          </w:p>
        </w:tc>
        <w:tc>
          <w:tcPr>
            <w:tcW w:w="1188" w:type="dxa"/>
            <w:shd w:val="clear" w:color="auto" w:fill="auto"/>
          </w:tcPr>
          <w:p w14:paraId="4A60CB87" w14:textId="77777777" w:rsidR="00034A31" w:rsidRPr="00F91CC3" w:rsidRDefault="00034A31" w:rsidP="00CF10BA">
            <w:pPr>
              <w:keepNext/>
              <w:keepLines/>
              <w:spacing w:before="20"/>
              <w:jc w:val="center"/>
              <w:rPr>
                <w:rFonts w:ascii="Arial Narrow" w:hAnsi="Arial Narrow" w:cs="Times New Roman"/>
                <w:b/>
                <w:bCs/>
                <w:sz w:val="20"/>
                <w:szCs w:val="20"/>
              </w:rPr>
            </w:pPr>
            <w:r w:rsidRPr="00F91CC3">
              <w:rPr>
                <w:rFonts w:ascii="Arial Narrow" w:hAnsi="Arial Narrow" w:cs="Times New Roman"/>
                <w:b/>
                <w:bCs/>
                <w:sz w:val="20"/>
                <w:szCs w:val="20"/>
              </w:rPr>
              <w:t>Group 7</w:t>
            </w:r>
          </w:p>
          <w:p w14:paraId="7E6CDE98" w14:textId="77777777" w:rsidR="00034A31" w:rsidRPr="00F91CC3" w:rsidRDefault="00034A31" w:rsidP="00CF10BA">
            <w:pPr>
              <w:keepNext/>
              <w:keepLines/>
              <w:spacing w:before="20"/>
              <w:jc w:val="center"/>
              <w:rPr>
                <w:rFonts w:ascii="Arial Narrow" w:hAnsi="Arial Narrow" w:cs="Times New Roman"/>
                <w:b/>
                <w:bCs/>
                <w:sz w:val="20"/>
                <w:szCs w:val="20"/>
              </w:rPr>
            </w:pPr>
            <w:r w:rsidRPr="00F91CC3">
              <w:rPr>
                <w:rFonts w:ascii="Arial Narrow" w:hAnsi="Arial Narrow" w:cs="Times New Roman"/>
                <w:b/>
                <w:bCs/>
                <w:sz w:val="20"/>
                <w:szCs w:val="20"/>
              </w:rPr>
              <w:t>IVA 25mg</w:t>
            </w:r>
          </w:p>
          <w:p w14:paraId="31A46448" w14:textId="77777777" w:rsidR="00034A31" w:rsidRPr="00F91CC3" w:rsidRDefault="00034A31" w:rsidP="00CF10BA">
            <w:pPr>
              <w:keepNext/>
              <w:keepLines/>
              <w:spacing w:before="20"/>
              <w:jc w:val="center"/>
              <w:rPr>
                <w:rFonts w:ascii="Arial Narrow" w:hAnsi="Arial Narrow" w:cs="Times New Roman"/>
                <w:b/>
                <w:bCs/>
                <w:sz w:val="20"/>
                <w:szCs w:val="20"/>
              </w:rPr>
            </w:pPr>
            <w:r w:rsidRPr="00F91CC3">
              <w:rPr>
                <w:rFonts w:ascii="Arial Narrow" w:hAnsi="Arial Narrow" w:cs="Times New Roman"/>
                <w:b/>
                <w:bCs/>
                <w:sz w:val="20"/>
                <w:szCs w:val="20"/>
              </w:rPr>
              <w:t>N = 6, n (%)</w:t>
            </w:r>
          </w:p>
        </w:tc>
      </w:tr>
      <w:tr w:rsidR="00034A31" w:rsidRPr="00F91CC3" w14:paraId="61CDD2CD" w14:textId="77777777" w:rsidTr="00D738D1">
        <w:tc>
          <w:tcPr>
            <w:tcW w:w="4265" w:type="dxa"/>
            <w:shd w:val="clear" w:color="auto" w:fill="auto"/>
          </w:tcPr>
          <w:p w14:paraId="66BF9BE1" w14:textId="77777777" w:rsidR="00034A31" w:rsidRPr="00F91CC3" w:rsidRDefault="00034A31" w:rsidP="00CF10BA">
            <w:pPr>
              <w:keepNext/>
              <w:keepLines/>
              <w:spacing w:before="20"/>
              <w:jc w:val="left"/>
              <w:rPr>
                <w:rFonts w:ascii="Arial Narrow" w:hAnsi="Arial Narrow" w:cs="Times New Roman"/>
                <w:bCs/>
                <w:sz w:val="20"/>
                <w:szCs w:val="20"/>
              </w:rPr>
            </w:pPr>
            <w:r w:rsidRPr="00F91CC3">
              <w:rPr>
                <w:rFonts w:ascii="Arial Narrow" w:hAnsi="Arial Narrow" w:cs="Times New Roman"/>
                <w:bCs/>
                <w:sz w:val="20"/>
                <w:szCs w:val="20"/>
              </w:rPr>
              <w:t>Patients with</w:t>
            </w:r>
            <w:r w:rsidRPr="00F91CC3">
              <w:rPr>
                <w:rFonts w:ascii="Arial Narrow" w:hAnsi="Arial Narrow" w:cs="Times New Roman"/>
                <w:bCs/>
                <w:spacing w:val="-5"/>
                <w:sz w:val="20"/>
                <w:szCs w:val="20"/>
              </w:rPr>
              <w:t xml:space="preserve"> </w:t>
            </w:r>
            <w:r w:rsidRPr="00F91CC3">
              <w:rPr>
                <w:rFonts w:ascii="Arial Narrow" w:hAnsi="Arial Narrow" w:cs="Times New Roman"/>
                <w:bCs/>
                <w:sz w:val="20"/>
                <w:szCs w:val="20"/>
              </w:rPr>
              <w:t>any</w:t>
            </w:r>
            <w:r w:rsidRPr="00F91CC3">
              <w:rPr>
                <w:rFonts w:ascii="Arial Narrow" w:hAnsi="Arial Narrow" w:cs="Times New Roman"/>
                <w:bCs/>
                <w:spacing w:val="-1"/>
                <w:sz w:val="20"/>
                <w:szCs w:val="20"/>
              </w:rPr>
              <w:t xml:space="preserve"> </w:t>
            </w:r>
            <w:r w:rsidRPr="00F91CC3">
              <w:rPr>
                <w:rFonts w:ascii="Arial Narrow" w:hAnsi="Arial Narrow" w:cs="Times New Roman"/>
                <w:bCs/>
                <w:sz w:val="20"/>
                <w:szCs w:val="20"/>
              </w:rPr>
              <w:t>AEs</w:t>
            </w:r>
          </w:p>
        </w:tc>
        <w:tc>
          <w:tcPr>
            <w:tcW w:w="1187" w:type="dxa"/>
            <w:shd w:val="clear" w:color="auto" w:fill="auto"/>
            <w:vAlign w:val="center"/>
          </w:tcPr>
          <w:p w14:paraId="5FCBEFDC" w14:textId="77777777" w:rsidR="00034A31" w:rsidRPr="00F91CC3" w:rsidRDefault="00034A31" w:rsidP="00CF10BA">
            <w:pPr>
              <w:keepNext/>
              <w:keepLines/>
              <w:spacing w:before="20"/>
              <w:jc w:val="center"/>
              <w:rPr>
                <w:rFonts w:ascii="Arial Narrow" w:hAnsi="Arial Narrow" w:cs="Times New Roman"/>
                <w:sz w:val="20"/>
                <w:szCs w:val="20"/>
              </w:rPr>
            </w:pPr>
            <w:r w:rsidRPr="00F91CC3">
              <w:rPr>
                <w:rFonts w:ascii="Arial Narrow" w:hAnsi="Arial Narrow" w:cs="Times New Roman"/>
                <w:sz w:val="20"/>
                <w:szCs w:val="20"/>
              </w:rPr>
              <w:t>4 (66.7)</w:t>
            </w:r>
          </w:p>
        </w:tc>
        <w:tc>
          <w:tcPr>
            <w:tcW w:w="1188" w:type="dxa"/>
            <w:shd w:val="clear" w:color="auto" w:fill="auto"/>
            <w:vAlign w:val="center"/>
          </w:tcPr>
          <w:p w14:paraId="2DBDC50E" w14:textId="77777777" w:rsidR="00034A31" w:rsidRPr="00F91CC3" w:rsidRDefault="00034A31" w:rsidP="00CF10BA">
            <w:pPr>
              <w:keepNext/>
              <w:keepLines/>
              <w:spacing w:before="20"/>
              <w:jc w:val="center"/>
              <w:rPr>
                <w:rFonts w:ascii="Arial Narrow" w:hAnsi="Arial Narrow" w:cs="Times New Roman"/>
                <w:sz w:val="20"/>
                <w:szCs w:val="20"/>
              </w:rPr>
            </w:pPr>
            <w:r w:rsidRPr="00F91CC3">
              <w:rPr>
                <w:rFonts w:ascii="Arial Narrow" w:hAnsi="Arial Narrow" w:cs="Times New Roman"/>
                <w:sz w:val="20"/>
                <w:szCs w:val="20"/>
              </w:rPr>
              <w:t>3 (50.0)</w:t>
            </w:r>
          </w:p>
        </w:tc>
        <w:tc>
          <w:tcPr>
            <w:tcW w:w="1188" w:type="dxa"/>
            <w:shd w:val="clear" w:color="auto" w:fill="auto"/>
          </w:tcPr>
          <w:p w14:paraId="643D86C5" w14:textId="77777777" w:rsidR="00034A31" w:rsidRPr="00F91CC3" w:rsidRDefault="00034A31" w:rsidP="00CF10BA">
            <w:pPr>
              <w:keepNext/>
              <w:keepLines/>
              <w:spacing w:before="20"/>
              <w:jc w:val="center"/>
              <w:rPr>
                <w:rFonts w:ascii="Arial Narrow" w:hAnsi="Arial Narrow" w:cs="Times New Roman"/>
                <w:sz w:val="20"/>
                <w:szCs w:val="20"/>
              </w:rPr>
            </w:pPr>
            <w:r w:rsidRPr="00F91CC3">
              <w:rPr>
                <w:rFonts w:ascii="Arial Narrow" w:hAnsi="Arial Narrow" w:cs="Times New Roman"/>
                <w:sz w:val="20"/>
                <w:szCs w:val="20"/>
              </w:rPr>
              <w:t>10 (90.9)</w:t>
            </w:r>
          </w:p>
        </w:tc>
        <w:tc>
          <w:tcPr>
            <w:tcW w:w="1188" w:type="dxa"/>
            <w:shd w:val="clear" w:color="auto" w:fill="auto"/>
          </w:tcPr>
          <w:p w14:paraId="276827DB" w14:textId="77777777" w:rsidR="00034A31" w:rsidRPr="00F91CC3" w:rsidRDefault="00034A31" w:rsidP="00CF10BA">
            <w:pPr>
              <w:keepNext/>
              <w:keepLines/>
              <w:spacing w:before="20"/>
              <w:jc w:val="center"/>
              <w:rPr>
                <w:rFonts w:ascii="Arial Narrow" w:hAnsi="Arial Narrow" w:cs="Times New Roman"/>
                <w:sz w:val="20"/>
                <w:szCs w:val="20"/>
              </w:rPr>
            </w:pPr>
            <w:r w:rsidRPr="00F91CC3">
              <w:rPr>
                <w:rFonts w:ascii="Arial Narrow" w:hAnsi="Arial Narrow" w:cs="Times New Roman"/>
                <w:sz w:val="20"/>
                <w:szCs w:val="20"/>
              </w:rPr>
              <w:t>6 (100.0)</w:t>
            </w:r>
          </w:p>
        </w:tc>
      </w:tr>
      <w:tr w:rsidR="00034A31" w:rsidRPr="00F91CC3" w14:paraId="0E3CB0AB" w14:textId="77777777" w:rsidTr="00D738D1">
        <w:tc>
          <w:tcPr>
            <w:tcW w:w="4265" w:type="dxa"/>
            <w:shd w:val="clear" w:color="auto" w:fill="auto"/>
          </w:tcPr>
          <w:p w14:paraId="301CDEEF" w14:textId="77777777" w:rsidR="00034A31" w:rsidRPr="00F91CC3" w:rsidRDefault="00034A31" w:rsidP="00CF10BA">
            <w:pPr>
              <w:keepNext/>
              <w:keepLines/>
              <w:spacing w:before="20"/>
              <w:jc w:val="left"/>
              <w:rPr>
                <w:rFonts w:ascii="Arial Narrow" w:hAnsi="Arial Narrow" w:cs="Times New Roman"/>
                <w:bCs/>
                <w:sz w:val="20"/>
                <w:szCs w:val="20"/>
              </w:rPr>
            </w:pPr>
            <w:r w:rsidRPr="00F91CC3">
              <w:rPr>
                <w:rFonts w:ascii="Arial Narrow" w:hAnsi="Arial Narrow" w:cs="Times New Roman"/>
                <w:bCs/>
                <w:sz w:val="20"/>
                <w:szCs w:val="20"/>
              </w:rPr>
              <w:t>Patients with</w:t>
            </w:r>
            <w:r w:rsidRPr="00F91CC3">
              <w:rPr>
                <w:rFonts w:ascii="Arial Narrow" w:hAnsi="Arial Narrow" w:cs="Times New Roman"/>
                <w:bCs/>
                <w:spacing w:val="-5"/>
                <w:sz w:val="20"/>
                <w:szCs w:val="20"/>
              </w:rPr>
              <w:t xml:space="preserve"> </w:t>
            </w:r>
            <w:r w:rsidRPr="00F91CC3">
              <w:rPr>
                <w:rFonts w:ascii="Arial Narrow" w:hAnsi="Arial Narrow" w:cs="Times New Roman"/>
                <w:bCs/>
                <w:sz w:val="20"/>
                <w:szCs w:val="20"/>
              </w:rPr>
              <w:t>related</w:t>
            </w:r>
            <w:r w:rsidRPr="00F91CC3">
              <w:rPr>
                <w:rFonts w:ascii="Arial Narrow" w:hAnsi="Arial Narrow" w:cs="Times New Roman"/>
                <w:bCs/>
                <w:spacing w:val="-1"/>
                <w:sz w:val="20"/>
                <w:szCs w:val="20"/>
              </w:rPr>
              <w:t xml:space="preserve"> </w:t>
            </w:r>
            <w:r w:rsidRPr="00F91CC3">
              <w:rPr>
                <w:rFonts w:ascii="Arial Narrow" w:hAnsi="Arial Narrow" w:cs="Times New Roman"/>
                <w:bCs/>
                <w:sz w:val="20"/>
                <w:szCs w:val="20"/>
              </w:rPr>
              <w:t>AEs</w:t>
            </w:r>
          </w:p>
        </w:tc>
        <w:tc>
          <w:tcPr>
            <w:tcW w:w="1187" w:type="dxa"/>
            <w:shd w:val="clear" w:color="auto" w:fill="auto"/>
          </w:tcPr>
          <w:p w14:paraId="5EA15635" w14:textId="77777777" w:rsidR="00034A31" w:rsidRPr="00F91CC3" w:rsidRDefault="00034A31" w:rsidP="00CF10BA">
            <w:pPr>
              <w:keepNext/>
              <w:keepLines/>
              <w:spacing w:before="20"/>
              <w:jc w:val="center"/>
              <w:rPr>
                <w:rFonts w:ascii="Arial Narrow" w:hAnsi="Arial Narrow" w:cs="Times New Roman"/>
                <w:sz w:val="20"/>
                <w:szCs w:val="20"/>
              </w:rPr>
            </w:pPr>
            <w:r w:rsidRPr="00F91CC3">
              <w:rPr>
                <w:rFonts w:ascii="Arial Narrow" w:hAnsi="Arial Narrow" w:cs="Times New Roman"/>
                <w:sz w:val="20"/>
                <w:szCs w:val="20"/>
              </w:rPr>
              <w:t>3 (50)</w:t>
            </w:r>
          </w:p>
        </w:tc>
        <w:tc>
          <w:tcPr>
            <w:tcW w:w="1188" w:type="dxa"/>
            <w:shd w:val="clear" w:color="auto" w:fill="auto"/>
          </w:tcPr>
          <w:p w14:paraId="6E7511DB" w14:textId="77777777" w:rsidR="00034A31" w:rsidRPr="00F91CC3" w:rsidRDefault="00034A31" w:rsidP="00CF10BA">
            <w:pPr>
              <w:keepNext/>
              <w:keepLines/>
              <w:spacing w:before="20"/>
              <w:jc w:val="center"/>
              <w:rPr>
                <w:rFonts w:ascii="Arial Narrow" w:hAnsi="Arial Narrow" w:cs="Times New Roman"/>
                <w:sz w:val="20"/>
                <w:szCs w:val="20"/>
              </w:rPr>
            </w:pPr>
            <w:r w:rsidRPr="00F91CC3">
              <w:rPr>
                <w:rFonts w:ascii="Arial Narrow" w:hAnsi="Arial Narrow" w:cs="Times New Roman"/>
                <w:sz w:val="20"/>
                <w:szCs w:val="20"/>
              </w:rPr>
              <w:t>0</w:t>
            </w:r>
          </w:p>
        </w:tc>
        <w:tc>
          <w:tcPr>
            <w:tcW w:w="1188" w:type="dxa"/>
            <w:shd w:val="clear" w:color="auto" w:fill="auto"/>
          </w:tcPr>
          <w:p w14:paraId="1C3B0043" w14:textId="77777777" w:rsidR="00034A31" w:rsidRPr="00F91CC3" w:rsidRDefault="00034A31" w:rsidP="00CF10BA">
            <w:pPr>
              <w:keepNext/>
              <w:keepLines/>
              <w:spacing w:before="20"/>
              <w:jc w:val="center"/>
              <w:rPr>
                <w:rFonts w:ascii="Arial Narrow" w:hAnsi="Arial Narrow" w:cs="Times New Roman"/>
                <w:sz w:val="20"/>
                <w:szCs w:val="20"/>
              </w:rPr>
            </w:pPr>
            <w:r w:rsidRPr="00F91CC3">
              <w:rPr>
                <w:rFonts w:ascii="Arial Narrow" w:hAnsi="Arial Narrow" w:cs="Times New Roman"/>
                <w:sz w:val="20"/>
                <w:szCs w:val="20"/>
              </w:rPr>
              <w:t>2 (18.2)</w:t>
            </w:r>
          </w:p>
        </w:tc>
        <w:tc>
          <w:tcPr>
            <w:tcW w:w="1188" w:type="dxa"/>
            <w:shd w:val="clear" w:color="auto" w:fill="auto"/>
          </w:tcPr>
          <w:p w14:paraId="1E85CE01" w14:textId="77777777" w:rsidR="00034A31" w:rsidRPr="00F91CC3" w:rsidRDefault="00034A31" w:rsidP="00CF10BA">
            <w:pPr>
              <w:keepNext/>
              <w:keepLines/>
              <w:spacing w:before="20"/>
              <w:jc w:val="center"/>
              <w:rPr>
                <w:rFonts w:ascii="Arial Narrow" w:hAnsi="Arial Narrow" w:cs="Times New Roman"/>
                <w:sz w:val="20"/>
                <w:szCs w:val="20"/>
              </w:rPr>
            </w:pPr>
            <w:r w:rsidRPr="00F91CC3">
              <w:rPr>
                <w:rFonts w:ascii="Arial Narrow" w:hAnsi="Arial Narrow" w:cs="Times New Roman"/>
                <w:sz w:val="20"/>
                <w:szCs w:val="20"/>
              </w:rPr>
              <w:t>0</w:t>
            </w:r>
          </w:p>
        </w:tc>
      </w:tr>
      <w:tr w:rsidR="00034A31" w:rsidRPr="00F91CC3" w14:paraId="457C8FD5" w14:textId="77777777" w:rsidTr="00D738D1">
        <w:tc>
          <w:tcPr>
            <w:tcW w:w="4265" w:type="dxa"/>
            <w:shd w:val="clear" w:color="auto" w:fill="auto"/>
          </w:tcPr>
          <w:p w14:paraId="49523B5B" w14:textId="77777777" w:rsidR="00034A31" w:rsidRPr="00F91CC3" w:rsidRDefault="00034A31" w:rsidP="00CF10BA">
            <w:pPr>
              <w:keepNext/>
              <w:keepLines/>
              <w:spacing w:before="20"/>
              <w:jc w:val="left"/>
              <w:rPr>
                <w:rFonts w:ascii="Arial Narrow" w:hAnsi="Arial Narrow" w:cs="Times New Roman"/>
                <w:bCs/>
                <w:sz w:val="20"/>
                <w:szCs w:val="20"/>
              </w:rPr>
            </w:pPr>
            <w:r w:rsidRPr="00F91CC3">
              <w:rPr>
                <w:rFonts w:ascii="Arial Narrow" w:hAnsi="Arial Narrow" w:cs="Times New Roman"/>
                <w:bCs/>
                <w:sz w:val="20"/>
                <w:szCs w:val="20"/>
              </w:rPr>
              <w:t>Patients with</w:t>
            </w:r>
            <w:r w:rsidRPr="00F91CC3">
              <w:rPr>
                <w:rFonts w:ascii="Arial Narrow" w:hAnsi="Arial Narrow" w:cs="Times New Roman"/>
                <w:bCs/>
                <w:spacing w:val="-5"/>
                <w:sz w:val="20"/>
                <w:szCs w:val="20"/>
              </w:rPr>
              <w:t xml:space="preserve"> </w:t>
            </w:r>
            <w:r w:rsidRPr="00F91CC3">
              <w:rPr>
                <w:rFonts w:ascii="Arial Narrow" w:hAnsi="Arial Narrow" w:cs="Times New Roman"/>
                <w:bCs/>
                <w:sz w:val="20"/>
                <w:szCs w:val="20"/>
              </w:rPr>
              <w:t>AEs leading to treatment discontinuation</w:t>
            </w:r>
          </w:p>
        </w:tc>
        <w:tc>
          <w:tcPr>
            <w:tcW w:w="1187" w:type="dxa"/>
            <w:shd w:val="clear" w:color="auto" w:fill="auto"/>
          </w:tcPr>
          <w:p w14:paraId="72BBE47A" w14:textId="77777777" w:rsidR="00034A31" w:rsidRPr="00F91CC3" w:rsidRDefault="00034A31" w:rsidP="00CF10BA">
            <w:pPr>
              <w:keepNext/>
              <w:keepLines/>
              <w:spacing w:before="20"/>
              <w:jc w:val="center"/>
              <w:rPr>
                <w:rFonts w:ascii="Arial Narrow" w:hAnsi="Arial Narrow" w:cs="Times New Roman"/>
                <w:sz w:val="20"/>
                <w:szCs w:val="20"/>
              </w:rPr>
            </w:pPr>
            <w:r w:rsidRPr="00F91CC3">
              <w:rPr>
                <w:rFonts w:ascii="Arial Narrow" w:hAnsi="Arial Narrow" w:cs="Times New Roman"/>
                <w:sz w:val="20"/>
                <w:szCs w:val="20"/>
              </w:rPr>
              <w:t>0</w:t>
            </w:r>
          </w:p>
        </w:tc>
        <w:tc>
          <w:tcPr>
            <w:tcW w:w="1188" w:type="dxa"/>
            <w:shd w:val="clear" w:color="auto" w:fill="auto"/>
          </w:tcPr>
          <w:p w14:paraId="2D391508" w14:textId="77777777" w:rsidR="00034A31" w:rsidRPr="00F91CC3" w:rsidRDefault="00034A31" w:rsidP="00CF10BA">
            <w:pPr>
              <w:keepNext/>
              <w:keepLines/>
              <w:spacing w:before="20"/>
              <w:jc w:val="center"/>
              <w:rPr>
                <w:rFonts w:ascii="Arial Narrow" w:hAnsi="Arial Narrow" w:cs="Times New Roman"/>
                <w:sz w:val="20"/>
                <w:szCs w:val="20"/>
              </w:rPr>
            </w:pPr>
            <w:r w:rsidRPr="00F91CC3">
              <w:rPr>
                <w:rFonts w:ascii="Arial Narrow" w:hAnsi="Arial Narrow" w:cs="Times New Roman"/>
                <w:sz w:val="20"/>
                <w:szCs w:val="20"/>
              </w:rPr>
              <w:t>0</w:t>
            </w:r>
          </w:p>
        </w:tc>
        <w:tc>
          <w:tcPr>
            <w:tcW w:w="1188" w:type="dxa"/>
            <w:shd w:val="clear" w:color="auto" w:fill="auto"/>
          </w:tcPr>
          <w:p w14:paraId="01E89F5D" w14:textId="77777777" w:rsidR="00034A31" w:rsidRPr="00F91CC3" w:rsidRDefault="00034A31" w:rsidP="00CF10BA">
            <w:pPr>
              <w:keepNext/>
              <w:keepLines/>
              <w:spacing w:before="20"/>
              <w:jc w:val="center"/>
              <w:rPr>
                <w:rFonts w:ascii="Arial Narrow" w:hAnsi="Arial Narrow" w:cs="Times New Roman"/>
                <w:sz w:val="20"/>
                <w:szCs w:val="20"/>
              </w:rPr>
            </w:pPr>
            <w:r w:rsidRPr="00F91CC3">
              <w:rPr>
                <w:rFonts w:ascii="Arial Narrow" w:hAnsi="Arial Narrow" w:cs="Times New Roman"/>
                <w:sz w:val="20"/>
                <w:szCs w:val="20"/>
              </w:rPr>
              <w:t>0</w:t>
            </w:r>
          </w:p>
        </w:tc>
        <w:tc>
          <w:tcPr>
            <w:tcW w:w="1188" w:type="dxa"/>
            <w:shd w:val="clear" w:color="auto" w:fill="auto"/>
          </w:tcPr>
          <w:p w14:paraId="543662E3" w14:textId="77777777" w:rsidR="00034A31" w:rsidRPr="00F91CC3" w:rsidRDefault="00034A31" w:rsidP="00CF10BA">
            <w:pPr>
              <w:keepNext/>
              <w:keepLines/>
              <w:spacing w:before="20"/>
              <w:jc w:val="center"/>
              <w:rPr>
                <w:rFonts w:ascii="Arial Narrow" w:hAnsi="Arial Narrow" w:cs="Times New Roman"/>
                <w:sz w:val="20"/>
                <w:szCs w:val="20"/>
              </w:rPr>
            </w:pPr>
            <w:r w:rsidRPr="00F91CC3">
              <w:rPr>
                <w:rFonts w:ascii="Arial Narrow" w:hAnsi="Arial Narrow" w:cs="Times New Roman"/>
                <w:sz w:val="20"/>
                <w:szCs w:val="20"/>
              </w:rPr>
              <w:t>0</w:t>
            </w:r>
          </w:p>
        </w:tc>
      </w:tr>
      <w:tr w:rsidR="00034A31" w:rsidRPr="00F91CC3" w14:paraId="095614A5" w14:textId="77777777" w:rsidTr="00D738D1">
        <w:tc>
          <w:tcPr>
            <w:tcW w:w="4265" w:type="dxa"/>
            <w:shd w:val="clear" w:color="auto" w:fill="auto"/>
          </w:tcPr>
          <w:p w14:paraId="56A6C867" w14:textId="77777777" w:rsidR="00034A31" w:rsidRPr="00F91CC3" w:rsidRDefault="00034A31" w:rsidP="00CF10BA">
            <w:pPr>
              <w:keepNext/>
              <w:keepLines/>
              <w:spacing w:before="20"/>
              <w:jc w:val="left"/>
              <w:rPr>
                <w:rFonts w:ascii="Arial Narrow" w:hAnsi="Arial Narrow" w:cs="Times New Roman"/>
                <w:bCs/>
                <w:sz w:val="20"/>
                <w:szCs w:val="20"/>
              </w:rPr>
            </w:pPr>
            <w:r w:rsidRPr="00F91CC3">
              <w:rPr>
                <w:rFonts w:ascii="Arial Narrow" w:hAnsi="Arial Narrow" w:cs="Times New Roman"/>
                <w:bCs/>
                <w:sz w:val="20"/>
                <w:szCs w:val="20"/>
              </w:rPr>
              <w:t>Patients with</w:t>
            </w:r>
            <w:r w:rsidRPr="00F91CC3">
              <w:rPr>
                <w:rFonts w:ascii="Arial Narrow" w:hAnsi="Arial Narrow" w:cs="Times New Roman"/>
                <w:bCs/>
                <w:spacing w:val="-5"/>
                <w:sz w:val="20"/>
                <w:szCs w:val="20"/>
              </w:rPr>
              <w:t xml:space="preserve"> </w:t>
            </w:r>
            <w:r w:rsidRPr="00F91CC3">
              <w:rPr>
                <w:rFonts w:ascii="Arial Narrow" w:hAnsi="Arial Narrow" w:cs="Times New Roman"/>
                <w:bCs/>
                <w:sz w:val="20"/>
                <w:szCs w:val="20"/>
              </w:rPr>
              <w:t>AEs leading to treatment interruption</w:t>
            </w:r>
          </w:p>
        </w:tc>
        <w:tc>
          <w:tcPr>
            <w:tcW w:w="1187" w:type="dxa"/>
            <w:shd w:val="clear" w:color="auto" w:fill="auto"/>
          </w:tcPr>
          <w:p w14:paraId="5762F215" w14:textId="77777777" w:rsidR="00034A31" w:rsidRPr="00F91CC3" w:rsidRDefault="00034A31" w:rsidP="00CF10BA">
            <w:pPr>
              <w:keepNext/>
              <w:keepLines/>
              <w:spacing w:before="20"/>
              <w:jc w:val="center"/>
              <w:rPr>
                <w:rFonts w:ascii="Arial Narrow" w:hAnsi="Arial Narrow" w:cs="Times New Roman"/>
                <w:sz w:val="20"/>
                <w:szCs w:val="20"/>
              </w:rPr>
            </w:pPr>
            <w:r w:rsidRPr="00F91CC3">
              <w:rPr>
                <w:rFonts w:ascii="Arial Narrow" w:hAnsi="Arial Narrow" w:cs="Times New Roman"/>
                <w:sz w:val="20"/>
                <w:szCs w:val="20"/>
              </w:rPr>
              <w:t>0</w:t>
            </w:r>
          </w:p>
        </w:tc>
        <w:tc>
          <w:tcPr>
            <w:tcW w:w="1188" w:type="dxa"/>
            <w:shd w:val="clear" w:color="auto" w:fill="auto"/>
          </w:tcPr>
          <w:p w14:paraId="09EDE13B" w14:textId="77777777" w:rsidR="00034A31" w:rsidRPr="00F91CC3" w:rsidRDefault="00034A31" w:rsidP="00CF10BA">
            <w:pPr>
              <w:keepNext/>
              <w:keepLines/>
              <w:spacing w:before="20"/>
              <w:jc w:val="center"/>
              <w:rPr>
                <w:rFonts w:ascii="Arial Narrow" w:hAnsi="Arial Narrow" w:cs="Times New Roman"/>
                <w:sz w:val="20"/>
                <w:szCs w:val="20"/>
              </w:rPr>
            </w:pPr>
            <w:r w:rsidRPr="00F91CC3">
              <w:rPr>
                <w:rFonts w:ascii="Arial Narrow" w:hAnsi="Arial Narrow" w:cs="Times New Roman"/>
                <w:sz w:val="20"/>
                <w:szCs w:val="20"/>
              </w:rPr>
              <w:t>0</w:t>
            </w:r>
          </w:p>
        </w:tc>
        <w:tc>
          <w:tcPr>
            <w:tcW w:w="1188" w:type="dxa"/>
            <w:shd w:val="clear" w:color="auto" w:fill="auto"/>
          </w:tcPr>
          <w:p w14:paraId="05E6407F" w14:textId="77777777" w:rsidR="00034A31" w:rsidRPr="00F91CC3" w:rsidRDefault="00034A31" w:rsidP="00CF10BA">
            <w:pPr>
              <w:keepNext/>
              <w:keepLines/>
              <w:spacing w:before="20"/>
              <w:jc w:val="center"/>
              <w:rPr>
                <w:rFonts w:ascii="Arial Narrow" w:hAnsi="Arial Narrow" w:cs="Times New Roman"/>
                <w:sz w:val="20"/>
                <w:szCs w:val="20"/>
              </w:rPr>
            </w:pPr>
            <w:r w:rsidRPr="00F91CC3">
              <w:rPr>
                <w:rFonts w:ascii="Arial Narrow" w:hAnsi="Arial Narrow" w:cs="Times New Roman"/>
                <w:sz w:val="20"/>
                <w:szCs w:val="20"/>
              </w:rPr>
              <w:t>1 (9.1)</w:t>
            </w:r>
          </w:p>
        </w:tc>
        <w:tc>
          <w:tcPr>
            <w:tcW w:w="1188" w:type="dxa"/>
            <w:shd w:val="clear" w:color="auto" w:fill="auto"/>
          </w:tcPr>
          <w:p w14:paraId="6D44F41E" w14:textId="77777777" w:rsidR="00034A31" w:rsidRPr="00F91CC3" w:rsidRDefault="00034A31" w:rsidP="00CF10BA">
            <w:pPr>
              <w:keepNext/>
              <w:keepLines/>
              <w:spacing w:before="20"/>
              <w:jc w:val="center"/>
              <w:rPr>
                <w:rFonts w:ascii="Arial Narrow" w:hAnsi="Arial Narrow" w:cs="Times New Roman"/>
                <w:sz w:val="20"/>
                <w:szCs w:val="20"/>
              </w:rPr>
            </w:pPr>
            <w:r w:rsidRPr="00F91CC3">
              <w:rPr>
                <w:rFonts w:ascii="Arial Narrow" w:hAnsi="Arial Narrow" w:cs="Times New Roman"/>
                <w:sz w:val="20"/>
                <w:szCs w:val="20"/>
              </w:rPr>
              <w:t>0</w:t>
            </w:r>
          </w:p>
        </w:tc>
      </w:tr>
      <w:tr w:rsidR="00034A31" w:rsidRPr="00F91CC3" w14:paraId="4C6B3DC9" w14:textId="77777777" w:rsidTr="00D738D1">
        <w:tc>
          <w:tcPr>
            <w:tcW w:w="4265" w:type="dxa"/>
            <w:shd w:val="clear" w:color="auto" w:fill="auto"/>
          </w:tcPr>
          <w:p w14:paraId="4662A73A" w14:textId="77777777" w:rsidR="00034A31" w:rsidRPr="00F91CC3" w:rsidRDefault="00034A31" w:rsidP="00CF10BA">
            <w:pPr>
              <w:keepNext/>
              <w:keepLines/>
              <w:spacing w:before="20"/>
              <w:jc w:val="left"/>
              <w:rPr>
                <w:rFonts w:ascii="Arial Narrow" w:hAnsi="Arial Narrow" w:cs="Times New Roman"/>
                <w:bCs/>
                <w:sz w:val="20"/>
                <w:szCs w:val="20"/>
              </w:rPr>
            </w:pPr>
            <w:r w:rsidRPr="00F91CC3">
              <w:rPr>
                <w:rFonts w:ascii="Arial Narrow" w:hAnsi="Arial Narrow" w:cs="Times New Roman"/>
                <w:bCs/>
                <w:sz w:val="20"/>
                <w:szCs w:val="20"/>
              </w:rPr>
              <w:t>Patients with</w:t>
            </w:r>
            <w:r w:rsidRPr="00F91CC3">
              <w:rPr>
                <w:rFonts w:ascii="Arial Narrow" w:hAnsi="Arial Narrow" w:cs="Times New Roman"/>
                <w:bCs/>
                <w:spacing w:val="-5"/>
                <w:sz w:val="20"/>
                <w:szCs w:val="20"/>
              </w:rPr>
              <w:t xml:space="preserve"> S</w:t>
            </w:r>
            <w:r w:rsidRPr="00F91CC3">
              <w:rPr>
                <w:rFonts w:ascii="Arial Narrow" w:hAnsi="Arial Narrow" w:cs="Times New Roman"/>
                <w:bCs/>
                <w:sz w:val="20"/>
                <w:szCs w:val="20"/>
              </w:rPr>
              <w:t>AEs</w:t>
            </w:r>
          </w:p>
        </w:tc>
        <w:tc>
          <w:tcPr>
            <w:tcW w:w="1187" w:type="dxa"/>
            <w:shd w:val="clear" w:color="auto" w:fill="auto"/>
          </w:tcPr>
          <w:p w14:paraId="51B63921" w14:textId="77777777" w:rsidR="00034A31" w:rsidRPr="00F91CC3" w:rsidRDefault="00034A31" w:rsidP="00CF10BA">
            <w:pPr>
              <w:keepNext/>
              <w:keepLines/>
              <w:spacing w:before="20"/>
              <w:jc w:val="center"/>
              <w:rPr>
                <w:rFonts w:ascii="Arial Narrow" w:hAnsi="Arial Narrow" w:cs="Times New Roman"/>
                <w:sz w:val="20"/>
                <w:szCs w:val="20"/>
              </w:rPr>
            </w:pPr>
            <w:r w:rsidRPr="00F91CC3">
              <w:rPr>
                <w:rFonts w:ascii="Arial Narrow" w:hAnsi="Arial Narrow" w:cs="Times New Roman"/>
                <w:sz w:val="20"/>
                <w:szCs w:val="20"/>
              </w:rPr>
              <w:t>0</w:t>
            </w:r>
          </w:p>
        </w:tc>
        <w:tc>
          <w:tcPr>
            <w:tcW w:w="1188" w:type="dxa"/>
            <w:shd w:val="clear" w:color="auto" w:fill="auto"/>
          </w:tcPr>
          <w:p w14:paraId="56BA97C1" w14:textId="77777777" w:rsidR="00034A31" w:rsidRPr="00F91CC3" w:rsidRDefault="00034A31" w:rsidP="00CF10BA">
            <w:pPr>
              <w:keepNext/>
              <w:keepLines/>
              <w:spacing w:before="20"/>
              <w:jc w:val="center"/>
              <w:rPr>
                <w:rFonts w:ascii="Arial Narrow" w:hAnsi="Arial Narrow" w:cs="Times New Roman"/>
                <w:sz w:val="20"/>
                <w:szCs w:val="20"/>
              </w:rPr>
            </w:pPr>
            <w:r w:rsidRPr="00F91CC3">
              <w:rPr>
                <w:rFonts w:ascii="Arial Narrow" w:hAnsi="Arial Narrow" w:cs="Times New Roman"/>
                <w:sz w:val="20"/>
                <w:szCs w:val="20"/>
              </w:rPr>
              <w:t>0</w:t>
            </w:r>
          </w:p>
        </w:tc>
        <w:tc>
          <w:tcPr>
            <w:tcW w:w="1188" w:type="dxa"/>
            <w:shd w:val="clear" w:color="auto" w:fill="auto"/>
          </w:tcPr>
          <w:p w14:paraId="4F5CAF1D" w14:textId="77777777" w:rsidR="00034A31" w:rsidRPr="00F91CC3" w:rsidRDefault="00034A31" w:rsidP="00CF10BA">
            <w:pPr>
              <w:keepNext/>
              <w:keepLines/>
              <w:spacing w:before="20"/>
              <w:jc w:val="center"/>
              <w:rPr>
                <w:rFonts w:ascii="Arial Narrow" w:hAnsi="Arial Narrow" w:cs="Times New Roman"/>
                <w:sz w:val="20"/>
                <w:szCs w:val="20"/>
              </w:rPr>
            </w:pPr>
            <w:r w:rsidRPr="00F91CC3">
              <w:rPr>
                <w:rFonts w:ascii="Arial Narrow" w:hAnsi="Arial Narrow" w:cs="Times New Roman"/>
                <w:sz w:val="20"/>
                <w:szCs w:val="20"/>
              </w:rPr>
              <w:t>3 (27.3)</w:t>
            </w:r>
          </w:p>
        </w:tc>
        <w:tc>
          <w:tcPr>
            <w:tcW w:w="1188" w:type="dxa"/>
            <w:shd w:val="clear" w:color="auto" w:fill="auto"/>
          </w:tcPr>
          <w:p w14:paraId="31B6C9DF" w14:textId="77777777" w:rsidR="00034A31" w:rsidRPr="00F91CC3" w:rsidRDefault="00034A31" w:rsidP="00CF10BA">
            <w:pPr>
              <w:keepNext/>
              <w:keepLines/>
              <w:spacing w:before="20"/>
              <w:jc w:val="center"/>
              <w:rPr>
                <w:rFonts w:ascii="Arial Narrow" w:hAnsi="Arial Narrow" w:cs="Times New Roman"/>
                <w:sz w:val="20"/>
                <w:szCs w:val="20"/>
              </w:rPr>
            </w:pPr>
            <w:r w:rsidRPr="00F91CC3">
              <w:rPr>
                <w:rFonts w:ascii="Arial Narrow" w:hAnsi="Arial Narrow" w:cs="Times New Roman"/>
                <w:sz w:val="20"/>
                <w:szCs w:val="20"/>
              </w:rPr>
              <w:t>1 (16.7)</w:t>
            </w:r>
          </w:p>
        </w:tc>
      </w:tr>
      <w:tr w:rsidR="00034A31" w:rsidRPr="00F91CC3" w14:paraId="7C8385AA" w14:textId="77777777" w:rsidTr="00D738D1">
        <w:tc>
          <w:tcPr>
            <w:tcW w:w="4265" w:type="dxa"/>
            <w:shd w:val="clear" w:color="auto" w:fill="auto"/>
          </w:tcPr>
          <w:p w14:paraId="492E36B0" w14:textId="77777777" w:rsidR="00034A31" w:rsidRPr="00F91CC3" w:rsidRDefault="00034A31" w:rsidP="00CF10BA">
            <w:pPr>
              <w:keepNext/>
              <w:keepLines/>
              <w:spacing w:before="20"/>
              <w:jc w:val="left"/>
              <w:rPr>
                <w:rFonts w:ascii="Arial Narrow" w:hAnsi="Arial Narrow" w:cs="Times New Roman"/>
                <w:bCs/>
                <w:sz w:val="20"/>
                <w:szCs w:val="20"/>
              </w:rPr>
            </w:pPr>
            <w:r w:rsidRPr="00F91CC3">
              <w:rPr>
                <w:rFonts w:ascii="Arial Narrow" w:hAnsi="Arial Narrow" w:cs="Times New Roman"/>
                <w:bCs/>
                <w:sz w:val="20"/>
                <w:szCs w:val="20"/>
              </w:rPr>
              <w:t>Patients with</w:t>
            </w:r>
            <w:r w:rsidRPr="00F91CC3">
              <w:rPr>
                <w:rFonts w:ascii="Arial Narrow" w:hAnsi="Arial Narrow" w:cs="Times New Roman"/>
                <w:bCs/>
                <w:spacing w:val="-5"/>
                <w:sz w:val="20"/>
                <w:szCs w:val="20"/>
              </w:rPr>
              <w:t xml:space="preserve"> </w:t>
            </w:r>
            <w:r w:rsidRPr="00F91CC3">
              <w:rPr>
                <w:rFonts w:ascii="Arial Narrow" w:hAnsi="Arial Narrow" w:cs="Times New Roman"/>
                <w:bCs/>
                <w:sz w:val="20"/>
                <w:szCs w:val="20"/>
              </w:rPr>
              <w:t>AEs leading to death</w:t>
            </w:r>
          </w:p>
        </w:tc>
        <w:tc>
          <w:tcPr>
            <w:tcW w:w="1187" w:type="dxa"/>
            <w:shd w:val="clear" w:color="auto" w:fill="auto"/>
          </w:tcPr>
          <w:p w14:paraId="0CF4E2A5" w14:textId="77777777" w:rsidR="00034A31" w:rsidRPr="00F91CC3" w:rsidRDefault="00034A31" w:rsidP="00CF10BA">
            <w:pPr>
              <w:keepNext/>
              <w:keepLines/>
              <w:spacing w:before="20"/>
              <w:jc w:val="center"/>
              <w:rPr>
                <w:rFonts w:ascii="Arial Narrow" w:hAnsi="Arial Narrow" w:cs="Times New Roman"/>
                <w:sz w:val="20"/>
                <w:szCs w:val="20"/>
              </w:rPr>
            </w:pPr>
            <w:r w:rsidRPr="00F91CC3">
              <w:rPr>
                <w:rFonts w:ascii="Arial Narrow" w:hAnsi="Arial Narrow" w:cs="Times New Roman"/>
                <w:sz w:val="20"/>
                <w:szCs w:val="20"/>
              </w:rPr>
              <w:t>0</w:t>
            </w:r>
          </w:p>
        </w:tc>
        <w:tc>
          <w:tcPr>
            <w:tcW w:w="1188" w:type="dxa"/>
            <w:shd w:val="clear" w:color="auto" w:fill="auto"/>
          </w:tcPr>
          <w:p w14:paraId="29A78C37" w14:textId="77777777" w:rsidR="00034A31" w:rsidRPr="00F91CC3" w:rsidRDefault="00034A31" w:rsidP="00CF10BA">
            <w:pPr>
              <w:keepNext/>
              <w:keepLines/>
              <w:spacing w:before="20"/>
              <w:jc w:val="center"/>
              <w:rPr>
                <w:rFonts w:ascii="Arial Narrow" w:hAnsi="Arial Narrow" w:cs="Times New Roman"/>
                <w:sz w:val="20"/>
                <w:szCs w:val="20"/>
              </w:rPr>
            </w:pPr>
            <w:r w:rsidRPr="00F91CC3">
              <w:rPr>
                <w:rFonts w:ascii="Arial Narrow" w:hAnsi="Arial Narrow" w:cs="Times New Roman"/>
                <w:sz w:val="20"/>
                <w:szCs w:val="20"/>
              </w:rPr>
              <w:t>0</w:t>
            </w:r>
          </w:p>
        </w:tc>
        <w:tc>
          <w:tcPr>
            <w:tcW w:w="1188" w:type="dxa"/>
            <w:shd w:val="clear" w:color="auto" w:fill="auto"/>
          </w:tcPr>
          <w:p w14:paraId="1BBADD45" w14:textId="77777777" w:rsidR="00034A31" w:rsidRPr="00F91CC3" w:rsidRDefault="00034A31" w:rsidP="00CF10BA">
            <w:pPr>
              <w:keepNext/>
              <w:keepLines/>
              <w:spacing w:before="20"/>
              <w:jc w:val="center"/>
              <w:rPr>
                <w:rFonts w:ascii="Arial Narrow" w:hAnsi="Arial Narrow" w:cs="Times New Roman"/>
                <w:sz w:val="20"/>
                <w:szCs w:val="20"/>
              </w:rPr>
            </w:pPr>
          </w:p>
        </w:tc>
        <w:tc>
          <w:tcPr>
            <w:tcW w:w="1188" w:type="dxa"/>
            <w:shd w:val="clear" w:color="auto" w:fill="auto"/>
          </w:tcPr>
          <w:p w14:paraId="6AC757E3" w14:textId="77777777" w:rsidR="00034A31" w:rsidRPr="00F91CC3" w:rsidRDefault="00034A31" w:rsidP="00CF10BA">
            <w:pPr>
              <w:keepNext/>
              <w:keepLines/>
              <w:spacing w:before="20"/>
              <w:jc w:val="center"/>
              <w:rPr>
                <w:rFonts w:ascii="Arial Narrow" w:hAnsi="Arial Narrow" w:cs="Times New Roman"/>
                <w:sz w:val="20"/>
                <w:szCs w:val="20"/>
              </w:rPr>
            </w:pPr>
            <w:r w:rsidRPr="00F91CC3">
              <w:rPr>
                <w:rFonts w:ascii="Arial Narrow" w:hAnsi="Arial Narrow" w:cs="Times New Roman"/>
                <w:sz w:val="20"/>
                <w:szCs w:val="20"/>
              </w:rPr>
              <w:t>0</w:t>
            </w:r>
          </w:p>
        </w:tc>
      </w:tr>
      <w:tr w:rsidR="00034A31" w:rsidRPr="00F91CC3" w14:paraId="2FBFF1B9" w14:textId="77777777" w:rsidTr="00D738D1">
        <w:tc>
          <w:tcPr>
            <w:tcW w:w="4265" w:type="dxa"/>
            <w:shd w:val="clear" w:color="auto" w:fill="auto"/>
          </w:tcPr>
          <w:p w14:paraId="5CABC1AB" w14:textId="77777777" w:rsidR="00034A31" w:rsidRPr="00F91CC3" w:rsidRDefault="00034A31" w:rsidP="00CF10BA">
            <w:pPr>
              <w:keepNext/>
              <w:keepLines/>
              <w:spacing w:before="20"/>
              <w:jc w:val="left"/>
              <w:rPr>
                <w:rFonts w:ascii="Arial Narrow" w:hAnsi="Arial Narrow" w:cs="Times New Roman"/>
                <w:b/>
                <w:sz w:val="20"/>
                <w:szCs w:val="20"/>
              </w:rPr>
            </w:pPr>
            <w:r w:rsidRPr="00F91CC3">
              <w:rPr>
                <w:rFonts w:ascii="Arial Narrow" w:hAnsi="Arial Narrow" w:cs="Times New Roman"/>
                <w:b/>
                <w:bCs/>
                <w:sz w:val="20"/>
                <w:szCs w:val="20"/>
              </w:rPr>
              <w:t>Patients with</w:t>
            </w:r>
            <w:r w:rsidRPr="00F91CC3">
              <w:rPr>
                <w:rFonts w:ascii="Arial Narrow" w:hAnsi="Arial Narrow" w:cs="Times New Roman"/>
                <w:b/>
                <w:bCs/>
                <w:spacing w:val="-6"/>
                <w:sz w:val="20"/>
                <w:szCs w:val="20"/>
              </w:rPr>
              <w:t xml:space="preserve"> </w:t>
            </w:r>
            <w:r w:rsidRPr="00F91CC3">
              <w:rPr>
                <w:rFonts w:ascii="Arial Narrow" w:hAnsi="Arial Narrow" w:cs="Times New Roman"/>
                <w:b/>
                <w:bCs/>
                <w:sz w:val="20"/>
                <w:szCs w:val="20"/>
              </w:rPr>
              <w:t>any</w:t>
            </w:r>
            <w:r w:rsidRPr="00F91CC3">
              <w:rPr>
                <w:rFonts w:ascii="Arial Narrow" w:hAnsi="Arial Narrow" w:cs="Times New Roman"/>
                <w:b/>
                <w:bCs/>
                <w:spacing w:val="-1"/>
                <w:sz w:val="20"/>
                <w:szCs w:val="20"/>
              </w:rPr>
              <w:t xml:space="preserve"> </w:t>
            </w:r>
            <w:r w:rsidRPr="00F91CC3">
              <w:rPr>
                <w:rFonts w:ascii="Arial Narrow" w:hAnsi="Arial Narrow" w:cs="Times New Roman"/>
                <w:b/>
                <w:bCs/>
                <w:sz w:val="20"/>
                <w:szCs w:val="20"/>
              </w:rPr>
              <w:t>AEs</w:t>
            </w:r>
          </w:p>
        </w:tc>
        <w:tc>
          <w:tcPr>
            <w:tcW w:w="1187" w:type="dxa"/>
            <w:shd w:val="clear" w:color="auto" w:fill="auto"/>
            <w:vAlign w:val="center"/>
          </w:tcPr>
          <w:p w14:paraId="4431A127" w14:textId="77777777" w:rsidR="00034A31" w:rsidRPr="00F91CC3" w:rsidRDefault="00034A31" w:rsidP="00CF10BA">
            <w:pPr>
              <w:keepNext/>
              <w:keepLines/>
              <w:spacing w:before="20"/>
              <w:jc w:val="center"/>
              <w:rPr>
                <w:rFonts w:ascii="Arial Narrow" w:hAnsi="Arial Narrow" w:cs="Times New Roman"/>
                <w:sz w:val="20"/>
                <w:szCs w:val="20"/>
              </w:rPr>
            </w:pPr>
            <w:r w:rsidRPr="00F91CC3">
              <w:rPr>
                <w:rFonts w:ascii="Arial Narrow" w:hAnsi="Arial Narrow" w:cs="Times New Roman"/>
                <w:sz w:val="20"/>
                <w:szCs w:val="20"/>
              </w:rPr>
              <w:t>4 (66.7)</w:t>
            </w:r>
          </w:p>
        </w:tc>
        <w:tc>
          <w:tcPr>
            <w:tcW w:w="1188" w:type="dxa"/>
            <w:shd w:val="clear" w:color="auto" w:fill="auto"/>
            <w:vAlign w:val="center"/>
          </w:tcPr>
          <w:p w14:paraId="3F001B73" w14:textId="77777777" w:rsidR="00034A31" w:rsidRPr="00F91CC3" w:rsidRDefault="00034A31" w:rsidP="00CF10BA">
            <w:pPr>
              <w:keepNext/>
              <w:keepLines/>
              <w:spacing w:before="20"/>
              <w:jc w:val="center"/>
              <w:rPr>
                <w:rFonts w:ascii="Arial Narrow" w:hAnsi="Arial Narrow" w:cs="Times New Roman"/>
                <w:sz w:val="20"/>
                <w:szCs w:val="20"/>
              </w:rPr>
            </w:pPr>
            <w:r w:rsidRPr="00F91CC3">
              <w:rPr>
                <w:rFonts w:ascii="Arial Narrow" w:hAnsi="Arial Narrow" w:cs="Times New Roman"/>
                <w:sz w:val="20"/>
                <w:szCs w:val="20"/>
              </w:rPr>
              <w:t>3 (50.0)</w:t>
            </w:r>
          </w:p>
        </w:tc>
        <w:tc>
          <w:tcPr>
            <w:tcW w:w="1188" w:type="dxa"/>
            <w:shd w:val="clear" w:color="auto" w:fill="auto"/>
          </w:tcPr>
          <w:p w14:paraId="0229F328" w14:textId="77777777" w:rsidR="00034A31" w:rsidRPr="00F91CC3" w:rsidRDefault="00034A31" w:rsidP="00CF10BA">
            <w:pPr>
              <w:keepNext/>
              <w:keepLines/>
              <w:spacing w:before="20"/>
              <w:jc w:val="center"/>
              <w:rPr>
                <w:rFonts w:ascii="Arial Narrow" w:hAnsi="Arial Narrow" w:cs="Times New Roman"/>
                <w:sz w:val="20"/>
                <w:szCs w:val="20"/>
              </w:rPr>
            </w:pPr>
            <w:r w:rsidRPr="00F91CC3">
              <w:rPr>
                <w:rFonts w:ascii="Arial Narrow" w:hAnsi="Arial Narrow" w:cs="Times New Roman"/>
                <w:sz w:val="20"/>
                <w:szCs w:val="20"/>
              </w:rPr>
              <w:t>10 (90.0)</w:t>
            </w:r>
          </w:p>
        </w:tc>
        <w:tc>
          <w:tcPr>
            <w:tcW w:w="1188" w:type="dxa"/>
            <w:shd w:val="clear" w:color="auto" w:fill="auto"/>
          </w:tcPr>
          <w:p w14:paraId="1E61F9FC" w14:textId="77777777" w:rsidR="00034A31" w:rsidRPr="00F91CC3" w:rsidRDefault="00034A31" w:rsidP="00CF10BA">
            <w:pPr>
              <w:keepNext/>
              <w:keepLines/>
              <w:spacing w:before="20"/>
              <w:jc w:val="center"/>
              <w:rPr>
                <w:rFonts w:ascii="Arial Narrow" w:hAnsi="Arial Narrow" w:cs="Times New Roman"/>
                <w:sz w:val="20"/>
                <w:szCs w:val="20"/>
              </w:rPr>
            </w:pPr>
            <w:r w:rsidRPr="00F91CC3">
              <w:rPr>
                <w:rFonts w:ascii="Arial Narrow" w:hAnsi="Arial Narrow" w:cs="Times New Roman"/>
                <w:sz w:val="20"/>
                <w:szCs w:val="20"/>
              </w:rPr>
              <w:t>6 (100.0)</w:t>
            </w:r>
          </w:p>
        </w:tc>
      </w:tr>
      <w:tr w:rsidR="00034A31" w:rsidRPr="00F91CC3" w14:paraId="7785A6BC" w14:textId="77777777" w:rsidTr="00D738D1">
        <w:tc>
          <w:tcPr>
            <w:tcW w:w="4265" w:type="dxa"/>
            <w:shd w:val="clear" w:color="auto" w:fill="auto"/>
          </w:tcPr>
          <w:p w14:paraId="71A90106" w14:textId="77777777" w:rsidR="00034A31" w:rsidRPr="00F91CC3" w:rsidRDefault="00034A31" w:rsidP="00CF10BA">
            <w:pPr>
              <w:keepNext/>
              <w:keepLines/>
              <w:spacing w:before="20"/>
              <w:jc w:val="left"/>
              <w:rPr>
                <w:rFonts w:ascii="Arial Narrow" w:hAnsi="Arial Narrow" w:cs="Times New Roman"/>
                <w:sz w:val="20"/>
                <w:szCs w:val="20"/>
              </w:rPr>
            </w:pPr>
            <w:r w:rsidRPr="00F91CC3">
              <w:rPr>
                <w:rFonts w:ascii="Arial Narrow" w:hAnsi="Arial Narrow" w:cs="Times New Roman"/>
                <w:sz w:val="20"/>
                <w:szCs w:val="20"/>
              </w:rPr>
              <w:t>Mild</w:t>
            </w:r>
          </w:p>
        </w:tc>
        <w:tc>
          <w:tcPr>
            <w:tcW w:w="1187" w:type="dxa"/>
            <w:shd w:val="clear" w:color="auto" w:fill="auto"/>
          </w:tcPr>
          <w:p w14:paraId="7B993392" w14:textId="77777777" w:rsidR="00034A31" w:rsidRPr="00F91CC3" w:rsidRDefault="00034A31" w:rsidP="00CF10BA">
            <w:pPr>
              <w:keepNext/>
              <w:keepLines/>
              <w:spacing w:before="20"/>
              <w:jc w:val="center"/>
              <w:rPr>
                <w:rFonts w:ascii="Arial Narrow" w:hAnsi="Arial Narrow" w:cs="Times New Roman"/>
                <w:sz w:val="20"/>
                <w:szCs w:val="20"/>
              </w:rPr>
            </w:pPr>
            <w:r w:rsidRPr="00F91CC3">
              <w:rPr>
                <w:rFonts w:ascii="Arial Narrow" w:hAnsi="Arial Narrow" w:cs="Times New Roman"/>
                <w:sz w:val="20"/>
                <w:szCs w:val="20"/>
              </w:rPr>
              <w:t>3 (50)</w:t>
            </w:r>
          </w:p>
        </w:tc>
        <w:tc>
          <w:tcPr>
            <w:tcW w:w="1188" w:type="dxa"/>
            <w:shd w:val="clear" w:color="auto" w:fill="auto"/>
          </w:tcPr>
          <w:p w14:paraId="3F5C5390" w14:textId="77777777" w:rsidR="00034A31" w:rsidRPr="00F91CC3" w:rsidRDefault="00034A31" w:rsidP="00CF10BA">
            <w:pPr>
              <w:keepNext/>
              <w:keepLines/>
              <w:spacing w:before="20"/>
              <w:jc w:val="center"/>
              <w:rPr>
                <w:rFonts w:ascii="Arial Narrow" w:hAnsi="Arial Narrow" w:cs="Times New Roman"/>
                <w:sz w:val="20"/>
                <w:szCs w:val="20"/>
              </w:rPr>
            </w:pPr>
            <w:r w:rsidRPr="00F91CC3">
              <w:rPr>
                <w:rFonts w:ascii="Arial Narrow" w:hAnsi="Arial Narrow" w:cs="Times New Roman"/>
                <w:sz w:val="20"/>
                <w:szCs w:val="20"/>
              </w:rPr>
              <w:t>1 (16.7)</w:t>
            </w:r>
          </w:p>
        </w:tc>
        <w:tc>
          <w:tcPr>
            <w:tcW w:w="1188" w:type="dxa"/>
            <w:shd w:val="clear" w:color="auto" w:fill="auto"/>
          </w:tcPr>
          <w:p w14:paraId="53FE87F7" w14:textId="77777777" w:rsidR="00034A31" w:rsidRPr="00F91CC3" w:rsidRDefault="00034A31" w:rsidP="00CF10BA">
            <w:pPr>
              <w:keepNext/>
              <w:keepLines/>
              <w:spacing w:before="20"/>
              <w:jc w:val="center"/>
              <w:rPr>
                <w:rFonts w:ascii="Arial Narrow" w:hAnsi="Arial Narrow" w:cs="Times New Roman"/>
                <w:sz w:val="20"/>
                <w:szCs w:val="20"/>
              </w:rPr>
            </w:pPr>
            <w:r w:rsidRPr="00F91CC3">
              <w:rPr>
                <w:rFonts w:ascii="Arial Narrow" w:hAnsi="Arial Narrow" w:cs="Times New Roman"/>
                <w:position w:val="1"/>
                <w:sz w:val="20"/>
                <w:szCs w:val="20"/>
              </w:rPr>
              <w:t>4 (36.4)</w:t>
            </w:r>
          </w:p>
        </w:tc>
        <w:tc>
          <w:tcPr>
            <w:tcW w:w="1188" w:type="dxa"/>
            <w:shd w:val="clear" w:color="auto" w:fill="auto"/>
          </w:tcPr>
          <w:p w14:paraId="66B2E199" w14:textId="77777777" w:rsidR="00034A31" w:rsidRPr="00F91CC3" w:rsidRDefault="00034A31" w:rsidP="00CF10BA">
            <w:pPr>
              <w:keepNext/>
              <w:keepLines/>
              <w:spacing w:before="20"/>
              <w:jc w:val="center"/>
              <w:rPr>
                <w:rFonts w:ascii="Arial Narrow" w:hAnsi="Arial Narrow" w:cs="Times New Roman"/>
                <w:sz w:val="20"/>
                <w:szCs w:val="20"/>
              </w:rPr>
            </w:pPr>
            <w:r w:rsidRPr="00F91CC3">
              <w:rPr>
                <w:rFonts w:ascii="Arial Narrow" w:hAnsi="Arial Narrow" w:cs="Times New Roman"/>
                <w:position w:val="1"/>
                <w:sz w:val="20"/>
                <w:szCs w:val="20"/>
              </w:rPr>
              <w:t>4 (66.7)</w:t>
            </w:r>
          </w:p>
        </w:tc>
      </w:tr>
      <w:tr w:rsidR="00034A31" w:rsidRPr="00F91CC3" w14:paraId="3F3D5151" w14:textId="77777777" w:rsidTr="00D738D1">
        <w:tc>
          <w:tcPr>
            <w:tcW w:w="4265" w:type="dxa"/>
            <w:shd w:val="clear" w:color="auto" w:fill="auto"/>
          </w:tcPr>
          <w:p w14:paraId="5D5A79AC" w14:textId="77777777" w:rsidR="00034A31" w:rsidRPr="00F91CC3" w:rsidRDefault="00034A31" w:rsidP="00CF10BA">
            <w:pPr>
              <w:keepNext/>
              <w:keepLines/>
              <w:spacing w:before="20"/>
              <w:jc w:val="left"/>
              <w:rPr>
                <w:rFonts w:ascii="Arial Narrow" w:hAnsi="Arial Narrow" w:cs="Times New Roman"/>
                <w:sz w:val="20"/>
                <w:szCs w:val="20"/>
              </w:rPr>
            </w:pPr>
            <w:r w:rsidRPr="00F91CC3">
              <w:rPr>
                <w:rFonts w:ascii="Arial Narrow" w:hAnsi="Arial Narrow" w:cs="Times New Roman"/>
                <w:sz w:val="20"/>
                <w:szCs w:val="20"/>
              </w:rPr>
              <w:t>Moderate</w:t>
            </w:r>
          </w:p>
        </w:tc>
        <w:tc>
          <w:tcPr>
            <w:tcW w:w="1187" w:type="dxa"/>
            <w:shd w:val="clear" w:color="auto" w:fill="auto"/>
          </w:tcPr>
          <w:p w14:paraId="72FAB397" w14:textId="77777777" w:rsidR="00034A31" w:rsidRPr="00F91CC3" w:rsidRDefault="00034A31" w:rsidP="00CF10BA">
            <w:pPr>
              <w:keepNext/>
              <w:keepLines/>
              <w:spacing w:before="20"/>
              <w:jc w:val="center"/>
              <w:rPr>
                <w:rFonts w:ascii="Arial Narrow" w:hAnsi="Arial Narrow" w:cs="Times New Roman"/>
                <w:sz w:val="20"/>
                <w:szCs w:val="20"/>
              </w:rPr>
            </w:pPr>
            <w:r w:rsidRPr="00F91CC3">
              <w:rPr>
                <w:rFonts w:ascii="Arial Narrow" w:hAnsi="Arial Narrow" w:cs="Times New Roman"/>
                <w:sz w:val="20"/>
                <w:szCs w:val="20"/>
              </w:rPr>
              <w:t>0</w:t>
            </w:r>
          </w:p>
        </w:tc>
        <w:tc>
          <w:tcPr>
            <w:tcW w:w="1188" w:type="dxa"/>
            <w:shd w:val="clear" w:color="auto" w:fill="auto"/>
          </w:tcPr>
          <w:p w14:paraId="16C8AE94" w14:textId="77777777" w:rsidR="00034A31" w:rsidRPr="00F91CC3" w:rsidRDefault="00034A31" w:rsidP="00CF10BA">
            <w:pPr>
              <w:keepNext/>
              <w:keepLines/>
              <w:spacing w:before="20"/>
              <w:jc w:val="center"/>
              <w:rPr>
                <w:rFonts w:ascii="Arial Narrow" w:hAnsi="Arial Narrow" w:cs="Times New Roman"/>
                <w:sz w:val="20"/>
                <w:szCs w:val="20"/>
              </w:rPr>
            </w:pPr>
            <w:r w:rsidRPr="00F91CC3">
              <w:rPr>
                <w:rFonts w:ascii="Arial Narrow" w:hAnsi="Arial Narrow" w:cs="Times New Roman"/>
                <w:sz w:val="20"/>
                <w:szCs w:val="20"/>
              </w:rPr>
              <w:t>1 (16.7)</w:t>
            </w:r>
          </w:p>
        </w:tc>
        <w:tc>
          <w:tcPr>
            <w:tcW w:w="1188" w:type="dxa"/>
            <w:shd w:val="clear" w:color="auto" w:fill="auto"/>
          </w:tcPr>
          <w:p w14:paraId="2BDE2E05" w14:textId="77777777" w:rsidR="00034A31" w:rsidRPr="00F91CC3" w:rsidRDefault="00034A31" w:rsidP="00CF10BA">
            <w:pPr>
              <w:keepNext/>
              <w:keepLines/>
              <w:spacing w:before="20"/>
              <w:jc w:val="center"/>
              <w:rPr>
                <w:rFonts w:ascii="Arial Narrow" w:hAnsi="Arial Narrow" w:cs="Times New Roman"/>
                <w:sz w:val="20"/>
                <w:szCs w:val="20"/>
              </w:rPr>
            </w:pPr>
            <w:r w:rsidRPr="00F91CC3">
              <w:rPr>
                <w:rFonts w:ascii="Arial Narrow" w:hAnsi="Arial Narrow" w:cs="Times New Roman"/>
                <w:sz w:val="20"/>
                <w:szCs w:val="20"/>
              </w:rPr>
              <w:t>4 (36.4)</w:t>
            </w:r>
          </w:p>
        </w:tc>
        <w:tc>
          <w:tcPr>
            <w:tcW w:w="1188" w:type="dxa"/>
            <w:shd w:val="clear" w:color="auto" w:fill="auto"/>
          </w:tcPr>
          <w:p w14:paraId="05984FE2" w14:textId="77777777" w:rsidR="00034A31" w:rsidRPr="00F91CC3" w:rsidRDefault="00034A31" w:rsidP="00CF10BA">
            <w:pPr>
              <w:keepNext/>
              <w:keepLines/>
              <w:spacing w:before="20"/>
              <w:jc w:val="center"/>
              <w:rPr>
                <w:rFonts w:ascii="Arial Narrow" w:hAnsi="Arial Narrow" w:cs="Times New Roman"/>
                <w:sz w:val="20"/>
                <w:szCs w:val="20"/>
              </w:rPr>
            </w:pPr>
            <w:r w:rsidRPr="00F91CC3">
              <w:rPr>
                <w:rFonts w:ascii="Arial Narrow" w:hAnsi="Arial Narrow" w:cs="Times New Roman"/>
                <w:position w:val="1"/>
                <w:sz w:val="20"/>
                <w:szCs w:val="20"/>
              </w:rPr>
              <w:t>1 (16.7)</w:t>
            </w:r>
          </w:p>
        </w:tc>
      </w:tr>
      <w:tr w:rsidR="00034A31" w:rsidRPr="00F91CC3" w14:paraId="70A50D40" w14:textId="77777777" w:rsidTr="00D738D1">
        <w:tc>
          <w:tcPr>
            <w:tcW w:w="4265" w:type="dxa"/>
            <w:shd w:val="clear" w:color="auto" w:fill="auto"/>
          </w:tcPr>
          <w:p w14:paraId="2E655D74" w14:textId="77777777" w:rsidR="00034A31" w:rsidRPr="00F91CC3" w:rsidRDefault="00034A31" w:rsidP="00CF10BA">
            <w:pPr>
              <w:keepNext/>
              <w:keepLines/>
              <w:spacing w:before="20"/>
              <w:jc w:val="left"/>
              <w:rPr>
                <w:rFonts w:ascii="Arial Narrow" w:hAnsi="Arial Narrow" w:cs="Times New Roman"/>
                <w:sz w:val="20"/>
                <w:szCs w:val="20"/>
              </w:rPr>
            </w:pPr>
            <w:r w:rsidRPr="00F91CC3">
              <w:rPr>
                <w:rFonts w:ascii="Arial Narrow" w:hAnsi="Arial Narrow" w:cs="Times New Roman"/>
                <w:sz w:val="20"/>
                <w:szCs w:val="20"/>
              </w:rPr>
              <w:t>Severe</w:t>
            </w:r>
          </w:p>
        </w:tc>
        <w:tc>
          <w:tcPr>
            <w:tcW w:w="1187" w:type="dxa"/>
            <w:shd w:val="clear" w:color="auto" w:fill="auto"/>
          </w:tcPr>
          <w:p w14:paraId="01BEFA7E" w14:textId="77777777" w:rsidR="00034A31" w:rsidRPr="00F91CC3" w:rsidRDefault="00034A31" w:rsidP="00CF10BA">
            <w:pPr>
              <w:keepNext/>
              <w:keepLines/>
              <w:spacing w:before="20"/>
              <w:jc w:val="center"/>
              <w:rPr>
                <w:rFonts w:ascii="Arial Narrow" w:hAnsi="Arial Narrow" w:cs="Times New Roman"/>
                <w:sz w:val="20"/>
                <w:szCs w:val="20"/>
              </w:rPr>
            </w:pPr>
            <w:r w:rsidRPr="00F91CC3">
              <w:rPr>
                <w:rFonts w:ascii="Arial Narrow" w:hAnsi="Arial Narrow" w:cs="Times New Roman"/>
                <w:sz w:val="20"/>
                <w:szCs w:val="20"/>
              </w:rPr>
              <w:t>1 (16.7)</w:t>
            </w:r>
          </w:p>
        </w:tc>
        <w:tc>
          <w:tcPr>
            <w:tcW w:w="1188" w:type="dxa"/>
            <w:shd w:val="clear" w:color="auto" w:fill="auto"/>
          </w:tcPr>
          <w:p w14:paraId="169C74F7" w14:textId="77777777" w:rsidR="00034A31" w:rsidRPr="00F91CC3" w:rsidRDefault="00034A31" w:rsidP="00CF10BA">
            <w:pPr>
              <w:keepNext/>
              <w:keepLines/>
              <w:spacing w:before="20"/>
              <w:jc w:val="center"/>
              <w:rPr>
                <w:rFonts w:ascii="Arial Narrow" w:hAnsi="Arial Narrow" w:cs="Times New Roman"/>
                <w:sz w:val="20"/>
                <w:szCs w:val="20"/>
              </w:rPr>
            </w:pPr>
            <w:r w:rsidRPr="00F91CC3">
              <w:rPr>
                <w:rFonts w:ascii="Arial Narrow" w:hAnsi="Arial Narrow" w:cs="Times New Roman"/>
                <w:sz w:val="20"/>
                <w:szCs w:val="20"/>
              </w:rPr>
              <w:t>1 (16.7)</w:t>
            </w:r>
          </w:p>
        </w:tc>
        <w:tc>
          <w:tcPr>
            <w:tcW w:w="1188" w:type="dxa"/>
            <w:shd w:val="clear" w:color="auto" w:fill="auto"/>
          </w:tcPr>
          <w:p w14:paraId="0B3FDC43" w14:textId="77777777" w:rsidR="00034A31" w:rsidRPr="00F91CC3" w:rsidRDefault="00034A31" w:rsidP="00CF10BA">
            <w:pPr>
              <w:keepNext/>
              <w:keepLines/>
              <w:spacing w:before="20"/>
              <w:jc w:val="center"/>
              <w:rPr>
                <w:rFonts w:ascii="Arial Narrow" w:hAnsi="Arial Narrow" w:cs="Times New Roman"/>
                <w:sz w:val="20"/>
                <w:szCs w:val="20"/>
              </w:rPr>
            </w:pPr>
            <w:r w:rsidRPr="00F91CC3">
              <w:rPr>
                <w:rFonts w:ascii="Arial Narrow" w:hAnsi="Arial Narrow" w:cs="Times New Roman"/>
                <w:position w:val="1"/>
                <w:sz w:val="20"/>
                <w:szCs w:val="20"/>
              </w:rPr>
              <w:t>2</w:t>
            </w:r>
            <w:r w:rsidRPr="00F91CC3">
              <w:rPr>
                <w:rFonts w:ascii="Arial Narrow" w:hAnsi="Arial Narrow" w:cs="Times New Roman"/>
                <w:spacing w:val="-1"/>
                <w:position w:val="1"/>
                <w:sz w:val="20"/>
                <w:szCs w:val="20"/>
              </w:rPr>
              <w:t xml:space="preserve"> </w:t>
            </w:r>
            <w:r w:rsidRPr="00F91CC3">
              <w:rPr>
                <w:rFonts w:ascii="Arial Narrow" w:hAnsi="Arial Narrow" w:cs="Times New Roman"/>
                <w:position w:val="1"/>
                <w:sz w:val="20"/>
                <w:szCs w:val="20"/>
              </w:rPr>
              <w:t>(18.2)</w:t>
            </w:r>
          </w:p>
        </w:tc>
        <w:tc>
          <w:tcPr>
            <w:tcW w:w="1188" w:type="dxa"/>
            <w:shd w:val="clear" w:color="auto" w:fill="auto"/>
          </w:tcPr>
          <w:p w14:paraId="2BF1A71F" w14:textId="77777777" w:rsidR="00034A31" w:rsidRPr="00F91CC3" w:rsidRDefault="00034A31" w:rsidP="00CF10BA">
            <w:pPr>
              <w:keepNext/>
              <w:keepLines/>
              <w:spacing w:before="20"/>
              <w:jc w:val="center"/>
              <w:rPr>
                <w:rFonts w:ascii="Arial Narrow" w:hAnsi="Arial Narrow" w:cs="Times New Roman"/>
                <w:sz w:val="20"/>
                <w:szCs w:val="20"/>
              </w:rPr>
            </w:pPr>
            <w:r w:rsidRPr="00F91CC3">
              <w:rPr>
                <w:rFonts w:ascii="Arial Narrow" w:hAnsi="Arial Narrow" w:cs="Times New Roman"/>
                <w:position w:val="1"/>
                <w:sz w:val="20"/>
                <w:szCs w:val="20"/>
              </w:rPr>
              <w:t>1 (16.7)</w:t>
            </w:r>
          </w:p>
        </w:tc>
      </w:tr>
      <w:tr w:rsidR="00034A31" w:rsidRPr="00F91CC3" w14:paraId="621720B0" w14:textId="77777777" w:rsidTr="00D738D1">
        <w:tc>
          <w:tcPr>
            <w:tcW w:w="4265" w:type="dxa"/>
            <w:shd w:val="clear" w:color="auto" w:fill="auto"/>
          </w:tcPr>
          <w:p w14:paraId="06FA4AE9" w14:textId="77777777" w:rsidR="00034A31" w:rsidRPr="00F91CC3" w:rsidRDefault="00034A31" w:rsidP="00CF10BA">
            <w:pPr>
              <w:keepNext/>
              <w:keepLines/>
              <w:spacing w:before="20"/>
              <w:jc w:val="left"/>
              <w:rPr>
                <w:rFonts w:ascii="Arial Narrow" w:hAnsi="Arial Narrow" w:cs="Times New Roman"/>
                <w:sz w:val="20"/>
                <w:szCs w:val="20"/>
              </w:rPr>
            </w:pPr>
            <w:r w:rsidRPr="00F91CC3">
              <w:rPr>
                <w:rFonts w:ascii="Arial Narrow" w:hAnsi="Arial Narrow" w:cs="Times New Roman"/>
                <w:sz w:val="20"/>
                <w:szCs w:val="20"/>
              </w:rPr>
              <w:t>Life-threatening</w:t>
            </w:r>
          </w:p>
        </w:tc>
        <w:tc>
          <w:tcPr>
            <w:tcW w:w="1187" w:type="dxa"/>
            <w:shd w:val="clear" w:color="auto" w:fill="auto"/>
          </w:tcPr>
          <w:p w14:paraId="4B188D75" w14:textId="77777777" w:rsidR="00034A31" w:rsidRPr="00F91CC3" w:rsidRDefault="00034A31" w:rsidP="00CF10BA">
            <w:pPr>
              <w:keepNext/>
              <w:keepLines/>
              <w:spacing w:before="20"/>
              <w:jc w:val="center"/>
              <w:rPr>
                <w:rFonts w:ascii="Arial Narrow" w:hAnsi="Arial Narrow" w:cs="Times New Roman"/>
                <w:sz w:val="20"/>
                <w:szCs w:val="20"/>
              </w:rPr>
            </w:pPr>
            <w:r w:rsidRPr="00F91CC3">
              <w:rPr>
                <w:rFonts w:ascii="Arial Narrow" w:hAnsi="Arial Narrow" w:cs="Times New Roman"/>
                <w:sz w:val="20"/>
                <w:szCs w:val="20"/>
              </w:rPr>
              <w:t>0</w:t>
            </w:r>
          </w:p>
        </w:tc>
        <w:tc>
          <w:tcPr>
            <w:tcW w:w="1188" w:type="dxa"/>
            <w:shd w:val="clear" w:color="auto" w:fill="auto"/>
          </w:tcPr>
          <w:p w14:paraId="07F79FEB" w14:textId="77777777" w:rsidR="00034A31" w:rsidRPr="00F91CC3" w:rsidRDefault="00034A31" w:rsidP="00CF10BA">
            <w:pPr>
              <w:keepNext/>
              <w:keepLines/>
              <w:spacing w:before="20"/>
              <w:jc w:val="center"/>
              <w:rPr>
                <w:rFonts w:ascii="Arial Narrow" w:hAnsi="Arial Narrow" w:cs="Times New Roman"/>
                <w:sz w:val="20"/>
                <w:szCs w:val="20"/>
              </w:rPr>
            </w:pPr>
            <w:r w:rsidRPr="00F91CC3">
              <w:rPr>
                <w:rFonts w:ascii="Arial Narrow" w:hAnsi="Arial Narrow" w:cs="Times New Roman"/>
                <w:sz w:val="20"/>
                <w:szCs w:val="20"/>
              </w:rPr>
              <w:t>0</w:t>
            </w:r>
          </w:p>
        </w:tc>
        <w:tc>
          <w:tcPr>
            <w:tcW w:w="1188" w:type="dxa"/>
            <w:shd w:val="clear" w:color="auto" w:fill="auto"/>
          </w:tcPr>
          <w:p w14:paraId="41BEA8C0" w14:textId="77777777" w:rsidR="00034A31" w:rsidRPr="00F91CC3" w:rsidRDefault="00034A31" w:rsidP="00CF10BA">
            <w:pPr>
              <w:keepNext/>
              <w:keepLines/>
              <w:spacing w:before="20"/>
              <w:jc w:val="center"/>
              <w:rPr>
                <w:rFonts w:ascii="Arial Narrow" w:hAnsi="Arial Narrow" w:cs="Times New Roman"/>
                <w:sz w:val="20"/>
                <w:szCs w:val="20"/>
              </w:rPr>
            </w:pPr>
            <w:r w:rsidRPr="00F91CC3">
              <w:rPr>
                <w:rFonts w:ascii="Arial Narrow" w:hAnsi="Arial Narrow" w:cs="Times New Roman"/>
                <w:sz w:val="20"/>
                <w:szCs w:val="20"/>
              </w:rPr>
              <w:t>0</w:t>
            </w:r>
          </w:p>
        </w:tc>
        <w:tc>
          <w:tcPr>
            <w:tcW w:w="1188" w:type="dxa"/>
            <w:shd w:val="clear" w:color="auto" w:fill="auto"/>
          </w:tcPr>
          <w:p w14:paraId="4A5CB84C" w14:textId="77777777" w:rsidR="00034A31" w:rsidRPr="00F91CC3" w:rsidRDefault="00034A31" w:rsidP="00CF10BA">
            <w:pPr>
              <w:keepNext/>
              <w:keepLines/>
              <w:spacing w:before="20"/>
              <w:jc w:val="center"/>
              <w:rPr>
                <w:rFonts w:ascii="Arial Narrow" w:hAnsi="Arial Narrow" w:cs="Times New Roman"/>
                <w:sz w:val="20"/>
                <w:szCs w:val="20"/>
              </w:rPr>
            </w:pPr>
            <w:r w:rsidRPr="00F91CC3">
              <w:rPr>
                <w:rFonts w:ascii="Arial Narrow" w:hAnsi="Arial Narrow" w:cs="Times New Roman"/>
                <w:sz w:val="20"/>
                <w:szCs w:val="20"/>
              </w:rPr>
              <w:t>0</w:t>
            </w:r>
          </w:p>
        </w:tc>
      </w:tr>
      <w:tr w:rsidR="00034A31" w:rsidRPr="00F91CC3" w14:paraId="686927A4" w14:textId="77777777" w:rsidTr="00D738D1">
        <w:trPr>
          <w:trHeight w:val="85"/>
        </w:trPr>
        <w:tc>
          <w:tcPr>
            <w:tcW w:w="4265" w:type="dxa"/>
            <w:shd w:val="clear" w:color="auto" w:fill="auto"/>
          </w:tcPr>
          <w:p w14:paraId="2C4DDB0D" w14:textId="77777777" w:rsidR="00034A31" w:rsidRPr="00F91CC3" w:rsidRDefault="00034A31" w:rsidP="00CF10BA">
            <w:pPr>
              <w:keepNext/>
              <w:keepLines/>
              <w:spacing w:before="20"/>
              <w:jc w:val="left"/>
              <w:rPr>
                <w:rFonts w:ascii="Arial Narrow" w:hAnsi="Arial Narrow" w:cs="Times New Roman"/>
                <w:sz w:val="20"/>
                <w:szCs w:val="20"/>
              </w:rPr>
            </w:pPr>
            <w:r w:rsidRPr="00F91CC3">
              <w:rPr>
                <w:rFonts w:ascii="Arial Narrow" w:hAnsi="Arial Narrow" w:cs="Times New Roman"/>
                <w:sz w:val="20"/>
                <w:szCs w:val="20"/>
              </w:rPr>
              <w:t>Missing</w:t>
            </w:r>
          </w:p>
        </w:tc>
        <w:tc>
          <w:tcPr>
            <w:tcW w:w="1187" w:type="dxa"/>
            <w:shd w:val="clear" w:color="auto" w:fill="auto"/>
          </w:tcPr>
          <w:p w14:paraId="41D956C4" w14:textId="77777777" w:rsidR="00034A31" w:rsidRPr="00F91CC3" w:rsidRDefault="00034A31" w:rsidP="00CF10BA">
            <w:pPr>
              <w:keepNext/>
              <w:keepLines/>
              <w:spacing w:before="20"/>
              <w:jc w:val="center"/>
              <w:rPr>
                <w:rFonts w:ascii="Arial Narrow" w:hAnsi="Arial Narrow" w:cs="Times New Roman"/>
                <w:sz w:val="20"/>
                <w:szCs w:val="20"/>
              </w:rPr>
            </w:pPr>
            <w:r w:rsidRPr="00F91CC3">
              <w:rPr>
                <w:rFonts w:ascii="Arial Narrow" w:hAnsi="Arial Narrow" w:cs="Times New Roman"/>
                <w:sz w:val="20"/>
                <w:szCs w:val="20"/>
              </w:rPr>
              <w:t>0</w:t>
            </w:r>
          </w:p>
        </w:tc>
        <w:tc>
          <w:tcPr>
            <w:tcW w:w="1188" w:type="dxa"/>
            <w:shd w:val="clear" w:color="auto" w:fill="auto"/>
          </w:tcPr>
          <w:p w14:paraId="49E27D43" w14:textId="77777777" w:rsidR="00034A31" w:rsidRPr="00F91CC3" w:rsidRDefault="00034A31" w:rsidP="00CF10BA">
            <w:pPr>
              <w:keepNext/>
              <w:keepLines/>
              <w:spacing w:before="20"/>
              <w:jc w:val="center"/>
              <w:rPr>
                <w:rFonts w:ascii="Arial Narrow" w:hAnsi="Arial Narrow" w:cs="Times New Roman"/>
                <w:sz w:val="20"/>
                <w:szCs w:val="20"/>
              </w:rPr>
            </w:pPr>
            <w:r w:rsidRPr="00F91CC3">
              <w:rPr>
                <w:rFonts w:ascii="Arial Narrow" w:hAnsi="Arial Narrow" w:cs="Times New Roman"/>
                <w:sz w:val="20"/>
                <w:szCs w:val="20"/>
              </w:rPr>
              <w:t>0</w:t>
            </w:r>
          </w:p>
        </w:tc>
        <w:tc>
          <w:tcPr>
            <w:tcW w:w="1188" w:type="dxa"/>
            <w:shd w:val="clear" w:color="auto" w:fill="auto"/>
          </w:tcPr>
          <w:p w14:paraId="10EC47F0" w14:textId="77777777" w:rsidR="00034A31" w:rsidRPr="00F91CC3" w:rsidRDefault="00034A31" w:rsidP="00CF10BA">
            <w:pPr>
              <w:keepNext/>
              <w:keepLines/>
              <w:spacing w:before="20"/>
              <w:jc w:val="center"/>
              <w:rPr>
                <w:rFonts w:ascii="Arial Narrow" w:hAnsi="Arial Narrow" w:cs="Times New Roman"/>
                <w:sz w:val="20"/>
                <w:szCs w:val="20"/>
              </w:rPr>
            </w:pPr>
            <w:r w:rsidRPr="00F91CC3">
              <w:rPr>
                <w:rFonts w:ascii="Arial Narrow" w:hAnsi="Arial Narrow" w:cs="Times New Roman"/>
                <w:sz w:val="20"/>
                <w:szCs w:val="20"/>
              </w:rPr>
              <w:t>0</w:t>
            </w:r>
          </w:p>
        </w:tc>
        <w:tc>
          <w:tcPr>
            <w:tcW w:w="1188" w:type="dxa"/>
            <w:shd w:val="clear" w:color="auto" w:fill="auto"/>
          </w:tcPr>
          <w:p w14:paraId="5390786F" w14:textId="77777777" w:rsidR="00034A31" w:rsidRPr="00F91CC3" w:rsidRDefault="00034A31" w:rsidP="00CF10BA">
            <w:pPr>
              <w:keepNext/>
              <w:keepLines/>
              <w:spacing w:before="20"/>
              <w:jc w:val="center"/>
              <w:rPr>
                <w:rFonts w:ascii="Arial Narrow" w:hAnsi="Arial Narrow" w:cs="Times New Roman"/>
                <w:sz w:val="20"/>
                <w:szCs w:val="20"/>
              </w:rPr>
            </w:pPr>
            <w:r w:rsidRPr="00F91CC3">
              <w:rPr>
                <w:rFonts w:ascii="Arial Narrow" w:hAnsi="Arial Narrow" w:cs="Times New Roman"/>
                <w:sz w:val="20"/>
                <w:szCs w:val="20"/>
              </w:rPr>
              <w:t>0</w:t>
            </w:r>
          </w:p>
        </w:tc>
      </w:tr>
    </w:tbl>
    <w:p w14:paraId="2522BF4F" w14:textId="77777777" w:rsidR="00034A31" w:rsidRPr="00F91CC3" w:rsidRDefault="00034A31" w:rsidP="00CF10BA">
      <w:pPr>
        <w:keepNext/>
        <w:keepLines/>
        <w:rPr>
          <w:rFonts w:ascii="Arial Narrow" w:hAnsi="Arial Narrow"/>
          <w:sz w:val="18"/>
        </w:rPr>
      </w:pPr>
      <w:r w:rsidRPr="00F91CC3">
        <w:rPr>
          <w:rFonts w:ascii="Arial Narrow" w:hAnsi="Arial Narrow"/>
          <w:sz w:val="18"/>
        </w:rPr>
        <w:t>Source: Table 2.3.24 p87; Table 2.3.25 p88; Table 2.3.26 p89; of the submission; pp93-94; Table 14.3.1.5.a2 p259; Table 14.3.1.1.b6 pp271-278; Table 12-3 p96; Table 14.3.1.2.b7 pp257-264; Attachment 5 of the submission</w:t>
      </w:r>
    </w:p>
    <w:p w14:paraId="4111EF6C" w14:textId="77777777" w:rsidR="00034A31" w:rsidRPr="00F91CC3" w:rsidRDefault="00034A31" w:rsidP="00CF10BA">
      <w:pPr>
        <w:keepNext/>
        <w:keepLines/>
        <w:rPr>
          <w:rFonts w:ascii="Arial Narrow" w:hAnsi="Arial Narrow"/>
          <w:sz w:val="18"/>
        </w:rPr>
      </w:pPr>
      <w:r w:rsidRPr="00F91CC3">
        <w:rPr>
          <w:rFonts w:ascii="Arial Narrow" w:hAnsi="Arial Narrow"/>
          <w:sz w:val="18"/>
        </w:rPr>
        <w:t>AE = adverse event; IVA = ivacaftor; SAE = serious adverse event.</w:t>
      </w:r>
    </w:p>
    <w:p w14:paraId="681AE523" w14:textId="77777777" w:rsidR="00034A31" w:rsidRPr="00F91CC3" w:rsidRDefault="00034A31" w:rsidP="00CF10BA">
      <w:pPr>
        <w:keepNext/>
        <w:keepLines/>
        <w:spacing w:after="120"/>
        <w:rPr>
          <w:rFonts w:ascii="Arial Narrow" w:hAnsi="Arial Narrow"/>
          <w:snapToGrid w:val="0"/>
          <w:sz w:val="18"/>
          <w:szCs w:val="22"/>
        </w:rPr>
      </w:pPr>
      <w:r w:rsidRPr="00F91CC3">
        <w:rPr>
          <w:rFonts w:ascii="Arial Narrow" w:hAnsi="Arial Narrow"/>
          <w:snapToGrid w:val="0"/>
          <w:sz w:val="18"/>
          <w:szCs w:val="22"/>
          <w:vertAlign w:val="superscript"/>
        </w:rPr>
        <w:t>a</w:t>
      </w:r>
      <w:r w:rsidRPr="00F91CC3">
        <w:rPr>
          <w:rFonts w:ascii="Arial Narrow" w:hAnsi="Arial Narrow"/>
          <w:snapToGrid w:val="0"/>
          <w:sz w:val="18"/>
          <w:szCs w:val="22"/>
        </w:rPr>
        <w:t xml:space="preserve"> subject with multiple events within a category (Any, SOC, or PT) was counted only once in that category</w:t>
      </w:r>
    </w:p>
    <w:p w14:paraId="6AD566EC" w14:textId="140D6224" w:rsidR="00034A31" w:rsidRPr="00F91CC3" w:rsidRDefault="00034A31" w:rsidP="00034A31">
      <w:pPr>
        <w:numPr>
          <w:ilvl w:val="1"/>
          <w:numId w:val="1"/>
        </w:numPr>
        <w:spacing w:after="120"/>
        <w:rPr>
          <w:rFonts w:asciiTheme="minorHAnsi" w:hAnsiTheme="minorHAnsi"/>
          <w:iCs/>
          <w:snapToGrid w:val="0"/>
          <w:color w:val="0066FF"/>
        </w:rPr>
      </w:pPr>
      <w:r w:rsidRPr="00F91CC3">
        <w:rPr>
          <w:rFonts w:asciiTheme="minorHAnsi" w:hAnsiTheme="minorHAnsi"/>
          <w:iCs/>
          <w:snapToGrid w:val="0"/>
        </w:rPr>
        <w:t>The AEs reported in Study 108, Study 110, Study 112, Study 113 and Study 127 were consistent with the known safety profile of ivacaftor</w:t>
      </w:r>
      <w:r w:rsidRPr="00F91CC3">
        <w:rPr>
          <w:rFonts w:asciiTheme="minorHAnsi" w:hAnsiTheme="minorHAnsi"/>
          <w:i/>
          <w:snapToGrid w:val="0"/>
        </w:rPr>
        <w:t xml:space="preserve">. </w:t>
      </w:r>
      <w:r w:rsidRPr="00F91CC3">
        <w:rPr>
          <w:rFonts w:asciiTheme="minorHAnsi" w:hAnsiTheme="minorHAnsi"/>
          <w:iCs/>
          <w:snapToGrid w:val="0"/>
        </w:rPr>
        <w:t xml:space="preserve">There was no difference in measurable safety outcomes between the ivacaftor and placebo arms, and high-grade AEs and treatment interruption/discontinuations were rare and balanced between arms. A summary of the AEs for Study 108 is presented in </w:t>
      </w:r>
      <w:r w:rsidRPr="00F91CC3">
        <w:rPr>
          <w:rFonts w:asciiTheme="minorHAnsi" w:hAnsiTheme="minorHAnsi"/>
          <w:iCs/>
          <w:snapToGrid w:val="0"/>
        </w:rPr>
        <w:fldChar w:fldCharType="begin"/>
      </w:r>
      <w:r w:rsidRPr="00F91CC3">
        <w:rPr>
          <w:rFonts w:asciiTheme="minorHAnsi" w:hAnsiTheme="minorHAnsi"/>
          <w:iCs/>
          <w:snapToGrid w:val="0"/>
        </w:rPr>
        <w:instrText xml:space="preserve"> REF _Ref144311183 \h  \* MERGEFORMAT </w:instrText>
      </w:r>
      <w:r w:rsidRPr="00F91CC3">
        <w:rPr>
          <w:rFonts w:asciiTheme="minorHAnsi" w:hAnsiTheme="minorHAnsi"/>
          <w:iCs/>
          <w:snapToGrid w:val="0"/>
        </w:rPr>
      </w:r>
      <w:r w:rsidRPr="00F91CC3">
        <w:rPr>
          <w:rFonts w:asciiTheme="minorHAnsi" w:hAnsiTheme="minorHAnsi"/>
          <w:iCs/>
          <w:snapToGrid w:val="0"/>
        </w:rPr>
        <w:fldChar w:fldCharType="separate"/>
      </w:r>
      <w:r w:rsidR="008D6198" w:rsidRPr="008D6198">
        <w:rPr>
          <w:rFonts w:asciiTheme="minorHAnsi" w:hAnsiTheme="minorHAnsi"/>
          <w:iCs/>
          <w:snapToGrid w:val="0"/>
        </w:rPr>
        <w:t>Table 11</w:t>
      </w:r>
      <w:r w:rsidRPr="00F91CC3">
        <w:rPr>
          <w:rFonts w:asciiTheme="minorHAnsi" w:hAnsiTheme="minorHAnsi"/>
          <w:iCs/>
          <w:snapToGrid w:val="0"/>
        </w:rPr>
        <w:fldChar w:fldCharType="end"/>
      </w:r>
      <w:r w:rsidRPr="00F91CC3">
        <w:rPr>
          <w:rFonts w:asciiTheme="minorHAnsi" w:hAnsiTheme="minorHAnsi"/>
          <w:iCs/>
          <w:snapToGrid w:val="0"/>
        </w:rPr>
        <w:t xml:space="preserve">. A summary of the AEs for the remaining studies </w:t>
      </w:r>
      <w:r w:rsidR="00D2602E" w:rsidRPr="00F91CC3">
        <w:rPr>
          <w:rFonts w:asciiTheme="minorHAnsi" w:hAnsiTheme="minorHAnsi"/>
          <w:iCs/>
          <w:snapToGrid w:val="0"/>
        </w:rPr>
        <w:t xml:space="preserve">is </w:t>
      </w:r>
      <w:r w:rsidRPr="00F91CC3">
        <w:rPr>
          <w:rFonts w:asciiTheme="minorHAnsi" w:hAnsiTheme="minorHAnsi"/>
          <w:iCs/>
          <w:snapToGrid w:val="0"/>
        </w:rPr>
        <w:t xml:space="preserve">not presented due to the small sample size in each study. </w:t>
      </w:r>
    </w:p>
    <w:p w14:paraId="5E486CE3" w14:textId="5D59EAD4" w:rsidR="003661D7" w:rsidRPr="00F91CC3" w:rsidRDefault="00034A31" w:rsidP="00CF10BA">
      <w:pPr>
        <w:keepNext/>
        <w:keepLines/>
        <w:rPr>
          <w:rFonts w:ascii="Arial Narrow" w:hAnsi="Arial Narrow" w:cstheme="majorBidi"/>
          <w:b/>
          <w:bCs/>
          <w:sz w:val="20"/>
        </w:rPr>
      </w:pPr>
      <w:bookmarkStart w:id="51" w:name="_Ref144311183"/>
      <w:r w:rsidRPr="00F91CC3">
        <w:rPr>
          <w:rFonts w:ascii="Arial Narrow" w:hAnsi="Arial Narrow"/>
          <w:b/>
          <w:bCs/>
          <w:sz w:val="20"/>
          <w:szCs w:val="18"/>
        </w:rPr>
        <w:lastRenderedPageBreak/>
        <w:t xml:space="preserve">Table </w:t>
      </w:r>
      <w:r w:rsidRPr="00F91CC3">
        <w:rPr>
          <w:rFonts w:ascii="Arial Narrow" w:hAnsi="Arial Narrow"/>
          <w:b/>
          <w:bCs/>
          <w:sz w:val="20"/>
          <w:szCs w:val="18"/>
        </w:rPr>
        <w:fldChar w:fldCharType="begin"/>
      </w:r>
      <w:r w:rsidRPr="00F91CC3">
        <w:rPr>
          <w:rFonts w:ascii="Arial Narrow" w:hAnsi="Arial Narrow"/>
          <w:b/>
          <w:bCs/>
          <w:sz w:val="20"/>
          <w:szCs w:val="18"/>
        </w:rPr>
        <w:instrText xml:space="preserve"> SEQ Table \* ARABIC </w:instrText>
      </w:r>
      <w:r w:rsidRPr="00F91CC3">
        <w:rPr>
          <w:rFonts w:ascii="Arial Narrow" w:hAnsi="Arial Narrow"/>
          <w:b/>
          <w:bCs/>
          <w:sz w:val="20"/>
          <w:szCs w:val="18"/>
        </w:rPr>
        <w:fldChar w:fldCharType="separate"/>
      </w:r>
      <w:r w:rsidR="008D6198">
        <w:rPr>
          <w:rFonts w:ascii="Arial Narrow" w:hAnsi="Arial Narrow"/>
          <w:b/>
          <w:bCs/>
          <w:noProof/>
          <w:sz w:val="20"/>
          <w:szCs w:val="18"/>
        </w:rPr>
        <w:t>11</w:t>
      </w:r>
      <w:r w:rsidRPr="00F91CC3">
        <w:rPr>
          <w:rFonts w:ascii="Arial Narrow" w:hAnsi="Arial Narrow"/>
          <w:b/>
          <w:bCs/>
          <w:sz w:val="20"/>
          <w:szCs w:val="18"/>
        </w:rPr>
        <w:fldChar w:fldCharType="end"/>
      </w:r>
      <w:bookmarkEnd w:id="51"/>
      <w:r w:rsidRPr="00F91CC3">
        <w:rPr>
          <w:rFonts w:ascii="Arial Narrow" w:hAnsi="Arial Narrow"/>
          <w:b/>
          <w:bCs/>
          <w:sz w:val="20"/>
          <w:szCs w:val="18"/>
        </w:rPr>
        <w:t xml:space="preserve">: </w:t>
      </w:r>
      <w:r w:rsidR="003661D7" w:rsidRPr="00F91CC3">
        <w:rPr>
          <w:rFonts w:ascii="Arial Narrow" w:hAnsi="Arial Narrow"/>
          <w:b/>
          <w:bCs/>
          <w:sz w:val="20"/>
          <w:szCs w:val="18"/>
        </w:rPr>
        <w:t>Summary of AEs in Study 108 and Study 110, Safety Set.</w:t>
      </w:r>
    </w:p>
    <w:tbl>
      <w:tblPr>
        <w:tblStyle w:val="HTATableshaded2"/>
        <w:tblW w:w="9016" w:type="dxa"/>
        <w:tblLook w:val="04A0" w:firstRow="1" w:lastRow="0" w:firstColumn="1" w:lastColumn="0" w:noHBand="0" w:noVBand="1"/>
      </w:tblPr>
      <w:tblGrid>
        <w:gridCol w:w="1253"/>
        <w:gridCol w:w="846"/>
        <w:gridCol w:w="704"/>
        <w:gridCol w:w="1101"/>
        <w:gridCol w:w="1064"/>
        <w:gridCol w:w="874"/>
        <w:gridCol w:w="752"/>
        <w:gridCol w:w="1293"/>
        <w:gridCol w:w="1129"/>
      </w:tblGrid>
      <w:tr w:rsidR="003661D7" w:rsidRPr="00F91CC3" w14:paraId="25F7C102" w14:textId="77777777" w:rsidTr="003A3172">
        <w:trPr>
          <w:cnfStyle w:val="100000000000" w:firstRow="1" w:lastRow="0" w:firstColumn="0" w:lastColumn="0" w:oddVBand="0" w:evenVBand="0" w:oddHBand="0" w:evenHBand="0" w:firstRowFirstColumn="0" w:firstRowLastColumn="0" w:lastRowFirstColumn="0" w:lastRowLastColumn="0"/>
          <w:trHeight w:val="19"/>
          <w:tblHeader/>
        </w:trPr>
        <w:tc>
          <w:tcPr>
            <w:tcW w:w="1261" w:type="dxa"/>
          </w:tcPr>
          <w:p w14:paraId="1B862CBD" w14:textId="77777777" w:rsidR="003661D7" w:rsidRPr="00F91CC3" w:rsidRDefault="003661D7" w:rsidP="00CF10BA">
            <w:pPr>
              <w:keepNext/>
              <w:keepLines/>
              <w:jc w:val="left"/>
              <w:rPr>
                <w:rFonts w:ascii="Arial Narrow" w:hAnsi="Arial Narrow" w:cs="Times New Roman"/>
                <w:b/>
                <w:bCs/>
                <w:snapToGrid w:val="0"/>
                <w:sz w:val="20"/>
                <w:szCs w:val="20"/>
                <w:lang w:eastAsia="en-US"/>
              </w:rPr>
            </w:pPr>
          </w:p>
        </w:tc>
        <w:tc>
          <w:tcPr>
            <w:tcW w:w="3657" w:type="dxa"/>
            <w:gridSpan w:val="4"/>
          </w:tcPr>
          <w:p w14:paraId="056F1433" w14:textId="77777777" w:rsidR="003661D7" w:rsidRPr="00F91CC3" w:rsidRDefault="003661D7" w:rsidP="00CF10BA">
            <w:pPr>
              <w:keepNext/>
              <w:keepLines/>
              <w:jc w:val="center"/>
              <w:rPr>
                <w:rFonts w:ascii="Arial Narrow" w:hAnsi="Arial Narrow" w:cs="Times New Roman"/>
                <w:b/>
                <w:bCs/>
                <w:snapToGrid w:val="0"/>
                <w:sz w:val="20"/>
                <w:szCs w:val="20"/>
              </w:rPr>
            </w:pPr>
            <w:r w:rsidRPr="00F91CC3">
              <w:rPr>
                <w:rFonts w:ascii="Arial Narrow" w:hAnsi="Arial Narrow" w:cs="Times New Roman"/>
                <w:b/>
                <w:bCs/>
                <w:snapToGrid w:val="0"/>
                <w:sz w:val="20"/>
                <w:szCs w:val="20"/>
              </w:rPr>
              <w:t>Study 108</w:t>
            </w:r>
          </w:p>
        </w:tc>
        <w:tc>
          <w:tcPr>
            <w:tcW w:w="4098" w:type="dxa"/>
            <w:gridSpan w:val="4"/>
          </w:tcPr>
          <w:p w14:paraId="11668B39" w14:textId="77777777" w:rsidR="003661D7" w:rsidRPr="00F91CC3" w:rsidRDefault="003661D7" w:rsidP="00CF10BA">
            <w:pPr>
              <w:keepNext/>
              <w:keepLines/>
              <w:jc w:val="center"/>
              <w:rPr>
                <w:rFonts w:ascii="Arial Narrow" w:hAnsi="Arial Narrow" w:cs="Times New Roman"/>
                <w:b/>
                <w:bCs/>
                <w:snapToGrid w:val="0"/>
                <w:sz w:val="20"/>
                <w:szCs w:val="20"/>
              </w:rPr>
            </w:pPr>
            <w:r w:rsidRPr="00F91CC3">
              <w:rPr>
                <w:rFonts w:ascii="Arial Narrow" w:hAnsi="Arial Narrow" w:cs="Times New Roman"/>
                <w:b/>
                <w:bCs/>
                <w:snapToGrid w:val="0"/>
                <w:sz w:val="20"/>
                <w:szCs w:val="20"/>
              </w:rPr>
              <w:t>Study 110</w:t>
            </w:r>
          </w:p>
        </w:tc>
      </w:tr>
      <w:tr w:rsidR="003661D7" w:rsidRPr="00F91CC3" w14:paraId="22C4E2FE" w14:textId="77777777" w:rsidTr="003A3172">
        <w:trPr>
          <w:cnfStyle w:val="100000000000" w:firstRow="1" w:lastRow="0" w:firstColumn="0" w:lastColumn="0" w:oddVBand="0" w:evenVBand="0" w:oddHBand="0" w:evenHBand="0" w:firstRowFirstColumn="0" w:firstRowLastColumn="0" w:lastRowFirstColumn="0" w:lastRowLastColumn="0"/>
          <w:trHeight w:val="19"/>
          <w:tblHeader/>
        </w:trPr>
        <w:tc>
          <w:tcPr>
            <w:tcW w:w="1261" w:type="dxa"/>
          </w:tcPr>
          <w:p w14:paraId="2CB41F27" w14:textId="77777777" w:rsidR="003661D7" w:rsidRPr="00F91CC3" w:rsidRDefault="003661D7" w:rsidP="00CF10BA">
            <w:pPr>
              <w:keepNext/>
              <w:keepLines/>
              <w:jc w:val="left"/>
              <w:rPr>
                <w:rFonts w:ascii="Arial Narrow" w:hAnsi="Arial Narrow" w:cs="Times New Roman"/>
                <w:b/>
                <w:bCs/>
                <w:snapToGrid w:val="0"/>
                <w:sz w:val="20"/>
                <w:szCs w:val="20"/>
                <w:lang w:eastAsia="en-US"/>
              </w:rPr>
            </w:pPr>
          </w:p>
        </w:tc>
        <w:tc>
          <w:tcPr>
            <w:tcW w:w="846" w:type="dxa"/>
            <w:hideMark/>
          </w:tcPr>
          <w:p w14:paraId="151BE234" w14:textId="77777777" w:rsidR="003661D7" w:rsidRPr="00F91CC3" w:rsidRDefault="003661D7" w:rsidP="00CF10BA">
            <w:pPr>
              <w:keepNext/>
              <w:keepLines/>
              <w:jc w:val="center"/>
              <w:rPr>
                <w:rFonts w:ascii="Arial Narrow" w:hAnsi="Arial Narrow" w:cs="Times New Roman"/>
                <w:b/>
                <w:bCs/>
                <w:snapToGrid w:val="0"/>
                <w:sz w:val="20"/>
                <w:szCs w:val="20"/>
              </w:rPr>
            </w:pPr>
            <w:r w:rsidRPr="00F91CC3">
              <w:rPr>
                <w:rFonts w:ascii="Arial Narrow" w:hAnsi="Arial Narrow" w:cs="Times New Roman"/>
                <w:b/>
                <w:bCs/>
                <w:snapToGrid w:val="0"/>
                <w:sz w:val="20"/>
                <w:szCs w:val="20"/>
              </w:rPr>
              <w:t>Placebo</w:t>
            </w:r>
          </w:p>
          <w:p w14:paraId="69C19FDB" w14:textId="77777777" w:rsidR="003661D7" w:rsidRPr="00F91CC3" w:rsidRDefault="003661D7" w:rsidP="00CF10BA">
            <w:pPr>
              <w:keepNext/>
              <w:keepLines/>
              <w:jc w:val="center"/>
              <w:rPr>
                <w:rFonts w:ascii="Arial Narrow" w:hAnsi="Arial Narrow" w:cs="Times New Roman"/>
                <w:b/>
                <w:bCs/>
                <w:snapToGrid w:val="0"/>
                <w:sz w:val="20"/>
                <w:szCs w:val="20"/>
              </w:rPr>
            </w:pPr>
            <w:r w:rsidRPr="00F91CC3">
              <w:rPr>
                <w:rFonts w:ascii="Arial Narrow" w:hAnsi="Arial Narrow" w:cs="Times New Roman"/>
                <w:b/>
                <w:bCs/>
                <w:snapToGrid w:val="0"/>
                <w:sz w:val="20"/>
                <w:szCs w:val="20"/>
              </w:rPr>
              <w:t>N=162</w:t>
            </w:r>
          </w:p>
          <w:p w14:paraId="441E92E3" w14:textId="77777777" w:rsidR="003661D7" w:rsidRPr="00F91CC3" w:rsidRDefault="003661D7" w:rsidP="00CF10BA">
            <w:pPr>
              <w:keepNext/>
              <w:keepLines/>
              <w:jc w:val="center"/>
              <w:rPr>
                <w:rFonts w:ascii="Arial Narrow" w:hAnsi="Arial Narrow" w:cs="Times New Roman"/>
                <w:b/>
                <w:bCs/>
                <w:snapToGrid w:val="0"/>
                <w:sz w:val="20"/>
                <w:szCs w:val="20"/>
              </w:rPr>
            </w:pPr>
            <w:r w:rsidRPr="00F91CC3">
              <w:rPr>
                <w:rFonts w:ascii="Arial Narrow" w:hAnsi="Arial Narrow" w:cs="Times New Roman"/>
                <w:b/>
                <w:bCs/>
                <w:snapToGrid w:val="0"/>
                <w:sz w:val="20"/>
                <w:szCs w:val="20"/>
              </w:rPr>
              <w:t>n (%)</w:t>
            </w:r>
          </w:p>
        </w:tc>
        <w:tc>
          <w:tcPr>
            <w:tcW w:w="704" w:type="dxa"/>
            <w:hideMark/>
          </w:tcPr>
          <w:p w14:paraId="63F5F1BE" w14:textId="77777777" w:rsidR="003661D7" w:rsidRPr="00F91CC3" w:rsidRDefault="003661D7" w:rsidP="00CF10BA">
            <w:pPr>
              <w:keepNext/>
              <w:keepLines/>
              <w:jc w:val="center"/>
              <w:rPr>
                <w:rFonts w:ascii="Arial Narrow" w:hAnsi="Arial Narrow" w:cs="Times New Roman"/>
                <w:b/>
                <w:bCs/>
                <w:snapToGrid w:val="0"/>
                <w:sz w:val="20"/>
                <w:szCs w:val="20"/>
              </w:rPr>
            </w:pPr>
            <w:r w:rsidRPr="00F91CC3">
              <w:rPr>
                <w:rFonts w:ascii="Arial Narrow" w:hAnsi="Arial Narrow" w:cs="Times New Roman"/>
                <w:b/>
                <w:bCs/>
                <w:snapToGrid w:val="0"/>
                <w:sz w:val="20"/>
                <w:szCs w:val="20"/>
              </w:rPr>
              <w:t>IVA</w:t>
            </w:r>
          </w:p>
          <w:p w14:paraId="6D47F9B6" w14:textId="77777777" w:rsidR="003661D7" w:rsidRPr="00F91CC3" w:rsidRDefault="003661D7" w:rsidP="00CF10BA">
            <w:pPr>
              <w:keepNext/>
              <w:keepLines/>
              <w:jc w:val="center"/>
              <w:rPr>
                <w:rFonts w:ascii="Arial Narrow" w:hAnsi="Arial Narrow" w:cs="Times New Roman"/>
                <w:b/>
                <w:bCs/>
                <w:snapToGrid w:val="0"/>
                <w:sz w:val="20"/>
                <w:szCs w:val="20"/>
              </w:rPr>
            </w:pPr>
            <w:r w:rsidRPr="00F91CC3">
              <w:rPr>
                <w:rFonts w:ascii="Arial Narrow" w:hAnsi="Arial Narrow" w:cs="Times New Roman"/>
                <w:b/>
                <w:bCs/>
                <w:snapToGrid w:val="0"/>
                <w:sz w:val="20"/>
                <w:szCs w:val="20"/>
              </w:rPr>
              <w:t>N=157</w:t>
            </w:r>
          </w:p>
          <w:p w14:paraId="7D43A656" w14:textId="77777777" w:rsidR="003661D7" w:rsidRPr="00F91CC3" w:rsidRDefault="003661D7" w:rsidP="00CF10BA">
            <w:pPr>
              <w:keepNext/>
              <w:keepLines/>
              <w:jc w:val="center"/>
              <w:rPr>
                <w:rFonts w:ascii="Arial Narrow" w:hAnsi="Arial Narrow" w:cs="Times New Roman"/>
                <w:b/>
                <w:bCs/>
                <w:snapToGrid w:val="0"/>
                <w:sz w:val="20"/>
                <w:szCs w:val="20"/>
              </w:rPr>
            </w:pPr>
            <w:r w:rsidRPr="00F91CC3">
              <w:rPr>
                <w:rFonts w:ascii="Arial Narrow" w:hAnsi="Arial Narrow" w:cs="Times New Roman"/>
                <w:b/>
                <w:bCs/>
                <w:snapToGrid w:val="0"/>
                <w:sz w:val="20"/>
                <w:szCs w:val="20"/>
              </w:rPr>
              <w:t>n (%)</w:t>
            </w:r>
          </w:p>
        </w:tc>
        <w:tc>
          <w:tcPr>
            <w:tcW w:w="1101" w:type="dxa"/>
            <w:hideMark/>
          </w:tcPr>
          <w:p w14:paraId="5BD09D57" w14:textId="77777777" w:rsidR="00E37DBA" w:rsidRPr="00F91CC3" w:rsidRDefault="003661D7" w:rsidP="00CF10BA">
            <w:pPr>
              <w:keepNext/>
              <w:keepLines/>
              <w:jc w:val="center"/>
              <w:rPr>
                <w:rFonts w:ascii="Arial Narrow" w:hAnsi="Arial Narrow" w:cs="Times New Roman"/>
                <w:b/>
                <w:bCs/>
                <w:snapToGrid w:val="0"/>
                <w:sz w:val="20"/>
                <w:szCs w:val="20"/>
              </w:rPr>
            </w:pPr>
            <w:r w:rsidRPr="00F91CC3">
              <w:rPr>
                <w:rFonts w:ascii="Arial Narrow" w:hAnsi="Arial Narrow" w:cs="Times New Roman"/>
                <w:b/>
                <w:bCs/>
                <w:snapToGrid w:val="0"/>
                <w:sz w:val="20"/>
                <w:szCs w:val="20"/>
              </w:rPr>
              <w:t xml:space="preserve">RR </w:t>
            </w:r>
          </w:p>
          <w:p w14:paraId="27512EC0" w14:textId="70111E9F" w:rsidR="003661D7" w:rsidRPr="00F91CC3" w:rsidRDefault="003661D7" w:rsidP="00CF10BA">
            <w:pPr>
              <w:keepNext/>
              <w:keepLines/>
              <w:jc w:val="center"/>
              <w:rPr>
                <w:rFonts w:ascii="Arial Narrow" w:hAnsi="Arial Narrow" w:cs="Times New Roman"/>
                <w:b/>
                <w:bCs/>
                <w:snapToGrid w:val="0"/>
                <w:sz w:val="20"/>
                <w:szCs w:val="20"/>
              </w:rPr>
            </w:pPr>
            <w:r w:rsidRPr="00F91CC3">
              <w:rPr>
                <w:rFonts w:ascii="Arial Narrow" w:hAnsi="Arial Narrow" w:cs="Times New Roman"/>
                <w:b/>
                <w:bCs/>
                <w:snapToGrid w:val="0"/>
                <w:sz w:val="20"/>
                <w:szCs w:val="20"/>
              </w:rPr>
              <w:t>(95% CI)</w:t>
            </w:r>
            <w:r w:rsidRPr="00F91CC3">
              <w:rPr>
                <w:rFonts w:ascii="Arial Narrow" w:hAnsi="Arial Narrow" w:cs="Times New Roman"/>
                <w:b/>
                <w:bCs/>
                <w:snapToGrid w:val="0"/>
                <w:sz w:val="20"/>
                <w:szCs w:val="20"/>
                <w:vertAlign w:val="superscript"/>
              </w:rPr>
              <w:t>a</w:t>
            </w:r>
          </w:p>
        </w:tc>
        <w:tc>
          <w:tcPr>
            <w:tcW w:w="1006" w:type="dxa"/>
            <w:hideMark/>
          </w:tcPr>
          <w:p w14:paraId="4FA35F32" w14:textId="77777777" w:rsidR="00E37DBA" w:rsidRPr="00F91CC3" w:rsidRDefault="003661D7" w:rsidP="00CF10BA">
            <w:pPr>
              <w:keepNext/>
              <w:keepLines/>
              <w:jc w:val="center"/>
              <w:rPr>
                <w:rFonts w:ascii="Arial Narrow" w:hAnsi="Arial Narrow" w:cs="Times New Roman"/>
                <w:b/>
                <w:bCs/>
                <w:snapToGrid w:val="0"/>
                <w:sz w:val="20"/>
                <w:szCs w:val="20"/>
              </w:rPr>
            </w:pPr>
            <w:r w:rsidRPr="00F91CC3">
              <w:rPr>
                <w:rFonts w:ascii="Arial Narrow" w:hAnsi="Arial Narrow" w:cs="Times New Roman"/>
                <w:b/>
                <w:bCs/>
                <w:snapToGrid w:val="0"/>
                <w:sz w:val="20"/>
                <w:szCs w:val="20"/>
              </w:rPr>
              <w:t xml:space="preserve">RD </w:t>
            </w:r>
          </w:p>
          <w:p w14:paraId="707B38D0" w14:textId="4B106945" w:rsidR="003661D7" w:rsidRPr="00F91CC3" w:rsidRDefault="003661D7" w:rsidP="00CF10BA">
            <w:pPr>
              <w:keepNext/>
              <w:keepLines/>
              <w:jc w:val="center"/>
              <w:rPr>
                <w:rFonts w:ascii="Arial Narrow" w:hAnsi="Arial Narrow" w:cs="Times New Roman"/>
                <w:b/>
                <w:bCs/>
                <w:snapToGrid w:val="0"/>
                <w:sz w:val="20"/>
                <w:szCs w:val="20"/>
                <w:vertAlign w:val="superscript"/>
              </w:rPr>
            </w:pPr>
            <w:r w:rsidRPr="00F91CC3">
              <w:rPr>
                <w:rFonts w:ascii="Arial Narrow" w:hAnsi="Arial Narrow" w:cs="Times New Roman"/>
                <w:b/>
                <w:bCs/>
                <w:snapToGrid w:val="0"/>
                <w:sz w:val="20"/>
                <w:szCs w:val="20"/>
              </w:rPr>
              <w:t>(95% CI)</w:t>
            </w:r>
            <w:r w:rsidRPr="00F91CC3">
              <w:rPr>
                <w:rFonts w:ascii="Arial Narrow" w:hAnsi="Arial Narrow" w:cs="Times New Roman"/>
                <w:b/>
                <w:bCs/>
                <w:snapToGrid w:val="0"/>
                <w:sz w:val="20"/>
                <w:szCs w:val="20"/>
                <w:vertAlign w:val="superscript"/>
              </w:rPr>
              <w:t>a</w:t>
            </w:r>
          </w:p>
        </w:tc>
        <w:tc>
          <w:tcPr>
            <w:tcW w:w="878" w:type="dxa"/>
          </w:tcPr>
          <w:p w14:paraId="423F8530" w14:textId="77777777" w:rsidR="003661D7" w:rsidRPr="00F91CC3" w:rsidRDefault="003661D7" w:rsidP="00CF10BA">
            <w:pPr>
              <w:keepNext/>
              <w:keepLines/>
              <w:jc w:val="center"/>
              <w:rPr>
                <w:rFonts w:ascii="Arial Narrow" w:hAnsi="Arial Narrow" w:cs="Times New Roman"/>
                <w:b/>
                <w:bCs/>
                <w:snapToGrid w:val="0"/>
                <w:sz w:val="20"/>
                <w:szCs w:val="20"/>
              </w:rPr>
            </w:pPr>
            <w:r w:rsidRPr="00F91CC3">
              <w:rPr>
                <w:rFonts w:ascii="Arial Narrow" w:hAnsi="Arial Narrow" w:cs="Times New Roman"/>
                <w:b/>
                <w:bCs/>
                <w:snapToGrid w:val="0"/>
                <w:sz w:val="20"/>
                <w:szCs w:val="20"/>
              </w:rPr>
              <w:t>Placebo</w:t>
            </w:r>
          </w:p>
          <w:p w14:paraId="19E56592" w14:textId="77777777" w:rsidR="003661D7" w:rsidRPr="00F91CC3" w:rsidRDefault="003661D7" w:rsidP="00CF10BA">
            <w:pPr>
              <w:keepNext/>
              <w:keepLines/>
              <w:jc w:val="center"/>
              <w:rPr>
                <w:rFonts w:ascii="Arial Narrow" w:hAnsi="Arial Narrow" w:cs="Times New Roman"/>
                <w:b/>
                <w:bCs/>
                <w:snapToGrid w:val="0"/>
                <w:sz w:val="20"/>
                <w:szCs w:val="20"/>
              </w:rPr>
            </w:pPr>
            <w:r w:rsidRPr="00F91CC3">
              <w:rPr>
                <w:rFonts w:ascii="Arial Narrow" w:hAnsi="Arial Narrow" w:cs="Times New Roman"/>
                <w:b/>
                <w:bCs/>
                <w:snapToGrid w:val="0"/>
                <w:sz w:val="20"/>
                <w:szCs w:val="20"/>
              </w:rPr>
              <w:t>N=162</w:t>
            </w:r>
          </w:p>
          <w:p w14:paraId="1076516E" w14:textId="77777777" w:rsidR="003661D7" w:rsidRPr="00F91CC3" w:rsidRDefault="003661D7" w:rsidP="00CF10BA">
            <w:pPr>
              <w:keepNext/>
              <w:keepLines/>
              <w:jc w:val="center"/>
              <w:rPr>
                <w:rFonts w:ascii="Arial Narrow" w:hAnsi="Arial Narrow" w:cs="Times New Roman"/>
                <w:b/>
                <w:bCs/>
                <w:snapToGrid w:val="0"/>
                <w:sz w:val="20"/>
                <w:szCs w:val="20"/>
              </w:rPr>
            </w:pPr>
            <w:r w:rsidRPr="00F91CC3">
              <w:rPr>
                <w:rFonts w:ascii="Arial Narrow" w:hAnsi="Arial Narrow" w:cs="Times New Roman"/>
                <w:b/>
                <w:bCs/>
                <w:snapToGrid w:val="0"/>
                <w:sz w:val="20"/>
                <w:szCs w:val="20"/>
              </w:rPr>
              <w:t>n (%)</w:t>
            </w:r>
          </w:p>
        </w:tc>
        <w:tc>
          <w:tcPr>
            <w:tcW w:w="759" w:type="dxa"/>
          </w:tcPr>
          <w:p w14:paraId="261EB610" w14:textId="77777777" w:rsidR="003661D7" w:rsidRPr="00F91CC3" w:rsidRDefault="003661D7" w:rsidP="00CF10BA">
            <w:pPr>
              <w:keepNext/>
              <w:keepLines/>
              <w:jc w:val="center"/>
              <w:rPr>
                <w:rFonts w:ascii="Arial Narrow" w:hAnsi="Arial Narrow" w:cs="Times New Roman"/>
                <w:b/>
                <w:bCs/>
                <w:snapToGrid w:val="0"/>
                <w:sz w:val="20"/>
                <w:szCs w:val="20"/>
              </w:rPr>
            </w:pPr>
            <w:r w:rsidRPr="00F91CC3">
              <w:rPr>
                <w:rFonts w:ascii="Arial Narrow" w:hAnsi="Arial Narrow" w:cs="Times New Roman"/>
                <w:b/>
                <w:bCs/>
                <w:snapToGrid w:val="0"/>
                <w:sz w:val="20"/>
                <w:szCs w:val="20"/>
              </w:rPr>
              <w:t>IVA</w:t>
            </w:r>
          </w:p>
          <w:p w14:paraId="033B5A22" w14:textId="77777777" w:rsidR="003661D7" w:rsidRPr="00F91CC3" w:rsidRDefault="003661D7" w:rsidP="00CF10BA">
            <w:pPr>
              <w:keepNext/>
              <w:keepLines/>
              <w:jc w:val="center"/>
              <w:rPr>
                <w:rFonts w:ascii="Arial Narrow" w:hAnsi="Arial Narrow" w:cs="Times New Roman"/>
                <w:b/>
                <w:bCs/>
                <w:snapToGrid w:val="0"/>
                <w:sz w:val="20"/>
                <w:szCs w:val="20"/>
              </w:rPr>
            </w:pPr>
            <w:r w:rsidRPr="00F91CC3">
              <w:rPr>
                <w:rFonts w:ascii="Arial Narrow" w:hAnsi="Arial Narrow" w:cs="Times New Roman"/>
                <w:b/>
                <w:bCs/>
                <w:snapToGrid w:val="0"/>
                <w:sz w:val="20"/>
                <w:szCs w:val="20"/>
              </w:rPr>
              <w:t>N=157</w:t>
            </w:r>
          </w:p>
          <w:p w14:paraId="16FD876C" w14:textId="77777777" w:rsidR="003661D7" w:rsidRPr="00F91CC3" w:rsidRDefault="003661D7" w:rsidP="00CF10BA">
            <w:pPr>
              <w:keepNext/>
              <w:keepLines/>
              <w:jc w:val="center"/>
              <w:rPr>
                <w:rFonts w:ascii="Arial Narrow" w:hAnsi="Arial Narrow" w:cs="Times New Roman"/>
                <w:b/>
                <w:bCs/>
                <w:snapToGrid w:val="0"/>
                <w:sz w:val="20"/>
                <w:szCs w:val="20"/>
              </w:rPr>
            </w:pPr>
            <w:r w:rsidRPr="00F91CC3">
              <w:rPr>
                <w:rFonts w:ascii="Arial Narrow" w:hAnsi="Arial Narrow" w:cs="Times New Roman"/>
                <w:b/>
                <w:bCs/>
                <w:snapToGrid w:val="0"/>
                <w:sz w:val="20"/>
                <w:szCs w:val="20"/>
              </w:rPr>
              <w:t>n (%)</w:t>
            </w:r>
          </w:p>
        </w:tc>
        <w:tc>
          <w:tcPr>
            <w:tcW w:w="1322" w:type="dxa"/>
          </w:tcPr>
          <w:p w14:paraId="4170AAE8" w14:textId="77777777" w:rsidR="00E37DBA" w:rsidRPr="00F91CC3" w:rsidRDefault="003661D7" w:rsidP="00CF10BA">
            <w:pPr>
              <w:keepNext/>
              <w:keepLines/>
              <w:jc w:val="center"/>
              <w:rPr>
                <w:rFonts w:ascii="Arial Narrow" w:hAnsi="Arial Narrow" w:cs="Times New Roman"/>
                <w:b/>
                <w:bCs/>
                <w:snapToGrid w:val="0"/>
                <w:sz w:val="20"/>
                <w:szCs w:val="20"/>
              </w:rPr>
            </w:pPr>
            <w:r w:rsidRPr="00F91CC3">
              <w:rPr>
                <w:rFonts w:ascii="Arial Narrow" w:hAnsi="Arial Narrow" w:cs="Times New Roman"/>
                <w:b/>
                <w:bCs/>
                <w:snapToGrid w:val="0"/>
                <w:sz w:val="20"/>
                <w:szCs w:val="20"/>
              </w:rPr>
              <w:t xml:space="preserve">RR </w:t>
            </w:r>
          </w:p>
          <w:p w14:paraId="1740EF24" w14:textId="4827FF0F" w:rsidR="003661D7" w:rsidRPr="00F91CC3" w:rsidRDefault="003661D7" w:rsidP="00CF10BA">
            <w:pPr>
              <w:keepNext/>
              <w:keepLines/>
              <w:jc w:val="center"/>
              <w:rPr>
                <w:rFonts w:ascii="Arial Narrow" w:hAnsi="Arial Narrow" w:cs="Times New Roman"/>
                <w:b/>
                <w:bCs/>
                <w:snapToGrid w:val="0"/>
                <w:sz w:val="20"/>
                <w:szCs w:val="20"/>
              </w:rPr>
            </w:pPr>
            <w:r w:rsidRPr="00F91CC3">
              <w:rPr>
                <w:rFonts w:ascii="Arial Narrow" w:hAnsi="Arial Narrow" w:cs="Times New Roman"/>
                <w:b/>
                <w:bCs/>
                <w:snapToGrid w:val="0"/>
                <w:sz w:val="20"/>
                <w:szCs w:val="20"/>
              </w:rPr>
              <w:t>(95% CI)</w:t>
            </w:r>
            <w:r w:rsidRPr="00F91CC3">
              <w:rPr>
                <w:rFonts w:ascii="Arial Narrow" w:hAnsi="Arial Narrow" w:cs="Times New Roman"/>
                <w:b/>
                <w:bCs/>
                <w:snapToGrid w:val="0"/>
                <w:sz w:val="20"/>
                <w:szCs w:val="20"/>
                <w:vertAlign w:val="superscript"/>
              </w:rPr>
              <w:t>a</w:t>
            </w:r>
          </w:p>
        </w:tc>
        <w:tc>
          <w:tcPr>
            <w:tcW w:w="1139" w:type="dxa"/>
          </w:tcPr>
          <w:p w14:paraId="7B15BF50" w14:textId="77777777" w:rsidR="00E37DBA" w:rsidRPr="00F91CC3" w:rsidRDefault="003661D7" w:rsidP="00CF10BA">
            <w:pPr>
              <w:keepNext/>
              <w:keepLines/>
              <w:jc w:val="center"/>
              <w:rPr>
                <w:rFonts w:ascii="Arial Narrow" w:hAnsi="Arial Narrow" w:cs="Times New Roman"/>
                <w:b/>
                <w:bCs/>
                <w:snapToGrid w:val="0"/>
                <w:sz w:val="20"/>
                <w:szCs w:val="20"/>
              </w:rPr>
            </w:pPr>
            <w:r w:rsidRPr="00F91CC3">
              <w:rPr>
                <w:rFonts w:ascii="Arial Narrow" w:hAnsi="Arial Narrow" w:cs="Times New Roman"/>
                <w:b/>
                <w:bCs/>
                <w:snapToGrid w:val="0"/>
                <w:sz w:val="20"/>
                <w:szCs w:val="20"/>
              </w:rPr>
              <w:t xml:space="preserve">RD </w:t>
            </w:r>
          </w:p>
          <w:p w14:paraId="3122E556" w14:textId="687567A3" w:rsidR="003661D7" w:rsidRPr="00F91CC3" w:rsidRDefault="003661D7" w:rsidP="00CF10BA">
            <w:pPr>
              <w:keepNext/>
              <w:keepLines/>
              <w:jc w:val="center"/>
              <w:rPr>
                <w:rFonts w:ascii="Arial Narrow" w:hAnsi="Arial Narrow" w:cs="Times New Roman"/>
                <w:b/>
                <w:bCs/>
                <w:snapToGrid w:val="0"/>
                <w:sz w:val="20"/>
                <w:szCs w:val="20"/>
              </w:rPr>
            </w:pPr>
            <w:r w:rsidRPr="00F91CC3">
              <w:rPr>
                <w:rFonts w:ascii="Arial Narrow" w:hAnsi="Arial Narrow" w:cs="Times New Roman"/>
                <w:b/>
                <w:bCs/>
                <w:snapToGrid w:val="0"/>
                <w:sz w:val="20"/>
                <w:szCs w:val="20"/>
              </w:rPr>
              <w:t>(95% CI)</w:t>
            </w:r>
            <w:r w:rsidRPr="00F91CC3">
              <w:rPr>
                <w:rFonts w:ascii="Arial Narrow" w:hAnsi="Arial Narrow" w:cs="Times New Roman"/>
                <w:b/>
                <w:bCs/>
                <w:snapToGrid w:val="0"/>
                <w:sz w:val="20"/>
                <w:szCs w:val="20"/>
                <w:vertAlign w:val="superscript"/>
              </w:rPr>
              <w:t>a</w:t>
            </w:r>
          </w:p>
        </w:tc>
      </w:tr>
      <w:tr w:rsidR="003661D7" w:rsidRPr="00F91CC3" w14:paraId="73ACE42B" w14:textId="77777777" w:rsidTr="003A3172">
        <w:trPr>
          <w:trHeight w:val="19"/>
        </w:trPr>
        <w:tc>
          <w:tcPr>
            <w:tcW w:w="1261" w:type="dxa"/>
            <w:tcBorders>
              <w:top w:val="single" w:sz="4" w:space="0" w:color="auto"/>
              <w:left w:val="single" w:sz="4" w:space="0" w:color="auto"/>
              <w:bottom w:val="single" w:sz="4" w:space="0" w:color="auto"/>
              <w:right w:val="single" w:sz="4" w:space="0" w:color="auto"/>
            </w:tcBorders>
            <w:hideMark/>
          </w:tcPr>
          <w:p w14:paraId="290CD687" w14:textId="77777777" w:rsidR="003661D7" w:rsidRPr="00F91CC3" w:rsidRDefault="003661D7" w:rsidP="00CF10BA">
            <w:pPr>
              <w:keepNext/>
              <w:keepLines/>
              <w:jc w:val="left"/>
              <w:rPr>
                <w:rFonts w:ascii="Arial Narrow" w:hAnsi="Arial Narrow" w:cs="Times New Roman"/>
                <w:snapToGrid w:val="0"/>
                <w:sz w:val="20"/>
                <w:szCs w:val="20"/>
              </w:rPr>
            </w:pPr>
            <w:r w:rsidRPr="00F91CC3">
              <w:rPr>
                <w:rFonts w:ascii="Arial Narrow" w:hAnsi="Arial Narrow" w:cs="Times New Roman"/>
                <w:snapToGrid w:val="0"/>
                <w:sz w:val="20"/>
                <w:szCs w:val="20"/>
              </w:rPr>
              <w:t>Patients with any AEs</w:t>
            </w:r>
          </w:p>
        </w:tc>
        <w:tc>
          <w:tcPr>
            <w:tcW w:w="846" w:type="dxa"/>
            <w:tcBorders>
              <w:top w:val="single" w:sz="4" w:space="0" w:color="auto"/>
              <w:left w:val="single" w:sz="4" w:space="0" w:color="auto"/>
              <w:bottom w:val="single" w:sz="4" w:space="0" w:color="auto"/>
              <w:right w:val="single" w:sz="4" w:space="0" w:color="auto"/>
            </w:tcBorders>
            <w:hideMark/>
          </w:tcPr>
          <w:p w14:paraId="6C8EBAE7" w14:textId="77777777" w:rsidR="003661D7" w:rsidRPr="00F91CC3" w:rsidRDefault="003661D7" w:rsidP="00CF10BA">
            <w:pPr>
              <w:keepNext/>
              <w:keepLines/>
              <w:jc w:val="center"/>
              <w:rPr>
                <w:rFonts w:ascii="Arial Narrow" w:hAnsi="Arial Narrow" w:cs="Times New Roman"/>
                <w:snapToGrid w:val="0"/>
                <w:sz w:val="20"/>
                <w:szCs w:val="20"/>
              </w:rPr>
            </w:pPr>
            <w:r w:rsidRPr="00F91CC3">
              <w:rPr>
                <w:rFonts w:ascii="Arial Narrow" w:hAnsi="Arial Narrow" w:cs="Times New Roman"/>
                <w:snapToGrid w:val="0"/>
                <w:sz w:val="20"/>
                <w:szCs w:val="20"/>
              </w:rPr>
              <w:t>126 (77.8)</w:t>
            </w:r>
          </w:p>
        </w:tc>
        <w:tc>
          <w:tcPr>
            <w:tcW w:w="704" w:type="dxa"/>
            <w:tcBorders>
              <w:top w:val="single" w:sz="4" w:space="0" w:color="auto"/>
              <w:left w:val="single" w:sz="4" w:space="0" w:color="auto"/>
              <w:bottom w:val="single" w:sz="4" w:space="0" w:color="auto"/>
              <w:right w:val="single" w:sz="4" w:space="0" w:color="auto"/>
            </w:tcBorders>
            <w:hideMark/>
          </w:tcPr>
          <w:p w14:paraId="3AA52329" w14:textId="77777777" w:rsidR="003661D7" w:rsidRPr="00F91CC3" w:rsidRDefault="003661D7" w:rsidP="00CF10BA">
            <w:pPr>
              <w:keepNext/>
              <w:keepLines/>
              <w:jc w:val="center"/>
              <w:rPr>
                <w:rFonts w:ascii="Arial Narrow" w:hAnsi="Arial Narrow" w:cs="Times New Roman"/>
                <w:snapToGrid w:val="0"/>
                <w:sz w:val="20"/>
                <w:szCs w:val="20"/>
              </w:rPr>
            </w:pPr>
            <w:r w:rsidRPr="00F91CC3">
              <w:rPr>
                <w:rFonts w:ascii="Arial Narrow" w:hAnsi="Arial Narrow" w:cs="Times New Roman"/>
                <w:snapToGrid w:val="0"/>
                <w:sz w:val="20"/>
                <w:szCs w:val="20"/>
              </w:rPr>
              <w:t>114 (72.6)</w:t>
            </w:r>
          </w:p>
        </w:tc>
        <w:tc>
          <w:tcPr>
            <w:tcW w:w="1101" w:type="dxa"/>
            <w:tcBorders>
              <w:top w:val="single" w:sz="4" w:space="0" w:color="auto"/>
              <w:left w:val="single" w:sz="4" w:space="0" w:color="auto"/>
              <w:bottom w:val="single" w:sz="4" w:space="0" w:color="auto"/>
              <w:right w:val="single" w:sz="4" w:space="0" w:color="auto"/>
            </w:tcBorders>
            <w:hideMark/>
          </w:tcPr>
          <w:p w14:paraId="6C429D74" w14:textId="77777777" w:rsidR="003661D7" w:rsidRPr="00F91CC3" w:rsidRDefault="003661D7" w:rsidP="00CF10BA">
            <w:pPr>
              <w:keepNext/>
              <w:keepLines/>
              <w:jc w:val="center"/>
              <w:rPr>
                <w:rFonts w:ascii="Arial Narrow" w:hAnsi="Arial Narrow" w:cs="Times New Roman"/>
                <w:snapToGrid w:val="0"/>
                <w:sz w:val="20"/>
                <w:szCs w:val="20"/>
              </w:rPr>
            </w:pPr>
            <w:r w:rsidRPr="00F91CC3">
              <w:rPr>
                <w:rFonts w:ascii="Arial Narrow" w:hAnsi="Arial Narrow"/>
                <w:snapToGrid w:val="0"/>
                <w:sz w:val="20"/>
                <w:szCs w:val="20"/>
              </w:rPr>
              <w:t>0.93 (0.82,1.06)</w:t>
            </w:r>
          </w:p>
        </w:tc>
        <w:tc>
          <w:tcPr>
            <w:tcW w:w="1006" w:type="dxa"/>
            <w:tcBorders>
              <w:top w:val="single" w:sz="4" w:space="0" w:color="auto"/>
              <w:left w:val="single" w:sz="4" w:space="0" w:color="auto"/>
              <w:bottom w:val="single" w:sz="4" w:space="0" w:color="auto"/>
              <w:right w:val="single" w:sz="4" w:space="0" w:color="auto"/>
            </w:tcBorders>
            <w:hideMark/>
          </w:tcPr>
          <w:p w14:paraId="529F68DF" w14:textId="090042EA" w:rsidR="003661D7" w:rsidRPr="00F91CC3" w:rsidRDefault="003661D7" w:rsidP="00CF10BA">
            <w:pPr>
              <w:keepNext/>
              <w:keepLines/>
              <w:jc w:val="center"/>
              <w:rPr>
                <w:rFonts w:ascii="Arial Narrow" w:hAnsi="Arial Narrow" w:cs="Times New Roman"/>
                <w:snapToGrid w:val="0"/>
                <w:sz w:val="20"/>
                <w:szCs w:val="20"/>
              </w:rPr>
            </w:pPr>
            <w:r w:rsidRPr="00F91CC3">
              <w:rPr>
                <w:rFonts w:ascii="Arial Narrow" w:hAnsi="Arial Narrow"/>
                <w:snapToGrid w:val="0"/>
                <w:sz w:val="20"/>
                <w:szCs w:val="20"/>
              </w:rPr>
              <w:t>-0.05 (</w:t>
            </w:r>
            <w:r w:rsidR="00632C4B" w:rsidRPr="00F91CC3">
              <w:rPr>
                <w:rFonts w:ascii="Arial Narrow" w:hAnsi="Arial Narrow"/>
                <w:sz w:val="20"/>
                <w:szCs w:val="20"/>
              </w:rPr>
              <w:noBreakHyphen/>
            </w:r>
            <w:r w:rsidRPr="00F91CC3">
              <w:rPr>
                <w:rFonts w:ascii="Arial Narrow" w:hAnsi="Arial Narrow"/>
                <w:snapToGrid w:val="0"/>
                <w:sz w:val="20"/>
                <w:szCs w:val="20"/>
              </w:rPr>
              <w:t>0.15,0.04)</w:t>
            </w:r>
          </w:p>
        </w:tc>
        <w:tc>
          <w:tcPr>
            <w:tcW w:w="878" w:type="dxa"/>
            <w:tcBorders>
              <w:top w:val="single" w:sz="4" w:space="0" w:color="auto"/>
              <w:left w:val="single" w:sz="4" w:space="0" w:color="auto"/>
              <w:bottom w:val="single" w:sz="4" w:space="0" w:color="auto"/>
              <w:right w:val="single" w:sz="4" w:space="0" w:color="auto"/>
            </w:tcBorders>
          </w:tcPr>
          <w:p w14:paraId="4887050F" w14:textId="77777777" w:rsidR="003661D7" w:rsidRPr="00F91CC3" w:rsidRDefault="003661D7" w:rsidP="00CF10BA">
            <w:pPr>
              <w:keepNext/>
              <w:keepLines/>
              <w:jc w:val="center"/>
              <w:rPr>
                <w:rFonts w:ascii="Arial Narrow" w:hAnsi="Arial Narrow"/>
                <w:snapToGrid w:val="0"/>
                <w:sz w:val="20"/>
                <w:szCs w:val="20"/>
              </w:rPr>
            </w:pPr>
            <w:r w:rsidRPr="00F91CC3">
              <w:rPr>
                <w:rFonts w:ascii="Arial Narrow" w:hAnsi="Arial Narrow"/>
                <w:sz w:val="20"/>
                <w:szCs w:val="20"/>
              </w:rPr>
              <w:t>35 (100.0)</w:t>
            </w:r>
          </w:p>
        </w:tc>
        <w:tc>
          <w:tcPr>
            <w:tcW w:w="759" w:type="dxa"/>
            <w:tcBorders>
              <w:top w:val="single" w:sz="4" w:space="0" w:color="auto"/>
              <w:left w:val="single" w:sz="4" w:space="0" w:color="auto"/>
              <w:bottom w:val="single" w:sz="4" w:space="0" w:color="auto"/>
              <w:right w:val="single" w:sz="4" w:space="0" w:color="auto"/>
            </w:tcBorders>
          </w:tcPr>
          <w:p w14:paraId="7ED9E650" w14:textId="77777777" w:rsidR="003661D7" w:rsidRPr="00F91CC3" w:rsidRDefault="003661D7" w:rsidP="00CF10BA">
            <w:pPr>
              <w:keepNext/>
              <w:keepLines/>
              <w:jc w:val="center"/>
              <w:rPr>
                <w:rFonts w:ascii="Arial Narrow" w:hAnsi="Arial Narrow"/>
                <w:snapToGrid w:val="0"/>
                <w:sz w:val="20"/>
                <w:szCs w:val="20"/>
              </w:rPr>
            </w:pPr>
            <w:r w:rsidRPr="00F91CC3">
              <w:rPr>
                <w:rFonts w:ascii="Arial Narrow" w:hAnsi="Arial Narrow"/>
                <w:sz w:val="20"/>
                <w:szCs w:val="20"/>
              </w:rPr>
              <w:t>32 (94.1)</w:t>
            </w:r>
          </w:p>
        </w:tc>
        <w:tc>
          <w:tcPr>
            <w:tcW w:w="1322" w:type="dxa"/>
            <w:tcBorders>
              <w:top w:val="single" w:sz="4" w:space="0" w:color="auto"/>
              <w:left w:val="single" w:sz="4" w:space="0" w:color="auto"/>
              <w:bottom w:val="single" w:sz="4" w:space="0" w:color="auto"/>
              <w:right w:val="single" w:sz="4" w:space="0" w:color="auto"/>
            </w:tcBorders>
          </w:tcPr>
          <w:p w14:paraId="0865916A" w14:textId="77777777" w:rsidR="003661D7" w:rsidRPr="00F91CC3" w:rsidRDefault="003661D7" w:rsidP="00CF10BA">
            <w:pPr>
              <w:keepNext/>
              <w:keepLines/>
              <w:jc w:val="center"/>
              <w:rPr>
                <w:rFonts w:ascii="Arial Narrow" w:hAnsi="Arial Narrow"/>
                <w:snapToGrid w:val="0"/>
                <w:sz w:val="20"/>
                <w:szCs w:val="20"/>
              </w:rPr>
            </w:pPr>
            <w:r w:rsidRPr="00F91CC3">
              <w:rPr>
                <w:rFonts w:ascii="Arial Narrow" w:hAnsi="Arial Narrow"/>
                <w:sz w:val="20"/>
                <w:szCs w:val="20"/>
              </w:rPr>
              <w:t>0.94 (0.87,1.03)</w:t>
            </w:r>
          </w:p>
        </w:tc>
        <w:tc>
          <w:tcPr>
            <w:tcW w:w="1139" w:type="dxa"/>
            <w:tcBorders>
              <w:top w:val="single" w:sz="4" w:space="0" w:color="auto"/>
              <w:left w:val="single" w:sz="4" w:space="0" w:color="auto"/>
              <w:bottom w:val="single" w:sz="4" w:space="0" w:color="auto"/>
              <w:right w:val="single" w:sz="4" w:space="0" w:color="auto"/>
            </w:tcBorders>
          </w:tcPr>
          <w:p w14:paraId="3B8836D9" w14:textId="587E2012" w:rsidR="003661D7" w:rsidRPr="00F91CC3" w:rsidRDefault="003661D7" w:rsidP="00CF10BA">
            <w:pPr>
              <w:keepNext/>
              <w:keepLines/>
              <w:jc w:val="center"/>
              <w:rPr>
                <w:rFonts w:ascii="Arial Narrow" w:hAnsi="Arial Narrow"/>
                <w:snapToGrid w:val="0"/>
                <w:sz w:val="20"/>
                <w:szCs w:val="20"/>
              </w:rPr>
            </w:pPr>
            <w:r w:rsidRPr="00F91CC3">
              <w:rPr>
                <w:rFonts w:ascii="Arial Narrow" w:hAnsi="Arial Narrow"/>
                <w:sz w:val="20"/>
                <w:szCs w:val="20"/>
              </w:rPr>
              <w:t>-0.06 (</w:t>
            </w:r>
            <w:r w:rsidR="00632C4B" w:rsidRPr="00F91CC3">
              <w:rPr>
                <w:rFonts w:ascii="Arial Narrow" w:hAnsi="Arial Narrow"/>
                <w:sz w:val="20"/>
                <w:szCs w:val="20"/>
              </w:rPr>
              <w:noBreakHyphen/>
            </w:r>
            <w:r w:rsidRPr="00F91CC3">
              <w:rPr>
                <w:rFonts w:ascii="Arial Narrow" w:hAnsi="Arial Narrow"/>
                <w:sz w:val="20"/>
                <w:szCs w:val="20"/>
              </w:rPr>
              <w:t>0.06,0.02)</w:t>
            </w:r>
          </w:p>
        </w:tc>
      </w:tr>
      <w:tr w:rsidR="003661D7" w:rsidRPr="00F91CC3" w14:paraId="05A0CD62" w14:textId="77777777" w:rsidTr="003A3172">
        <w:trPr>
          <w:trHeight w:val="19"/>
        </w:trPr>
        <w:tc>
          <w:tcPr>
            <w:tcW w:w="1261" w:type="dxa"/>
            <w:tcBorders>
              <w:top w:val="single" w:sz="4" w:space="0" w:color="auto"/>
              <w:left w:val="single" w:sz="4" w:space="0" w:color="auto"/>
              <w:bottom w:val="single" w:sz="4" w:space="0" w:color="auto"/>
              <w:right w:val="single" w:sz="4" w:space="0" w:color="auto"/>
            </w:tcBorders>
            <w:hideMark/>
          </w:tcPr>
          <w:p w14:paraId="4ABA2E72" w14:textId="77777777" w:rsidR="003661D7" w:rsidRPr="00F91CC3" w:rsidRDefault="003661D7" w:rsidP="00CF10BA">
            <w:pPr>
              <w:keepNext/>
              <w:keepLines/>
              <w:jc w:val="left"/>
              <w:rPr>
                <w:rFonts w:ascii="Arial Narrow" w:hAnsi="Arial Narrow" w:cs="Times New Roman"/>
                <w:snapToGrid w:val="0"/>
                <w:sz w:val="20"/>
                <w:szCs w:val="20"/>
              </w:rPr>
            </w:pPr>
            <w:r w:rsidRPr="00F91CC3">
              <w:rPr>
                <w:rFonts w:ascii="Arial Narrow" w:hAnsi="Arial Narrow" w:cs="Times New Roman"/>
                <w:snapToGrid w:val="0"/>
                <w:sz w:val="20"/>
                <w:szCs w:val="20"/>
              </w:rPr>
              <w:t>Patients with related AEs</w:t>
            </w:r>
          </w:p>
        </w:tc>
        <w:tc>
          <w:tcPr>
            <w:tcW w:w="846" w:type="dxa"/>
            <w:tcBorders>
              <w:top w:val="single" w:sz="4" w:space="0" w:color="auto"/>
              <w:left w:val="single" w:sz="4" w:space="0" w:color="auto"/>
              <w:bottom w:val="single" w:sz="4" w:space="0" w:color="auto"/>
              <w:right w:val="single" w:sz="4" w:space="0" w:color="auto"/>
            </w:tcBorders>
            <w:hideMark/>
          </w:tcPr>
          <w:p w14:paraId="6394A9BF" w14:textId="77777777" w:rsidR="003661D7" w:rsidRPr="00F91CC3" w:rsidRDefault="003661D7" w:rsidP="00CF10BA">
            <w:pPr>
              <w:keepNext/>
              <w:keepLines/>
              <w:jc w:val="center"/>
              <w:rPr>
                <w:rFonts w:ascii="Arial Narrow" w:hAnsi="Arial Narrow" w:cs="Times New Roman"/>
                <w:snapToGrid w:val="0"/>
                <w:sz w:val="20"/>
                <w:szCs w:val="20"/>
              </w:rPr>
            </w:pPr>
            <w:r w:rsidRPr="00F91CC3">
              <w:rPr>
                <w:rFonts w:ascii="Arial Narrow" w:hAnsi="Arial Narrow" w:cs="Times New Roman"/>
                <w:snapToGrid w:val="0"/>
                <w:sz w:val="20"/>
                <w:szCs w:val="20"/>
              </w:rPr>
              <w:t>38 (23.5)</w:t>
            </w:r>
          </w:p>
        </w:tc>
        <w:tc>
          <w:tcPr>
            <w:tcW w:w="704" w:type="dxa"/>
            <w:tcBorders>
              <w:top w:val="single" w:sz="4" w:space="0" w:color="auto"/>
              <w:left w:val="single" w:sz="4" w:space="0" w:color="auto"/>
              <w:bottom w:val="single" w:sz="4" w:space="0" w:color="auto"/>
              <w:right w:val="single" w:sz="4" w:space="0" w:color="auto"/>
            </w:tcBorders>
            <w:hideMark/>
          </w:tcPr>
          <w:p w14:paraId="5940F886" w14:textId="77777777" w:rsidR="003661D7" w:rsidRPr="00F91CC3" w:rsidRDefault="003661D7" w:rsidP="00CF10BA">
            <w:pPr>
              <w:keepNext/>
              <w:keepLines/>
              <w:jc w:val="center"/>
              <w:rPr>
                <w:rFonts w:ascii="Arial Narrow" w:hAnsi="Arial Narrow" w:cs="Times New Roman"/>
                <w:snapToGrid w:val="0"/>
                <w:sz w:val="20"/>
                <w:szCs w:val="20"/>
              </w:rPr>
            </w:pPr>
            <w:r w:rsidRPr="00F91CC3">
              <w:rPr>
                <w:rFonts w:ascii="Arial Narrow" w:hAnsi="Arial Narrow" w:cs="Times New Roman"/>
                <w:snapToGrid w:val="0"/>
                <w:sz w:val="20"/>
                <w:szCs w:val="20"/>
              </w:rPr>
              <w:t>31 (19.7)</w:t>
            </w:r>
          </w:p>
        </w:tc>
        <w:tc>
          <w:tcPr>
            <w:tcW w:w="1101" w:type="dxa"/>
            <w:tcBorders>
              <w:top w:val="single" w:sz="4" w:space="0" w:color="auto"/>
              <w:left w:val="single" w:sz="4" w:space="0" w:color="auto"/>
              <w:bottom w:val="single" w:sz="4" w:space="0" w:color="auto"/>
              <w:right w:val="single" w:sz="4" w:space="0" w:color="auto"/>
            </w:tcBorders>
            <w:hideMark/>
          </w:tcPr>
          <w:p w14:paraId="2C8B1B5A" w14:textId="77777777" w:rsidR="003661D7" w:rsidRPr="00F91CC3" w:rsidRDefault="003661D7" w:rsidP="00CF10BA">
            <w:pPr>
              <w:keepNext/>
              <w:keepLines/>
              <w:jc w:val="center"/>
              <w:rPr>
                <w:rFonts w:ascii="Arial Narrow" w:hAnsi="Arial Narrow" w:cs="Times New Roman"/>
                <w:snapToGrid w:val="0"/>
                <w:sz w:val="20"/>
                <w:szCs w:val="20"/>
              </w:rPr>
            </w:pPr>
            <w:r w:rsidRPr="00F91CC3">
              <w:rPr>
                <w:rFonts w:ascii="Arial Narrow" w:hAnsi="Arial Narrow"/>
                <w:snapToGrid w:val="0"/>
                <w:sz w:val="20"/>
                <w:szCs w:val="20"/>
              </w:rPr>
              <w:t>0</w:t>
            </w:r>
          </w:p>
        </w:tc>
        <w:tc>
          <w:tcPr>
            <w:tcW w:w="1006" w:type="dxa"/>
            <w:tcBorders>
              <w:top w:val="single" w:sz="4" w:space="0" w:color="auto"/>
              <w:left w:val="single" w:sz="4" w:space="0" w:color="auto"/>
              <w:bottom w:val="single" w:sz="4" w:space="0" w:color="auto"/>
              <w:right w:val="single" w:sz="4" w:space="0" w:color="auto"/>
            </w:tcBorders>
            <w:hideMark/>
          </w:tcPr>
          <w:p w14:paraId="6FA50A08" w14:textId="23126BE7" w:rsidR="003661D7" w:rsidRPr="00F91CC3" w:rsidRDefault="003661D7" w:rsidP="00CF10BA">
            <w:pPr>
              <w:keepNext/>
              <w:keepLines/>
              <w:jc w:val="center"/>
              <w:rPr>
                <w:rFonts w:ascii="Arial Narrow" w:hAnsi="Arial Narrow" w:cs="Times New Roman"/>
                <w:snapToGrid w:val="0"/>
                <w:sz w:val="20"/>
                <w:szCs w:val="20"/>
              </w:rPr>
            </w:pPr>
            <w:r w:rsidRPr="00F91CC3">
              <w:rPr>
                <w:rFonts w:ascii="Arial Narrow" w:hAnsi="Arial Narrow"/>
                <w:snapToGrid w:val="0"/>
                <w:sz w:val="20"/>
                <w:szCs w:val="20"/>
              </w:rPr>
              <w:t>-0.04 (</w:t>
            </w:r>
            <w:r w:rsidR="00632C4B" w:rsidRPr="00F91CC3">
              <w:rPr>
                <w:rFonts w:ascii="Arial Narrow" w:hAnsi="Arial Narrow"/>
                <w:sz w:val="20"/>
                <w:szCs w:val="20"/>
              </w:rPr>
              <w:noBreakHyphen/>
            </w:r>
            <w:r w:rsidRPr="00F91CC3">
              <w:rPr>
                <w:rFonts w:ascii="Arial Narrow" w:hAnsi="Arial Narrow"/>
                <w:snapToGrid w:val="0"/>
                <w:sz w:val="20"/>
                <w:szCs w:val="20"/>
              </w:rPr>
              <w:t>0.13,0.05)</w:t>
            </w:r>
          </w:p>
        </w:tc>
        <w:tc>
          <w:tcPr>
            <w:tcW w:w="878" w:type="dxa"/>
            <w:tcBorders>
              <w:top w:val="single" w:sz="4" w:space="0" w:color="auto"/>
              <w:left w:val="single" w:sz="4" w:space="0" w:color="auto"/>
              <w:bottom w:val="single" w:sz="4" w:space="0" w:color="auto"/>
              <w:right w:val="single" w:sz="4" w:space="0" w:color="auto"/>
            </w:tcBorders>
          </w:tcPr>
          <w:p w14:paraId="297ED9E8" w14:textId="77777777" w:rsidR="003661D7" w:rsidRPr="00F91CC3" w:rsidRDefault="003661D7" w:rsidP="00CF10BA">
            <w:pPr>
              <w:keepNext/>
              <w:keepLines/>
              <w:jc w:val="center"/>
              <w:rPr>
                <w:rFonts w:ascii="Arial Narrow" w:hAnsi="Arial Narrow"/>
                <w:snapToGrid w:val="0"/>
                <w:sz w:val="20"/>
                <w:szCs w:val="20"/>
              </w:rPr>
            </w:pPr>
            <w:r w:rsidRPr="00F91CC3">
              <w:rPr>
                <w:rFonts w:ascii="Arial Narrow" w:hAnsi="Arial Narrow"/>
                <w:sz w:val="20"/>
                <w:szCs w:val="20"/>
              </w:rPr>
              <w:t>7 (20.0)</w:t>
            </w:r>
          </w:p>
        </w:tc>
        <w:tc>
          <w:tcPr>
            <w:tcW w:w="759" w:type="dxa"/>
            <w:tcBorders>
              <w:top w:val="single" w:sz="4" w:space="0" w:color="auto"/>
              <w:left w:val="single" w:sz="4" w:space="0" w:color="auto"/>
              <w:bottom w:val="single" w:sz="4" w:space="0" w:color="auto"/>
              <w:right w:val="single" w:sz="4" w:space="0" w:color="auto"/>
            </w:tcBorders>
          </w:tcPr>
          <w:p w14:paraId="027A5CA5" w14:textId="77777777" w:rsidR="003661D7" w:rsidRPr="00F91CC3" w:rsidRDefault="003661D7" w:rsidP="00CF10BA">
            <w:pPr>
              <w:keepNext/>
              <w:keepLines/>
              <w:jc w:val="center"/>
              <w:rPr>
                <w:rFonts w:ascii="Arial Narrow" w:hAnsi="Arial Narrow"/>
                <w:snapToGrid w:val="0"/>
                <w:sz w:val="20"/>
                <w:szCs w:val="20"/>
              </w:rPr>
            </w:pPr>
            <w:r w:rsidRPr="00F91CC3">
              <w:rPr>
                <w:rFonts w:ascii="Arial Narrow" w:hAnsi="Arial Narrow"/>
                <w:sz w:val="20"/>
                <w:szCs w:val="20"/>
              </w:rPr>
              <w:t>3 (8.8)</w:t>
            </w:r>
          </w:p>
        </w:tc>
        <w:tc>
          <w:tcPr>
            <w:tcW w:w="1322" w:type="dxa"/>
            <w:tcBorders>
              <w:top w:val="single" w:sz="4" w:space="0" w:color="auto"/>
              <w:left w:val="single" w:sz="4" w:space="0" w:color="auto"/>
              <w:bottom w:val="single" w:sz="4" w:space="0" w:color="auto"/>
              <w:right w:val="single" w:sz="4" w:space="0" w:color="auto"/>
            </w:tcBorders>
          </w:tcPr>
          <w:p w14:paraId="2B40E4BC" w14:textId="77777777" w:rsidR="003661D7" w:rsidRPr="00F91CC3" w:rsidRDefault="003661D7" w:rsidP="00CF10BA">
            <w:pPr>
              <w:keepNext/>
              <w:keepLines/>
              <w:jc w:val="center"/>
              <w:rPr>
                <w:rFonts w:ascii="Arial Narrow" w:hAnsi="Arial Narrow"/>
                <w:snapToGrid w:val="0"/>
                <w:sz w:val="20"/>
                <w:szCs w:val="20"/>
              </w:rPr>
            </w:pPr>
            <w:r w:rsidRPr="00F91CC3">
              <w:rPr>
                <w:rFonts w:ascii="Arial Narrow" w:hAnsi="Arial Narrow"/>
                <w:sz w:val="20"/>
                <w:szCs w:val="20"/>
              </w:rPr>
              <w:t>0.44 (0.12,1.57)</w:t>
            </w:r>
          </w:p>
        </w:tc>
        <w:tc>
          <w:tcPr>
            <w:tcW w:w="1139" w:type="dxa"/>
            <w:tcBorders>
              <w:top w:val="single" w:sz="4" w:space="0" w:color="auto"/>
              <w:left w:val="single" w:sz="4" w:space="0" w:color="auto"/>
              <w:bottom w:val="single" w:sz="4" w:space="0" w:color="auto"/>
              <w:right w:val="single" w:sz="4" w:space="0" w:color="auto"/>
            </w:tcBorders>
          </w:tcPr>
          <w:p w14:paraId="7393BC04" w14:textId="3AEED386" w:rsidR="003661D7" w:rsidRPr="00F91CC3" w:rsidRDefault="003661D7" w:rsidP="00CF10BA">
            <w:pPr>
              <w:keepNext/>
              <w:keepLines/>
              <w:jc w:val="center"/>
              <w:rPr>
                <w:rFonts w:ascii="Arial Narrow" w:hAnsi="Arial Narrow"/>
                <w:snapToGrid w:val="0"/>
                <w:sz w:val="20"/>
                <w:szCs w:val="20"/>
              </w:rPr>
            </w:pPr>
            <w:r w:rsidRPr="00F91CC3">
              <w:rPr>
                <w:rFonts w:ascii="Arial Narrow" w:hAnsi="Arial Narrow"/>
                <w:sz w:val="20"/>
                <w:szCs w:val="20"/>
              </w:rPr>
              <w:t>-0.11 (</w:t>
            </w:r>
            <w:r w:rsidR="00632C4B" w:rsidRPr="00F91CC3">
              <w:rPr>
                <w:rFonts w:ascii="Arial Narrow" w:hAnsi="Arial Narrow"/>
                <w:sz w:val="20"/>
                <w:szCs w:val="20"/>
              </w:rPr>
              <w:noBreakHyphen/>
            </w:r>
            <w:r w:rsidRPr="00F91CC3">
              <w:rPr>
                <w:rFonts w:ascii="Arial Narrow" w:hAnsi="Arial Narrow"/>
                <w:sz w:val="20"/>
                <w:szCs w:val="20"/>
              </w:rPr>
              <w:t>0.27,0.05)</w:t>
            </w:r>
          </w:p>
        </w:tc>
      </w:tr>
      <w:tr w:rsidR="003661D7" w:rsidRPr="00F91CC3" w14:paraId="0DE91A07" w14:textId="77777777" w:rsidTr="003A3172">
        <w:trPr>
          <w:trHeight w:val="19"/>
        </w:trPr>
        <w:tc>
          <w:tcPr>
            <w:tcW w:w="1261" w:type="dxa"/>
            <w:tcBorders>
              <w:top w:val="single" w:sz="4" w:space="0" w:color="auto"/>
              <w:left w:val="single" w:sz="4" w:space="0" w:color="auto"/>
              <w:bottom w:val="single" w:sz="4" w:space="0" w:color="auto"/>
              <w:right w:val="single" w:sz="4" w:space="0" w:color="auto"/>
            </w:tcBorders>
            <w:hideMark/>
          </w:tcPr>
          <w:p w14:paraId="70046AD7" w14:textId="77777777" w:rsidR="003661D7" w:rsidRPr="00F91CC3" w:rsidRDefault="003661D7" w:rsidP="00CF10BA">
            <w:pPr>
              <w:keepNext/>
              <w:keepLines/>
              <w:ind w:left="164"/>
              <w:jc w:val="left"/>
              <w:rPr>
                <w:rFonts w:ascii="Arial Narrow" w:hAnsi="Arial Narrow" w:cs="Times New Roman"/>
                <w:snapToGrid w:val="0"/>
                <w:sz w:val="20"/>
                <w:szCs w:val="20"/>
              </w:rPr>
            </w:pPr>
            <w:r w:rsidRPr="00F91CC3">
              <w:rPr>
                <w:rFonts w:ascii="Arial Narrow" w:hAnsi="Arial Narrow" w:cs="Times New Roman"/>
                <w:snapToGrid w:val="0"/>
                <w:sz w:val="20"/>
                <w:szCs w:val="20"/>
              </w:rPr>
              <w:t>Related</w:t>
            </w:r>
          </w:p>
        </w:tc>
        <w:tc>
          <w:tcPr>
            <w:tcW w:w="846" w:type="dxa"/>
            <w:tcBorders>
              <w:top w:val="single" w:sz="4" w:space="0" w:color="auto"/>
              <w:left w:val="single" w:sz="4" w:space="0" w:color="auto"/>
              <w:bottom w:val="single" w:sz="4" w:space="0" w:color="auto"/>
              <w:right w:val="single" w:sz="4" w:space="0" w:color="auto"/>
            </w:tcBorders>
            <w:hideMark/>
          </w:tcPr>
          <w:p w14:paraId="7483B416" w14:textId="77777777" w:rsidR="003661D7" w:rsidRPr="00F91CC3" w:rsidRDefault="003661D7" w:rsidP="00CF10BA">
            <w:pPr>
              <w:keepNext/>
              <w:keepLines/>
              <w:jc w:val="center"/>
              <w:rPr>
                <w:rFonts w:ascii="Arial Narrow" w:hAnsi="Arial Narrow" w:cs="Times New Roman"/>
                <w:snapToGrid w:val="0"/>
                <w:sz w:val="20"/>
                <w:szCs w:val="20"/>
              </w:rPr>
            </w:pPr>
            <w:r w:rsidRPr="00F91CC3">
              <w:rPr>
                <w:rFonts w:ascii="Arial Narrow" w:hAnsi="Arial Narrow" w:cs="Times New Roman"/>
                <w:snapToGrid w:val="0"/>
                <w:sz w:val="20"/>
                <w:szCs w:val="20"/>
              </w:rPr>
              <w:t>5 (3.1)</w:t>
            </w:r>
          </w:p>
        </w:tc>
        <w:tc>
          <w:tcPr>
            <w:tcW w:w="704" w:type="dxa"/>
            <w:tcBorders>
              <w:top w:val="single" w:sz="4" w:space="0" w:color="auto"/>
              <w:left w:val="single" w:sz="4" w:space="0" w:color="auto"/>
              <w:bottom w:val="single" w:sz="4" w:space="0" w:color="auto"/>
              <w:right w:val="single" w:sz="4" w:space="0" w:color="auto"/>
            </w:tcBorders>
            <w:hideMark/>
          </w:tcPr>
          <w:p w14:paraId="7BA0A51A" w14:textId="77777777" w:rsidR="003661D7" w:rsidRPr="00F91CC3" w:rsidRDefault="003661D7" w:rsidP="00CF10BA">
            <w:pPr>
              <w:keepNext/>
              <w:keepLines/>
              <w:jc w:val="center"/>
              <w:rPr>
                <w:rFonts w:ascii="Arial Narrow" w:hAnsi="Arial Narrow" w:cs="Times New Roman"/>
                <w:snapToGrid w:val="0"/>
                <w:sz w:val="20"/>
                <w:szCs w:val="20"/>
              </w:rPr>
            </w:pPr>
            <w:r w:rsidRPr="00F91CC3">
              <w:rPr>
                <w:rFonts w:ascii="Arial Narrow" w:hAnsi="Arial Narrow" w:cs="Times New Roman"/>
                <w:snapToGrid w:val="0"/>
                <w:sz w:val="20"/>
                <w:szCs w:val="20"/>
              </w:rPr>
              <w:t>2 (1.3)</w:t>
            </w:r>
          </w:p>
        </w:tc>
        <w:tc>
          <w:tcPr>
            <w:tcW w:w="1101" w:type="dxa"/>
            <w:tcBorders>
              <w:top w:val="single" w:sz="4" w:space="0" w:color="auto"/>
              <w:left w:val="single" w:sz="4" w:space="0" w:color="auto"/>
              <w:bottom w:val="single" w:sz="4" w:space="0" w:color="auto"/>
              <w:right w:val="single" w:sz="4" w:space="0" w:color="auto"/>
            </w:tcBorders>
            <w:hideMark/>
          </w:tcPr>
          <w:p w14:paraId="5CEAD30D" w14:textId="77777777" w:rsidR="003661D7" w:rsidRPr="00F91CC3" w:rsidRDefault="003661D7" w:rsidP="00CF10BA">
            <w:pPr>
              <w:keepNext/>
              <w:keepLines/>
              <w:jc w:val="center"/>
              <w:rPr>
                <w:rFonts w:ascii="Arial Narrow" w:hAnsi="Arial Narrow" w:cs="Times New Roman"/>
                <w:snapToGrid w:val="0"/>
                <w:sz w:val="20"/>
                <w:szCs w:val="20"/>
              </w:rPr>
            </w:pPr>
            <w:r w:rsidRPr="00F91CC3">
              <w:rPr>
                <w:rFonts w:ascii="Arial Narrow" w:hAnsi="Arial Narrow"/>
                <w:snapToGrid w:val="0"/>
                <w:sz w:val="20"/>
                <w:szCs w:val="20"/>
              </w:rPr>
              <w:t>0</w:t>
            </w:r>
          </w:p>
        </w:tc>
        <w:tc>
          <w:tcPr>
            <w:tcW w:w="1006" w:type="dxa"/>
            <w:tcBorders>
              <w:top w:val="single" w:sz="4" w:space="0" w:color="auto"/>
              <w:left w:val="single" w:sz="4" w:space="0" w:color="auto"/>
              <w:bottom w:val="single" w:sz="4" w:space="0" w:color="auto"/>
              <w:right w:val="single" w:sz="4" w:space="0" w:color="auto"/>
            </w:tcBorders>
            <w:hideMark/>
          </w:tcPr>
          <w:p w14:paraId="37AF7643" w14:textId="216F5A3F" w:rsidR="003661D7" w:rsidRPr="00F91CC3" w:rsidRDefault="003661D7" w:rsidP="00CF10BA">
            <w:pPr>
              <w:keepNext/>
              <w:keepLines/>
              <w:jc w:val="center"/>
              <w:rPr>
                <w:rFonts w:ascii="Arial Narrow" w:hAnsi="Arial Narrow" w:cs="Times New Roman"/>
                <w:snapToGrid w:val="0"/>
                <w:sz w:val="20"/>
                <w:szCs w:val="20"/>
              </w:rPr>
            </w:pPr>
            <w:r w:rsidRPr="00F91CC3">
              <w:rPr>
                <w:rFonts w:ascii="Arial Narrow" w:hAnsi="Arial Narrow"/>
                <w:snapToGrid w:val="0"/>
                <w:sz w:val="20"/>
                <w:szCs w:val="20"/>
              </w:rPr>
              <w:t>-0.02 (</w:t>
            </w:r>
            <w:r w:rsidR="00632C4B" w:rsidRPr="00F91CC3">
              <w:rPr>
                <w:rFonts w:ascii="Arial Narrow" w:hAnsi="Arial Narrow"/>
                <w:sz w:val="20"/>
                <w:szCs w:val="20"/>
              </w:rPr>
              <w:noBreakHyphen/>
            </w:r>
            <w:r w:rsidRPr="00F91CC3">
              <w:rPr>
                <w:rFonts w:ascii="Arial Narrow" w:hAnsi="Arial Narrow"/>
                <w:snapToGrid w:val="0"/>
                <w:sz w:val="20"/>
                <w:szCs w:val="20"/>
              </w:rPr>
              <w:t>0.05,0.01)</w:t>
            </w:r>
          </w:p>
        </w:tc>
        <w:tc>
          <w:tcPr>
            <w:tcW w:w="878" w:type="dxa"/>
            <w:tcBorders>
              <w:top w:val="single" w:sz="4" w:space="0" w:color="auto"/>
              <w:left w:val="single" w:sz="4" w:space="0" w:color="auto"/>
              <w:bottom w:val="single" w:sz="4" w:space="0" w:color="auto"/>
              <w:right w:val="single" w:sz="4" w:space="0" w:color="auto"/>
            </w:tcBorders>
          </w:tcPr>
          <w:p w14:paraId="6158A854" w14:textId="77777777" w:rsidR="003661D7" w:rsidRPr="00F91CC3" w:rsidRDefault="003661D7" w:rsidP="00CF10BA">
            <w:pPr>
              <w:keepNext/>
              <w:keepLines/>
              <w:jc w:val="center"/>
              <w:rPr>
                <w:rFonts w:ascii="Arial Narrow" w:hAnsi="Arial Narrow"/>
                <w:snapToGrid w:val="0"/>
                <w:sz w:val="20"/>
                <w:szCs w:val="20"/>
              </w:rPr>
            </w:pPr>
          </w:p>
        </w:tc>
        <w:tc>
          <w:tcPr>
            <w:tcW w:w="759" w:type="dxa"/>
            <w:tcBorders>
              <w:top w:val="single" w:sz="4" w:space="0" w:color="auto"/>
              <w:left w:val="single" w:sz="4" w:space="0" w:color="auto"/>
              <w:bottom w:val="single" w:sz="4" w:space="0" w:color="auto"/>
              <w:right w:val="single" w:sz="4" w:space="0" w:color="auto"/>
            </w:tcBorders>
          </w:tcPr>
          <w:p w14:paraId="213E7D01" w14:textId="77777777" w:rsidR="003661D7" w:rsidRPr="00F91CC3" w:rsidRDefault="003661D7" w:rsidP="00CF10BA">
            <w:pPr>
              <w:keepNext/>
              <w:keepLines/>
              <w:jc w:val="center"/>
              <w:rPr>
                <w:rFonts w:ascii="Arial Narrow" w:hAnsi="Arial Narrow"/>
                <w:snapToGrid w:val="0"/>
                <w:sz w:val="20"/>
                <w:szCs w:val="20"/>
              </w:rPr>
            </w:pPr>
          </w:p>
        </w:tc>
        <w:tc>
          <w:tcPr>
            <w:tcW w:w="1322" w:type="dxa"/>
            <w:tcBorders>
              <w:top w:val="single" w:sz="4" w:space="0" w:color="auto"/>
              <w:left w:val="single" w:sz="4" w:space="0" w:color="auto"/>
              <w:bottom w:val="single" w:sz="4" w:space="0" w:color="auto"/>
              <w:right w:val="single" w:sz="4" w:space="0" w:color="auto"/>
            </w:tcBorders>
          </w:tcPr>
          <w:p w14:paraId="754E44B6" w14:textId="77777777" w:rsidR="003661D7" w:rsidRPr="00F91CC3" w:rsidRDefault="003661D7" w:rsidP="00CF10BA">
            <w:pPr>
              <w:keepNext/>
              <w:keepLines/>
              <w:jc w:val="center"/>
              <w:rPr>
                <w:rFonts w:ascii="Arial Narrow" w:hAnsi="Arial Narrow"/>
                <w:snapToGrid w:val="0"/>
                <w:sz w:val="20"/>
                <w:szCs w:val="20"/>
              </w:rPr>
            </w:pPr>
          </w:p>
        </w:tc>
        <w:tc>
          <w:tcPr>
            <w:tcW w:w="1139" w:type="dxa"/>
            <w:tcBorders>
              <w:top w:val="single" w:sz="4" w:space="0" w:color="auto"/>
              <w:left w:val="single" w:sz="4" w:space="0" w:color="auto"/>
              <w:bottom w:val="single" w:sz="4" w:space="0" w:color="auto"/>
              <w:right w:val="single" w:sz="4" w:space="0" w:color="auto"/>
            </w:tcBorders>
          </w:tcPr>
          <w:p w14:paraId="56AEE08B" w14:textId="77777777" w:rsidR="003661D7" w:rsidRPr="00F91CC3" w:rsidRDefault="003661D7" w:rsidP="00CF10BA">
            <w:pPr>
              <w:keepNext/>
              <w:keepLines/>
              <w:jc w:val="center"/>
              <w:rPr>
                <w:rFonts w:ascii="Arial Narrow" w:hAnsi="Arial Narrow"/>
                <w:snapToGrid w:val="0"/>
                <w:sz w:val="20"/>
                <w:szCs w:val="20"/>
              </w:rPr>
            </w:pPr>
          </w:p>
        </w:tc>
      </w:tr>
      <w:tr w:rsidR="009C47A7" w:rsidRPr="00F91CC3" w14:paraId="2A300B12" w14:textId="77777777" w:rsidTr="003A3172">
        <w:trPr>
          <w:trHeight w:val="19"/>
        </w:trPr>
        <w:tc>
          <w:tcPr>
            <w:tcW w:w="9016" w:type="dxa"/>
            <w:gridSpan w:val="9"/>
            <w:tcBorders>
              <w:top w:val="single" w:sz="4" w:space="0" w:color="auto"/>
              <w:left w:val="single" w:sz="4" w:space="0" w:color="auto"/>
              <w:bottom w:val="single" w:sz="4" w:space="0" w:color="auto"/>
              <w:right w:val="single" w:sz="4" w:space="0" w:color="auto"/>
            </w:tcBorders>
            <w:hideMark/>
          </w:tcPr>
          <w:p w14:paraId="378FFED5" w14:textId="2281AD96" w:rsidR="009C47A7" w:rsidRPr="00F91CC3" w:rsidRDefault="009C47A7" w:rsidP="00CF10BA">
            <w:pPr>
              <w:keepNext/>
              <w:keepLines/>
              <w:jc w:val="left"/>
              <w:rPr>
                <w:rFonts w:ascii="Arial Narrow" w:hAnsi="Arial Narrow" w:cs="Times New Roman"/>
                <w:b/>
                <w:bCs/>
                <w:snapToGrid w:val="0"/>
                <w:sz w:val="20"/>
                <w:szCs w:val="20"/>
              </w:rPr>
            </w:pPr>
            <w:r w:rsidRPr="00F91CC3">
              <w:rPr>
                <w:rFonts w:ascii="Arial Narrow" w:hAnsi="Arial Narrow" w:cs="Times New Roman"/>
                <w:b/>
                <w:bCs/>
                <w:snapToGrid w:val="0"/>
                <w:sz w:val="20"/>
                <w:szCs w:val="20"/>
              </w:rPr>
              <w:t>Patients with AEs by maximum severity</w:t>
            </w:r>
          </w:p>
        </w:tc>
      </w:tr>
      <w:tr w:rsidR="003661D7" w:rsidRPr="00F91CC3" w14:paraId="2B23AB13" w14:textId="77777777" w:rsidTr="003A3172">
        <w:trPr>
          <w:trHeight w:val="19"/>
        </w:trPr>
        <w:tc>
          <w:tcPr>
            <w:tcW w:w="1261" w:type="dxa"/>
            <w:tcBorders>
              <w:top w:val="single" w:sz="4" w:space="0" w:color="auto"/>
              <w:left w:val="single" w:sz="4" w:space="0" w:color="auto"/>
              <w:bottom w:val="single" w:sz="4" w:space="0" w:color="auto"/>
              <w:right w:val="single" w:sz="4" w:space="0" w:color="auto"/>
            </w:tcBorders>
            <w:hideMark/>
          </w:tcPr>
          <w:p w14:paraId="10257547" w14:textId="77777777" w:rsidR="003661D7" w:rsidRPr="00F91CC3" w:rsidRDefault="003661D7" w:rsidP="00CF10BA">
            <w:pPr>
              <w:keepNext/>
              <w:keepLines/>
              <w:ind w:left="164"/>
              <w:jc w:val="left"/>
              <w:rPr>
                <w:rFonts w:ascii="Arial Narrow" w:hAnsi="Arial Narrow" w:cs="Times New Roman"/>
                <w:snapToGrid w:val="0"/>
                <w:sz w:val="20"/>
                <w:szCs w:val="20"/>
              </w:rPr>
            </w:pPr>
            <w:r w:rsidRPr="00F91CC3">
              <w:rPr>
                <w:rFonts w:ascii="Arial Narrow" w:hAnsi="Arial Narrow" w:cs="Times New Roman"/>
                <w:snapToGrid w:val="0"/>
                <w:sz w:val="20"/>
                <w:szCs w:val="20"/>
              </w:rPr>
              <w:t>Mild</w:t>
            </w:r>
          </w:p>
        </w:tc>
        <w:tc>
          <w:tcPr>
            <w:tcW w:w="846" w:type="dxa"/>
            <w:tcBorders>
              <w:top w:val="single" w:sz="4" w:space="0" w:color="auto"/>
              <w:left w:val="single" w:sz="4" w:space="0" w:color="auto"/>
              <w:bottom w:val="single" w:sz="4" w:space="0" w:color="auto"/>
              <w:right w:val="single" w:sz="4" w:space="0" w:color="auto"/>
            </w:tcBorders>
            <w:hideMark/>
          </w:tcPr>
          <w:p w14:paraId="0810E011" w14:textId="77777777" w:rsidR="003661D7" w:rsidRPr="00F91CC3" w:rsidRDefault="003661D7" w:rsidP="00CF10BA">
            <w:pPr>
              <w:keepNext/>
              <w:keepLines/>
              <w:jc w:val="center"/>
              <w:rPr>
                <w:rFonts w:ascii="Arial Narrow" w:hAnsi="Arial Narrow" w:cs="Times New Roman"/>
                <w:snapToGrid w:val="0"/>
                <w:sz w:val="20"/>
                <w:szCs w:val="20"/>
              </w:rPr>
            </w:pPr>
            <w:r w:rsidRPr="00F91CC3">
              <w:rPr>
                <w:rFonts w:ascii="Arial Narrow" w:hAnsi="Arial Narrow" w:cs="Times New Roman"/>
                <w:snapToGrid w:val="0"/>
                <w:sz w:val="20"/>
                <w:szCs w:val="20"/>
              </w:rPr>
              <w:t>63 (38.9)</w:t>
            </w:r>
          </w:p>
        </w:tc>
        <w:tc>
          <w:tcPr>
            <w:tcW w:w="704" w:type="dxa"/>
            <w:tcBorders>
              <w:top w:val="single" w:sz="4" w:space="0" w:color="auto"/>
              <w:left w:val="single" w:sz="4" w:space="0" w:color="auto"/>
              <w:bottom w:val="single" w:sz="4" w:space="0" w:color="auto"/>
              <w:right w:val="single" w:sz="4" w:space="0" w:color="auto"/>
            </w:tcBorders>
            <w:hideMark/>
          </w:tcPr>
          <w:p w14:paraId="0A70934B" w14:textId="77777777" w:rsidR="003661D7" w:rsidRPr="00F91CC3" w:rsidRDefault="003661D7" w:rsidP="00CF10BA">
            <w:pPr>
              <w:keepNext/>
              <w:keepLines/>
              <w:jc w:val="center"/>
              <w:rPr>
                <w:rFonts w:ascii="Arial Narrow" w:hAnsi="Arial Narrow" w:cs="Times New Roman"/>
                <w:snapToGrid w:val="0"/>
                <w:sz w:val="20"/>
                <w:szCs w:val="20"/>
              </w:rPr>
            </w:pPr>
            <w:r w:rsidRPr="00F91CC3">
              <w:rPr>
                <w:rFonts w:ascii="Arial Narrow" w:hAnsi="Arial Narrow" w:cs="Times New Roman"/>
                <w:snapToGrid w:val="0"/>
                <w:sz w:val="20"/>
                <w:szCs w:val="20"/>
              </w:rPr>
              <w:t>55 (35.0)</w:t>
            </w:r>
          </w:p>
        </w:tc>
        <w:tc>
          <w:tcPr>
            <w:tcW w:w="1101" w:type="dxa"/>
            <w:tcBorders>
              <w:top w:val="single" w:sz="4" w:space="0" w:color="auto"/>
              <w:left w:val="single" w:sz="4" w:space="0" w:color="auto"/>
              <w:bottom w:val="single" w:sz="4" w:space="0" w:color="auto"/>
              <w:right w:val="single" w:sz="4" w:space="0" w:color="auto"/>
            </w:tcBorders>
            <w:hideMark/>
          </w:tcPr>
          <w:p w14:paraId="1BCF50AE" w14:textId="77777777" w:rsidR="003661D7" w:rsidRPr="00F91CC3" w:rsidRDefault="003661D7" w:rsidP="00CF10BA">
            <w:pPr>
              <w:keepNext/>
              <w:keepLines/>
              <w:jc w:val="center"/>
              <w:rPr>
                <w:rFonts w:ascii="Arial Narrow" w:hAnsi="Arial Narrow" w:cs="Times New Roman"/>
                <w:snapToGrid w:val="0"/>
                <w:sz w:val="20"/>
                <w:szCs w:val="20"/>
              </w:rPr>
            </w:pPr>
            <w:r w:rsidRPr="00F91CC3">
              <w:rPr>
                <w:rFonts w:ascii="Arial Narrow" w:hAnsi="Arial Narrow"/>
                <w:snapToGrid w:val="0"/>
                <w:sz w:val="20"/>
                <w:szCs w:val="20"/>
              </w:rPr>
              <w:t>0.90 (0.682,1.20)</w:t>
            </w:r>
          </w:p>
        </w:tc>
        <w:tc>
          <w:tcPr>
            <w:tcW w:w="1006" w:type="dxa"/>
            <w:tcBorders>
              <w:top w:val="single" w:sz="4" w:space="0" w:color="auto"/>
              <w:left w:val="single" w:sz="4" w:space="0" w:color="auto"/>
              <w:bottom w:val="single" w:sz="4" w:space="0" w:color="auto"/>
              <w:right w:val="single" w:sz="4" w:space="0" w:color="auto"/>
            </w:tcBorders>
            <w:hideMark/>
          </w:tcPr>
          <w:p w14:paraId="7B56F208" w14:textId="4789D071" w:rsidR="003661D7" w:rsidRPr="00F91CC3" w:rsidRDefault="003661D7" w:rsidP="00CF10BA">
            <w:pPr>
              <w:keepNext/>
              <w:keepLines/>
              <w:jc w:val="center"/>
              <w:rPr>
                <w:rFonts w:ascii="Arial Narrow" w:hAnsi="Arial Narrow" w:cs="Times New Roman"/>
                <w:snapToGrid w:val="0"/>
                <w:sz w:val="20"/>
                <w:szCs w:val="20"/>
              </w:rPr>
            </w:pPr>
            <w:r w:rsidRPr="00F91CC3">
              <w:rPr>
                <w:rFonts w:ascii="Arial Narrow" w:hAnsi="Arial Narrow"/>
                <w:snapToGrid w:val="0"/>
                <w:sz w:val="20"/>
                <w:szCs w:val="20"/>
              </w:rPr>
              <w:t>-0.04 (</w:t>
            </w:r>
            <w:r w:rsidR="00632C4B" w:rsidRPr="00F91CC3">
              <w:rPr>
                <w:rFonts w:ascii="Arial Narrow" w:hAnsi="Arial Narrow"/>
                <w:sz w:val="20"/>
                <w:szCs w:val="20"/>
              </w:rPr>
              <w:noBreakHyphen/>
            </w:r>
            <w:r w:rsidRPr="00F91CC3">
              <w:rPr>
                <w:rFonts w:ascii="Arial Narrow" w:hAnsi="Arial Narrow"/>
                <w:snapToGrid w:val="0"/>
                <w:sz w:val="20"/>
                <w:szCs w:val="20"/>
              </w:rPr>
              <w:t>0.14,0.07)</w:t>
            </w:r>
          </w:p>
        </w:tc>
        <w:tc>
          <w:tcPr>
            <w:tcW w:w="878" w:type="dxa"/>
            <w:tcBorders>
              <w:top w:val="single" w:sz="4" w:space="0" w:color="auto"/>
              <w:left w:val="single" w:sz="4" w:space="0" w:color="auto"/>
              <w:bottom w:val="single" w:sz="4" w:space="0" w:color="auto"/>
              <w:right w:val="single" w:sz="4" w:space="0" w:color="auto"/>
            </w:tcBorders>
          </w:tcPr>
          <w:p w14:paraId="51902068" w14:textId="77777777" w:rsidR="003661D7" w:rsidRPr="00F91CC3" w:rsidRDefault="003661D7" w:rsidP="00CF10BA">
            <w:pPr>
              <w:keepNext/>
              <w:keepLines/>
              <w:jc w:val="center"/>
              <w:rPr>
                <w:rFonts w:ascii="Arial Narrow" w:hAnsi="Arial Narrow"/>
                <w:snapToGrid w:val="0"/>
                <w:sz w:val="20"/>
                <w:szCs w:val="20"/>
              </w:rPr>
            </w:pPr>
            <w:r w:rsidRPr="00F91CC3">
              <w:rPr>
                <w:rFonts w:ascii="Arial Narrow" w:hAnsi="Arial Narrow"/>
                <w:bCs/>
                <w:sz w:val="20"/>
                <w:szCs w:val="20"/>
              </w:rPr>
              <w:t>10 (28.6)</w:t>
            </w:r>
          </w:p>
        </w:tc>
        <w:tc>
          <w:tcPr>
            <w:tcW w:w="759" w:type="dxa"/>
            <w:tcBorders>
              <w:top w:val="single" w:sz="4" w:space="0" w:color="auto"/>
              <w:left w:val="single" w:sz="4" w:space="0" w:color="auto"/>
              <w:bottom w:val="single" w:sz="4" w:space="0" w:color="auto"/>
              <w:right w:val="single" w:sz="4" w:space="0" w:color="auto"/>
            </w:tcBorders>
          </w:tcPr>
          <w:p w14:paraId="2138073B" w14:textId="77777777" w:rsidR="003661D7" w:rsidRPr="00F91CC3" w:rsidRDefault="003661D7" w:rsidP="00CF10BA">
            <w:pPr>
              <w:keepNext/>
              <w:keepLines/>
              <w:jc w:val="center"/>
              <w:rPr>
                <w:rFonts w:ascii="Arial Narrow" w:hAnsi="Arial Narrow"/>
                <w:snapToGrid w:val="0"/>
                <w:sz w:val="20"/>
                <w:szCs w:val="20"/>
              </w:rPr>
            </w:pPr>
            <w:r w:rsidRPr="00F91CC3">
              <w:rPr>
                <w:rFonts w:ascii="Arial Narrow" w:hAnsi="Arial Narrow"/>
                <w:bCs/>
                <w:sz w:val="20"/>
                <w:szCs w:val="20"/>
              </w:rPr>
              <w:t>17 (50.0)</w:t>
            </w:r>
          </w:p>
        </w:tc>
        <w:tc>
          <w:tcPr>
            <w:tcW w:w="1322" w:type="dxa"/>
            <w:tcBorders>
              <w:top w:val="single" w:sz="4" w:space="0" w:color="auto"/>
              <w:left w:val="single" w:sz="4" w:space="0" w:color="auto"/>
              <w:bottom w:val="single" w:sz="4" w:space="0" w:color="auto"/>
              <w:right w:val="single" w:sz="4" w:space="0" w:color="auto"/>
            </w:tcBorders>
          </w:tcPr>
          <w:p w14:paraId="7D7A26EA" w14:textId="77777777" w:rsidR="003661D7" w:rsidRPr="00F91CC3" w:rsidRDefault="003661D7" w:rsidP="00CF10BA">
            <w:pPr>
              <w:keepNext/>
              <w:keepLines/>
              <w:jc w:val="center"/>
              <w:rPr>
                <w:rFonts w:ascii="Arial Narrow" w:hAnsi="Arial Narrow"/>
                <w:snapToGrid w:val="0"/>
                <w:sz w:val="20"/>
                <w:szCs w:val="20"/>
              </w:rPr>
            </w:pPr>
            <w:r w:rsidRPr="00F91CC3">
              <w:rPr>
                <w:rFonts w:ascii="Arial Narrow" w:hAnsi="Arial Narrow"/>
                <w:sz w:val="20"/>
                <w:szCs w:val="20"/>
              </w:rPr>
              <w:t>1.75 (0.94,3.26)</w:t>
            </w:r>
          </w:p>
        </w:tc>
        <w:tc>
          <w:tcPr>
            <w:tcW w:w="1139" w:type="dxa"/>
            <w:tcBorders>
              <w:top w:val="single" w:sz="4" w:space="0" w:color="auto"/>
              <w:left w:val="single" w:sz="4" w:space="0" w:color="auto"/>
              <w:bottom w:val="single" w:sz="4" w:space="0" w:color="auto"/>
              <w:right w:val="single" w:sz="4" w:space="0" w:color="auto"/>
            </w:tcBorders>
          </w:tcPr>
          <w:p w14:paraId="5233DFF5" w14:textId="4E0E9CF2" w:rsidR="003661D7" w:rsidRPr="00F91CC3" w:rsidRDefault="003661D7" w:rsidP="00CF10BA">
            <w:pPr>
              <w:keepNext/>
              <w:keepLines/>
              <w:jc w:val="center"/>
              <w:rPr>
                <w:rFonts w:ascii="Arial Narrow" w:hAnsi="Arial Narrow"/>
                <w:snapToGrid w:val="0"/>
                <w:sz w:val="20"/>
                <w:szCs w:val="20"/>
              </w:rPr>
            </w:pPr>
            <w:r w:rsidRPr="00F91CC3">
              <w:rPr>
                <w:rFonts w:ascii="Arial Narrow" w:hAnsi="Arial Narrow"/>
                <w:sz w:val="20"/>
                <w:szCs w:val="20"/>
              </w:rPr>
              <w:t>0.21 (</w:t>
            </w:r>
            <w:r w:rsidR="00632C4B" w:rsidRPr="00F91CC3">
              <w:rPr>
                <w:rFonts w:ascii="Arial Narrow" w:hAnsi="Arial Narrow"/>
                <w:sz w:val="20"/>
                <w:szCs w:val="20"/>
              </w:rPr>
              <w:noBreakHyphen/>
            </w:r>
            <w:r w:rsidRPr="00F91CC3">
              <w:rPr>
                <w:rFonts w:ascii="Arial Narrow" w:hAnsi="Arial Narrow"/>
                <w:sz w:val="20"/>
                <w:szCs w:val="20"/>
              </w:rPr>
              <w:t>0.04,0.44)</w:t>
            </w:r>
          </w:p>
        </w:tc>
      </w:tr>
      <w:tr w:rsidR="003661D7" w:rsidRPr="00F91CC3" w14:paraId="4465013E" w14:textId="77777777" w:rsidTr="003A3172">
        <w:trPr>
          <w:trHeight w:val="19"/>
        </w:trPr>
        <w:tc>
          <w:tcPr>
            <w:tcW w:w="1261" w:type="dxa"/>
            <w:tcBorders>
              <w:top w:val="single" w:sz="4" w:space="0" w:color="auto"/>
              <w:left w:val="single" w:sz="4" w:space="0" w:color="auto"/>
              <w:bottom w:val="single" w:sz="4" w:space="0" w:color="auto"/>
              <w:right w:val="single" w:sz="4" w:space="0" w:color="auto"/>
            </w:tcBorders>
            <w:hideMark/>
          </w:tcPr>
          <w:p w14:paraId="1266AF0D" w14:textId="77777777" w:rsidR="003661D7" w:rsidRPr="00F91CC3" w:rsidRDefault="003661D7" w:rsidP="00CF10BA">
            <w:pPr>
              <w:keepNext/>
              <w:keepLines/>
              <w:ind w:left="164"/>
              <w:jc w:val="left"/>
              <w:rPr>
                <w:rFonts w:ascii="Arial Narrow" w:hAnsi="Arial Narrow" w:cs="Times New Roman"/>
                <w:snapToGrid w:val="0"/>
                <w:sz w:val="20"/>
                <w:szCs w:val="20"/>
              </w:rPr>
            </w:pPr>
            <w:r w:rsidRPr="00F91CC3">
              <w:rPr>
                <w:rFonts w:ascii="Arial Narrow" w:hAnsi="Arial Narrow" w:cs="Times New Roman"/>
                <w:snapToGrid w:val="0"/>
                <w:sz w:val="20"/>
                <w:szCs w:val="20"/>
              </w:rPr>
              <w:t>Moderate</w:t>
            </w:r>
          </w:p>
        </w:tc>
        <w:tc>
          <w:tcPr>
            <w:tcW w:w="846" w:type="dxa"/>
            <w:tcBorders>
              <w:top w:val="single" w:sz="4" w:space="0" w:color="auto"/>
              <w:left w:val="single" w:sz="4" w:space="0" w:color="auto"/>
              <w:bottom w:val="single" w:sz="4" w:space="0" w:color="auto"/>
              <w:right w:val="single" w:sz="4" w:space="0" w:color="auto"/>
            </w:tcBorders>
            <w:hideMark/>
          </w:tcPr>
          <w:p w14:paraId="08565394" w14:textId="77777777" w:rsidR="003661D7" w:rsidRPr="00F91CC3" w:rsidRDefault="003661D7" w:rsidP="00CF10BA">
            <w:pPr>
              <w:keepNext/>
              <w:keepLines/>
              <w:jc w:val="center"/>
              <w:rPr>
                <w:rFonts w:ascii="Arial Narrow" w:hAnsi="Arial Narrow" w:cs="Times New Roman"/>
                <w:snapToGrid w:val="0"/>
                <w:sz w:val="20"/>
                <w:szCs w:val="20"/>
              </w:rPr>
            </w:pPr>
            <w:r w:rsidRPr="00F91CC3">
              <w:rPr>
                <w:rFonts w:ascii="Arial Narrow" w:hAnsi="Arial Narrow" w:cs="Times New Roman"/>
                <w:snapToGrid w:val="0"/>
                <w:sz w:val="20"/>
                <w:szCs w:val="20"/>
              </w:rPr>
              <w:t>54 (33.3)</w:t>
            </w:r>
          </w:p>
        </w:tc>
        <w:tc>
          <w:tcPr>
            <w:tcW w:w="704" w:type="dxa"/>
            <w:tcBorders>
              <w:top w:val="single" w:sz="4" w:space="0" w:color="auto"/>
              <w:left w:val="single" w:sz="4" w:space="0" w:color="auto"/>
              <w:bottom w:val="single" w:sz="4" w:space="0" w:color="auto"/>
              <w:right w:val="single" w:sz="4" w:space="0" w:color="auto"/>
            </w:tcBorders>
            <w:hideMark/>
          </w:tcPr>
          <w:p w14:paraId="72D0FDAC" w14:textId="77777777" w:rsidR="003661D7" w:rsidRPr="00F91CC3" w:rsidRDefault="003661D7" w:rsidP="00CF10BA">
            <w:pPr>
              <w:keepNext/>
              <w:keepLines/>
              <w:jc w:val="center"/>
              <w:rPr>
                <w:rFonts w:ascii="Arial Narrow" w:hAnsi="Arial Narrow" w:cs="Times New Roman"/>
                <w:snapToGrid w:val="0"/>
                <w:sz w:val="20"/>
                <w:szCs w:val="20"/>
              </w:rPr>
            </w:pPr>
            <w:r w:rsidRPr="00F91CC3">
              <w:rPr>
                <w:rFonts w:ascii="Arial Narrow" w:hAnsi="Arial Narrow" w:cs="Times New Roman"/>
                <w:snapToGrid w:val="0"/>
                <w:sz w:val="20"/>
                <w:szCs w:val="20"/>
              </w:rPr>
              <w:t>51 (32.5)</w:t>
            </w:r>
          </w:p>
        </w:tc>
        <w:tc>
          <w:tcPr>
            <w:tcW w:w="1101" w:type="dxa"/>
            <w:tcBorders>
              <w:top w:val="single" w:sz="4" w:space="0" w:color="auto"/>
              <w:left w:val="single" w:sz="4" w:space="0" w:color="auto"/>
              <w:bottom w:val="single" w:sz="4" w:space="0" w:color="auto"/>
              <w:right w:val="single" w:sz="4" w:space="0" w:color="auto"/>
            </w:tcBorders>
            <w:hideMark/>
          </w:tcPr>
          <w:p w14:paraId="56A0B66E" w14:textId="77777777" w:rsidR="003661D7" w:rsidRPr="00F91CC3" w:rsidRDefault="003661D7" w:rsidP="00CF10BA">
            <w:pPr>
              <w:keepNext/>
              <w:keepLines/>
              <w:jc w:val="center"/>
              <w:rPr>
                <w:rFonts w:ascii="Arial Narrow" w:hAnsi="Arial Narrow" w:cs="Times New Roman"/>
                <w:snapToGrid w:val="0"/>
                <w:sz w:val="20"/>
                <w:szCs w:val="20"/>
              </w:rPr>
            </w:pPr>
            <w:r w:rsidRPr="00F91CC3">
              <w:rPr>
                <w:rFonts w:ascii="Arial Narrow" w:hAnsi="Arial Narrow"/>
                <w:snapToGrid w:val="0"/>
                <w:sz w:val="20"/>
                <w:szCs w:val="20"/>
              </w:rPr>
              <w:t>0.97 (0.71,1.33)</w:t>
            </w:r>
          </w:p>
        </w:tc>
        <w:tc>
          <w:tcPr>
            <w:tcW w:w="1006" w:type="dxa"/>
            <w:tcBorders>
              <w:top w:val="single" w:sz="4" w:space="0" w:color="auto"/>
              <w:left w:val="single" w:sz="4" w:space="0" w:color="auto"/>
              <w:bottom w:val="single" w:sz="4" w:space="0" w:color="auto"/>
              <w:right w:val="single" w:sz="4" w:space="0" w:color="auto"/>
            </w:tcBorders>
            <w:hideMark/>
          </w:tcPr>
          <w:p w14:paraId="6E83790B" w14:textId="5B3E7506" w:rsidR="003661D7" w:rsidRPr="00F91CC3" w:rsidRDefault="003661D7" w:rsidP="00CF10BA">
            <w:pPr>
              <w:keepNext/>
              <w:keepLines/>
              <w:jc w:val="center"/>
              <w:rPr>
                <w:rFonts w:ascii="Arial Narrow" w:hAnsi="Arial Narrow" w:cs="Times New Roman"/>
                <w:snapToGrid w:val="0"/>
                <w:sz w:val="20"/>
                <w:szCs w:val="20"/>
              </w:rPr>
            </w:pPr>
            <w:r w:rsidRPr="00F91CC3">
              <w:rPr>
                <w:rFonts w:ascii="Arial Narrow" w:hAnsi="Arial Narrow"/>
                <w:snapToGrid w:val="0"/>
                <w:sz w:val="20"/>
                <w:szCs w:val="20"/>
              </w:rPr>
              <w:t>-0.01 (</w:t>
            </w:r>
            <w:r w:rsidR="00632C4B" w:rsidRPr="00F91CC3">
              <w:rPr>
                <w:rFonts w:ascii="Arial Narrow" w:hAnsi="Arial Narrow"/>
                <w:sz w:val="20"/>
                <w:szCs w:val="20"/>
              </w:rPr>
              <w:noBreakHyphen/>
            </w:r>
            <w:r w:rsidRPr="00F91CC3">
              <w:rPr>
                <w:rFonts w:ascii="Arial Narrow" w:hAnsi="Arial Narrow"/>
                <w:snapToGrid w:val="0"/>
                <w:sz w:val="20"/>
                <w:szCs w:val="20"/>
              </w:rPr>
              <w:t>0.11,0.01)</w:t>
            </w:r>
          </w:p>
        </w:tc>
        <w:tc>
          <w:tcPr>
            <w:tcW w:w="878" w:type="dxa"/>
            <w:tcBorders>
              <w:top w:val="single" w:sz="4" w:space="0" w:color="auto"/>
              <w:left w:val="single" w:sz="4" w:space="0" w:color="auto"/>
              <w:bottom w:val="single" w:sz="4" w:space="0" w:color="auto"/>
              <w:right w:val="single" w:sz="4" w:space="0" w:color="auto"/>
            </w:tcBorders>
          </w:tcPr>
          <w:p w14:paraId="44C78817" w14:textId="77777777" w:rsidR="003661D7" w:rsidRPr="00F91CC3" w:rsidRDefault="003661D7" w:rsidP="00CF10BA">
            <w:pPr>
              <w:keepNext/>
              <w:keepLines/>
              <w:jc w:val="center"/>
              <w:rPr>
                <w:rFonts w:ascii="Arial Narrow" w:hAnsi="Arial Narrow"/>
                <w:snapToGrid w:val="0"/>
                <w:sz w:val="20"/>
                <w:szCs w:val="20"/>
              </w:rPr>
            </w:pPr>
            <w:r w:rsidRPr="00F91CC3">
              <w:rPr>
                <w:rFonts w:ascii="Arial Narrow" w:hAnsi="Arial Narrow"/>
                <w:bCs/>
                <w:sz w:val="20"/>
                <w:szCs w:val="20"/>
              </w:rPr>
              <w:t>20 (57.1)</w:t>
            </w:r>
          </w:p>
        </w:tc>
        <w:tc>
          <w:tcPr>
            <w:tcW w:w="759" w:type="dxa"/>
            <w:tcBorders>
              <w:top w:val="single" w:sz="4" w:space="0" w:color="auto"/>
              <w:left w:val="single" w:sz="4" w:space="0" w:color="auto"/>
              <w:bottom w:val="single" w:sz="4" w:space="0" w:color="auto"/>
              <w:right w:val="single" w:sz="4" w:space="0" w:color="auto"/>
            </w:tcBorders>
          </w:tcPr>
          <w:p w14:paraId="35BCC62E" w14:textId="77777777" w:rsidR="003661D7" w:rsidRPr="00F91CC3" w:rsidRDefault="003661D7" w:rsidP="00CF10BA">
            <w:pPr>
              <w:keepNext/>
              <w:keepLines/>
              <w:jc w:val="center"/>
              <w:rPr>
                <w:rFonts w:ascii="Arial Narrow" w:hAnsi="Arial Narrow"/>
                <w:snapToGrid w:val="0"/>
                <w:sz w:val="20"/>
                <w:szCs w:val="20"/>
              </w:rPr>
            </w:pPr>
            <w:r w:rsidRPr="00F91CC3">
              <w:rPr>
                <w:rFonts w:ascii="Arial Narrow" w:hAnsi="Arial Narrow"/>
                <w:bCs/>
                <w:sz w:val="20"/>
                <w:szCs w:val="20"/>
              </w:rPr>
              <w:t>14 (41.2)</w:t>
            </w:r>
          </w:p>
        </w:tc>
        <w:tc>
          <w:tcPr>
            <w:tcW w:w="1322" w:type="dxa"/>
            <w:tcBorders>
              <w:top w:val="single" w:sz="4" w:space="0" w:color="auto"/>
              <w:left w:val="single" w:sz="4" w:space="0" w:color="auto"/>
              <w:bottom w:val="single" w:sz="4" w:space="0" w:color="auto"/>
              <w:right w:val="single" w:sz="4" w:space="0" w:color="auto"/>
            </w:tcBorders>
          </w:tcPr>
          <w:p w14:paraId="260B94CD" w14:textId="77777777" w:rsidR="003661D7" w:rsidRPr="00F91CC3" w:rsidRDefault="003661D7" w:rsidP="00CF10BA">
            <w:pPr>
              <w:keepNext/>
              <w:keepLines/>
              <w:jc w:val="center"/>
              <w:rPr>
                <w:rFonts w:ascii="Arial Narrow" w:hAnsi="Arial Narrow"/>
                <w:snapToGrid w:val="0"/>
                <w:sz w:val="20"/>
                <w:szCs w:val="20"/>
              </w:rPr>
            </w:pPr>
            <w:r w:rsidRPr="00F91CC3">
              <w:rPr>
                <w:rFonts w:ascii="Arial Narrow" w:hAnsi="Arial Narrow"/>
                <w:sz w:val="20"/>
                <w:szCs w:val="20"/>
              </w:rPr>
              <w:t>0.72 (0.44,1.18)</w:t>
            </w:r>
          </w:p>
        </w:tc>
        <w:tc>
          <w:tcPr>
            <w:tcW w:w="1139" w:type="dxa"/>
            <w:tcBorders>
              <w:top w:val="single" w:sz="4" w:space="0" w:color="auto"/>
              <w:left w:val="single" w:sz="4" w:space="0" w:color="auto"/>
              <w:bottom w:val="single" w:sz="4" w:space="0" w:color="auto"/>
              <w:right w:val="single" w:sz="4" w:space="0" w:color="auto"/>
            </w:tcBorders>
          </w:tcPr>
          <w:p w14:paraId="255837E5" w14:textId="0D0E5080" w:rsidR="003661D7" w:rsidRPr="00F91CC3" w:rsidRDefault="003661D7" w:rsidP="00CF10BA">
            <w:pPr>
              <w:keepNext/>
              <w:keepLines/>
              <w:jc w:val="center"/>
              <w:rPr>
                <w:rFonts w:ascii="Arial Narrow" w:hAnsi="Arial Narrow"/>
                <w:snapToGrid w:val="0"/>
                <w:sz w:val="20"/>
                <w:szCs w:val="20"/>
              </w:rPr>
            </w:pPr>
            <w:r w:rsidRPr="00F91CC3">
              <w:rPr>
                <w:rFonts w:ascii="Arial Narrow" w:hAnsi="Arial Narrow"/>
                <w:sz w:val="20"/>
                <w:szCs w:val="20"/>
              </w:rPr>
              <w:t>-0.16 (</w:t>
            </w:r>
            <w:r w:rsidR="00632C4B" w:rsidRPr="00F91CC3">
              <w:rPr>
                <w:rFonts w:ascii="Arial Narrow" w:hAnsi="Arial Narrow"/>
                <w:sz w:val="20"/>
                <w:szCs w:val="20"/>
              </w:rPr>
              <w:noBreakHyphen/>
            </w:r>
            <w:r w:rsidRPr="00F91CC3">
              <w:rPr>
                <w:rFonts w:ascii="Arial Narrow" w:hAnsi="Arial Narrow"/>
                <w:sz w:val="20"/>
                <w:szCs w:val="20"/>
              </w:rPr>
              <w:t>0.38,0.07)</w:t>
            </w:r>
          </w:p>
        </w:tc>
      </w:tr>
      <w:tr w:rsidR="003661D7" w:rsidRPr="00F91CC3" w14:paraId="273DF752" w14:textId="77777777" w:rsidTr="003A3172">
        <w:trPr>
          <w:trHeight w:val="19"/>
        </w:trPr>
        <w:tc>
          <w:tcPr>
            <w:tcW w:w="1261" w:type="dxa"/>
            <w:tcBorders>
              <w:top w:val="single" w:sz="4" w:space="0" w:color="auto"/>
              <w:left w:val="single" w:sz="4" w:space="0" w:color="auto"/>
              <w:bottom w:val="single" w:sz="4" w:space="0" w:color="auto"/>
              <w:right w:val="single" w:sz="4" w:space="0" w:color="auto"/>
            </w:tcBorders>
            <w:hideMark/>
          </w:tcPr>
          <w:p w14:paraId="71ED7213" w14:textId="77777777" w:rsidR="003661D7" w:rsidRPr="00F91CC3" w:rsidRDefault="003661D7" w:rsidP="00CF10BA">
            <w:pPr>
              <w:keepNext/>
              <w:keepLines/>
              <w:ind w:left="164"/>
              <w:jc w:val="left"/>
              <w:rPr>
                <w:rFonts w:ascii="Arial Narrow" w:hAnsi="Arial Narrow" w:cs="Times New Roman"/>
                <w:snapToGrid w:val="0"/>
                <w:sz w:val="20"/>
                <w:szCs w:val="20"/>
              </w:rPr>
            </w:pPr>
            <w:r w:rsidRPr="00F91CC3">
              <w:rPr>
                <w:rFonts w:ascii="Arial Narrow" w:hAnsi="Arial Narrow" w:cs="Times New Roman"/>
                <w:snapToGrid w:val="0"/>
                <w:sz w:val="20"/>
                <w:szCs w:val="20"/>
              </w:rPr>
              <w:t>Severe</w:t>
            </w:r>
          </w:p>
        </w:tc>
        <w:tc>
          <w:tcPr>
            <w:tcW w:w="846" w:type="dxa"/>
            <w:tcBorders>
              <w:top w:val="single" w:sz="4" w:space="0" w:color="auto"/>
              <w:left w:val="single" w:sz="4" w:space="0" w:color="auto"/>
              <w:bottom w:val="single" w:sz="4" w:space="0" w:color="auto"/>
              <w:right w:val="single" w:sz="4" w:space="0" w:color="auto"/>
            </w:tcBorders>
            <w:hideMark/>
          </w:tcPr>
          <w:p w14:paraId="3D3E38D7" w14:textId="77777777" w:rsidR="003661D7" w:rsidRPr="00F91CC3" w:rsidRDefault="003661D7" w:rsidP="00CF10BA">
            <w:pPr>
              <w:keepNext/>
              <w:keepLines/>
              <w:jc w:val="center"/>
              <w:rPr>
                <w:rFonts w:ascii="Arial Narrow" w:hAnsi="Arial Narrow" w:cs="Times New Roman"/>
                <w:snapToGrid w:val="0"/>
                <w:sz w:val="20"/>
                <w:szCs w:val="20"/>
              </w:rPr>
            </w:pPr>
            <w:r w:rsidRPr="00F91CC3">
              <w:rPr>
                <w:rFonts w:ascii="Arial Narrow" w:hAnsi="Arial Narrow" w:cs="Times New Roman"/>
                <w:snapToGrid w:val="0"/>
                <w:sz w:val="20"/>
                <w:szCs w:val="20"/>
              </w:rPr>
              <w:t>8 (4.9)</w:t>
            </w:r>
          </w:p>
        </w:tc>
        <w:tc>
          <w:tcPr>
            <w:tcW w:w="704" w:type="dxa"/>
            <w:tcBorders>
              <w:top w:val="single" w:sz="4" w:space="0" w:color="auto"/>
              <w:left w:val="single" w:sz="4" w:space="0" w:color="auto"/>
              <w:bottom w:val="single" w:sz="4" w:space="0" w:color="auto"/>
              <w:right w:val="single" w:sz="4" w:space="0" w:color="auto"/>
            </w:tcBorders>
            <w:hideMark/>
          </w:tcPr>
          <w:p w14:paraId="1717665A" w14:textId="77777777" w:rsidR="003661D7" w:rsidRPr="00F91CC3" w:rsidRDefault="003661D7" w:rsidP="00CF10BA">
            <w:pPr>
              <w:keepNext/>
              <w:keepLines/>
              <w:jc w:val="center"/>
              <w:rPr>
                <w:rFonts w:ascii="Arial Narrow" w:hAnsi="Arial Narrow" w:cs="Times New Roman"/>
                <w:snapToGrid w:val="0"/>
                <w:sz w:val="20"/>
                <w:szCs w:val="20"/>
              </w:rPr>
            </w:pPr>
            <w:r w:rsidRPr="00F91CC3">
              <w:rPr>
                <w:rFonts w:ascii="Arial Narrow" w:hAnsi="Arial Narrow" w:cs="Times New Roman"/>
                <w:snapToGrid w:val="0"/>
                <w:sz w:val="20"/>
                <w:szCs w:val="20"/>
              </w:rPr>
              <w:t>8 (5.1)</w:t>
            </w:r>
          </w:p>
        </w:tc>
        <w:tc>
          <w:tcPr>
            <w:tcW w:w="1101" w:type="dxa"/>
            <w:tcBorders>
              <w:top w:val="single" w:sz="4" w:space="0" w:color="auto"/>
              <w:left w:val="single" w:sz="4" w:space="0" w:color="auto"/>
              <w:bottom w:val="single" w:sz="4" w:space="0" w:color="auto"/>
              <w:right w:val="single" w:sz="4" w:space="0" w:color="auto"/>
            </w:tcBorders>
            <w:hideMark/>
          </w:tcPr>
          <w:p w14:paraId="77BE40CA" w14:textId="77777777" w:rsidR="003661D7" w:rsidRPr="00F91CC3" w:rsidRDefault="003661D7" w:rsidP="00CF10BA">
            <w:pPr>
              <w:keepNext/>
              <w:keepLines/>
              <w:jc w:val="center"/>
              <w:rPr>
                <w:rFonts w:ascii="Arial Narrow" w:hAnsi="Arial Narrow" w:cs="Times New Roman"/>
                <w:snapToGrid w:val="0"/>
                <w:sz w:val="20"/>
                <w:szCs w:val="20"/>
              </w:rPr>
            </w:pPr>
            <w:r w:rsidRPr="00F91CC3">
              <w:rPr>
                <w:rFonts w:ascii="Arial Narrow" w:hAnsi="Arial Narrow"/>
                <w:snapToGrid w:val="0"/>
                <w:sz w:val="20"/>
                <w:szCs w:val="20"/>
              </w:rPr>
              <w:t>1.03 (0.40,2.68)</w:t>
            </w:r>
          </w:p>
        </w:tc>
        <w:tc>
          <w:tcPr>
            <w:tcW w:w="1006" w:type="dxa"/>
            <w:tcBorders>
              <w:top w:val="single" w:sz="4" w:space="0" w:color="auto"/>
              <w:left w:val="single" w:sz="4" w:space="0" w:color="auto"/>
              <w:bottom w:val="single" w:sz="4" w:space="0" w:color="auto"/>
              <w:right w:val="single" w:sz="4" w:space="0" w:color="auto"/>
            </w:tcBorders>
            <w:hideMark/>
          </w:tcPr>
          <w:p w14:paraId="58C88B21" w14:textId="391CA3D7" w:rsidR="003661D7" w:rsidRPr="00F91CC3" w:rsidRDefault="003661D7" w:rsidP="00CF10BA">
            <w:pPr>
              <w:keepNext/>
              <w:keepLines/>
              <w:jc w:val="center"/>
              <w:rPr>
                <w:rFonts w:ascii="Arial Narrow" w:hAnsi="Arial Narrow" w:cs="Times New Roman"/>
                <w:snapToGrid w:val="0"/>
                <w:sz w:val="20"/>
                <w:szCs w:val="20"/>
              </w:rPr>
            </w:pPr>
            <w:r w:rsidRPr="00F91CC3">
              <w:rPr>
                <w:rFonts w:ascii="Arial Narrow" w:hAnsi="Arial Narrow"/>
                <w:snapToGrid w:val="0"/>
                <w:sz w:val="20"/>
                <w:szCs w:val="20"/>
              </w:rPr>
              <w:t>0.00 (</w:t>
            </w:r>
            <w:r w:rsidR="00632C4B" w:rsidRPr="00F91CC3">
              <w:rPr>
                <w:rFonts w:ascii="Arial Narrow" w:hAnsi="Arial Narrow"/>
                <w:sz w:val="20"/>
                <w:szCs w:val="20"/>
              </w:rPr>
              <w:noBreakHyphen/>
            </w:r>
            <w:r w:rsidRPr="00F91CC3">
              <w:rPr>
                <w:rFonts w:ascii="Arial Narrow" w:hAnsi="Arial Narrow"/>
                <w:snapToGrid w:val="0"/>
                <w:sz w:val="20"/>
                <w:szCs w:val="20"/>
              </w:rPr>
              <w:t>0.05,0.05)</w:t>
            </w:r>
          </w:p>
        </w:tc>
        <w:tc>
          <w:tcPr>
            <w:tcW w:w="878" w:type="dxa"/>
            <w:tcBorders>
              <w:top w:val="single" w:sz="4" w:space="0" w:color="auto"/>
              <w:left w:val="single" w:sz="4" w:space="0" w:color="auto"/>
              <w:bottom w:val="single" w:sz="4" w:space="0" w:color="auto"/>
              <w:right w:val="single" w:sz="4" w:space="0" w:color="auto"/>
            </w:tcBorders>
          </w:tcPr>
          <w:p w14:paraId="208E53AC" w14:textId="77777777" w:rsidR="003661D7" w:rsidRPr="00F91CC3" w:rsidRDefault="003661D7" w:rsidP="00CF10BA">
            <w:pPr>
              <w:keepNext/>
              <w:keepLines/>
              <w:jc w:val="center"/>
              <w:rPr>
                <w:rFonts w:ascii="Arial Narrow" w:hAnsi="Arial Narrow"/>
                <w:snapToGrid w:val="0"/>
                <w:sz w:val="20"/>
                <w:szCs w:val="20"/>
              </w:rPr>
            </w:pPr>
            <w:r w:rsidRPr="00F91CC3">
              <w:rPr>
                <w:rFonts w:ascii="Arial Narrow" w:hAnsi="Arial Narrow"/>
                <w:bCs/>
                <w:sz w:val="20"/>
                <w:szCs w:val="20"/>
              </w:rPr>
              <w:t>5 (14.3)</w:t>
            </w:r>
          </w:p>
        </w:tc>
        <w:tc>
          <w:tcPr>
            <w:tcW w:w="759" w:type="dxa"/>
            <w:tcBorders>
              <w:top w:val="single" w:sz="4" w:space="0" w:color="auto"/>
              <w:left w:val="single" w:sz="4" w:space="0" w:color="auto"/>
              <w:bottom w:val="single" w:sz="4" w:space="0" w:color="auto"/>
              <w:right w:val="single" w:sz="4" w:space="0" w:color="auto"/>
            </w:tcBorders>
          </w:tcPr>
          <w:p w14:paraId="0F2CA96E" w14:textId="77777777" w:rsidR="003661D7" w:rsidRPr="00F91CC3" w:rsidRDefault="003661D7" w:rsidP="00CF10BA">
            <w:pPr>
              <w:keepNext/>
              <w:keepLines/>
              <w:jc w:val="center"/>
              <w:rPr>
                <w:rFonts w:ascii="Arial Narrow" w:hAnsi="Arial Narrow"/>
                <w:snapToGrid w:val="0"/>
                <w:sz w:val="20"/>
                <w:szCs w:val="20"/>
              </w:rPr>
            </w:pPr>
            <w:r w:rsidRPr="00F91CC3">
              <w:rPr>
                <w:rFonts w:ascii="Arial Narrow" w:hAnsi="Arial Narrow"/>
                <w:bCs/>
                <w:sz w:val="20"/>
                <w:szCs w:val="20"/>
              </w:rPr>
              <w:t>1 (2.9)</w:t>
            </w:r>
          </w:p>
        </w:tc>
        <w:tc>
          <w:tcPr>
            <w:tcW w:w="1322" w:type="dxa"/>
            <w:tcBorders>
              <w:top w:val="single" w:sz="4" w:space="0" w:color="auto"/>
              <w:left w:val="single" w:sz="4" w:space="0" w:color="auto"/>
              <w:bottom w:val="single" w:sz="4" w:space="0" w:color="auto"/>
              <w:right w:val="single" w:sz="4" w:space="0" w:color="auto"/>
            </w:tcBorders>
          </w:tcPr>
          <w:p w14:paraId="3F6CA06D" w14:textId="77777777" w:rsidR="003661D7" w:rsidRPr="00F91CC3" w:rsidRDefault="003661D7" w:rsidP="00CF10BA">
            <w:pPr>
              <w:keepNext/>
              <w:keepLines/>
              <w:jc w:val="center"/>
              <w:rPr>
                <w:rFonts w:ascii="Arial Narrow" w:hAnsi="Arial Narrow"/>
                <w:snapToGrid w:val="0"/>
                <w:sz w:val="20"/>
                <w:szCs w:val="20"/>
              </w:rPr>
            </w:pPr>
            <w:r w:rsidRPr="00F91CC3">
              <w:rPr>
                <w:rFonts w:ascii="Arial Narrow" w:hAnsi="Arial Narrow"/>
                <w:sz w:val="20"/>
                <w:szCs w:val="20"/>
              </w:rPr>
              <w:t>0.21 (0.03,1.67)</w:t>
            </w:r>
          </w:p>
        </w:tc>
        <w:tc>
          <w:tcPr>
            <w:tcW w:w="1139" w:type="dxa"/>
            <w:tcBorders>
              <w:top w:val="single" w:sz="4" w:space="0" w:color="auto"/>
              <w:left w:val="single" w:sz="4" w:space="0" w:color="auto"/>
              <w:bottom w:val="single" w:sz="4" w:space="0" w:color="auto"/>
              <w:right w:val="single" w:sz="4" w:space="0" w:color="auto"/>
            </w:tcBorders>
          </w:tcPr>
          <w:p w14:paraId="455349AB" w14:textId="1BF2B63F" w:rsidR="003661D7" w:rsidRPr="00F91CC3" w:rsidRDefault="003661D7" w:rsidP="00CF10BA">
            <w:pPr>
              <w:keepNext/>
              <w:keepLines/>
              <w:jc w:val="center"/>
              <w:rPr>
                <w:rFonts w:ascii="Arial Narrow" w:hAnsi="Arial Narrow"/>
                <w:snapToGrid w:val="0"/>
                <w:sz w:val="20"/>
                <w:szCs w:val="20"/>
              </w:rPr>
            </w:pPr>
            <w:r w:rsidRPr="00F91CC3">
              <w:rPr>
                <w:rFonts w:ascii="Arial Narrow" w:hAnsi="Arial Narrow"/>
                <w:sz w:val="20"/>
                <w:szCs w:val="20"/>
              </w:rPr>
              <w:t>-0.11 (</w:t>
            </w:r>
            <w:r w:rsidR="00632C4B" w:rsidRPr="00F91CC3">
              <w:rPr>
                <w:rFonts w:ascii="Arial Narrow" w:hAnsi="Arial Narrow"/>
                <w:sz w:val="20"/>
                <w:szCs w:val="20"/>
              </w:rPr>
              <w:noBreakHyphen/>
            </w:r>
            <w:r w:rsidRPr="00F91CC3">
              <w:rPr>
                <w:rFonts w:ascii="Arial Narrow" w:hAnsi="Arial Narrow"/>
                <w:sz w:val="20"/>
                <w:szCs w:val="20"/>
              </w:rPr>
              <w:t>0.24,0.02)</w:t>
            </w:r>
          </w:p>
        </w:tc>
      </w:tr>
      <w:tr w:rsidR="003661D7" w:rsidRPr="00F91CC3" w14:paraId="3E512563" w14:textId="77777777" w:rsidTr="003A3172">
        <w:trPr>
          <w:trHeight w:val="19"/>
        </w:trPr>
        <w:tc>
          <w:tcPr>
            <w:tcW w:w="1261" w:type="dxa"/>
            <w:tcBorders>
              <w:top w:val="single" w:sz="4" w:space="0" w:color="auto"/>
              <w:left w:val="single" w:sz="4" w:space="0" w:color="auto"/>
              <w:bottom w:val="single" w:sz="4" w:space="0" w:color="auto"/>
              <w:right w:val="single" w:sz="4" w:space="0" w:color="auto"/>
            </w:tcBorders>
            <w:hideMark/>
          </w:tcPr>
          <w:p w14:paraId="0F45C23C" w14:textId="77777777" w:rsidR="003661D7" w:rsidRPr="00F91CC3" w:rsidRDefault="003661D7" w:rsidP="00CF10BA">
            <w:pPr>
              <w:keepNext/>
              <w:keepLines/>
              <w:ind w:left="164"/>
              <w:jc w:val="left"/>
              <w:rPr>
                <w:rFonts w:ascii="Arial Narrow" w:hAnsi="Arial Narrow" w:cs="Times New Roman"/>
                <w:snapToGrid w:val="0"/>
                <w:sz w:val="20"/>
                <w:szCs w:val="20"/>
              </w:rPr>
            </w:pPr>
            <w:r w:rsidRPr="00F91CC3">
              <w:rPr>
                <w:rFonts w:ascii="Arial Narrow" w:hAnsi="Arial Narrow" w:cs="Times New Roman"/>
                <w:snapToGrid w:val="0"/>
                <w:sz w:val="20"/>
                <w:szCs w:val="20"/>
              </w:rPr>
              <w:t>Life-threatening</w:t>
            </w:r>
          </w:p>
        </w:tc>
        <w:tc>
          <w:tcPr>
            <w:tcW w:w="846" w:type="dxa"/>
            <w:tcBorders>
              <w:top w:val="single" w:sz="4" w:space="0" w:color="auto"/>
              <w:left w:val="single" w:sz="4" w:space="0" w:color="auto"/>
              <w:bottom w:val="single" w:sz="4" w:space="0" w:color="auto"/>
              <w:right w:val="single" w:sz="4" w:space="0" w:color="auto"/>
            </w:tcBorders>
            <w:hideMark/>
          </w:tcPr>
          <w:p w14:paraId="0239292E" w14:textId="77777777" w:rsidR="003661D7" w:rsidRPr="00F91CC3" w:rsidRDefault="003661D7" w:rsidP="00CF10BA">
            <w:pPr>
              <w:keepNext/>
              <w:keepLines/>
              <w:jc w:val="center"/>
              <w:rPr>
                <w:rFonts w:ascii="Arial Narrow" w:hAnsi="Arial Narrow" w:cs="Times New Roman"/>
                <w:snapToGrid w:val="0"/>
                <w:sz w:val="20"/>
                <w:szCs w:val="20"/>
              </w:rPr>
            </w:pPr>
            <w:r w:rsidRPr="00F91CC3">
              <w:rPr>
                <w:rFonts w:ascii="Arial Narrow" w:hAnsi="Arial Narrow" w:cs="Times New Roman"/>
                <w:snapToGrid w:val="0"/>
                <w:sz w:val="20"/>
                <w:szCs w:val="20"/>
              </w:rPr>
              <w:t>1 (0.6)</w:t>
            </w:r>
          </w:p>
        </w:tc>
        <w:tc>
          <w:tcPr>
            <w:tcW w:w="704" w:type="dxa"/>
            <w:tcBorders>
              <w:top w:val="single" w:sz="4" w:space="0" w:color="auto"/>
              <w:left w:val="single" w:sz="4" w:space="0" w:color="auto"/>
              <w:bottom w:val="single" w:sz="4" w:space="0" w:color="auto"/>
              <w:right w:val="single" w:sz="4" w:space="0" w:color="auto"/>
            </w:tcBorders>
            <w:hideMark/>
          </w:tcPr>
          <w:p w14:paraId="65ED71B8" w14:textId="77777777" w:rsidR="003661D7" w:rsidRPr="00F91CC3" w:rsidRDefault="003661D7" w:rsidP="00CF10BA">
            <w:pPr>
              <w:keepNext/>
              <w:keepLines/>
              <w:jc w:val="center"/>
              <w:rPr>
                <w:rFonts w:ascii="Arial Narrow" w:hAnsi="Arial Narrow" w:cs="Times New Roman"/>
                <w:snapToGrid w:val="0"/>
                <w:sz w:val="20"/>
                <w:szCs w:val="20"/>
              </w:rPr>
            </w:pPr>
            <w:r w:rsidRPr="00F91CC3">
              <w:rPr>
                <w:rFonts w:ascii="Arial Narrow" w:hAnsi="Arial Narrow" w:cs="Times New Roman"/>
                <w:snapToGrid w:val="0"/>
                <w:sz w:val="20"/>
                <w:szCs w:val="20"/>
              </w:rPr>
              <w:t>0</w:t>
            </w:r>
          </w:p>
        </w:tc>
        <w:tc>
          <w:tcPr>
            <w:tcW w:w="1101" w:type="dxa"/>
            <w:tcBorders>
              <w:top w:val="single" w:sz="4" w:space="0" w:color="auto"/>
              <w:left w:val="single" w:sz="4" w:space="0" w:color="auto"/>
              <w:bottom w:val="single" w:sz="4" w:space="0" w:color="auto"/>
              <w:right w:val="single" w:sz="4" w:space="0" w:color="auto"/>
            </w:tcBorders>
          </w:tcPr>
          <w:p w14:paraId="61309FE6" w14:textId="77777777" w:rsidR="003661D7" w:rsidRPr="00F91CC3" w:rsidRDefault="003661D7" w:rsidP="00CF10BA">
            <w:pPr>
              <w:keepNext/>
              <w:keepLines/>
              <w:jc w:val="center"/>
              <w:rPr>
                <w:rFonts w:ascii="Arial Narrow" w:hAnsi="Arial Narrow" w:cs="Times New Roman"/>
                <w:snapToGrid w:val="0"/>
                <w:sz w:val="20"/>
                <w:szCs w:val="20"/>
              </w:rPr>
            </w:pPr>
            <w:r w:rsidRPr="00F91CC3">
              <w:rPr>
                <w:rFonts w:ascii="Arial Narrow" w:hAnsi="Arial Narrow" w:cs="Times New Roman"/>
                <w:snapToGrid w:val="0"/>
                <w:sz w:val="20"/>
                <w:szCs w:val="20"/>
              </w:rPr>
              <w:t>0</w:t>
            </w:r>
          </w:p>
        </w:tc>
        <w:tc>
          <w:tcPr>
            <w:tcW w:w="1006" w:type="dxa"/>
            <w:tcBorders>
              <w:top w:val="single" w:sz="4" w:space="0" w:color="auto"/>
              <w:left w:val="single" w:sz="4" w:space="0" w:color="auto"/>
              <w:bottom w:val="single" w:sz="4" w:space="0" w:color="auto"/>
              <w:right w:val="single" w:sz="4" w:space="0" w:color="auto"/>
            </w:tcBorders>
            <w:hideMark/>
          </w:tcPr>
          <w:p w14:paraId="2173154C" w14:textId="03B3A4AB" w:rsidR="003661D7" w:rsidRPr="00F91CC3" w:rsidRDefault="003661D7" w:rsidP="00CF10BA">
            <w:pPr>
              <w:keepNext/>
              <w:keepLines/>
              <w:jc w:val="center"/>
              <w:rPr>
                <w:rFonts w:ascii="Arial Narrow" w:hAnsi="Arial Narrow" w:cs="Times New Roman"/>
                <w:snapToGrid w:val="0"/>
                <w:sz w:val="20"/>
                <w:szCs w:val="20"/>
              </w:rPr>
            </w:pPr>
            <w:r w:rsidRPr="00F91CC3">
              <w:rPr>
                <w:rFonts w:ascii="Arial Narrow" w:hAnsi="Arial Narrow"/>
                <w:snapToGrid w:val="0"/>
                <w:sz w:val="20"/>
                <w:szCs w:val="20"/>
              </w:rPr>
              <w:t>-0.01 (</w:t>
            </w:r>
            <w:r w:rsidR="00632C4B" w:rsidRPr="00F91CC3">
              <w:rPr>
                <w:rFonts w:ascii="Arial Narrow" w:hAnsi="Arial Narrow"/>
                <w:sz w:val="20"/>
                <w:szCs w:val="20"/>
              </w:rPr>
              <w:noBreakHyphen/>
            </w:r>
            <w:r w:rsidRPr="00F91CC3">
              <w:rPr>
                <w:rFonts w:ascii="Arial Narrow" w:hAnsi="Arial Narrow"/>
                <w:snapToGrid w:val="0"/>
                <w:sz w:val="20"/>
                <w:szCs w:val="20"/>
              </w:rPr>
              <w:t>0.02,0.01)</w:t>
            </w:r>
          </w:p>
        </w:tc>
        <w:tc>
          <w:tcPr>
            <w:tcW w:w="878" w:type="dxa"/>
            <w:tcBorders>
              <w:top w:val="single" w:sz="4" w:space="0" w:color="auto"/>
              <w:left w:val="single" w:sz="4" w:space="0" w:color="auto"/>
              <w:bottom w:val="single" w:sz="4" w:space="0" w:color="auto"/>
              <w:right w:val="single" w:sz="4" w:space="0" w:color="auto"/>
            </w:tcBorders>
          </w:tcPr>
          <w:p w14:paraId="5704B6CF" w14:textId="77777777" w:rsidR="003661D7" w:rsidRPr="00F91CC3" w:rsidRDefault="003661D7" w:rsidP="00CF10BA">
            <w:pPr>
              <w:keepNext/>
              <w:keepLines/>
              <w:jc w:val="center"/>
              <w:rPr>
                <w:rFonts w:ascii="Arial Narrow" w:hAnsi="Arial Narrow"/>
                <w:snapToGrid w:val="0"/>
                <w:sz w:val="20"/>
                <w:szCs w:val="20"/>
              </w:rPr>
            </w:pPr>
            <w:r w:rsidRPr="00F91CC3">
              <w:rPr>
                <w:rFonts w:ascii="Arial Narrow" w:hAnsi="Arial Narrow"/>
                <w:bCs/>
                <w:sz w:val="20"/>
                <w:szCs w:val="20"/>
              </w:rPr>
              <w:t>0</w:t>
            </w:r>
          </w:p>
        </w:tc>
        <w:tc>
          <w:tcPr>
            <w:tcW w:w="759" w:type="dxa"/>
            <w:tcBorders>
              <w:top w:val="single" w:sz="4" w:space="0" w:color="auto"/>
              <w:left w:val="single" w:sz="4" w:space="0" w:color="auto"/>
              <w:bottom w:val="single" w:sz="4" w:space="0" w:color="auto"/>
              <w:right w:val="single" w:sz="4" w:space="0" w:color="auto"/>
            </w:tcBorders>
          </w:tcPr>
          <w:p w14:paraId="6AE617DC" w14:textId="77777777" w:rsidR="003661D7" w:rsidRPr="00F91CC3" w:rsidRDefault="003661D7" w:rsidP="00CF10BA">
            <w:pPr>
              <w:keepNext/>
              <w:keepLines/>
              <w:jc w:val="center"/>
              <w:rPr>
                <w:rFonts w:ascii="Arial Narrow" w:hAnsi="Arial Narrow"/>
                <w:snapToGrid w:val="0"/>
                <w:sz w:val="20"/>
                <w:szCs w:val="20"/>
              </w:rPr>
            </w:pPr>
            <w:r w:rsidRPr="00F91CC3">
              <w:rPr>
                <w:rFonts w:ascii="Arial Narrow" w:hAnsi="Arial Narrow"/>
                <w:bCs/>
                <w:sz w:val="20"/>
                <w:szCs w:val="20"/>
              </w:rPr>
              <w:t>0</w:t>
            </w:r>
          </w:p>
        </w:tc>
        <w:tc>
          <w:tcPr>
            <w:tcW w:w="1322" w:type="dxa"/>
            <w:tcBorders>
              <w:top w:val="single" w:sz="4" w:space="0" w:color="auto"/>
              <w:left w:val="single" w:sz="4" w:space="0" w:color="auto"/>
              <w:bottom w:val="single" w:sz="4" w:space="0" w:color="auto"/>
              <w:right w:val="single" w:sz="4" w:space="0" w:color="auto"/>
            </w:tcBorders>
          </w:tcPr>
          <w:p w14:paraId="182E4C02" w14:textId="77777777" w:rsidR="003661D7" w:rsidRPr="00F91CC3" w:rsidRDefault="003661D7" w:rsidP="00CF10BA">
            <w:pPr>
              <w:keepNext/>
              <w:keepLines/>
              <w:jc w:val="center"/>
              <w:rPr>
                <w:rFonts w:ascii="Arial Narrow" w:hAnsi="Arial Narrow"/>
                <w:snapToGrid w:val="0"/>
                <w:sz w:val="20"/>
                <w:szCs w:val="20"/>
              </w:rPr>
            </w:pPr>
            <w:r w:rsidRPr="00F91CC3">
              <w:rPr>
                <w:rFonts w:ascii="Arial Narrow" w:hAnsi="Arial Narrow"/>
                <w:sz w:val="20"/>
                <w:szCs w:val="20"/>
              </w:rPr>
              <w:t>0</w:t>
            </w:r>
          </w:p>
        </w:tc>
        <w:tc>
          <w:tcPr>
            <w:tcW w:w="1139" w:type="dxa"/>
            <w:tcBorders>
              <w:top w:val="single" w:sz="4" w:space="0" w:color="auto"/>
              <w:left w:val="single" w:sz="4" w:space="0" w:color="auto"/>
              <w:bottom w:val="single" w:sz="4" w:space="0" w:color="auto"/>
              <w:right w:val="single" w:sz="4" w:space="0" w:color="auto"/>
            </w:tcBorders>
          </w:tcPr>
          <w:p w14:paraId="4326B095" w14:textId="77777777" w:rsidR="003661D7" w:rsidRPr="00F91CC3" w:rsidRDefault="003661D7" w:rsidP="00CF10BA">
            <w:pPr>
              <w:keepNext/>
              <w:keepLines/>
              <w:jc w:val="center"/>
              <w:rPr>
                <w:rFonts w:ascii="Arial Narrow" w:hAnsi="Arial Narrow"/>
                <w:snapToGrid w:val="0"/>
                <w:sz w:val="20"/>
                <w:szCs w:val="20"/>
              </w:rPr>
            </w:pPr>
            <w:r w:rsidRPr="00F91CC3">
              <w:rPr>
                <w:rFonts w:ascii="Arial Narrow" w:hAnsi="Arial Narrow"/>
                <w:sz w:val="20"/>
                <w:szCs w:val="20"/>
              </w:rPr>
              <w:t>0</w:t>
            </w:r>
          </w:p>
        </w:tc>
      </w:tr>
      <w:tr w:rsidR="003661D7" w:rsidRPr="00F91CC3" w14:paraId="4908F038" w14:textId="77777777" w:rsidTr="003A3172">
        <w:trPr>
          <w:trHeight w:val="19"/>
        </w:trPr>
        <w:tc>
          <w:tcPr>
            <w:tcW w:w="1261" w:type="dxa"/>
            <w:tcBorders>
              <w:top w:val="single" w:sz="4" w:space="0" w:color="auto"/>
              <w:left w:val="single" w:sz="4" w:space="0" w:color="auto"/>
              <w:bottom w:val="single" w:sz="4" w:space="0" w:color="auto"/>
              <w:right w:val="single" w:sz="4" w:space="0" w:color="auto"/>
            </w:tcBorders>
            <w:hideMark/>
          </w:tcPr>
          <w:p w14:paraId="5660A6C4" w14:textId="77777777" w:rsidR="003661D7" w:rsidRPr="00F91CC3" w:rsidRDefault="003661D7" w:rsidP="00CF10BA">
            <w:pPr>
              <w:keepNext/>
              <w:keepLines/>
              <w:jc w:val="left"/>
              <w:rPr>
                <w:rFonts w:ascii="Arial Narrow" w:hAnsi="Arial Narrow" w:cs="Times New Roman"/>
                <w:snapToGrid w:val="0"/>
                <w:sz w:val="20"/>
                <w:szCs w:val="20"/>
              </w:rPr>
            </w:pPr>
            <w:r w:rsidRPr="00F91CC3">
              <w:rPr>
                <w:rFonts w:ascii="Arial Narrow" w:hAnsi="Arial Narrow" w:cs="Times New Roman"/>
                <w:snapToGrid w:val="0"/>
                <w:sz w:val="20"/>
                <w:szCs w:val="20"/>
              </w:rPr>
              <w:t>Patients with SAEs</w:t>
            </w:r>
          </w:p>
        </w:tc>
        <w:tc>
          <w:tcPr>
            <w:tcW w:w="846" w:type="dxa"/>
            <w:tcBorders>
              <w:top w:val="single" w:sz="4" w:space="0" w:color="auto"/>
              <w:left w:val="single" w:sz="4" w:space="0" w:color="auto"/>
              <w:bottom w:val="single" w:sz="4" w:space="0" w:color="auto"/>
              <w:right w:val="single" w:sz="4" w:space="0" w:color="auto"/>
            </w:tcBorders>
            <w:hideMark/>
          </w:tcPr>
          <w:p w14:paraId="54EA9248" w14:textId="77777777" w:rsidR="003661D7" w:rsidRPr="00F91CC3" w:rsidRDefault="003661D7" w:rsidP="00CF10BA">
            <w:pPr>
              <w:keepNext/>
              <w:keepLines/>
              <w:jc w:val="center"/>
              <w:rPr>
                <w:rFonts w:ascii="Arial Narrow" w:hAnsi="Arial Narrow" w:cs="Times New Roman"/>
                <w:snapToGrid w:val="0"/>
                <w:sz w:val="20"/>
                <w:szCs w:val="20"/>
              </w:rPr>
            </w:pPr>
            <w:r w:rsidRPr="00F91CC3">
              <w:rPr>
                <w:rFonts w:ascii="Arial Narrow" w:hAnsi="Arial Narrow" w:cs="Times New Roman"/>
                <w:snapToGrid w:val="0"/>
                <w:sz w:val="20"/>
                <w:szCs w:val="20"/>
              </w:rPr>
              <w:t>14 (8.6)</w:t>
            </w:r>
          </w:p>
        </w:tc>
        <w:tc>
          <w:tcPr>
            <w:tcW w:w="704" w:type="dxa"/>
            <w:tcBorders>
              <w:top w:val="single" w:sz="4" w:space="0" w:color="auto"/>
              <w:left w:val="single" w:sz="4" w:space="0" w:color="auto"/>
              <w:bottom w:val="single" w:sz="4" w:space="0" w:color="auto"/>
              <w:right w:val="single" w:sz="4" w:space="0" w:color="auto"/>
            </w:tcBorders>
            <w:hideMark/>
          </w:tcPr>
          <w:p w14:paraId="45FAAF45" w14:textId="77777777" w:rsidR="003661D7" w:rsidRPr="00F91CC3" w:rsidRDefault="003661D7" w:rsidP="00CF10BA">
            <w:pPr>
              <w:keepNext/>
              <w:keepLines/>
              <w:jc w:val="center"/>
              <w:rPr>
                <w:rFonts w:ascii="Arial Narrow" w:hAnsi="Arial Narrow" w:cs="Times New Roman"/>
                <w:snapToGrid w:val="0"/>
                <w:sz w:val="20"/>
                <w:szCs w:val="20"/>
                <w:vertAlign w:val="superscript"/>
              </w:rPr>
            </w:pPr>
            <w:r w:rsidRPr="00F91CC3">
              <w:rPr>
                <w:rFonts w:ascii="Arial Narrow" w:hAnsi="Arial Narrow" w:cs="Times New Roman"/>
                <w:snapToGrid w:val="0"/>
                <w:sz w:val="20"/>
                <w:szCs w:val="20"/>
              </w:rPr>
              <w:t>10 (6.4)</w:t>
            </w:r>
          </w:p>
        </w:tc>
        <w:tc>
          <w:tcPr>
            <w:tcW w:w="1101" w:type="dxa"/>
            <w:tcBorders>
              <w:top w:val="single" w:sz="4" w:space="0" w:color="auto"/>
              <w:left w:val="single" w:sz="4" w:space="0" w:color="auto"/>
              <w:bottom w:val="single" w:sz="4" w:space="0" w:color="auto"/>
              <w:right w:val="single" w:sz="4" w:space="0" w:color="auto"/>
            </w:tcBorders>
            <w:hideMark/>
          </w:tcPr>
          <w:p w14:paraId="3D22BF1C" w14:textId="77777777" w:rsidR="003661D7" w:rsidRPr="00F91CC3" w:rsidRDefault="003661D7" w:rsidP="00CF10BA">
            <w:pPr>
              <w:keepNext/>
              <w:keepLines/>
              <w:jc w:val="center"/>
              <w:rPr>
                <w:rFonts w:ascii="Arial Narrow" w:hAnsi="Arial Narrow" w:cs="Times New Roman"/>
                <w:snapToGrid w:val="0"/>
                <w:sz w:val="20"/>
                <w:szCs w:val="20"/>
              </w:rPr>
            </w:pPr>
            <w:r w:rsidRPr="00F91CC3">
              <w:rPr>
                <w:rFonts w:ascii="Arial Narrow" w:hAnsi="Arial Narrow"/>
                <w:snapToGrid w:val="0"/>
                <w:sz w:val="20"/>
                <w:szCs w:val="20"/>
              </w:rPr>
              <w:t>0.74 (0.34,1.61)</w:t>
            </w:r>
          </w:p>
        </w:tc>
        <w:tc>
          <w:tcPr>
            <w:tcW w:w="1006" w:type="dxa"/>
            <w:tcBorders>
              <w:top w:val="single" w:sz="4" w:space="0" w:color="auto"/>
              <w:left w:val="single" w:sz="4" w:space="0" w:color="auto"/>
              <w:bottom w:val="single" w:sz="4" w:space="0" w:color="auto"/>
              <w:right w:val="single" w:sz="4" w:space="0" w:color="auto"/>
            </w:tcBorders>
            <w:hideMark/>
          </w:tcPr>
          <w:p w14:paraId="790A753A" w14:textId="60FA8F6B" w:rsidR="003661D7" w:rsidRPr="00F91CC3" w:rsidRDefault="003661D7" w:rsidP="00CF10BA">
            <w:pPr>
              <w:keepNext/>
              <w:keepLines/>
              <w:jc w:val="center"/>
              <w:rPr>
                <w:rFonts w:ascii="Arial Narrow" w:hAnsi="Arial Narrow" w:cs="Times New Roman"/>
                <w:snapToGrid w:val="0"/>
                <w:sz w:val="20"/>
                <w:szCs w:val="20"/>
              </w:rPr>
            </w:pPr>
            <w:r w:rsidRPr="00F91CC3">
              <w:rPr>
                <w:rFonts w:ascii="Arial Narrow" w:hAnsi="Arial Narrow"/>
                <w:snapToGrid w:val="0"/>
                <w:sz w:val="20"/>
                <w:szCs w:val="20"/>
              </w:rPr>
              <w:t>-0.02 (</w:t>
            </w:r>
            <w:r w:rsidR="00632C4B" w:rsidRPr="00F91CC3">
              <w:rPr>
                <w:rFonts w:ascii="Arial Narrow" w:hAnsi="Arial Narrow"/>
                <w:sz w:val="20"/>
                <w:szCs w:val="20"/>
              </w:rPr>
              <w:noBreakHyphen/>
            </w:r>
            <w:r w:rsidRPr="00F91CC3">
              <w:rPr>
                <w:rFonts w:ascii="Arial Narrow" w:hAnsi="Arial Narrow"/>
                <w:snapToGrid w:val="0"/>
                <w:sz w:val="20"/>
                <w:szCs w:val="20"/>
              </w:rPr>
              <w:t>0.08,0.04)</w:t>
            </w:r>
          </w:p>
        </w:tc>
        <w:tc>
          <w:tcPr>
            <w:tcW w:w="878" w:type="dxa"/>
            <w:tcBorders>
              <w:top w:val="single" w:sz="4" w:space="0" w:color="auto"/>
              <w:left w:val="single" w:sz="4" w:space="0" w:color="auto"/>
              <w:bottom w:val="single" w:sz="4" w:space="0" w:color="auto"/>
              <w:right w:val="single" w:sz="4" w:space="0" w:color="auto"/>
            </w:tcBorders>
          </w:tcPr>
          <w:p w14:paraId="21402D08" w14:textId="77777777" w:rsidR="003661D7" w:rsidRPr="00F91CC3" w:rsidRDefault="003661D7" w:rsidP="00CF10BA">
            <w:pPr>
              <w:keepNext/>
              <w:keepLines/>
              <w:jc w:val="center"/>
              <w:rPr>
                <w:rFonts w:ascii="Arial Narrow" w:hAnsi="Arial Narrow"/>
                <w:snapToGrid w:val="0"/>
                <w:sz w:val="20"/>
                <w:szCs w:val="20"/>
              </w:rPr>
            </w:pPr>
            <w:r w:rsidRPr="00F91CC3">
              <w:rPr>
                <w:rFonts w:ascii="Arial Narrow" w:hAnsi="Arial Narrow"/>
                <w:sz w:val="20"/>
                <w:szCs w:val="20"/>
              </w:rPr>
              <w:t>6 (17.1)</w:t>
            </w:r>
          </w:p>
        </w:tc>
        <w:tc>
          <w:tcPr>
            <w:tcW w:w="759" w:type="dxa"/>
            <w:tcBorders>
              <w:top w:val="single" w:sz="4" w:space="0" w:color="auto"/>
              <w:left w:val="single" w:sz="4" w:space="0" w:color="auto"/>
              <w:bottom w:val="single" w:sz="4" w:space="0" w:color="auto"/>
              <w:right w:val="single" w:sz="4" w:space="0" w:color="auto"/>
            </w:tcBorders>
          </w:tcPr>
          <w:p w14:paraId="360C423B" w14:textId="77777777" w:rsidR="003661D7" w:rsidRPr="00F91CC3" w:rsidRDefault="003661D7" w:rsidP="00CF10BA">
            <w:pPr>
              <w:keepNext/>
              <w:keepLines/>
              <w:jc w:val="center"/>
              <w:rPr>
                <w:rFonts w:ascii="Arial Narrow" w:hAnsi="Arial Narrow"/>
                <w:snapToGrid w:val="0"/>
                <w:sz w:val="20"/>
                <w:szCs w:val="20"/>
              </w:rPr>
            </w:pPr>
            <w:r w:rsidRPr="00F91CC3">
              <w:rPr>
                <w:rFonts w:ascii="Arial Narrow" w:hAnsi="Arial Narrow"/>
                <w:sz w:val="20"/>
                <w:szCs w:val="20"/>
              </w:rPr>
              <w:t>4 (11.8)</w:t>
            </w:r>
          </w:p>
        </w:tc>
        <w:tc>
          <w:tcPr>
            <w:tcW w:w="1322" w:type="dxa"/>
            <w:tcBorders>
              <w:top w:val="single" w:sz="4" w:space="0" w:color="auto"/>
              <w:left w:val="single" w:sz="4" w:space="0" w:color="auto"/>
              <w:bottom w:val="single" w:sz="4" w:space="0" w:color="auto"/>
              <w:right w:val="single" w:sz="4" w:space="0" w:color="auto"/>
            </w:tcBorders>
          </w:tcPr>
          <w:p w14:paraId="0F559F5D" w14:textId="77777777" w:rsidR="003661D7" w:rsidRPr="00F91CC3" w:rsidRDefault="003661D7" w:rsidP="00CF10BA">
            <w:pPr>
              <w:keepNext/>
              <w:keepLines/>
              <w:jc w:val="center"/>
              <w:rPr>
                <w:rFonts w:ascii="Arial Narrow" w:hAnsi="Arial Narrow"/>
                <w:snapToGrid w:val="0"/>
                <w:sz w:val="20"/>
                <w:szCs w:val="20"/>
              </w:rPr>
            </w:pPr>
            <w:r w:rsidRPr="00F91CC3">
              <w:rPr>
                <w:rFonts w:ascii="Arial Narrow" w:hAnsi="Arial Narrow"/>
                <w:sz w:val="20"/>
                <w:szCs w:val="20"/>
              </w:rPr>
              <w:t>0.69 (0.219,2.22)</w:t>
            </w:r>
          </w:p>
        </w:tc>
        <w:tc>
          <w:tcPr>
            <w:tcW w:w="1139" w:type="dxa"/>
            <w:tcBorders>
              <w:top w:val="single" w:sz="4" w:space="0" w:color="auto"/>
              <w:left w:val="single" w:sz="4" w:space="0" w:color="auto"/>
              <w:bottom w:val="single" w:sz="4" w:space="0" w:color="auto"/>
              <w:right w:val="single" w:sz="4" w:space="0" w:color="auto"/>
            </w:tcBorders>
          </w:tcPr>
          <w:p w14:paraId="62CF62AA" w14:textId="05732A39" w:rsidR="003661D7" w:rsidRPr="00F91CC3" w:rsidRDefault="003661D7" w:rsidP="00CF10BA">
            <w:pPr>
              <w:keepNext/>
              <w:keepLines/>
              <w:jc w:val="center"/>
              <w:rPr>
                <w:rFonts w:ascii="Arial Narrow" w:hAnsi="Arial Narrow"/>
                <w:snapToGrid w:val="0"/>
                <w:sz w:val="20"/>
                <w:szCs w:val="20"/>
              </w:rPr>
            </w:pPr>
            <w:r w:rsidRPr="00F91CC3">
              <w:rPr>
                <w:rFonts w:ascii="Arial Narrow" w:hAnsi="Arial Narrow"/>
                <w:sz w:val="20"/>
                <w:szCs w:val="20"/>
              </w:rPr>
              <w:t>-0.05 (</w:t>
            </w:r>
            <w:r w:rsidR="00632C4B" w:rsidRPr="00F91CC3">
              <w:rPr>
                <w:rFonts w:ascii="Arial Narrow" w:hAnsi="Arial Narrow"/>
                <w:sz w:val="20"/>
                <w:szCs w:val="20"/>
              </w:rPr>
              <w:noBreakHyphen/>
            </w:r>
            <w:r w:rsidRPr="00F91CC3">
              <w:rPr>
                <w:rFonts w:ascii="Arial Narrow" w:hAnsi="Arial Narrow"/>
                <w:sz w:val="20"/>
                <w:szCs w:val="20"/>
              </w:rPr>
              <w:t>0.22,0.11)</w:t>
            </w:r>
          </w:p>
        </w:tc>
      </w:tr>
      <w:tr w:rsidR="003661D7" w:rsidRPr="00F91CC3" w14:paraId="18B224CF" w14:textId="77777777" w:rsidTr="003A3172">
        <w:trPr>
          <w:trHeight w:val="19"/>
        </w:trPr>
        <w:tc>
          <w:tcPr>
            <w:tcW w:w="1261" w:type="dxa"/>
            <w:tcBorders>
              <w:top w:val="single" w:sz="4" w:space="0" w:color="auto"/>
              <w:left w:val="single" w:sz="4" w:space="0" w:color="auto"/>
              <w:bottom w:val="single" w:sz="4" w:space="0" w:color="auto"/>
              <w:right w:val="single" w:sz="4" w:space="0" w:color="auto"/>
            </w:tcBorders>
            <w:hideMark/>
          </w:tcPr>
          <w:p w14:paraId="76F473B9" w14:textId="77777777" w:rsidR="003661D7" w:rsidRPr="00F91CC3" w:rsidRDefault="003661D7" w:rsidP="00CF10BA">
            <w:pPr>
              <w:keepNext/>
              <w:keepLines/>
              <w:jc w:val="left"/>
              <w:rPr>
                <w:rFonts w:ascii="Arial Narrow" w:hAnsi="Arial Narrow" w:cs="Times New Roman"/>
                <w:snapToGrid w:val="0"/>
                <w:sz w:val="20"/>
                <w:szCs w:val="20"/>
              </w:rPr>
            </w:pPr>
            <w:r w:rsidRPr="00F91CC3">
              <w:rPr>
                <w:rFonts w:ascii="Arial Narrow" w:hAnsi="Arial Narrow" w:cs="Times New Roman"/>
                <w:snapToGrid w:val="0"/>
                <w:sz w:val="20"/>
                <w:szCs w:val="20"/>
              </w:rPr>
              <w:t>Patients with related SAEs</w:t>
            </w:r>
          </w:p>
        </w:tc>
        <w:tc>
          <w:tcPr>
            <w:tcW w:w="846" w:type="dxa"/>
            <w:tcBorders>
              <w:top w:val="single" w:sz="4" w:space="0" w:color="auto"/>
              <w:left w:val="single" w:sz="4" w:space="0" w:color="auto"/>
              <w:bottom w:val="single" w:sz="4" w:space="0" w:color="auto"/>
              <w:right w:val="single" w:sz="4" w:space="0" w:color="auto"/>
            </w:tcBorders>
            <w:hideMark/>
          </w:tcPr>
          <w:p w14:paraId="1B08892E" w14:textId="77777777" w:rsidR="003661D7" w:rsidRPr="00F91CC3" w:rsidRDefault="003661D7" w:rsidP="00CF10BA">
            <w:pPr>
              <w:keepNext/>
              <w:keepLines/>
              <w:jc w:val="center"/>
              <w:rPr>
                <w:rFonts w:ascii="Arial Narrow" w:hAnsi="Arial Narrow" w:cs="Times New Roman"/>
                <w:snapToGrid w:val="0"/>
                <w:sz w:val="20"/>
                <w:szCs w:val="20"/>
              </w:rPr>
            </w:pPr>
            <w:r w:rsidRPr="00F91CC3">
              <w:rPr>
                <w:rFonts w:ascii="Arial Narrow" w:hAnsi="Arial Narrow" w:cs="Times New Roman"/>
                <w:snapToGrid w:val="0"/>
                <w:sz w:val="20"/>
                <w:szCs w:val="20"/>
              </w:rPr>
              <w:t>2 (1.2)</w:t>
            </w:r>
          </w:p>
        </w:tc>
        <w:tc>
          <w:tcPr>
            <w:tcW w:w="704" w:type="dxa"/>
            <w:tcBorders>
              <w:top w:val="single" w:sz="4" w:space="0" w:color="auto"/>
              <w:left w:val="single" w:sz="4" w:space="0" w:color="auto"/>
              <w:bottom w:val="single" w:sz="4" w:space="0" w:color="auto"/>
              <w:right w:val="single" w:sz="4" w:space="0" w:color="auto"/>
            </w:tcBorders>
            <w:hideMark/>
          </w:tcPr>
          <w:p w14:paraId="31835EB0" w14:textId="77777777" w:rsidR="003661D7" w:rsidRPr="00F91CC3" w:rsidRDefault="003661D7" w:rsidP="00CF10BA">
            <w:pPr>
              <w:keepNext/>
              <w:keepLines/>
              <w:jc w:val="center"/>
              <w:rPr>
                <w:rFonts w:ascii="Arial Narrow" w:hAnsi="Arial Narrow" w:cs="Times New Roman"/>
                <w:snapToGrid w:val="0"/>
                <w:sz w:val="20"/>
                <w:szCs w:val="20"/>
              </w:rPr>
            </w:pPr>
            <w:r w:rsidRPr="00F91CC3">
              <w:rPr>
                <w:rFonts w:ascii="Arial Narrow" w:hAnsi="Arial Narrow" w:cs="Times New Roman"/>
                <w:snapToGrid w:val="0"/>
                <w:sz w:val="20"/>
                <w:szCs w:val="20"/>
              </w:rPr>
              <w:t>2 (1.3)</w:t>
            </w:r>
          </w:p>
        </w:tc>
        <w:tc>
          <w:tcPr>
            <w:tcW w:w="1101" w:type="dxa"/>
            <w:tcBorders>
              <w:top w:val="single" w:sz="4" w:space="0" w:color="auto"/>
              <w:left w:val="single" w:sz="4" w:space="0" w:color="auto"/>
              <w:bottom w:val="single" w:sz="4" w:space="0" w:color="auto"/>
              <w:right w:val="single" w:sz="4" w:space="0" w:color="auto"/>
            </w:tcBorders>
            <w:hideMark/>
          </w:tcPr>
          <w:p w14:paraId="17D44987" w14:textId="77777777" w:rsidR="003661D7" w:rsidRPr="00F91CC3" w:rsidRDefault="003661D7" w:rsidP="00CF10BA">
            <w:pPr>
              <w:keepNext/>
              <w:keepLines/>
              <w:jc w:val="center"/>
              <w:rPr>
                <w:rFonts w:ascii="Arial Narrow" w:hAnsi="Arial Narrow" w:cs="Times New Roman"/>
                <w:snapToGrid w:val="0"/>
                <w:sz w:val="20"/>
                <w:szCs w:val="20"/>
              </w:rPr>
            </w:pPr>
            <w:r w:rsidRPr="00F91CC3">
              <w:rPr>
                <w:rFonts w:ascii="Arial Narrow" w:hAnsi="Arial Narrow"/>
                <w:snapToGrid w:val="0"/>
                <w:sz w:val="20"/>
                <w:szCs w:val="20"/>
              </w:rPr>
              <w:t>1.03 (0.15,7.24)</w:t>
            </w:r>
          </w:p>
        </w:tc>
        <w:tc>
          <w:tcPr>
            <w:tcW w:w="1006" w:type="dxa"/>
            <w:tcBorders>
              <w:top w:val="single" w:sz="4" w:space="0" w:color="auto"/>
              <w:left w:val="single" w:sz="4" w:space="0" w:color="auto"/>
              <w:bottom w:val="single" w:sz="4" w:space="0" w:color="auto"/>
              <w:right w:val="single" w:sz="4" w:space="0" w:color="auto"/>
            </w:tcBorders>
            <w:hideMark/>
          </w:tcPr>
          <w:p w14:paraId="46156D60" w14:textId="39D74C46" w:rsidR="003661D7" w:rsidRPr="00F91CC3" w:rsidRDefault="003661D7" w:rsidP="00CF10BA">
            <w:pPr>
              <w:keepNext/>
              <w:keepLines/>
              <w:jc w:val="center"/>
              <w:rPr>
                <w:rFonts w:ascii="Arial Narrow" w:hAnsi="Arial Narrow" w:cs="Times New Roman"/>
                <w:snapToGrid w:val="0"/>
                <w:sz w:val="20"/>
                <w:szCs w:val="20"/>
              </w:rPr>
            </w:pPr>
            <w:r w:rsidRPr="00F91CC3">
              <w:rPr>
                <w:rFonts w:ascii="Arial Narrow" w:hAnsi="Arial Narrow"/>
                <w:snapToGrid w:val="0"/>
                <w:sz w:val="20"/>
                <w:szCs w:val="20"/>
              </w:rPr>
              <w:t>0 (</w:t>
            </w:r>
            <w:r w:rsidR="00632C4B" w:rsidRPr="00F91CC3">
              <w:rPr>
                <w:rFonts w:ascii="Arial Narrow" w:hAnsi="Arial Narrow"/>
                <w:sz w:val="20"/>
                <w:szCs w:val="20"/>
              </w:rPr>
              <w:noBreakHyphen/>
            </w:r>
            <w:r w:rsidRPr="00F91CC3">
              <w:rPr>
                <w:rFonts w:ascii="Arial Narrow" w:hAnsi="Arial Narrow"/>
                <w:snapToGrid w:val="0"/>
                <w:sz w:val="20"/>
                <w:szCs w:val="20"/>
              </w:rPr>
              <w:t>0.02,0.03)</w:t>
            </w:r>
          </w:p>
        </w:tc>
        <w:tc>
          <w:tcPr>
            <w:tcW w:w="878" w:type="dxa"/>
            <w:tcBorders>
              <w:top w:val="single" w:sz="4" w:space="0" w:color="auto"/>
              <w:left w:val="single" w:sz="4" w:space="0" w:color="auto"/>
              <w:bottom w:val="single" w:sz="4" w:space="0" w:color="auto"/>
              <w:right w:val="single" w:sz="4" w:space="0" w:color="auto"/>
            </w:tcBorders>
          </w:tcPr>
          <w:p w14:paraId="3F11D198" w14:textId="77777777" w:rsidR="003661D7" w:rsidRPr="00F91CC3" w:rsidRDefault="003661D7" w:rsidP="00CF10BA">
            <w:pPr>
              <w:keepNext/>
              <w:keepLines/>
              <w:jc w:val="center"/>
              <w:rPr>
                <w:rFonts w:ascii="Arial Narrow" w:hAnsi="Arial Narrow"/>
                <w:snapToGrid w:val="0"/>
                <w:sz w:val="20"/>
                <w:szCs w:val="20"/>
              </w:rPr>
            </w:pPr>
            <w:r w:rsidRPr="00F91CC3">
              <w:rPr>
                <w:rFonts w:ascii="Arial Narrow" w:hAnsi="Arial Narrow"/>
                <w:sz w:val="20"/>
                <w:szCs w:val="20"/>
              </w:rPr>
              <w:t>0</w:t>
            </w:r>
          </w:p>
        </w:tc>
        <w:tc>
          <w:tcPr>
            <w:tcW w:w="759" w:type="dxa"/>
            <w:tcBorders>
              <w:top w:val="single" w:sz="4" w:space="0" w:color="auto"/>
              <w:left w:val="single" w:sz="4" w:space="0" w:color="auto"/>
              <w:bottom w:val="single" w:sz="4" w:space="0" w:color="auto"/>
              <w:right w:val="single" w:sz="4" w:space="0" w:color="auto"/>
            </w:tcBorders>
          </w:tcPr>
          <w:p w14:paraId="29A28644" w14:textId="77777777" w:rsidR="003661D7" w:rsidRPr="00F91CC3" w:rsidRDefault="003661D7" w:rsidP="00CF10BA">
            <w:pPr>
              <w:keepNext/>
              <w:keepLines/>
              <w:jc w:val="center"/>
              <w:rPr>
                <w:rFonts w:ascii="Arial Narrow" w:hAnsi="Arial Narrow"/>
                <w:snapToGrid w:val="0"/>
                <w:sz w:val="20"/>
                <w:szCs w:val="20"/>
              </w:rPr>
            </w:pPr>
            <w:r w:rsidRPr="00F91CC3">
              <w:rPr>
                <w:rFonts w:ascii="Arial Narrow" w:hAnsi="Arial Narrow"/>
                <w:sz w:val="20"/>
                <w:szCs w:val="20"/>
              </w:rPr>
              <w:t>0</w:t>
            </w:r>
          </w:p>
        </w:tc>
        <w:tc>
          <w:tcPr>
            <w:tcW w:w="1322" w:type="dxa"/>
            <w:tcBorders>
              <w:top w:val="single" w:sz="4" w:space="0" w:color="auto"/>
              <w:left w:val="single" w:sz="4" w:space="0" w:color="auto"/>
              <w:bottom w:val="single" w:sz="4" w:space="0" w:color="auto"/>
              <w:right w:val="single" w:sz="4" w:space="0" w:color="auto"/>
            </w:tcBorders>
          </w:tcPr>
          <w:p w14:paraId="5B05B492" w14:textId="77777777" w:rsidR="003661D7" w:rsidRPr="00F91CC3" w:rsidRDefault="003661D7" w:rsidP="00CF10BA">
            <w:pPr>
              <w:keepNext/>
              <w:keepLines/>
              <w:jc w:val="center"/>
              <w:rPr>
                <w:rFonts w:ascii="Arial Narrow" w:hAnsi="Arial Narrow"/>
                <w:snapToGrid w:val="0"/>
                <w:sz w:val="20"/>
                <w:szCs w:val="20"/>
              </w:rPr>
            </w:pPr>
            <w:r w:rsidRPr="00F91CC3">
              <w:rPr>
                <w:rFonts w:ascii="Arial Narrow" w:hAnsi="Arial Narrow"/>
                <w:sz w:val="20"/>
                <w:szCs w:val="20"/>
              </w:rPr>
              <w:t>0</w:t>
            </w:r>
          </w:p>
        </w:tc>
        <w:tc>
          <w:tcPr>
            <w:tcW w:w="1139" w:type="dxa"/>
            <w:tcBorders>
              <w:top w:val="single" w:sz="4" w:space="0" w:color="auto"/>
              <w:left w:val="single" w:sz="4" w:space="0" w:color="auto"/>
              <w:bottom w:val="single" w:sz="4" w:space="0" w:color="auto"/>
              <w:right w:val="single" w:sz="4" w:space="0" w:color="auto"/>
            </w:tcBorders>
          </w:tcPr>
          <w:p w14:paraId="04ED2507" w14:textId="77777777" w:rsidR="003661D7" w:rsidRPr="00F91CC3" w:rsidRDefault="003661D7" w:rsidP="00CF10BA">
            <w:pPr>
              <w:keepNext/>
              <w:keepLines/>
              <w:jc w:val="center"/>
              <w:rPr>
                <w:rFonts w:ascii="Arial Narrow" w:hAnsi="Arial Narrow"/>
                <w:snapToGrid w:val="0"/>
                <w:sz w:val="20"/>
                <w:szCs w:val="20"/>
              </w:rPr>
            </w:pPr>
            <w:r w:rsidRPr="00F91CC3">
              <w:rPr>
                <w:rFonts w:ascii="Arial Narrow" w:hAnsi="Arial Narrow"/>
                <w:sz w:val="20"/>
                <w:szCs w:val="20"/>
              </w:rPr>
              <w:t>0 (0,0)</w:t>
            </w:r>
          </w:p>
        </w:tc>
      </w:tr>
      <w:tr w:rsidR="003661D7" w:rsidRPr="00F91CC3" w14:paraId="47B68A6D" w14:textId="77777777" w:rsidTr="003A3172">
        <w:trPr>
          <w:trHeight w:val="19"/>
        </w:trPr>
        <w:tc>
          <w:tcPr>
            <w:tcW w:w="1261" w:type="dxa"/>
            <w:tcBorders>
              <w:top w:val="single" w:sz="4" w:space="0" w:color="auto"/>
              <w:left w:val="single" w:sz="4" w:space="0" w:color="auto"/>
              <w:bottom w:val="single" w:sz="4" w:space="0" w:color="auto"/>
              <w:right w:val="single" w:sz="4" w:space="0" w:color="auto"/>
            </w:tcBorders>
            <w:hideMark/>
          </w:tcPr>
          <w:p w14:paraId="1D81C190" w14:textId="77777777" w:rsidR="003661D7" w:rsidRPr="00F91CC3" w:rsidRDefault="003661D7" w:rsidP="00CF10BA">
            <w:pPr>
              <w:keepNext/>
              <w:keepLines/>
              <w:jc w:val="left"/>
              <w:rPr>
                <w:rFonts w:ascii="Arial Narrow" w:hAnsi="Arial Narrow" w:cs="Times New Roman"/>
                <w:snapToGrid w:val="0"/>
                <w:sz w:val="20"/>
                <w:szCs w:val="20"/>
              </w:rPr>
            </w:pPr>
            <w:r w:rsidRPr="00F91CC3">
              <w:rPr>
                <w:rFonts w:ascii="Arial Narrow" w:hAnsi="Arial Narrow" w:cs="Times New Roman"/>
                <w:snapToGrid w:val="0"/>
                <w:sz w:val="20"/>
                <w:szCs w:val="20"/>
              </w:rPr>
              <w:t>Patients with AEs leading to treatment interruption</w:t>
            </w:r>
          </w:p>
        </w:tc>
        <w:tc>
          <w:tcPr>
            <w:tcW w:w="846" w:type="dxa"/>
            <w:tcBorders>
              <w:top w:val="single" w:sz="4" w:space="0" w:color="auto"/>
              <w:left w:val="single" w:sz="4" w:space="0" w:color="auto"/>
              <w:bottom w:val="single" w:sz="4" w:space="0" w:color="auto"/>
              <w:right w:val="single" w:sz="4" w:space="0" w:color="auto"/>
            </w:tcBorders>
            <w:hideMark/>
          </w:tcPr>
          <w:p w14:paraId="15EB7FEA" w14:textId="77777777" w:rsidR="003661D7" w:rsidRPr="00F91CC3" w:rsidRDefault="003661D7" w:rsidP="00CF10BA">
            <w:pPr>
              <w:keepNext/>
              <w:keepLines/>
              <w:jc w:val="center"/>
              <w:rPr>
                <w:rFonts w:ascii="Arial Narrow" w:hAnsi="Arial Narrow" w:cs="Times New Roman"/>
                <w:caps/>
                <w:snapToGrid w:val="0"/>
                <w:sz w:val="20"/>
                <w:szCs w:val="20"/>
              </w:rPr>
            </w:pPr>
            <w:r w:rsidRPr="00F91CC3">
              <w:rPr>
                <w:rFonts w:ascii="Arial Narrow" w:hAnsi="Arial Narrow" w:cs="Times New Roman"/>
                <w:snapToGrid w:val="0"/>
                <w:sz w:val="20"/>
                <w:szCs w:val="20"/>
              </w:rPr>
              <w:t>6 (3.7)</w:t>
            </w:r>
            <w:r w:rsidRPr="00F91CC3">
              <w:rPr>
                <w:rFonts w:ascii="Arial Narrow" w:hAnsi="Arial Narrow" w:cs="Times New Roman"/>
                <w:snapToGrid w:val="0"/>
                <w:sz w:val="20"/>
                <w:szCs w:val="20"/>
                <w:vertAlign w:val="superscript"/>
              </w:rPr>
              <w:t>a</w:t>
            </w:r>
          </w:p>
        </w:tc>
        <w:tc>
          <w:tcPr>
            <w:tcW w:w="704" w:type="dxa"/>
            <w:tcBorders>
              <w:top w:val="single" w:sz="4" w:space="0" w:color="auto"/>
              <w:left w:val="single" w:sz="4" w:space="0" w:color="auto"/>
              <w:bottom w:val="single" w:sz="4" w:space="0" w:color="auto"/>
              <w:right w:val="single" w:sz="4" w:space="0" w:color="auto"/>
            </w:tcBorders>
            <w:hideMark/>
          </w:tcPr>
          <w:p w14:paraId="0696FC3E" w14:textId="77777777" w:rsidR="003661D7" w:rsidRPr="00F91CC3" w:rsidRDefault="003661D7" w:rsidP="00CF10BA">
            <w:pPr>
              <w:keepNext/>
              <w:keepLines/>
              <w:jc w:val="center"/>
              <w:rPr>
                <w:rFonts w:ascii="Arial Narrow" w:hAnsi="Arial Narrow" w:cs="Times New Roman"/>
                <w:snapToGrid w:val="0"/>
                <w:sz w:val="20"/>
                <w:szCs w:val="20"/>
              </w:rPr>
            </w:pPr>
            <w:r w:rsidRPr="00F91CC3">
              <w:rPr>
                <w:rFonts w:ascii="Arial Narrow" w:hAnsi="Arial Narrow" w:cs="Times New Roman"/>
                <w:snapToGrid w:val="0"/>
                <w:sz w:val="20"/>
                <w:szCs w:val="20"/>
              </w:rPr>
              <w:t>5 (3.2)</w:t>
            </w:r>
          </w:p>
        </w:tc>
        <w:tc>
          <w:tcPr>
            <w:tcW w:w="1101" w:type="dxa"/>
            <w:tcBorders>
              <w:top w:val="single" w:sz="4" w:space="0" w:color="auto"/>
              <w:left w:val="single" w:sz="4" w:space="0" w:color="auto"/>
              <w:bottom w:val="single" w:sz="4" w:space="0" w:color="auto"/>
              <w:right w:val="single" w:sz="4" w:space="0" w:color="auto"/>
            </w:tcBorders>
            <w:hideMark/>
          </w:tcPr>
          <w:p w14:paraId="69578DE5" w14:textId="77777777" w:rsidR="003661D7" w:rsidRPr="00F91CC3" w:rsidRDefault="003661D7" w:rsidP="00CF10BA">
            <w:pPr>
              <w:keepNext/>
              <w:keepLines/>
              <w:jc w:val="center"/>
              <w:rPr>
                <w:rFonts w:ascii="Arial Narrow" w:hAnsi="Arial Narrow" w:cs="Times New Roman"/>
                <w:snapToGrid w:val="0"/>
                <w:sz w:val="20"/>
                <w:szCs w:val="20"/>
              </w:rPr>
            </w:pPr>
            <w:r w:rsidRPr="00F91CC3">
              <w:rPr>
                <w:rFonts w:ascii="Arial Narrow" w:hAnsi="Arial Narrow"/>
                <w:snapToGrid w:val="0"/>
                <w:sz w:val="20"/>
                <w:szCs w:val="20"/>
              </w:rPr>
              <w:t>0.86 (0.273,2.76)</w:t>
            </w:r>
          </w:p>
        </w:tc>
        <w:tc>
          <w:tcPr>
            <w:tcW w:w="1006" w:type="dxa"/>
            <w:tcBorders>
              <w:top w:val="single" w:sz="4" w:space="0" w:color="auto"/>
              <w:left w:val="single" w:sz="4" w:space="0" w:color="auto"/>
              <w:bottom w:val="single" w:sz="4" w:space="0" w:color="auto"/>
              <w:right w:val="single" w:sz="4" w:space="0" w:color="auto"/>
            </w:tcBorders>
            <w:hideMark/>
          </w:tcPr>
          <w:p w14:paraId="5EEB6CF2" w14:textId="6A080D25" w:rsidR="003661D7" w:rsidRPr="00F91CC3" w:rsidRDefault="003661D7" w:rsidP="00CF10BA">
            <w:pPr>
              <w:keepNext/>
              <w:keepLines/>
              <w:jc w:val="center"/>
              <w:rPr>
                <w:rFonts w:ascii="Arial Narrow" w:hAnsi="Arial Narrow" w:cs="Times New Roman"/>
                <w:snapToGrid w:val="0"/>
                <w:sz w:val="20"/>
                <w:szCs w:val="20"/>
              </w:rPr>
            </w:pPr>
            <w:r w:rsidRPr="00F91CC3">
              <w:rPr>
                <w:rFonts w:ascii="Arial Narrow" w:hAnsi="Arial Narrow"/>
                <w:snapToGrid w:val="0"/>
                <w:sz w:val="20"/>
                <w:szCs w:val="20"/>
              </w:rPr>
              <w:t>-0.01 (</w:t>
            </w:r>
            <w:r w:rsidR="00632C4B" w:rsidRPr="00F91CC3">
              <w:rPr>
                <w:rFonts w:ascii="Arial Narrow" w:hAnsi="Arial Narrow"/>
                <w:sz w:val="20"/>
                <w:szCs w:val="20"/>
              </w:rPr>
              <w:noBreakHyphen/>
            </w:r>
            <w:r w:rsidRPr="00F91CC3">
              <w:rPr>
                <w:rFonts w:ascii="Arial Narrow" w:hAnsi="Arial Narrow"/>
                <w:snapToGrid w:val="0"/>
                <w:sz w:val="20"/>
                <w:szCs w:val="20"/>
              </w:rPr>
              <w:t>0.05,0.04)</w:t>
            </w:r>
          </w:p>
        </w:tc>
        <w:tc>
          <w:tcPr>
            <w:tcW w:w="878" w:type="dxa"/>
            <w:tcBorders>
              <w:top w:val="single" w:sz="4" w:space="0" w:color="auto"/>
              <w:left w:val="single" w:sz="4" w:space="0" w:color="auto"/>
              <w:bottom w:val="single" w:sz="4" w:space="0" w:color="auto"/>
              <w:right w:val="single" w:sz="4" w:space="0" w:color="auto"/>
            </w:tcBorders>
          </w:tcPr>
          <w:p w14:paraId="08BF6931" w14:textId="77777777" w:rsidR="003661D7" w:rsidRPr="00F91CC3" w:rsidRDefault="003661D7" w:rsidP="00CF10BA">
            <w:pPr>
              <w:keepNext/>
              <w:keepLines/>
              <w:jc w:val="center"/>
              <w:rPr>
                <w:rFonts w:ascii="Arial Narrow" w:hAnsi="Arial Narrow"/>
                <w:snapToGrid w:val="0"/>
                <w:sz w:val="20"/>
                <w:szCs w:val="20"/>
              </w:rPr>
            </w:pPr>
            <w:r w:rsidRPr="00F91CC3">
              <w:rPr>
                <w:rFonts w:ascii="Arial Narrow" w:hAnsi="Arial Narrow"/>
                <w:sz w:val="20"/>
                <w:szCs w:val="20"/>
              </w:rPr>
              <w:t>2 (5.7)</w:t>
            </w:r>
          </w:p>
        </w:tc>
        <w:tc>
          <w:tcPr>
            <w:tcW w:w="759" w:type="dxa"/>
            <w:tcBorders>
              <w:top w:val="single" w:sz="4" w:space="0" w:color="auto"/>
              <w:left w:val="single" w:sz="4" w:space="0" w:color="auto"/>
              <w:bottom w:val="single" w:sz="4" w:space="0" w:color="auto"/>
              <w:right w:val="single" w:sz="4" w:space="0" w:color="auto"/>
            </w:tcBorders>
          </w:tcPr>
          <w:p w14:paraId="32333825" w14:textId="77777777" w:rsidR="003661D7" w:rsidRPr="00F91CC3" w:rsidRDefault="003661D7" w:rsidP="00CF10BA">
            <w:pPr>
              <w:keepNext/>
              <w:keepLines/>
              <w:jc w:val="center"/>
              <w:rPr>
                <w:rFonts w:ascii="Arial Narrow" w:hAnsi="Arial Narrow"/>
                <w:snapToGrid w:val="0"/>
                <w:sz w:val="20"/>
                <w:szCs w:val="20"/>
              </w:rPr>
            </w:pPr>
            <w:r w:rsidRPr="00F91CC3">
              <w:rPr>
                <w:rFonts w:ascii="Arial Narrow" w:hAnsi="Arial Narrow"/>
                <w:sz w:val="20"/>
                <w:szCs w:val="20"/>
              </w:rPr>
              <w:t>1 (2.9)</w:t>
            </w:r>
          </w:p>
        </w:tc>
        <w:tc>
          <w:tcPr>
            <w:tcW w:w="1322" w:type="dxa"/>
            <w:tcBorders>
              <w:top w:val="single" w:sz="4" w:space="0" w:color="auto"/>
              <w:left w:val="single" w:sz="4" w:space="0" w:color="auto"/>
              <w:bottom w:val="single" w:sz="4" w:space="0" w:color="auto"/>
              <w:right w:val="single" w:sz="4" w:space="0" w:color="auto"/>
            </w:tcBorders>
          </w:tcPr>
          <w:p w14:paraId="71FDB7E2" w14:textId="77777777" w:rsidR="003661D7" w:rsidRPr="00F91CC3" w:rsidRDefault="003661D7" w:rsidP="00CF10BA">
            <w:pPr>
              <w:keepNext/>
              <w:keepLines/>
              <w:jc w:val="center"/>
              <w:rPr>
                <w:rFonts w:ascii="Arial Narrow" w:hAnsi="Arial Narrow"/>
                <w:snapToGrid w:val="0"/>
                <w:sz w:val="20"/>
                <w:szCs w:val="20"/>
              </w:rPr>
            </w:pPr>
            <w:r w:rsidRPr="00F91CC3">
              <w:rPr>
                <w:rFonts w:ascii="Arial Narrow" w:hAnsi="Arial Narrow"/>
                <w:sz w:val="20"/>
                <w:szCs w:val="20"/>
              </w:rPr>
              <w:t>0.51 (0.05,5.42)</w:t>
            </w:r>
          </w:p>
        </w:tc>
        <w:tc>
          <w:tcPr>
            <w:tcW w:w="1139" w:type="dxa"/>
            <w:tcBorders>
              <w:top w:val="single" w:sz="4" w:space="0" w:color="auto"/>
              <w:left w:val="single" w:sz="4" w:space="0" w:color="auto"/>
              <w:bottom w:val="single" w:sz="4" w:space="0" w:color="auto"/>
              <w:right w:val="single" w:sz="4" w:space="0" w:color="auto"/>
            </w:tcBorders>
          </w:tcPr>
          <w:p w14:paraId="2D844E24" w14:textId="2035308E" w:rsidR="003661D7" w:rsidRPr="00F91CC3" w:rsidRDefault="003661D7" w:rsidP="00CF10BA">
            <w:pPr>
              <w:keepNext/>
              <w:keepLines/>
              <w:jc w:val="center"/>
              <w:rPr>
                <w:rFonts w:ascii="Arial Narrow" w:hAnsi="Arial Narrow"/>
                <w:snapToGrid w:val="0"/>
                <w:sz w:val="20"/>
                <w:szCs w:val="20"/>
              </w:rPr>
            </w:pPr>
            <w:r w:rsidRPr="00F91CC3">
              <w:rPr>
                <w:rFonts w:ascii="Arial Narrow" w:hAnsi="Arial Narrow"/>
                <w:sz w:val="20"/>
                <w:szCs w:val="20"/>
              </w:rPr>
              <w:t>-0.03 (</w:t>
            </w:r>
            <w:r w:rsidR="00632C4B" w:rsidRPr="00F91CC3">
              <w:rPr>
                <w:rFonts w:ascii="Arial Narrow" w:hAnsi="Arial Narrow"/>
                <w:sz w:val="20"/>
                <w:szCs w:val="20"/>
              </w:rPr>
              <w:noBreakHyphen/>
            </w:r>
            <w:r w:rsidRPr="00F91CC3">
              <w:rPr>
                <w:rFonts w:ascii="Arial Narrow" w:hAnsi="Arial Narrow"/>
                <w:sz w:val="20"/>
                <w:szCs w:val="20"/>
              </w:rPr>
              <w:t>0.12,0.07)</w:t>
            </w:r>
          </w:p>
        </w:tc>
      </w:tr>
      <w:tr w:rsidR="003661D7" w:rsidRPr="00F91CC3" w14:paraId="0E54C384" w14:textId="77777777" w:rsidTr="003A3172">
        <w:trPr>
          <w:trHeight w:val="19"/>
        </w:trPr>
        <w:tc>
          <w:tcPr>
            <w:tcW w:w="1261" w:type="dxa"/>
            <w:tcBorders>
              <w:top w:val="single" w:sz="4" w:space="0" w:color="auto"/>
              <w:left w:val="single" w:sz="4" w:space="0" w:color="auto"/>
              <w:bottom w:val="single" w:sz="4" w:space="0" w:color="auto"/>
              <w:right w:val="single" w:sz="4" w:space="0" w:color="auto"/>
            </w:tcBorders>
            <w:hideMark/>
          </w:tcPr>
          <w:p w14:paraId="40E95F26" w14:textId="77777777" w:rsidR="003661D7" w:rsidRPr="00F91CC3" w:rsidRDefault="003661D7" w:rsidP="00CF10BA">
            <w:pPr>
              <w:keepNext/>
              <w:keepLines/>
              <w:jc w:val="left"/>
              <w:rPr>
                <w:rFonts w:ascii="Arial Narrow" w:hAnsi="Arial Narrow" w:cs="Times New Roman"/>
                <w:snapToGrid w:val="0"/>
                <w:sz w:val="20"/>
                <w:szCs w:val="20"/>
              </w:rPr>
            </w:pPr>
            <w:r w:rsidRPr="00F91CC3">
              <w:rPr>
                <w:rFonts w:ascii="Arial Narrow" w:hAnsi="Arial Narrow" w:cs="Times New Roman"/>
                <w:snapToGrid w:val="0"/>
                <w:sz w:val="20"/>
                <w:szCs w:val="20"/>
              </w:rPr>
              <w:t>Patients with AEs leading to death</w:t>
            </w:r>
          </w:p>
        </w:tc>
        <w:tc>
          <w:tcPr>
            <w:tcW w:w="846" w:type="dxa"/>
            <w:tcBorders>
              <w:top w:val="single" w:sz="4" w:space="0" w:color="auto"/>
              <w:left w:val="single" w:sz="4" w:space="0" w:color="auto"/>
              <w:bottom w:val="single" w:sz="4" w:space="0" w:color="auto"/>
              <w:right w:val="single" w:sz="4" w:space="0" w:color="auto"/>
            </w:tcBorders>
            <w:hideMark/>
          </w:tcPr>
          <w:p w14:paraId="53F40FB1" w14:textId="77777777" w:rsidR="003661D7" w:rsidRPr="00F91CC3" w:rsidRDefault="003661D7" w:rsidP="00CF10BA">
            <w:pPr>
              <w:keepNext/>
              <w:keepLines/>
              <w:jc w:val="center"/>
              <w:rPr>
                <w:rFonts w:ascii="Arial Narrow" w:hAnsi="Arial Narrow" w:cs="Times New Roman"/>
                <w:snapToGrid w:val="0"/>
                <w:sz w:val="20"/>
                <w:szCs w:val="20"/>
              </w:rPr>
            </w:pPr>
            <w:r w:rsidRPr="00F91CC3">
              <w:rPr>
                <w:rFonts w:ascii="Arial Narrow" w:hAnsi="Arial Narrow" w:cs="Times New Roman"/>
                <w:snapToGrid w:val="0"/>
                <w:sz w:val="20"/>
                <w:szCs w:val="20"/>
              </w:rPr>
              <w:t>0</w:t>
            </w:r>
          </w:p>
        </w:tc>
        <w:tc>
          <w:tcPr>
            <w:tcW w:w="704" w:type="dxa"/>
            <w:tcBorders>
              <w:top w:val="single" w:sz="4" w:space="0" w:color="auto"/>
              <w:left w:val="single" w:sz="4" w:space="0" w:color="auto"/>
              <w:bottom w:val="single" w:sz="4" w:space="0" w:color="auto"/>
              <w:right w:val="single" w:sz="4" w:space="0" w:color="auto"/>
            </w:tcBorders>
            <w:hideMark/>
          </w:tcPr>
          <w:p w14:paraId="550ADFCD" w14:textId="77777777" w:rsidR="003661D7" w:rsidRPr="00F91CC3" w:rsidRDefault="003661D7" w:rsidP="00CF10BA">
            <w:pPr>
              <w:keepNext/>
              <w:keepLines/>
              <w:jc w:val="center"/>
              <w:rPr>
                <w:rFonts w:ascii="Arial Narrow" w:hAnsi="Arial Narrow" w:cs="Times New Roman"/>
                <w:snapToGrid w:val="0"/>
                <w:sz w:val="20"/>
                <w:szCs w:val="20"/>
              </w:rPr>
            </w:pPr>
            <w:r w:rsidRPr="00F91CC3">
              <w:rPr>
                <w:rFonts w:ascii="Arial Narrow" w:hAnsi="Arial Narrow" w:cs="Times New Roman"/>
                <w:snapToGrid w:val="0"/>
                <w:sz w:val="20"/>
                <w:szCs w:val="20"/>
              </w:rPr>
              <w:t>0</w:t>
            </w:r>
          </w:p>
        </w:tc>
        <w:tc>
          <w:tcPr>
            <w:tcW w:w="1101" w:type="dxa"/>
            <w:tcBorders>
              <w:top w:val="single" w:sz="4" w:space="0" w:color="auto"/>
              <w:left w:val="single" w:sz="4" w:space="0" w:color="auto"/>
              <w:bottom w:val="single" w:sz="4" w:space="0" w:color="auto"/>
              <w:right w:val="single" w:sz="4" w:space="0" w:color="auto"/>
            </w:tcBorders>
            <w:hideMark/>
          </w:tcPr>
          <w:p w14:paraId="1D38A7E5" w14:textId="77777777" w:rsidR="003661D7" w:rsidRPr="00F91CC3" w:rsidRDefault="003661D7" w:rsidP="00CF10BA">
            <w:pPr>
              <w:keepNext/>
              <w:keepLines/>
              <w:jc w:val="center"/>
              <w:rPr>
                <w:rFonts w:ascii="Arial Narrow" w:hAnsi="Arial Narrow" w:cs="Times New Roman"/>
                <w:snapToGrid w:val="0"/>
                <w:sz w:val="20"/>
                <w:szCs w:val="20"/>
              </w:rPr>
            </w:pPr>
            <w:r w:rsidRPr="00F91CC3">
              <w:rPr>
                <w:rFonts w:ascii="Arial Narrow" w:hAnsi="Arial Narrow" w:cs="Times New Roman"/>
                <w:snapToGrid w:val="0"/>
                <w:sz w:val="20"/>
                <w:szCs w:val="20"/>
              </w:rPr>
              <w:t>0</w:t>
            </w:r>
          </w:p>
        </w:tc>
        <w:tc>
          <w:tcPr>
            <w:tcW w:w="1006" w:type="dxa"/>
            <w:tcBorders>
              <w:top w:val="single" w:sz="4" w:space="0" w:color="auto"/>
              <w:left w:val="single" w:sz="4" w:space="0" w:color="auto"/>
              <w:bottom w:val="single" w:sz="4" w:space="0" w:color="auto"/>
              <w:right w:val="single" w:sz="4" w:space="0" w:color="auto"/>
            </w:tcBorders>
            <w:hideMark/>
          </w:tcPr>
          <w:p w14:paraId="218DCFAA" w14:textId="77777777" w:rsidR="003661D7" w:rsidRPr="00F91CC3" w:rsidRDefault="003661D7" w:rsidP="00CF10BA">
            <w:pPr>
              <w:keepNext/>
              <w:keepLines/>
              <w:jc w:val="center"/>
              <w:rPr>
                <w:rFonts w:ascii="Arial Narrow" w:hAnsi="Arial Narrow" w:cs="Times New Roman"/>
                <w:snapToGrid w:val="0"/>
                <w:sz w:val="20"/>
                <w:szCs w:val="20"/>
              </w:rPr>
            </w:pPr>
            <w:r w:rsidRPr="00F91CC3">
              <w:rPr>
                <w:rFonts w:ascii="Arial Narrow" w:hAnsi="Arial Narrow"/>
                <w:snapToGrid w:val="0"/>
                <w:sz w:val="20"/>
                <w:szCs w:val="20"/>
              </w:rPr>
              <w:t>0</w:t>
            </w:r>
          </w:p>
        </w:tc>
        <w:tc>
          <w:tcPr>
            <w:tcW w:w="878" w:type="dxa"/>
            <w:tcBorders>
              <w:top w:val="single" w:sz="4" w:space="0" w:color="auto"/>
              <w:left w:val="single" w:sz="4" w:space="0" w:color="auto"/>
              <w:bottom w:val="single" w:sz="4" w:space="0" w:color="auto"/>
              <w:right w:val="single" w:sz="4" w:space="0" w:color="auto"/>
            </w:tcBorders>
          </w:tcPr>
          <w:p w14:paraId="58646D92" w14:textId="77777777" w:rsidR="003661D7" w:rsidRPr="00F91CC3" w:rsidRDefault="003661D7" w:rsidP="00CF10BA">
            <w:pPr>
              <w:keepNext/>
              <w:keepLines/>
              <w:jc w:val="center"/>
              <w:rPr>
                <w:rFonts w:ascii="Arial Narrow" w:hAnsi="Arial Narrow"/>
                <w:snapToGrid w:val="0"/>
                <w:sz w:val="20"/>
                <w:szCs w:val="20"/>
              </w:rPr>
            </w:pPr>
            <w:r w:rsidRPr="00F91CC3">
              <w:rPr>
                <w:rFonts w:ascii="Arial Narrow" w:hAnsi="Arial Narrow"/>
                <w:sz w:val="20"/>
                <w:szCs w:val="20"/>
              </w:rPr>
              <w:t>0</w:t>
            </w:r>
          </w:p>
        </w:tc>
        <w:tc>
          <w:tcPr>
            <w:tcW w:w="759" w:type="dxa"/>
            <w:tcBorders>
              <w:top w:val="single" w:sz="4" w:space="0" w:color="auto"/>
              <w:left w:val="single" w:sz="4" w:space="0" w:color="auto"/>
              <w:bottom w:val="single" w:sz="4" w:space="0" w:color="auto"/>
              <w:right w:val="single" w:sz="4" w:space="0" w:color="auto"/>
            </w:tcBorders>
          </w:tcPr>
          <w:p w14:paraId="1FCC5873" w14:textId="77777777" w:rsidR="003661D7" w:rsidRPr="00F91CC3" w:rsidRDefault="003661D7" w:rsidP="00CF10BA">
            <w:pPr>
              <w:keepNext/>
              <w:keepLines/>
              <w:jc w:val="center"/>
              <w:rPr>
                <w:rFonts w:ascii="Arial Narrow" w:hAnsi="Arial Narrow"/>
                <w:snapToGrid w:val="0"/>
                <w:sz w:val="20"/>
                <w:szCs w:val="20"/>
              </w:rPr>
            </w:pPr>
            <w:r w:rsidRPr="00F91CC3">
              <w:rPr>
                <w:rFonts w:ascii="Arial Narrow" w:hAnsi="Arial Narrow"/>
                <w:sz w:val="20"/>
                <w:szCs w:val="20"/>
              </w:rPr>
              <w:t>0</w:t>
            </w:r>
          </w:p>
        </w:tc>
        <w:tc>
          <w:tcPr>
            <w:tcW w:w="1322" w:type="dxa"/>
            <w:tcBorders>
              <w:top w:val="single" w:sz="4" w:space="0" w:color="auto"/>
              <w:left w:val="single" w:sz="4" w:space="0" w:color="auto"/>
              <w:bottom w:val="single" w:sz="4" w:space="0" w:color="auto"/>
              <w:right w:val="single" w:sz="4" w:space="0" w:color="auto"/>
            </w:tcBorders>
          </w:tcPr>
          <w:p w14:paraId="7D6A0885" w14:textId="77777777" w:rsidR="003661D7" w:rsidRPr="00F91CC3" w:rsidRDefault="003661D7" w:rsidP="00CF10BA">
            <w:pPr>
              <w:keepNext/>
              <w:keepLines/>
              <w:jc w:val="center"/>
              <w:rPr>
                <w:rFonts w:ascii="Arial Narrow" w:hAnsi="Arial Narrow"/>
                <w:snapToGrid w:val="0"/>
                <w:sz w:val="20"/>
                <w:szCs w:val="20"/>
              </w:rPr>
            </w:pPr>
          </w:p>
        </w:tc>
        <w:tc>
          <w:tcPr>
            <w:tcW w:w="1139" w:type="dxa"/>
            <w:tcBorders>
              <w:top w:val="single" w:sz="4" w:space="0" w:color="auto"/>
              <w:left w:val="single" w:sz="4" w:space="0" w:color="auto"/>
              <w:bottom w:val="single" w:sz="4" w:space="0" w:color="auto"/>
              <w:right w:val="single" w:sz="4" w:space="0" w:color="auto"/>
            </w:tcBorders>
          </w:tcPr>
          <w:p w14:paraId="67D5C0DD" w14:textId="2C666A84" w:rsidR="003661D7" w:rsidRPr="00F91CC3" w:rsidRDefault="003661D7" w:rsidP="00CF10BA">
            <w:pPr>
              <w:keepNext/>
              <w:keepLines/>
              <w:jc w:val="center"/>
              <w:rPr>
                <w:rFonts w:ascii="Arial Narrow" w:hAnsi="Arial Narrow"/>
                <w:snapToGrid w:val="0"/>
                <w:sz w:val="20"/>
                <w:szCs w:val="20"/>
              </w:rPr>
            </w:pPr>
            <w:r w:rsidRPr="00F91CC3">
              <w:rPr>
                <w:rFonts w:ascii="Arial Narrow" w:hAnsi="Arial Narrow"/>
                <w:sz w:val="20"/>
                <w:szCs w:val="20"/>
              </w:rPr>
              <w:t xml:space="preserve">0 </w:t>
            </w:r>
          </w:p>
        </w:tc>
      </w:tr>
    </w:tbl>
    <w:p w14:paraId="03A73AFC" w14:textId="77777777" w:rsidR="003661D7" w:rsidRPr="00F91CC3" w:rsidRDefault="003661D7" w:rsidP="00CF10BA">
      <w:pPr>
        <w:keepNext/>
        <w:keepLines/>
        <w:rPr>
          <w:rFonts w:ascii="Arial Narrow" w:hAnsi="Arial Narrow"/>
          <w:sz w:val="18"/>
        </w:rPr>
      </w:pPr>
      <w:r w:rsidRPr="00F91CC3">
        <w:rPr>
          <w:rFonts w:ascii="Arial Narrow" w:hAnsi="Arial Narrow"/>
          <w:sz w:val="18"/>
        </w:rPr>
        <w:t>Source: Table 2.7.44 p191; Table 2.7.45 p192 of the submission</w:t>
      </w:r>
    </w:p>
    <w:p w14:paraId="418E75C4" w14:textId="77777777" w:rsidR="003661D7" w:rsidRPr="00F91CC3" w:rsidRDefault="003661D7" w:rsidP="00CF10BA">
      <w:pPr>
        <w:keepNext/>
        <w:keepLines/>
        <w:rPr>
          <w:rFonts w:ascii="Arial Narrow" w:hAnsi="Arial Narrow"/>
          <w:sz w:val="18"/>
        </w:rPr>
      </w:pPr>
      <w:r w:rsidRPr="00F91CC3">
        <w:rPr>
          <w:rFonts w:ascii="Arial Narrow" w:hAnsi="Arial Narrow"/>
          <w:sz w:val="18"/>
        </w:rPr>
        <w:t>AE = adverse event; CF = cystic fibrosis; CI = confidence interval; CPK = creatine phosphokinase; IVA = ivacaftor; PEx = pulmonary exacerbations; RD = risk difference; RR = relative risk; SAE = serious adverse event</w:t>
      </w:r>
    </w:p>
    <w:p w14:paraId="1C3CC58B" w14:textId="0689D988" w:rsidR="00E74DBC" w:rsidRDefault="003661D7" w:rsidP="00F07396">
      <w:pPr>
        <w:keepNext/>
        <w:keepLines/>
        <w:spacing w:after="120"/>
        <w:rPr>
          <w:rFonts w:ascii="Arial Narrow" w:hAnsi="Arial Narrow"/>
          <w:snapToGrid w:val="0"/>
          <w:sz w:val="18"/>
          <w:szCs w:val="22"/>
        </w:rPr>
      </w:pPr>
      <w:proofErr w:type="spellStart"/>
      <w:r w:rsidRPr="00F91CC3">
        <w:rPr>
          <w:rFonts w:ascii="Arial Narrow" w:hAnsi="Arial Narrow"/>
          <w:snapToGrid w:val="0"/>
          <w:sz w:val="18"/>
          <w:szCs w:val="22"/>
          <w:vertAlign w:val="superscript"/>
        </w:rPr>
        <w:t>a</w:t>
      </w:r>
      <w:proofErr w:type="spellEnd"/>
      <w:r w:rsidRPr="00F91CC3">
        <w:rPr>
          <w:rFonts w:ascii="Arial Narrow" w:hAnsi="Arial Narrow"/>
          <w:snapToGrid w:val="0"/>
          <w:sz w:val="18"/>
          <w:szCs w:val="22"/>
        </w:rPr>
        <w:t xml:space="preserve"> This analysis was not powered to detect statistical differences in the occurrence of safety events; apparent differences shown in relative measures of effect are exploratory only.</w:t>
      </w:r>
    </w:p>
    <w:p w14:paraId="716AE5D5" w14:textId="77777777" w:rsidR="00E74DBC" w:rsidRDefault="00E74DBC">
      <w:pPr>
        <w:jc w:val="left"/>
        <w:rPr>
          <w:rFonts w:ascii="Arial Narrow" w:hAnsi="Arial Narrow"/>
          <w:snapToGrid w:val="0"/>
          <w:sz w:val="18"/>
          <w:szCs w:val="22"/>
        </w:rPr>
      </w:pPr>
      <w:r>
        <w:rPr>
          <w:rFonts w:ascii="Arial Narrow" w:hAnsi="Arial Narrow"/>
          <w:snapToGrid w:val="0"/>
          <w:sz w:val="18"/>
          <w:szCs w:val="22"/>
        </w:rPr>
        <w:br w:type="page"/>
      </w:r>
    </w:p>
    <w:p w14:paraId="23EB74A4" w14:textId="2EB142B0" w:rsidR="00034A31" w:rsidRPr="00F91CC3" w:rsidRDefault="00034A31" w:rsidP="00F07396">
      <w:pPr>
        <w:keepNext/>
        <w:spacing w:before="120" w:after="120"/>
        <w:outlineLvl w:val="1"/>
        <w:rPr>
          <w:rFonts w:asciiTheme="minorHAnsi" w:eastAsiaTheme="majorEastAsia" w:hAnsiTheme="minorHAnsi" w:cstheme="majorBidi"/>
          <w:b/>
          <w:i/>
          <w:spacing w:val="5"/>
          <w:kern w:val="28"/>
          <w:sz w:val="28"/>
          <w:szCs w:val="36"/>
        </w:rPr>
      </w:pPr>
      <w:r w:rsidRPr="00F91CC3">
        <w:rPr>
          <w:rFonts w:asciiTheme="minorHAnsi" w:eastAsiaTheme="majorEastAsia" w:hAnsiTheme="minorHAnsi" w:cstheme="majorBidi"/>
          <w:b/>
          <w:i/>
          <w:spacing w:val="5"/>
          <w:kern w:val="28"/>
          <w:sz w:val="28"/>
          <w:szCs w:val="36"/>
        </w:rPr>
        <w:lastRenderedPageBreak/>
        <w:t>Benefits/harms</w:t>
      </w:r>
    </w:p>
    <w:p w14:paraId="1AE67A44" w14:textId="768CE0B4" w:rsidR="00034A31" w:rsidRPr="00F91CC3" w:rsidRDefault="00034A31" w:rsidP="005142A2">
      <w:pPr>
        <w:numPr>
          <w:ilvl w:val="1"/>
          <w:numId w:val="10"/>
        </w:numPr>
        <w:spacing w:after="120"/>
        <w:rPr>
          <w:rFonts w:asciiTheme="minorHAnsi" w:hAnsiTheme="minorHAnsi"/>
          <w:iCs/>
          <w:snapToGrid w:val="0"/>
        </w:rPr>
      </w:pPr>
      <w:r w:rsidRPr="00F91CC3">
        <w:rPr>
          <w:rFonts w:asciiTheme="minorHAnsi" w:hAnsiTheme="minorHAnsi"/>
          <w:iCs/>
          <w:snapToGrid w:val="0"/>
        </w:rPr>
        <w:t xml:space="preserve">Study 124 was a non-comparative study. As such, it was not possible to present an assessment of benefits-to-harms for ivacaftor compared with BSC in the gating mutation population aged 4 to &lt; 12 months of age. </w:t>
      </w:r>
    </w:p>
    <w:p w14:paraId="290FE8AC" w14:textId="78722795" w:rsidR="00034A31" w:rsidRPr="00F91CC3" w:rsidRDefault="00034A31" w:rsidP="005142A2">
      <w:pPr>
        <w:numPr>
          <w:ilvl w:val="1"/>
          <w:numId w:val="10"/>
        </w:numPr>
        <w:spacing w:after="120"/>
        <w:rPr>
          <w:rFonts w:asciiTheme="minorHAnsi" w:hAnsiTheme="minorHAnsi"/>
          <w:snapToGrid w:val="0"/>
        </w:rPr>
      </w:pPr>
      <w:r w:rsidRPr="00F91CC3">
        <w:rPr>
          <w:rFonts w:asciiTheme="minorHAnsi" w:hAnsiTheme="minorHAnsi"/>
          <w:snapToGrid w:val="0"/>
        </w:rPr>
        <w:t xml:space="preserve">A summary of the comparative benefits and harms for </w:t>
      </w:r>
      <w:r w:rsidRPr="00F91CC3">
        <w:rPr>
          <w:rFonts w:asciiTheme="minorHAnsi" w:hAnsiTheme="minorHAnsi"/>
        </w:rPr>
        <w:t xml:space="preserve">ivacaftor </w:t>
      </w:r>
      <w:r w:rsidRPr="00F91CC3">
        <w:rPr>
          <w:rFonts w:asciiTheme="minorHAnsi" w:hAnsiTheme="minorHAnsi"/>
          <w:snapToGrid w:val="0"/>
        </w:rPr>
        <w:t xml:space="preserve">versus BSC is presented in </w:t>
      </w:r>
      <w:r w:rsidRPr="00F91CC3">
        <w:rPr>
          <w:rFonts w:asciiTheme="minorHAnsi" w:hAnsiTheme="minorHAnsi"/>
          <w:snapToGrid w:val="0"/>
        </w:rPr>
        <w:fldChar w:fldCharType="begin"/>
      </w:r>
      <w:r w:rsidRPr="00F91CC3">
        <w:rPr>
          <w:rFonts w:asciiTheme="minorHAnsi" w:hAnsiTheme="minorHAnsi"/>
          <w:snapToGrid w:val="0"/>
        </w:rPr>
        <w:instrText xml:space="preserve"> REF _Ref144503042 \h </w:instrText>
      </w:r>
      <w:r w:rsidR="0085159F" w:rsidRPr="00F91CC3">
        <w:rPr>
          <w:rFonts w:asciiTheme="minorHAnsi" w:hAnsiTheme="minorHAnsi"/>
          <w:snapToGrid w:val="0"/>
        </w:rPr>
        <w:instrText xml:space="preserve"> \* MERGEFORMAT </w:instrText>
      </w:r>
      <w:r w:rsidRPr="00F91CC3">
        <w:rPr>
          <w:rFonts w:asciiTheme="minorHAnsi" w:hAnsiTheme="minorHAnsi"/>
          <w:snapToGrid w:val="0"/>
        </w:rPr>
      </w:r>
      <w:r w:rsidRPr="00F91CC3">
        <w:rPr>
          <w:rFonts w:asciiTheme="minorHAnsi" w:hAnsiTheme="minorHAnsi"/>
          <w:snapToGrid w:val="0"/>
        </w:rPr>
        <w:fldChar w:fldCharType="separate"/>
      </w:r>
      <w:r w:rsidR="008D6198" w:rsidRPr="008D6198">
        <w:rPr>
          <w:rFonts w:asciiTheme="minorHAnsi" w:hAnsiTheme="minorHAnsi"/>
          <w:snapToGrid w:val="0"/>
        </w:rPr>
        <w:t>Table 12</w:t>
      </w:r>
      <w:r w:rsidRPr="00F91CC3">
        <w:rPr>
          <w:rFonts w:asciiTheme="minorHAnsi" w:hAnsiTheme="minorHAnsi"/>
          <w:snapToGrid w:val="0"/>
        </w:rPr>
        <w:fldChar w:fldCharType="end"/>
      </w:r>
      <w:r w:rsidRPr="00F91CC3">
        <w:rPr>
          <w:rFonts w:asciiTheme="minorHAnsi" w:hAnsiTheme="minorHAnsi"/>
          <w:snapToGrid w:val="0"/>
        </w:rPr>
        <w:t xml:space="preserve">. </w:t>
      </w:r>
      <w:r w:rsidRPr="00F91CC3">
        <w:rPr>
          <w:rFonts w:asciiTheme="minorHAnsi" w:hAnsiTheme="minorHAnsi"/>
        </w:rPr>
        <w:t xml:space="preserve">On the basis of direct evidence from Study 108 presented in the submission, patients </w:t>
      </w:r>
      <w:r w:rsidR="00D2602E" w:rsidRPr="00F91CC3">
        <w:rPr>
          <w:rFonts w:asciiTheme="minorHAnsi" w:hAnsiTheme="minorHAnsi"/>
        </w:rPr>
        <w:t xml:space="preserve">with a non-splice RF mutation aged </w:t>
      </w:r>
      <w:r w:rsidR="00D2602E" w:rsidRPr="00F91CC3">
        <w:rPr>
          <w:rFonts w:asciiTheme="minorHAnsi" w:hAnsiTheme="minorHAnsi" w:cstheme="minorHAnsi"/>
        </w:rPr>
        <w:t>≥</w:t>
      </w:r>
      <w:r w:rsidR="00D2602E" w:rsidRPr="00F91CC3">
        <w:rPr>
          <w:rFonts w:asciiTheme="minorHAnsi" w:hAnsiTheme="minorHAnsi"/>
        </w:rPr>
        <w:t xml:space="preserve"> 12 years </w:t>
      </w:r>
      <w:r w:rsidRPr="00F91CC3">
        <w:rPr>
          <w:rFonts w:asciiTheme="minorHAnsi" w:hAnsiTheme="minorHAnsi"/>
        </w:rPr>
        <w:t>treated with ivacaftor achieved</w:t>
      </w:r>
      <w:r w:rsidRPr="00F91CC3">
        <w:rPr>
          <w:rFonts w:asciiTheme="minorHAnsi" w:hAnsiTheme="minorHAnsi"/>
          <w:snapToGrid w:val="0"/>
        </w:rPr>
        <w:t xml:space="preserve"> 4.7</w:t>
      </w:r>
      <w:r w:rsidR="008D0EF6" w:rsidRPr="00F91CC3">
        <w:rPr>
          <w:rFonts w:asciiTheme="minorHAnsi" w:hAnsiTheme="minorHAnsi"/>
          <w:snapToGrid w:val="0"/>
        </w:rPr>
        <w:t xml:space="preserve"> percentage point</w:t>
      </w:r>
      <w:r w:rsidRPr="00F91CC3">
        <w:rPr>
          <w:rFonts w:asciiTheme="minorHAnsi" w:hAnsiTheme="minorHAnsi"/>
          <w:snapToGrid w:val="0"/>
        </w:rPr>
        <w:t xml:space="preserve"> increase in lung capacity (as measured by ppFEV</w:t>
      </w:r>
      <w:r w:rsidRPr="00F91CC3">
        <w:rPr>
          <w:rFonts w:asciiTheme="minorHAnsi" w:hAnsiTheme="minorHAnsi"/>
          <w:snapToGrid w:val="0"/>
          <w:vertAlign w:val="subscript"/>
        </w:rPr>
        <w:t>1</w:t>
      </w:r>
      <w:r w:rsidRPr="00F91CC3">
        <w:rPr>
          <w:rFonts w:asciiTheme="minorHAnsi" w:hAnsiTheme="minorHAnsi"/>
          <w:snapToGrid w:val="0"/>
        </w:rPr>
        <w:t xml:space="preserve">) compared with </w:t>
      </w:r>
      <w:r w:rsidRPr="00F91CC3">
        <w:rPr>
          <w:rFonts w:asciiTheme="minorHAnsi" w:hAnsiTheme="minorHAnsi"/>
        </w:rPr>
        <w:t>placebo over a 4 to 8 week follow up.</w:t>
      </w:r>
      <w:r w:rsidRPr="00F91CC3">
        <w:rPr>
          <w:rFonts w:asciiTheme="minorHAnsi" w:hAnsiTheme="minorHAnsi"/>
          <w:snapToGrid w:val="0"/>
        </w:rPr>
        <w:t xml:space="preserve"> </w:t>
      </w:r>
      <w:r w:rsidRPr="00F91CC3">
        <w:rPr>
          <w:rFonts w:asciiTheme="minorHAnsi" w:hAnsiTheme="minorHAnsi"/>
        </w:rPr>
        <w:t xml:space="preserve">On the basis of direct evidence from Study 110 presented in the submission, patients </w:t>
      </w:r>
      <w:r w:rsidR="00D2602E" w:rsidRPr="00F91CC3">
        <w:rPr>
          <w:rFonts w:asciiTheme="minorHAnsi" w:hAnsiTheme="minorHAnsi"/>
        </w:rPr>
        <w:t xml:space="preserve">with an R117H mutation aged </w:t>
      </w:r>
      <w:r w:rsidR="00D2602E" w:rsidRPr="00F91CC3">
        <w:rPr>
          <w:rFonts w:asciiTheme="minorHAnsi" w:hAnsiTheme="minorHAnsi" w:cstheme="minorHAnsi"/>
        </w:rPr>
        <w:t>≥</w:t>
      </w:r>
      <w:r w:rsidR="00D2602E" w:rsidRPr="00F91CC3">
        <w:rPr>
          <w:rFonts w:asciiTheme="minorHAnsi" w:hAnsiTheme="minorHAnsi"/>
        </w:rPr>
        <w:t xml:space="preserve"> 6 years </w:t>
      </w:r>
      <w:r w:rsidRPr="00F91CC3">
        <w:rPr>
          <w:rFonts w:asciiTheme="minorHAnsi" w:hAnsiTheme="minorHAnsi"/>
        </w:rPr>
        <w:t>treated with ivacaftor achieved</w:t>
      </w:r>
      <w:r w:rsidRPr="00F91CC3">
        <w:rPr>
          <w:rFonts w:asciiTheme="minorHAnsi" w:hAnsiTheme="minorHAnsi"/>
          <w:snapToGrid w:val="0"/>
        </w:rPr>
        <w:t xml:space="preserve"> 2</w:t>
      </w:r>
      <w:r w:rsidR="002542B2" w:rsidRPr="00F91CC3">
        <w:rPr>
          <w:rFonts w:asciiTheme="minorHAnsi" w:hAnsiTheme="minorHAnsi"/>
          <w:snapToGrid w:val="0"/>
        </w:rPr>
        <w:t xml:space="preserve"> percentage points</w:t>
      </w:r>
      <w:r w:rsidRPr="00F91CC3">
        <w:rPr>
          <w:rFonts w:asciiTheme="minorHAnsi" w:hAnsiTheme="minorHAnsi"/>
          <w:snapToGrid w:val="0"/>
        </w:rPr>
        <w:t xml:space="preserve"> increase in the lung capacity (as measured by ppFEV</w:t>
      </w:r>
      <w:r w:rsidRPr="00F91CC3">
        <w:rPr>
          <w:rFonts w:asciiTheme="minorHAnsi" w:hAnsiTheme="minorHAnsi"/>
          <w:snapToGrid w:val="0"/>
          <w:vertAlign w:val="subscript"/>
        </w:rPr>
        <w:t>1</w:t>
      </w:r>
      <w:r w:rsidRPr="00F91CC3">
        <w:rPr>
          <w:rFonts w:asciiTheme="minorHAnsi" w:hAnsiTheme="minorHAnsi"/>
          <w:snapToGrid w:val="0"/>
        </w:rPr>
        <w:t xml:space="preserve">) compared with </w:t>
      </w:r>
      <w:r w:rsidRPr="00F91CC3">
        <w:rPr>
          <w:rFonts w:asciiTheme="minorHAnsi" w:hAnsiTheme="minorHAnsi"/>
        </w:rPr>
        <w:t>placebo over a 4 to 8 week follow up.</w:t>
      </w:r>
      <w:r w:rsidRPr="00F91CC3">
        <w:rPr>
          <w:rFonts w:asciiTheme="minorHAnsi" w:hAnsiTheme="minorHAnsi"/>
          <w:snapToGrid w:val="0"/>
        </w:rPr>
        <w:t xml:space="preserve"> </w:t>
      </w:r>
    </w:p>
    <w:p w14:paraId="625DDC09" w14:textId="77777777" w:rsidR="00034A31" w:rsidRPr="00F91CC3" w:rsidRDefault="00034A31" w:rsidP="005142A2">
      <w:pPr>
        <w:numPr>
          <w:ilvl w:val="1"/>
          <w:numId w:val="10"/>
        </w:numPr>
        <w:spacing w:after="120"/>
        <w:rPr>
          <w:rFonts w:asciiTheme="minorHAnsi" w:hAnsiTheme="minorHAnsi"/>
          <w:snapToGrid w:val="0"/>
        </w:rPr>
      </w:pPr>
      <w:r w:rsidRPr="00F91CC3">
        <w:rPr>
          <w:rFonts w:asciiTheme="minorHAnsi" w:hAnsiTheme="minorHAnsi"/>
        </w:rPr>
        <w:t>On the basis of direct evidence from Study 108 and Study 110, presented in the submission</w:t>
      </w:r>
      <w:r w:rsidRPr="00F91CC3">
        <w:rPr>
          <w:rFonts w:asciiTheme="minorHAnsi" w:hAnsiTheme="minorHAnsi"/>
          <w:snapToGrid w:val="0"/>
        </w:rPr>
        <w:t xml:space="preserve">, patients treated with </w:t>
      </w:r>
      <w:r w:rsidRPr="00F91CC3">
        <w:rPr>
          <w:rFonts w:asciiTheme="minorHAnsi" w:hAnsiTheme="minorHAnsi"/>
        </w:rPr>
        <w:t>ivacaftor have no</w:t>
      </w:r>
      <w:r w:rsidRPr="00F91CC3">
        <w:rPr>
          <w:rFonts w:asciiTheme="minorHAnsi" w:hAnsiTheme="minorHAnsi"/>
          <w:snapToGrid w:val="0"/>
        </w:rPr>
        <w:t xml:space="preserve"> increase in the overall likelihood of harms compared with BSC.</w:t>
      </w:r>
    </w:p>
    <w:p w14:paraId="6DE47093" w14:textId="2665D423" w:rsidR="00034A31" w:rsidRPr="00F91CC3" w:rsidRDefault="00034A31" w:rsidP="00034A31">
      <w:pPr>
        <w:keepNext/>
        <w:keepLines/>
        <w:rPr>
          <w:rFonts w:ascii="Arial Narrow" w:hAnsi="Arial Narrow"/>
          <w:b/>
          <w:bCs/>
          <w:sz w:val="20"/>
          <w:szCs w:val="18"/>
        </w:rPr>
      </w:pPr>
      <w:bookmarkStart w:id="52" w:name="_Ref144503042"/>
      <w:r w:rsidRPr="00F91CC3">
        <w:rPr>
          <w:rFonts w:ascii="Arial Narrow" w:hAnsi="Arial Narrow"/>
          <w:b/>
          <w:bCs/>
          <w:sz w:val="20"/>
          <w:szCs w:val="18"/>
        </w:rPr>
        <w:t xml:space="preserve">Table </w:t>
      </w:r>
      <w:r w:rsidRPr="00F91CC3">
        <w:rPr>
          <w:rFonts w:ascii="Arial Narrow" w:hAnsi="Arial Narrow"/>
          <w:b/>
          <w:bCs/>
          <w:sz w:val="20"/>
          <w:szCs w:val="18"/>
        </w:rPr>
        <w:fldChar w:fldCharType="begin"/>
      </w:r>
      <w:r w:rsidRPr="00F91CC3">
        <w:rPr>
          <w:rFonts w:ascii="Arial Narrow" w:hAnsi="Arial Narrow"/>
          <w:b/>
          <w:bCs/>
          <w:sz w:val="20"/>
          <w:szCs w:val="18"/>
        </w:rPr>
        <w:instrText xml:space="preserve"> SEQ Table \* ARABIC </w:instrText>
      </w:r>
      <w:r w:rsidRPr="00F91CC3">
        <w:rPr>
          <w:rFonts w:ascii="Arial Narrow" w:hAnsi="Arial Narrow"/>
          <w:b/>
          <w:bCs/>
          <w:sz w:val="20"/>
          <w:szCs w:val="18"/>
        </w:rPr>
        <w:fldChar w:fldCharType="separate"/>
      </w:r>
      <w:r w:rsidR="008D6198">
        <w:rPr>
          <w:rFonts w:ascii="Arial Narrow" w:hAnsi="Arial Narrow"/>
          <w:b/>
          <w:bCs/>
          <w:noProof/>
          <w:sz w:val="20"/>
          <w:szCs w:val="18"/>
        </w:rPr>
        <w:t>12</w:t>
      </w:r>
      <w:r w:rsidRPr="00F91CC3">
        <w:rPr>
          <w:rFonts w:ascii="Arial Narrow" w:hAnsi="Arial Narrow"/>
          <w:b/>
          <w:bCs/>
          <w:sz w:val="20"/>
          <w:szCs w:val="18"/>
        </w:rPr>
        <w:fldChar w:fldCharType="end"/>
      </w:r>
      <w:bookmarkEnd w:id="52"/>
      <w:r w:rsidRPr="00F91CC3">
        <w:rPr>
          <w:rFonts w:ascii="Arial Narrow" w:hAnsi="Arial Narrow"/>
          <w:b/>
          <w:bCs/>
          <w:sz w:val="20"/>
          <w:szCs w:val="18"/>
        </w:rPr>
        <w:t>: Summary of comparative benefits and harms for ivacaftor versus placebo</w:t>
      </w:r>
    </w:p>
    <w:tbl>
      <w:tblPr>
        <w:tblW w:w="5000" w:type="pct"/>
        <w:tblLayout w:type="fixed"/>
        <w:tblCellMar>
          <w:left w:w="28" w:type="dxa"/>
          <w:right w:w="28" w:type="dxa"/>
        </w:tblCellMar>
        <w:tblLook w:val="04A0" w:firstRow="1" w:lastRow="0" w:firstColumn="1" w:lastColumn="0" w:noHBand="0" w:noVBand="1"/>
      </w:tblPr>
      <w:tblGrid>
        <w:gridCol w:w="1153"/>
        <w:gridCol w:w="703"/>
        <w:gridCol w:w="440"/>
        <w:gridCol w:w="545"/>
        <w:gridCol w:w="738"/>
        <w:gridCol w:w="274"/>
        <w:gridCol w:w="839"/>
        <w:gridCol w:w="415"/>
        <w:gridCol w:w="579"/>
        <w:gridCol w:w="698"/>
        <w:gridCol w:w="294"/>
        <w:gridCol w:w="954"/>
        <w:gridCol w:w="1385"/>
      </w:tblGrid>
      <w:tr w:rsidR="00034A31" w:rsidRPr="00F91CC3" w14:paraId="26C30033" w14:textId="77777777" w:rsidTr="002A2AB2">
        <w:trPr>
          <w:cantSplit/>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FBFA8FE" w14:textId="77777777" w:rsidR="00034A31" w:rsidRPr="00F91CC3" w:rsidRDefault="00034A31" w:rsidP="00034A31">
            <w:pPr>
              <w:autoSpaceDE w:val="0"/>
              <w:autoSpaceDN w:val="0"/>
              <w:adjustRightInd w:val="0"/>
              <w:jc w:val="left"/>
              <w:rPr>
                <w:rFonts w:ascii="Arial Narrow" w:hAnsi="Arial Narrow" w:cs="Calibri"/>
                <w:color w:val="000000"/>
                <w:sz w:val="20"/>
                <w:szCs w:val="20"/>
              </w:rPr>
            </w:pPr>
            <w:r w:rsidRPr="00F91CC3">
              <w:rPr>
                <w:rFonts w:ascii="Arial Narrow" w:hAnsi="Arial Narrow" w:cs="Calibri"/>
                <w:b/>
                <w:bCs/>
                <w:color w:val="000000"/>
                <w:sz w:val="20"/>
                <w:szCs w:val="20"/>
              </w:rPr>
              <w:t>Benefits: Change from baseline in absolute change in ppFEV</w:t>
            </w:r>
            <w:r w:rsidRPr="00F91CC3">
              <w:rPr>
                <w:rFonts w:ascii="Arial Narrow" w:hAnsi="Arial Narrow" w:cs="Calibri"/>
                <w:b/>
                <w:bCs/>
                <w:color w:val="000000"/>
                <w:sz w:val="20"/>
                <w:szCs w:val="20"/>
                <w:vertAlign w:val="subscript"/>
              </w:rPr>
              <w:t>1</w:t>
            </w:r>
            <w:r w:rsidRPr="00F91CC3">
              <w:rPr>
                <w:rFonts w:ascii="Arial Narrow" w:hAnsi="Arial Narrow" w:cs="Calibri"/>
                <w:b/>
                <w:bCs/>
                <w:color w:val="000000"/>
                <w:sz w:val="20"/>
                <w:szCs w:val="20"/>
              </w:rPr>
              <w:t xml:space="preserve"> </w:t>
            </w:r>
          </w:p>
        </w:tc>
      </w:tr>
      <w:tr w:rsidR="00034A31" w:rsidRPr="00F91CC3" w14:paraId="08135FA3" w14:textId="77777777" w:rsidTr="002A2AB2">
        <w:trPr>
          <w:cantSplit/>
          <w:trHeight w:val="225"/>
        </w:trPr>
        <w:tc>
          <w:tcPr>
            <w:tcW w:w="6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EB7BF9"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Trial</w:t>
            </w:r>
          </w:p>
        </w:tc>
        <w:tc>
          <w:tcPr>
            <w:tcW w:w="1497" w:type="pct"/>
            <w:gridSpan w:val="5"/>
            <w:tcBorders>
              <w:top w:val="single" w:sz="4" w:space="0" w:color="auto"/>
              <w:left w:val="single" w:sz="4" w:space="0" w:color="auto"/>
              <w:bottom w:val="single" w:sz="4" w:space="0" w:color="auto"/>
              <w:right w:val="single" w:sz="4" w:space="0" w:color="auto"/>
            </w:tcBorders>
            <w:vAlign w:val="center"/>
          </w:tcPr>
          <w:p w14:paraId="61FFB1F5" w14:textId="0FB70A63" w:rsidR="00034A31" w:rsidRPr="00F91CC3" w:rsidRDefault="00D738D1" w:rsidP="00034A31">
            <w:pPr>
              <w:keepNext/>
              <w:jc w:val="left"/>
              <w:rPr>
                <w:rFonts w:ascii="Arial Narrow" w:eastAsiaTheme="majorEastAsia" w:hAnsi="Arial Narrow" w:cs="Times New Roman"/>
                <w:b/>
                <w:sz w:val="20"/>
              </w:rPr>
            </w:pPr>
            <w:r w:rsidRPr="00F91CC3">
              <w:rPr>
                <w:rFonts w:ascii="Arial Narrow" w:eastAsiaTheme="majorEastAsia" w:hAnsi="Arial Narrow" w:cs="Times New Roman"/>
                <w:b/>
                <w:sz w:val="20"/>
              </w:rPr>
              <w:t>I</w:t>
            </w:r>
            <w:r w:rsidR="00034A31" w:rsidRPr="00F91CC3">
              <w:rPr>
                <w:rFonts w:ascii="Arial Narrow" w:eastAsiaTheme="majorEastAsia" w:hAnsi="Arial Narrow" w:cs="Times New Roman"/>
                <w:b/>
                <w:sz w:val="20"/>
              </w:rPr>
              <w:t>vacaftor</w:t>
            </w:r>
          </w:p>
        </w:tc>
        <w:tc>
          <w:tcPr>
            <w:tcW w:w="1566" w:type="pct"/>
            <w:gridSpan w:val="5"/>
            <w:tcBorders>
              <w:top w:val="single" w:sz="4" w:space="0" w:color="auto"/>
              <w:left w:val="single" w:sz="4" w:space="0" w:color="auto"/>
              <w:bottom w:val="single" w:sz="4" w:space="0" w:color="auto"/>
              <w:right w:val="single" w:sz="4" w:space="0" w:color="auto"/>
            </w:tcBorders>
            <w:vAlign w:val="center"/>
          </w:tcPr>
          <w:p w14:paraId="295AEE2E" w14:textId="77777777" w:rsidR="00034A31" w:rsidRPr="00F91CC3" w:rsidRDefault="00034A31" w:rsidP="00034A31">
            <w:pPr>
              <w:keepNext/>
              <w:jc w:val="left"/>
              <w:rPr>
                <w:rFonts w:ascii="Arial Narrow" w:eastAsiaTheme="majorEastAsia" w:hAnsi="Arial Narrow" w:cs="Times New Roman"/>
                <w:b/>
                <w:sz w:val="20"/>
              </w:rPr>
            </w:pPr>
            <w:r w:rsidRPr="00F91CC3">
              <w:rPr>
                <w:rFonts w:ascii="Arial Narrow" w:eastAsiaTheme="majorEastAsia" w:hAnsi="Arial Narrow" w:cs="Times New Roman"/>
                <w:b/>
                <w:sz w:val="20"/>
              </w:rPr>
              <w:t>PBO</w:t>
            </w:r>
          </w:p>
        </w:tc>
        <w:tc>
          <w:tcPr>
            <w:tcW w:w="1304" w:type="pct"/>
            <w:gridSpan w:val="2"/>
            <w:vMerge w:val="restart"/>
            <w:tcBorders>
              <w:top w:val="single" w:sz="4" w:space="0" w:color="auto"/>
              <w:left w:val="single" w:sz="4" w:space="0" w:color="auto"/>
              <w:bottom w:val="single" w:sz="4" w:space="0" w:color="auto"/>
              <w:right w:val="single" w:sz="4" w:space="0" w:color="auto"/>
            </w:tcBorders>
            <w:vAlign w:val="center"/>
          </w:tcPr>
          <w:p w14:paraId="20701CF3" w14:textId="77777777" w:rsidR="00034A31" w:rsidRPr="00F91CC3" w:rsidRDefault="00034A31" w:rsidP="00034A31">
            <w:pPr>
              <w:keepNext/>
              <w:jc w:val="left"/>
              <w:rPr>
                <w:rFonts w:ascii="Arial Narrow" w:eastAsiaTheme="majorEastAsia" w:hAnsi="Arial Narrow" w:cs="Times New Roman"/>
                <w:b/>
                <w:sz w:val="20"/>
                <w:szCs w:val="18"/>
              </w:rPr>
            </w:pPr>
            <w:r w:rsidRPr="00F91CC3">
              <w:rPr>
                <w:rFonts w:ascii="Arial Narrow" w:eastAsiaTheme="majorEastAsia" w:hAnsi="Arial Narrow" w:cs="Times New Roman"/>
                <w:b/>
                <w:iCs/>
                <w:sz w:val="20"/>
              </w:rPr>
              <w:t>Mean difference (95% CI)</w:t>
            </w:r>
          </w:p>
        </w:tc>
      </w:tr>
      <w:tr w:rsidR="00034A31" w:rsidRPr="00F91CC3" w14:paraId="6F142ABB" w14:textId="77777777" w:rsidTr="002A2AB2">
        <w:trPr>
          <w:cantSplit/>
          <w:trHeight w:val="225"/>
        </w:trPr>
        <w:tc>
          <w:tcPr>
            <w:tcW w:w="63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A489D05" w14:textId="77777777" w:rsidR="00034A31" w:rsidRPr="00F91CC3" w:rsidRDefault="00034A31" w:rsidP="00034A31">
            <w:pPr>
              <w:keepNext/>
              <w:keepLines/>
              <w:jc w:val="left"/>
              <w:rPr>
                <w:rFonts w:ascii="Arial Narrow" w:hAnsi="Arial Narrow"/>
                <w:color w:val="000000"/>
                <w:sz w:val="20"/>
                <w:szCs w:val="18"/>
              </w:rPr>
            </w:pPr>
          </w:p>
        </w:tc>
        <w:tc>
          <w:tcPr>
            <w:tcW w:w="390" w:type="pct"/>
            <w:tcBorders>
              <w:top w:val="single" w:sz="4" w:space="0" w:color="auto"/>
              <w:left w:val="single" w:sz="4" w:space="0" w:color="auto"/>
              <w:bottom w:val="single" w:sz="4" w:space="0" w:color="auto"/>
              <w:right w:val="single" w:sz="4" w:space="0" w:color="auto"/>
            </w:tcBorders>
            <w:vAlign w:val="center"/>
          </w:tcPr>
          <w:p w14:paraId="7EBCBA7B" w14:textId="77777777" w:rsidR="00034A31" w:rsidRPr="00F91CC3" w:rsidRDefault="00034A31" w:rsidP="00034A31">
            <w:pPr>
              <w:keepNext/>
              <w:jc w:val="left"/>
              <w:rPr>
                <w:rFonts w:ascii="Arial Narrow" w:eastAsiaTheme="majorEastAsia" w:hAnsi="Arial Narrow" w:cs="Times New Roman"/>
                <w:b/>
                <w:sz w:val="20"/>
              </w:rPr>
            </w:pPr>
            <w:r w:rsidRPr="00F91CC3">
              <w:rPr>
                <w:rFonts w:ascii="Arial Narrow" w:eastAsiaTheme="majorEastAsia" w:hAnsi="Arial Narrow" w:cs="Times New Roman"/>
                <w:b/>
                <w:sz w:val="20"/>
              </w:rPr>
              <w:t>N</w:t>
            </w:r>
          </w:p>
        </w:tc>
        <w:tc>
          <w:tcPr>
            <w:tcW w:w="546" w:type="pct"/>
            <w:gridSpan w:val="2"/>
            <w:tcBorders>
              <w:top w:val="single" w:sz="4" w:space="0" w:color="auto"/>
              <w:left w:val="single" w:sz="4" w:space="0" w:color="auto"/>
              <w:bottom w:val="single" w:sz="4" w:space="0" w:color="auto"/>
              <w:right w:val="single" w:sz="4" w:space="0" w:color="auto"/>
            </w:tcBorders>
            <w:vAlign w:val="center"/>
          </w:tcPr>
          <w:p w14:paraId="294AEF94" w14:textId="77777777" w:rsidR="00034A31" w:rsidRPr="00F91CC3" w:rsidRDefault="00034A31" w:rsidP="00034A31">
            <w:pPr>
              <w:keepNext/>
              <w:jc w:val="left"/>
              <w:rPr>
                <w:rFonts w:ascii="Arial Narrow" w:eastAsiaTheme="majorEastAsia" w:hAnsi="Arial Narrow" w:cs="Times New Roman"/>
                <w:b/>
                <w:sz w:val="20"/>
              </w:rPr>
            </w:pPr>
            <w:r w:rsidRPr="00F91CC3">
              <w:rPr>
                <w:rFonts w:ascii="Arial Narrow" w:eastAsiaTheme="majorEastAsia" w:hAnsi="Arial Narrow" w:cs="Times New Roman"/>
                <w:b/>
                <w:sz w:val="20"/>
              </w:rPr>
              <w:t xml:space="preserve">Mean change </w:t>
            </w:r>
          </w:p>
        </w:tc>
        <w:tc>
          <w:tcPr>
            <w:tcW w:w="561" w:type="pct"/>
            <w:gridSpan w:val="2"/>
            <w:tcBorders>
              <w:top w:val="single" w:sz="4" w:space="0" w:color="auto"/>
              <w:left w:val="single" w:sz="4" w:space="0" w:color="auto"/>
              <w:bottom w:val="single" w:sz="4" w:space="0" w:color="auto"/>
              <w:right w:val="single" w:sz="4" w:space="0" w:color="auto"/>
            </w:tcBorders>
            <w:vAlign w:val="center"/>
          </w:tcPr>
          <w:p w14:paraId="3AD5D403" w14:textId="77777777" w:rsidR="00034A31" w:rsidRPr="00F91CC3" w:rsidRDefault="00034A31" w:rsidP="00034A31">
            <w:pPr>
              <w:keepNext/>
              <w:jc w:val="left"/>
              <w:rPr>
                <w:rFonts w:ascii="Arial Narrow" w:eastAsiaTheme="majorEastAsia" w:hAnsi="Arial Narrow" w:cs="Times New Roman"/>
                <w:b/>
                <w:sz w:val="20"/>
              </w:rPr>
            </w:pPr>
            <w:r w:rsidRPr="00F91CC3">
              <w:rPr>
                <w:rFonts w:ascii="Arial Narrow" w:eastAsiaTheme="majorEastAsia" w:hAnsi="Arial Narrow" w:cs="Times New Roman"/>
                <w:b/>
                <w:sz w:val="20"/>
              </w:rPr>
              <w:t>SE</w:t>
            </w:r>
          </w:p>
        </w:tc>
        <w:tc>
          <w:tcPr>
            <w:tcW w:w="465" w:type="pct"/>
            <w:tcBorders>
              <w:top w:val="single" w:sz="4" w:space="0" w:color="auto"/>
              <w:left w:val="single" w:sz="4" w:space="0" w:color="auto"/>
              <w:bottom w:val="single" w:sz="4" w:space="0" w:color="auto"/>
              <w:right w:val="single" w:sz="4" w:space="0" w:color="auto"/>
            </w:tcBorders>
            <w:vAlign w:val="center"/>
          </w:tcPr>
          <w:p w14:paraId="3833495D" w14:textId="77777777" w:rsidR="00034A31" w:rsidRPr="00F91CC3" w:rsidRDefault="00034A31" w:rsidP="00034A31">
            <w:pPr>
              <w:keepNext/>
              <w:jc w:val="left"/>
              <w:rPr>
                <w:rFonts w:ascii="Arial Narrow" w:eastAsiaTheme="majorEastAsia" w:hAnsi="Arial Narrow" w:cs="Times New Roman"/>
                <w:b/>
                <w:sz w:val="20"/>
              </w:rPr>
            </w:pPr>
            <w:r w:rsidRPr="00F91CC3">
              <w:rPr>
                <w:rFonts w:ascii="Arial Narrow" w:eastAsiaTheme="majorEastAsia" w:hAnsi="Arial Narrow" w:cs="Times New Roman"/>
                <w:b/>
                <w:sz w:val="20"/>
              </w:rPr>
              <w:t>N</w:t>
            </w:r>
          </w:p>
        </w:tc>
        <w:tc>
          <w:tcPr>
            <w:tcW w:w="551" w:type="pct"/>
            <w:gridSpan w:val="2"/>
            <w:tcBorders>
              <w:top w:val="single" w:sz="4" w:space="0" w:color="auto"/>
              <w:left w:val="single" w:sz="4" w:space="0" w:color="auto"/>
              <w:bottom w:val="single" w:sz="4" w:space="0" w:color="auto"/>
              <w:right w:val="single" w:sz="4" w:space="0" w:color="auto"/>
            </w:tcBorders>
            <w:vAlign w:val="center"/>
          </w:tcPr>
          <w:p w14:paraId="22923932" w14:textId="77777777" w:rsidR="00034A31" w:rsidRPr="00F91CC3" w:rsidRDefault="00034A31" w:rsidP="00034A31">
            <w:pPr>
              <w:keepNext/>
              <w:jc w:val="left"/>
              <w:rPr>
                <w:rFonts w:ascii="Arial Narrow" w:eastAsiaTheme="majorEastAsia" w:hAnsi="Arial Narrow" w:cs="Times New Roman"/>
                <w:b/>
                <w:sz w:val="20"/>
              </w:rPr>
            </w:pPr>
            <w:r w:rsidRPr="00F91CC3">
              <w:rPr>
                <w:rFonts w:ascii="Arial Narrow" w:eastAsiaTheme="majorEastAsia" w:hAnsi="Arial Narrow" w:cs="Times New Roman"/>
                <w:b/>
                <w:sz w:val="20"/>
              </w:rPr>
              <w:t>Mean change</w:t>
            </w:r>
          </w:p>
        </w:tc>
        <w:tc>
          <w:tcPr>
            <w:tcW w:w="550" w:type="pct"/>
            <w:gridSpan w:val="2"/>
            <w:tcBorders>
              <w:top w:val="single" w:sz="4" w:space="0" w:color="auto"/>
              <w:left w:val="single" w:sz="4" w:space="0" w:color="auto"/>
              <w:bottom w:val="single" w:sz="4" w:space="0" w:color="auto"/>
              <w:right w:val="single" w:sz="4" w:space="0" w:color="auto"/>
            </w:tcBorders>
            <w:vAlign w:val="center"/>
          </w:tcPr>
          <w:p w14:paraId="5EA906C8" w14:textId="77777777" w:rsidR="00034A31" w:rsidRPr="00F91CC3" w:rsidRDefault="00034A31" w:rsidP="00034A31">
            <w:pPr>
              <w:keepNext/>
              <w:jc w:val="left"/>
              <w:rPr>
                <w:rFonts w:ascii="Arial Narrow" w:eastAsiaTheme="majorEastAsia" w:hAnsi="Arial Narrow" w:cs="Times New Roman"/>
                <w:b/>
                <w:sz w:val="20"/>
              </w:rPr>
            </w:pPr>
            <w:r w:rsidRPr="00F91CC3">
              <w:rPr>
                <w:rFonts w:ascii="Arial Narrow" w:eastAsiaTheme="majorEastAsia" w:hAnsi="Arial Narrow" w:cs="Times New Roman"/>
                <w:b/>
                <w:sz w:val="20"/>
              </w:rPr>
              <w:t>SE</w:t>
            </w:r>
          </w:p>
        </w:tc>
        <w:tc>
          <w:tcPr>
            <w:tcW w:w="1304" w:type="pct"/>
            <w:gridSpan w:val="2"/>
            <w:vMerge/>
            <w:tcBorders>
              <w:top w:val="single" w:sz="4" w:space="0" w:color="auto"/>
              <w:left w:val="single" w:sz="4" w:space="0" w:color="auto"/>
              <w:bottom w:val="single" w:sz="4" w:space="0" w:color="auto"/>
              <w:right w:val="single" w:sz="4" w:space="0" w:color="auto"/>
            </w:tcBorders>
            <w:vAlign w:val="center"/>
          </w:tcPr>
          <w:p w14:paraId="15761BC6" w14:textId="77777777" w:rsidR="00034A31" w:rsidRPr="00F91CC3" w:rsidRDefault="00034A31" w:rsidP="00034A31">
            <w:pPr>
              <w:keepNext/>
              <w:keepLines/>
              <w:jc w:val="left"/>
              <w:rPr>
                <w:rFonts w:ascii="Arial Narrow" w:hAnsi="Arial Narrow"/>
                <w:b/>
                <w:sz w:val="20"/>
                <w:szCs w:val="18"/>
              </w:rPr>
            </w:pPr>
          </w:p>
        </w:tc>
      </w:tr>
      <w:tr w:rsidR="00034A31" w:rsidRPr="00F91CC3" w14:paraId="0C774A27" w14:textId="77777777" w:rsidTr="002A2AB2">
        <w:trPr>
          <w:cantSplit/>
        </w:trPr>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73B843CA"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Study 108</w:t>
            </w:r>
          </w:p>
        </w:tc>
        <w:tc>
          <w:tcPr>
            <w:tcW w:w="390" w:type="pct"/>
            <w:tcBorders>
              <w:top w:val="single" w:sz="4" w:space="0" w:color="auto"/>
              <w:left w:val="single" w:sz="4" w:space="0" w:color="auto"/>
              <w:bottom w:val="single" w:sz="4" w:space="0" w:color="auto"/>
              <w:right w:val="single" w:sz="4" w:space="0" w:color="auto"/>
            </w:tcBorders>
            <w:vAlign w:val="center"/>
          </w:tcPr>
          <w:p w14:paraId="7F0D7FF6" w14:textId="77777777" w:rsidR="00034A31" w:rsidRPr="00F91CC3" w:rsidRDefault="00034A31" w:rsidP="00034A31">
            <w:pPr>
              <w:keepNext/>
              <w:jc w:val="left"/>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156/157</w:t>
            </w:r>
          </w:p>
        </w:tc>
        <w:tc>
          <w:tcPr>
            <w:tcW w:w="546" w:type="pct"/>
            <w:gridSpan w:val="2"/>
            <w:tcBorders>
              <w:top w:val="single" w:sz="4" w:space="0" w:color="auto"/>
              <w:left w:val="single" w:sz="4" w:space="0" w:color="auto"/>
              <w:bottom w:val="single" w:sz="4" w:space="0" w:color="auto"/>
              <w:right w:val="single" w:sz="4" w:space="0" w:color="auto"/>
            </w:tcBorders>
            <w:vAlign w:val="center"/>
          </w:tcPr>
          <w:p w14:paraId="43F2E9A4" w14:textId="77777777" w:rsidR="00034A31" w:rsidRPr="00F91CC3" w:rsidRDefault="00034A31" w:rsidP="00034A31">
            <w:pPr>
              <w:keepNext/>
              <w:jc w:val="left"/>
              <w:rPr>
                <w:rFonts w:ascii="Arial Narrow" w:eastAsiaTheme="majorEastAsia" w:hAnsi="Arial Narrow" w:cstheme="minorHAnsi"/>
                <w:bCs/>
                <w:sz w:val="20"/>
                <w:szCs w:val="20"/>
              </w:rPr>
            </w:pPr>
            <w:r w:rsidRPr="00F91CC3">
              <w:rPr>
                <w:rFonts w:ascii="Arial Narrow" w:eastAsiaTheme="majorEastAsia" w:hAnsi="Arial Narrow" w:cs="Times New Roman"/>
                <w:bCs/>
                <w:sz w:val="20"/>
                <w:szCs w:val="20"/>
              </w:rPr>
              <w:t xml:space="preserve">4.4 </w:t>
            </w:r>
          </w:p>
        </w:tc>
        <w:tc>
          <w:tcPr>
            <w:tcW w:w="561" w:type="pct"/>
            <w:gridSpan w:val="2"/>
            <w:tcBorders>
              <w:top w:val="single" w:sz="4" w:space="0" w:color="auto"/>
              <w:left w:val="single" w:sz="4" w:space="0" w:color="auto"/>
              <w:bottom w:val="single" w:sz="4" w:space="0" w:color="auto"/>
              <w:right w:val="single" w:sz="4" w:space="0" w:color="auto"/>
            </w:tcBorders>
            <w:vAlign w:val="center"/>
          </w:tcPr>
          <w:p w14:paraId="58FA1A5C" w14:textId="77777777" w:rsidR="00034A31" w:rsidRPr="00F91CC3" w:rsidRDefault="00034A31" w:rsidP="00034A31">
            <w:pPr>
              <w:keepNext/>
              <w:jc w:val="left"/>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0.5</w:t>
            </w:r>
          </w:p>
        </w:tc>
        <w:tc>
          <w:tcPr>
            <w:tcW w:w="465" w:type="pct"/>
            <w:tcBorders>
              <w:top w:val="single" w:sz="4" w:space="0" w:color="auto"/>
              <w:left w:val="single" w:sz="4" w:space="0" w:color="auto"/>
              <w:bottom w:val="single" w:sz="4" w:space="0" w:color="auto"/>
              <w:right w:val="single" w:sz="4" w:space="0" w:color="auto"/>
            </w:tcBorders>
            <w:vAlign w:val="center"/>
          </w:tcPr>
          <w:p w14:paraId="0DD216D6" w14:textId="77777777" w:rsidR="00034A31" w:rsidRPr="00F91CC3" w:rsidRDefault="00034A31" w:rsidP="00034A31">
            <w:pPr>
              <w:keepNext/>
              <w:jc w:val="left"/>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153/168</w:t>
            </w:r>
          </w:p>
        </w:tc>
        <w:tc>
          <w:tcPr>
            <w:tcW w:w="551" w:type="pct"/>
            <w:gridSpan w:val="2"/>
            <w:tcBorders>
              <w:top w:val="single" w:sz="4" w:space="0" w:color="auto"/>
              <w:left w:val="single" w:sz="4" w:space="0" w:color="auto"/>
              <w:bottom w:val="single" w:sz="4" w:space="0" w:color="auto"/>
              <w:right w:val="single" w:sz="4" w:space="0" w:color="auto"/>
            </w:tcBorders>
            <w:vAlign w:val="center"/>
          </w:tcPr>
          <w:p w14:paraId="4FC2DA4C" w14:textId="6D1C350C" w:rsidR="00034A31" w:rsidRPr="00F91CC3" w:rsidRDefault="00632C4B" w:rsidP="00034A31">
            <w:pPr>
              <w:keepNext/>
              <w:jc w:val="left"/>
              <w:rPr>
                <w:rFonts w:ascii="Arial Narrow" w:eastAsiaTheme="majorEastAsia" w:hAnsi="Arial Narrow" w:cstheme="minorHAnsi"/>
                <w:bCs/>
                <w:sz w:val="20"/>
                <w:szCs w:val="20"/>
              </w:rPr>
            </w:pPr>
            <w:r w:rsidRPr="00F91CC3">
              <w:rPr>
                <w:rFonts w:ascii="Arial Narrow" w:eastAsiaTheme="majorEastAsia" w:hAnsi="Arial Narrow" w:cs="Times New Roman"/>
                <w:bCs/>
                <w:sz w:val="20"/>
                <w:szCs w:val="20"/>
              </w:rPr>
              <w:t>-0.3</w:t>
            </w:r>
          </w:p>
        </w:tc>
        <w:tc>
          <w:tcPr>
            <w:tcW w:w="550" w:type="pct"/>
            <w:gridSpan w:val="2"/>
            <w:tcBorders>
              <w:top w:val="single" w:sz="4" w:space="0" w:color="auto"/>
              <w:left w:val="single" w:sz="4" w:space="0" w:color="auto"/>
              <w:bottom w:val="single" w:sz="4" w:space="0" w:color="auto"/>
              <w:right w:val="single" w:sz="4" w:space="0" w:color="auto"/>
            </w:tcBorders>
            <w:vAlign w:val="center"/>
          </w:tcPr>
          <w:p w14:paraId="013D6530" w14:textId="504959CD" w:rsidR="00034A31" w:rsidRPr="00F91CC3" w:rsidRDefault="00632C4B" w:rsidP="00034A31">
            <w:pPr>
              <w:keepNext/>
              <w:jc w:val="left"/>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 xml:space="preserve">0.5 </w:t>
            </w:r>
          </w:p>
        </w:tc>
        <w:tc>
          <w:tcPr>
            <w:tcW w:w="1304" w:type="pct"/>
            <w:gridSpan w:val="2"/>
            <w:tcBorders>
              <w:top w:val="single" w:sz="4" w:space="0" w:color="auto"/>
              <w:left w:val="single" w:sz="4" w:space="0" w:color="auto"/>
              <w:bottom w:val="single" w:sz="4" w:space="0" w:color="auto"/>
              <w:right w:val="single" w:sz="4" w:space="0" w:color="auto"/>
            </w:tcBorders>
            <w:vAlign w:val="center"/>
          </w:tcPr>
          <w:p w14:paraId="2B5F922B" w14:textId="77777777" w:rsidR="00034A31" w:rsidRPr="00F91CC3" w:rsidRDefault="00034A31" w:rsidP="00034A31">
            <w:pPr>
              <w:keepNext/>
              <w:jc w:val="left"/>
              <w:rPr>
                <w:rFonts w:ascii="Arial Narrow" w:eastAsiaTheme="majorEastAsia" w:hAnsi="Arial Narrow" w:cstheme="majorBidi"/>
                <w:b/>
                <w:bCs/>
                <w:sz w:val="20"/>
                <w:szCs w:val="20"/>
              </w:rPr>
            </w:pPr>
            <w:r w:rsidRPr="00F91CC3">
              <w:rPr>
                <w:rFonts w:ascii="Arial Narrow" w:eastAsiaTheme="majorEastAsia" w:hAnsi="Arial Narrow" w:cs="Times New Roman"/>
                <w:bCs/>
                <w:sz w:val="20"/>
                <w:szCs w:val="20"/>
              </w:rPr>
              <w:t>4.7 (3.7, 5.8)</w:t>
            </w:r>
          </w:p>
        </w:tc>
      </w:tr>
      <w:tr w:rsidR="00034A31" w:rsidRPr="00F91CC3" w14:paraId="67D7C4C3" w14:textId="77777777" w:rsidTr="002A2AB2">
        <w:trPr>
          <w:cantSplit/>
        </w:trPr>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57646091"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Study 110</w:t>
            </w:r>
          </w:p>
        </w:tc>
        <w:tc>
          <w:tcPr>
            <w:tcW w:w="390" w:type="pct"/>
            <w:tcBorders>
              <w:top w:val="single" w:sz="4" w:space="0" w:color="auto"/>
              <w:left w:val="single" w:sz="4" w:space="0" w:color="auto"/>
              <w:bottom w:val="single" w:sz="4" w:space="0" w:color="auto"/>
              <w:right w:val="single" w:sz="4" w:space="0" w:color="auto"/>
            </w:tcBorders>
            <w:vAlign w:val="center"/>
          </w:tcPr>
          <w:p w14:paraId="40D98B2E"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szCs w:val="20"/>
              </w:rPr>
              <w:t>32/34</w:t>
            </w:r>
          </w:p>
        </w:tc>
        <w:tc>
          <w:tcPr>
            <w:tcW w:w="546" w:type="pct"/>
            <w:gridSpan w:val="2"/>
            <w:tcBorders>
              <w:top w:val="single" w:sz="4" w:space="0" w:color="auto"/>
              <w:left w:val="single" w:sz="4" w:space="0" w:color="auto"/>
              <w:bottom w:val="single" w:sz="4" w:space="0" w:color="auto"/>
              <w:right w:val="single" w:sz="4" w:space="0" w:color="auto"/>
            </w:tcBorders>
            <w:vAlign w:val="center"/>
          </w:tcPr>
          <w:p w14:paraId="74BD4677"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szCs w:val="20"/>
              </w:rPr>
              <w:t>2.57</w:t>
            </w:r>
          </w:p>
        </w:tc>
        <w:tc>
          <w:tcPr>
            <w:tcW w:w="561" w:type="pct"/>
            <w:gridSpan w:val="2"/>
            <w:tcBorders>
              <w:top w:val="single" w:sz="4" w:space="0" w:color="auto"/>
              <w:left w:val="single" w:sz="4" w:space="0" w:color="auto"/>
              <w:bottom w:val="single" w:sz="4" w:space="0" w:color="auto"/>
              <w:right w:val="single" w:sz="4" w:space="0" w:color="auto"/>
            </w:tcBorders>
            <w:vAlign w:val="center"/>
          </w:tcPr>
          <w:p w14:paraId="1C452C82"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szCs w:val="20"/>
              </w:rPr>
              <w:t>NR</w:t>
            </w:r>
          </w:p>
        </w:tc>
        <w:tc>
          <w:tcPr>
            <w:tcW w:w="465" w:type="pct"/>
            <w:tcBorders>
              <w:top w:val="single" w:sz="4" w:space="0" w:color="auto"/>
              <w:left w:val="single" w:sz="4" w:space="0" w:color="auto"/>
              <w:bottom w:val="single" w:sz="4" w:space="0" w:color="auto"/>
              <w:right w:val="single" w:sz="4" w:space="0" w:color="auto"/>
            </w:tcBorders>
            <w:vAlign w:val="center"/>
          </w:tcPr>
          <w:p w14:paraId="24C932A6"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szCs w:val="20"/>
              </w:rPr>
              <w:t>32/35</w:t>
            </w:r>
          </w:p>
        </w:tc>
        <w:tc>
          <w:tcPr>
            <w:tcW w:w="551" w:type="pct"/>
            <w:gridSpan w:val="2"/>
            <w:tcBorders>
              <w:top w:val="single" w:sz="4" w:space="0" w:color="auto"/>
              <w:left w:val="single" w:sz="4" w:space="0" w:color="auto"/>
              <w:bottom w:val="single" w:sz="4" w:space="0" w:color="auto"/>
              <w:right w:val="single" w:sz="4" w:space="0" w:color="auto"/>
            </w:tcBorders>
            <w:vAlign w:val="center"/>
          </w:tcPr>
          <w:p w14:paraId="55A8BF5A" w14:textId="22A90B99" w:rsidR="00034A31" w:rsidRPr="00F91CC3" w:rsidRDefault="00632C4B"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szCs w:val="20"/>
              </w:rPr>
              <w:t xml:space="preserve">0.46 </w:t>
            </w:r>
          </w:p>
        </w:tc>
        <w:tc>
          <w:tcPr>
            <w:tcW w:w="550" w:type="pct"/>
            <w:gridSpan w:val="2"/>
            <w:tcBorders>
              <w:top w:val="single" w:sz="4" w:space="0" w:color="auto"/>
              <w:left w:val="single" w:sz="4" w:space="0" w:color="auto"/>
              <w:bottom w:val="single" w:sz="4" w:space="0" w:color="auto"/>
              <w:right w:val="single" w:sz="4" w:space="0" w:color="auto"/>
            </w:tcBorders>
            <w:vAlign w:val="center"/>
          </w:tcPr>
          <w:p w14:paraId="45C1D09D"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szCs w:val="20"/>
              </w:rPr>
              <w:t>NR</w:t>
            </w:r>
          </w:p>
        </w:tc>
        <w:tc>
          <w:tcPr>
            <w:tcW w:w="1304" w:type="pct"/>
            <w:gridSpan w:val="2"/>
            <w:tcBorders>
              <w:top w:val="single" w:sz="4" w:space="0" w:color="auto"/>
              <w:left w:val="single" w:sz="4" w:space="0" w:color="auto"/>
              <w:bottom w:val="single" w:sz="4" w:space="0" w:color="auto"/>
              <w:right w:val="single" w:sz="4" w:space="0" w:color="auto"/>
            </w:tcBorders>
            <w:vAlign w:val="center"/>
          </w:tcPr>
          <w:p w14:paraId="376CE69C"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szCs w:val="20"/>
              </w:rPr>
              <w:t>2.11 (-1.13, 5.35)</w:t>
            </w:r>
          </w:p>
        </w:tc>
      </w:tr>
      <w:tr w:rsidR="00034A31" w:rsidRPr="00F91CC3" w14:paraId="4C460432" w14:textId="77777777" w:rsidTr="002A2AB2">
        <w:tc>
          <w:tcPr>
            <w:tcW w:w="5000" w:type="pct"/>
            <w:gridSpan w:val="13"/>
            <w:tcBorders>
              <w:top w:val="double" w:sz="4" w:space="0" w:color="auto"/>
              <w:left w:val="single" w:sz="4" w:space="0" w:color="auto"/>
              <w:bottom w:val="single" w:sz="4" w:space="0" w:color="auto"/>
              <w:right w:val="single" w:sz="4" w:space="0" w:color="auto"/>
            </w:tcBorders>
            <w:shd w:val="clear" w:color="auto" w:fill="auto"/>
            <w:vAlign w:val="center"/>
          </w:tcPr>
          <w:p w14:paraId="5BA461BA" w14:textId="77777777" w:rsidR="00034A31" w:rsidRPr="00F91CC3" w:rsidRDefault="00034A31" w:rsidP="00034A31">
            <w:pPr>
              <w:autoSpaceDE w:val="0"/>
              <w:autoSpaceDN w:val="0"/>
              <w:adjustRightInd w:val="0"/>
              <w:jc w:val="left"/>
              <w:rPr>
                <w:rFonts w:ascii="Arial Narrow" w:hAnsi="Arial Narrow" w:cs="Calibri"/>
                <w:color w:val="000000"/>
              </w:rPr>
            </w:pPr>
            <w:r w:rsidRPr="00F91CC3">
              <w:rPr>
                <w:rFonts w:ascii="Arial Narrow" w:hAnsi="Arial Narrow" w:cs="Calibri"/>
                <w:b/>
                <w:bCs/>
                <w:color w:val="000000"/>
                <w:sz w:val="20"/>
                <w:szCs w:val="20"/>
              </w:rPr>
              <w:t>Harms</w:t>
            </w:r>
          </w:p>
        </w:tc>
      </w:tr>
      <w:tr w:rsidR="00034A31" w:rsidRPr="00F91CC3" w14:paraId="41BD1DE8" w14:textId="77777777" w:rsidTr="002A2AB2">
        <w:trPr>
          <w:trHeight w:val="70"/>
        </w:trPr>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1BD405" w14:textId="77777777" w:rsidR="00034A31" w:rsidRPr="00F91CC3" w:rsidRDefault="00034A31" w:rsidP="00034A31">
            <w:pPr>
              <w:keepNext/>
              <w:jc w:val="left"/>
              <w:rPr>
                <w:rFonts w:ascii="Arial Narrow" w:eastAsiaTheme="majorEastAsia" w:hAnsi="Arial Narrow" w:cs="Times New Roman"/>
                <w:b/>
                <w:sz w:val="20"/>
              </w:rPr>
            </w:pPr>
          </w:p>
        </w:tc>
        <w:tc>
          <w:tcPr>
            <w:tcW w:w="630" w:type="pct"/>
            <w:gridSpan w:val="2"/>
            <w:vMerge w:val="restart"/>
            <w:tcBorders>
              <w:top w:val="single" w:sz="4" w:space="0" w:color="auto"/>
              <w:left w:val="single" w:sz="4" w:space="0" w:color="auto"/>
              <w:bottom w:val="single" w:sz="4" w:space="0" w:color="auto"/>
              <w:right w:val="single" w:sz="4" w:space="0" w:color="auto"/>
            </w:tcBorders>
            <w:vAlign w:val="center"/>
          </w:tcPr>
          <w:p w14:paraId="07A1A633" w14:textId="7B5F0AC5" w:rsidR="00034A31" w:rsidRPr="00F91CC3" w:rsidRDefault="00D738D1" w:rsidP="00034A31">
            <w:pPr>
              <w:keepNext/>
              <w:jc w:val="center"/>
              <w:rPr>
                <w:rFonts w:ascii="Arial Narrow" w:eastAsiaTheme="majorEastAsia" w:hAnsi="Arial Narrow" w:cs="Times New Roman"/>
                <w:b/>
                <w:sz w:val="20"/>
              </w:rPr>
            </w:pPr>
            <w:r w:rsidRPr="00F91CC3">
              <w:rPr>
                <w:rFonts w:ascii="Arial Narrow" w:eastAsiaTheme="majorEastAsia" w:hAnsi="Arial Narrow" w:cs="Times New Roman"/>
                <w:b/>
                <w:sz w:val="20"/>
              </w:rPr>
              <w:t>I</w:t>
            </w:r>
            <w:r w:rsidR="00034A31" w:rsidRPr="00F91CC3">
              <w:rPr>
                <w:rFonts w:ascii="Arial Narrow" w:eastAsiaTheme="majorEastAsia" w:hAnsi="Arial Narrow" w:cs="Times New Roman"/>
                <w:b/>
                <w:sz w:val="20"/>
              </w:rPr>
              <w:t>vacaftor</w:t>
            </w:r>
          </w:p>
          <w:p w14:paraId="5F71B8F5" w14:textId="77777777" w:rsidR="00034A31" w:rsidRPr="00F91CC3" w:rsidRDefault="00034A31" w:rsidP="00034A31">
            <w:pPr>
              <w:keepNext/>
              <w:jc w:val="center"/>
              <w:rPr>
                <w:rFonts w:ascii="Arial Narrow" w:eastAsiaTheme="majorEastAsia" w:hAnsi="Arial Narrow" w:cs="Times New Roman"/>
                <w:b/>
                <w:sz w:val="20"/>
              </w:rPr>
            </w:pPr>
            <w:r w:rsidRPr="00F91CC3">
              <w:rPr>
                <w:rFonts w:ascii="Arial Narrow" w:eastAsiaTheme="majorEastAsia" w:hAnsi="Arial Narrow" w:cs="Times New Roman"/>
                <w:b/>
                <w:sz w:val="20"/>
              </w:rPr>
              <w:t>N=34</w:t>
            </w:r>
          </w:p>
        </w:tc>
        <w:tc>
          <w:tcPr>
            <w:tcW w:w="711" w:type="pct"/>
            <w:gridSpan w:val="2"/>
            <w:vMerge w:val="restart"/>
            <w:tcBorders>
              <w:top w:val="single" w:sz="4" w:space="0" w:color="auto"/>
              <w:left w:val="single" w:sz="4" w:space="0" w:color="auto"/>
              <w:bottom w:val="single" w:sz="4" w:space="0" w:color="auto"/>
              <w:right w:val="single" w:sz="4" w:space="0" w:color="auto"/>
            </w:tcBorders>
            <w:vAlign w:val="center"/>
          </w:tcPr>
          <w:p w14:paraId="28D18551" w14:textId="77777777" w:rsidR="00034A31" w:rsidRPr="00F91CC3" w:rsidRDefault="00034A31" w:rsidP="00034A31">
            <w:pPr>
              <w:keepNext/>
              <w:jc w:val="center"/>
              <w:rPr>
                <w:rFonts w:ascii="Arial Narrow" w:eastAsiaTheme="majorEastAsia" w:hAnsi="Arial Narrow" w:cs="Times New Roman"/>
                <w:b/>
                <w:sz w:val="20"/>
              </w:rPr>
            </w:pPr>
            <w:r w:rsidRPr="00F91CC3">
              <w:rPr>
                <w:rFonts w:ascii="Arial Narrow" w:eastAsiaTheme="majorEastAsia" w:hAnsi="Arial Narrow" w:cs="Times New Roman"/>
                <w:b/>
                <w:sz w:val="20"/>
              </w:rPr>
              <w:t>PBO</w:t>
            </w:r>
          </w:p>
          <w:p w14:paraId="08F44700" w14:textId="77777777" w:rsidR="00034A31" w:rsidRPr="00F91CC3" w:rsidRDefault="00034A31" w:rsidP="00034A31">
            <w:pPr>
              <w:keepNext/>
              <w:jc w:val="center"/>
              <w:rPr>
                <w:rFonts w:ascii="Arial Narrow" w:eastAsiaTheme="majorEastAsia" w:hAnsi="Arial Narrow" w:cs="Times New Roman"/>
                <w:b/>
                <w:sz w:val="20"/>
              </w:rPr>
            </w:pPr>
            <w:r w:rsidRPr="00F91CC3">
              <w:rPr>
                <w:rFonts w:ascii="Arial Narrow" w:eastAsiaTheme="majorEastAsia" w:hAnsi="Arial Narrow" w:cs="Times New Roman"/>
                <w:b/>
                <w:sz w:val="20"/>
              </w:rPr>
              <w:t>N=35</w:t>
            </w:r>
          </w:p>
        </w:tc>
        <w:tc>
          <w:tcPr>
            <w:tcW w:w="847" w:type="pct"/>
            <w:gridSpan w:val="3"/>
            <w:vMerge w:val="restart"/>
            <w:tcBorders>
              <w:top w:val="single" w:sz="4" w:space="0" w:color="auto"/>
              <w:left w:val="single" w:sz="4" w:space="0" w:color="auto"/>
              <w:bottom w:val="single" w:sz="4" w:space="0" w:color="auto"/>
              <w:right w:val="single" w:sz="4" w:space="0" w:color="auto"/>
            </w:tcBorders>
            <w:vAlign w:val="center"/>
          </w:tcPr>
          <w:p w14:paraId="1E5484EC" w14:textId="77777777" w:rsidR="00034A31" w:rsidRPr="00F91CC3" w:rsidRDefault="00034A31" w:rsidP="00034A31">
            <w:pPr>
              <w:keepNext/>
              <w:jc w:val="center"/>
              <w:rPr>
                <w:rFonts w:ascii="Arial Narrow" w:eastAsiaTheme="majorEastAsia" w:hAnsi="Arial Narrow" w:cs="Times New Roman"/>
                <w:b/>
                <w:sz w:val="20"/>
              </w:rPr>
            </w:pPr>
            <w:r w:rsidRPr="00F91CC3">
              <w:rPr>
                <w:rFonts w:ascii="Arial Narrow" w:eastAsiaTheme="majorEastAsia" w:hAnsi="Arial Narrow" w:cs="Times New Roman"/>
                <w:b/>
                <w:sz w:val="20"/>
              </w:rPr>
              <w:t>RR</w:t>
            </w:r>
          </w:p>
          <w:p w14:paraId="2B7C14DF" w14:textId="77777777" w:rsidR="00034A31" w:rsidRPr="00F91CC3" w:rsidRDefault="00034A31" w:rsidP="00034A31">
            <w:pPr>
              <w:keepNext/>
              <w:jc w:val="center"/>
              <w:rPr>
                <w:rFonts w:ascii="Arial Narrow" w:eastAsiaTheme="majorEastAsia" w:hAnsi="Arial Narrow" w:cs="Times New Roman"/>
                <w:b/>
                <w:sz w:val="20"/>
              </w:rPr>
            </w:pPr>
            <w:r w:rsidRPr="00F91CC3">
              <w:rPr>
                <w:rFonts w:ascii="Arial Narrow" w:eastAsiaTheme="majorEastAsia" w:hAnsi="Arial Narrow" w:cs="Times New Roman"/>
                <w:b/>
                <w:sz w:val="20"/>
              </w:rPr>
              <w:t>(95% CI)</w:t>
            </w:r>
          </w:p>
        </w:tc>
        <w:tc>
          <w:tcPr>
            <w:tcW w:w="1400" w:type="pct"/>
            <w:gridSpan w:val="4"/>
            <w:tcBorders>
              <w:top w:val="single" w:sz="4" w:space="0" w:color="auto"/>
              <w:left w:val="single" w:sz="4" w:space="0" w:color="auto"/>
              <w:bottom w:val="single" w:sz="4" w:space="0" w:color="auto"/>
              <w:right w:val="single" w:sz="4" w:space="0" w:color="auto"/>
            </w:tcBorders>
            <w:vAlign w:val="center"/>
          </w:tcPr>
          <w:p w14:paraId="52397F42" w14:textId="77777777" w:rsidR="00034A31" w:rsidRPr="00F91CC3" w:rsidRDefault="00034A31" w:rsidP="00034A31">
            <w:pPr>
              <w:keepNext/>
              <w:jc w:val="center"/>
              <w:rPr>
                <w:rFonts w:ascii="Arial Narrow" w:eastAsiaTheme="majorEastAsia" w:hAnsi="Arial Narrow" w:cs="Times New Roman"/>
                <w:b/>
                <w:sz w:val="20"/>
              </w:rPr>
            </w:pPr>
            <w:r w:rsidRPr="00F91CC3">
              <w:rPr>
                <w:rFonts w:ascii="Arial Narrow" w:eastAsiaTheme="majorEastAsia" w:hAnsi="Arial Narrow" w:cs="Times New Roman"/>
                <w:b/>
                <w:sz w:val="20"/>
              </w:rPr>
              <w:t>Event rate/100 patients</w:t>
            </w:r>
          </w:p>
        </w:tc>
        <w:tc>
          <w:tcPr>
            <w:tcW w:w="774" w:type="pct"/>
            <w:vMerge w:val="restart"/>
            <w:tcBorders>
              <w:top w:val="single" w:sz="4" w:space="0" w:color="auto"/>
              <w:left w:val="single" w:sz="4" w:space="0" w:color="auto"/>
              <w:bottom w:val="single" w:sz="4" w:space="0" w:color="auto"/>
              <w:right w:val="single" w:sz="4" w:space="0" w:color="auto"/>
            </w:tcBorders>
            <w:vAlign w:val="center"/>
          </w:tcPr>
          <w:p w14:paraId="02D3F56D" w14:textId="77777777" w:rsidR="00034A31" w:rsidRPr="00F91CC3" w:rsidRDefault="00034A31" w:rsidP="00034A31">
            <w:pPr>
              <w:keepNext/>
              <w:jc w:val="center"/>
              <w:rPr>
                <w:rFonts w:ascii="Arial Narrow" w:eastAsiaTheme="majorEastAsia" w:hAnsi="Arial Narrow" w:cs="Times New Roman"/>
                <w:b/>
                <w:sz w:val="20"/>
              </w:rPr>
            </w:pPr>
            <w:r w:rsidRPr="00F91CC3">
              <w:rPr>
                <w:rFonts w:ascii="Arial Narrow" w:eastAsiaTheme="majorEastAsia" w:hAnsi="Arial Narrow" w:cs="Times New Roman"/>
                <w:b/>
                <w:sz w:val="20"/>
              </w:rPr>
              <w:t>RD</w:t>
            </w:r>
          </w:p>
          <w:p w14:paraId="187B0009" w14:textId="77777777" w:rsidR="00034A31" w:rsidRPr="00F91CC3" w:rsidRDefault="00034A31" w:rsidP="00034A31">
            <w:pPr>
              <w:keepNext/>
              <w:jc w:val="center"/>
              <w:rPr>
                <w:rFonts w:ascii="Arial Narrow" w:eastAsiaTheme="majorEastAsia" w:hAnsi="Arial Narrow" w:cs="Times New Roman"/>
                <w:b/>
                <w:sz w:val="20"/>
              </w:rPr>
            </w:pPr>
            <w:r w:rsidRPr="00F91CC3">
              <w:rPr>
                <w:rFonts w:ascii="Arial Narrow" w:eastAsiaTheme="majorEastAsia" w:hAnsi="Arial Narrow" w:cs="Times New Roman"/>
                <w:b/>
                <w:sz w:val="20"/>
              </w:rPr>
              <w:t>(95% CI)</w:t>
            </w:r>
          </w:p>
        </w:tc>
      </w:tr>
      <w:tr w:rsidR="00034A31" w:rsidRPr="00F91CC3" w14:paraId="2A4FEFA9" w14:textId="77777777" w:rsidTr="002A2AB2">
        <w:trPr>
          <w:trHeight w:val="390"/>
        </w:trPr>
        <w:tc>
          <w:tcPr>
            <w:tcW w:w="6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F312673" w14:textId="77777777" w:rsidR="00034A31" w:rsidRPr="00F91CC3" w:rsidRDefault="00034A31" w:rsidP="00034A31">
            <w:pPr>
              <w:keepNext/>
              <w:jc w:val="left"/>
              <w:rPr>
                <w:rFonts w:ascii="Arial Narrow" w:eastAsiaTheme="majorEastAsia" w:hAnsi="Arial Narrow" w:cs="Times New Roman"/>
                <w:b/>
                <w:sz w:val="20"/>
              </w:rPr>
            </w:pPr>
          </w:p>
        </w:tc>
        <w:tc>
          <w:tcPr>
            <w:tcW w:w="630" w:type="pct"/>
            <w:gridSpan w:val="2"/>
            <w:vMerge/>
            <w:tcBorders>
              <w:top w:val="single" w:sz="4" w:space="0" w:color="auto"/>
              <w:left w:val="single" w:sz="4" w:space="0" w:color="auto"/>
              <w:bottom w:val="single" w:sz="4" w:space="0" w:color="auto"/>
              <w:right w:val="single" w:sz="4" w:space="0" w:color="auto"/>
            </w:tcBorders>
            <w:vAlign w:val="center"/>
          </w:tcPr>
          <w:p w14:paraId="6B9CC318" w14:textId="77777777" w:rsidR="00034A31" w:rsidRPr="00F91CC3" w:rsidRDefault="00034A31" w:rsidP="00034A31">
            <w:pPr>
              <w:keepNext/>
              <w:jc w:val="center"/>
              <w:rPr>
                <w:rFonts w:ascii="Arial Narrow" w:eastAsiaTheme="majorEastAsia" w:hAnsi="Arial Narrow" w:cs="Times New Roman"/>
                <w:b/>
                <w:sz w:val="20"/>
              </w:rPr>
            </w:pPr>
          </w:p>
        </w:tc>
        <w:tc>
          <w:tcPr>
            <w:tcW w:w="711" w:type="pct"/>
            <w:gridSpan w:val="2"/>
            <w:vMerge/>
            <w:tcBorders>
              <w:top w:val="single" w:sz="4" w:space="0" w:color="auto"/>
              <w:left w:val="single" w:sz="4" w:space="0" w:color="auto"/>
              <w:bottom w:val="single" w:sz="4" w:space="0" w:color="auto"/>
              <w:right w:val="single" w:sz="4" w:space="0" w:color="auto"/>
            </w:tcBorders>
            <w:vAlign w:val="center"/>
          </w:tcPr>
          <w:p w14:paraId="77F56E32" w14:textId="77777777" w:rsidR="00034A31" w:rsidRPr="00F91CC3" w:rsidRDefault="00034A31" w:rsidP="00034A31">
            <w:pPr>
              <w:keepNext/>
              <w:jc w:val="center"/>
              <w:rPr>
                <w:rFonts w:ascii="Arial Narrow" w:eastAsiaTheme="majorEastAsia" w:hAnsi="Arial Narrow" w:cs="Times New Roman"/>
                <w:b/>
                <w:sz w:val="20"/>
              </w:rPr>
            </w:pPr>
          </w:p>
        </w:tc>
        <w:tc>
          <w:tcPr>
            <w:tcW w:w="847" w:type="pct"/>
            <w:gridSpan w:val="3"/>
            <w:vMerge/>
            <w:tcBorders>
              <w:top w:val="single" w:sz="4" w:space="0" w:color="auto"/>
              <w:left w:val="single" w:sz="4" w:space="0" w:color="auto"/>
              <w:bottom w:val="single" w:sz="4" w:space="0" w:color="auto"/>
              <w:right w:val="single" w:sz="4" w:space="0" w:color="auto"/>
            </w:tcBorders>
            <w:vAlign w:val="center"/>
          </w:tcPr>
          <w:p w14:paraId="1D916562" w14:textId="77777777" w:rsidR="00034A31" w:rsidRPr="00F91CC3" w:rsidRDefault="00034A31" w:rsidP="00034A31">
            <w:pPr>
              <w:keepNext/>
              <w:jc w:val="center"/>
              <w:rPr>
                <w:rFonts w:ascii="Arial Narrow" w:eastAsiaTheme="majorEastAsia" w:hAnsi="Arial Narrow" w:cs="Times New Roman"/>
                <w:b/>
                <w:sz w:val="20"/>
              </w:rPr>
            </w:pPr>
          </w:p>
        </w:tc>
        <w:tc>
          <w:tcPr>
            <w:tcW w:w="708" w:type="pct"/>
            <w:gridSpan w:val="2"/>
            <w:tcBorders>
              <w:top w:val="single" w:sz="4" w:space="0" w:color="auto"/>
              <w:left w:val="single" w:sz="4" w:space="0" w:color="auto"/>
              <w:bottom w:val="single" w:sz="4" w:space="0" w:color="auto"/>
              <w:right w:val="single" w:sz="4" w:space="0" w:color="auto"/>
            </w:tcBorders>
            <w:vAlign w:val="center"/>
          </w:tcPr>
          <w:p w14:paraId="6DEB25C2" w14:textId="77777777" w:rsidR="00034A31" w:rsidRPr="00F91CC3" w:rsidRDefault="00034A31" w:rsidP="00034A31">
            <w:pPr>
              <w:keepNext/>
              <w:jc w:val="center"/>
              <w:rPr>
                <w:rFonts w:ascii="Arial Narrow" w:eastAsiaTheme="majorEastAsia" w:hAnsi="Arial Narrow" w:cs="Times New Roman"/>
                <w:b/>
                <w:sz w:val="20"/>
              </w:rPr>
            </w:pPr>
            <w:r w:rsidRPr="00F91CC3">
              <w:rPr>
                <w:rFonts w:ascii="Arial Narrow" w:eastAsiaTheme="majorEastAsia" w:hAnsi="Arial Narrow" w:cs="Times New Roman"/>
                <w:b/>
                <w:sz w:val="20"/>
              </w:rPr>
              <w:t>ivacaftor</w:t>
            </w:r>
          </w:p>
        </w:tc>
        <w:tc>
          <w:tcPr>
            <w:tcW w:w="692" w:type="pct"/>
            <w:gridSpan w:val="2"/>
            <w:tcBorders>
              <w:top w:val="single" w:sz="4" w:space="0" w:color="auto"/>
              <w:left w:val="single" w:sz="4" w:space="0" w:color="auto"/>
              <w:bottom w:val="single" w:sz="4" w:space="0" w:color="auto"/>
              <w:right w:val="single" w:sz="4" w:space="0" w:color="auto"/>
            </w:tcBorders>
            <w:vAlign w:val="center"/>
          </w:tcPr>
          <w:p w14:paraId="7114766A" w14:textId="77777777" w:rsidR="00034A31" w:rsidRPr="00F91CC3" w:rsidRDefault="00034A31" w:rsidP="00034A31">
            <w:pPr>
              <w:keepNext/>
              <w:jc w:val="center"/>
              <w:rPr>
                <w:rFonts w:ascii="Arial Narrow" w:eastAsiaTheme="majorEastAsia" w:hAnsi="Arial Narrow" w:cs="Times New Roman"/>
                <w:b/>
                <w:sz w:val="20"/>
              </w:rPr>
            </w:pPr>
            <w:r w:rsidRPr="00F91CC3">
              <w:rPr>
                <w:rFonts w:ascii="Arial Narrow" w:eastAsiaTheme="majorEastAsia" w:hAnsi="Arial Narrow" w:cs="Times New Roman"/>
                <w:b/>
                <w:sz w:val="20"/>
              </w:rPr>
              <w:t>placebo</w:t>
            </w:r>
          </w:p>
        </w:tc>
        <w:tc>
          <w:tcPr>
            <w:tcW w:w="774" w:type="pct"/>
            <w:vMerge/>
            <w:tcBorders>
              <w:top w:val="single" w:sz="4" w:space="0" w:color="auto"/>
              <w:left w:val="single" w:sz="4" w:space="0" w:color="auto"/>
              <w:bottom w:val="single" w:sz="4" w:space="0" w:color="auto"/>
              <w:right w:val="single" w:sz="4" w:space="0" w:color="auto"/>
            </w:tcBorders>
            <w:vAlign w:val="center"/>
          </w:tcPr>
          <w:p w14:paraId="390FB2ED" w14:textId="77777777" w:rsidR="00034A31" w:rsidRPr="00F91CC3" w:rsidRDefault="00034A31" w:rsidP="00034A31">
            <w:pPr>
              <w:keepNext/>
              <w:jc w:val="center"/>
              <w:rPr>
                <w:rFonts w:ascii="Arial Narrow" w:eastAsiaTheme="majorEastAsia" w:hAnsi="Arial Narrow" w:cs="Times New Roman"/>
                <w:b/>
                <w:sz w:val="20"/>
              </w:rPr>
            </w:pPr>
          </w:p>
        </w:tc>
      </w:tr>
      <w:tr w:rsidR="00034A31" w:rsidRPr="00F91CC3" w14:paraId="2F78F3BD" w14:textId="77777777" w:rsidTr="002A2AB2">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7A9FDC3" w14:textId="77777777" w:rsidR="00034A31" w:rsidRPr="00F91CC3" w:rsidRDefault="00034A31" w:rsidP="00034A31">
            <w:pPr>
              <w:autoSpaceDE w:val="0"/>
              <w:autoSpaceDN w:val="0"/>
              <w:adjustRightInd w:val="0"/>
              <w:jc w:val="left"/>
              <w:rPr>
                <w:rFonts w:ascii="Arial Narrow" w:hAnsi="Arial Narrow" w:cs="Calibri"/>
                <w:b/>
                <w:bCs/>
                <w:color w:val="000000"/>
              </w:rPr>
            </w:pPr>
            <w:r w:rsidRPr="00F91CC3">
              <w:rPr>
                <w:rFonts w:ascii="Arial Narrow" w:hAnsi="Arial Narrow" w:cs="Calibri"/>
                <w:b/>
                <w:bCs/>
                <w:color w:val="000000"/>
                <w:sz w:val="20"/>
                <w:szCs w:val="20"/>
              </w:rPr>
              <w:t>Patients with any AE</w:t>
            </w:r>
          </w:p>
        </w:tc>
      </w:tr>
      <w:tr w:rsidR="00034A31" w:rsidRPr="00F91CC3" w14:paraId="127EAB38" w14:textId="77777777" w:rsidTr="002A2AB2">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4E2B6197"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Study 108</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714BC614"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114 (72.6)</w:t>
            </w:r>
          </w:p>
        </w:tc>
        <w:tc>
          <w:tcPr>
            <w:tcW w:w="708" w:type="pct"/>
            <w:gridSpan w:val="2"/>
            <w:tcBorders>
              <w:top w:val="single" w:sz="4" w:space="0" w:color="auto"/>
              <w:left w:val="single" w:sz="4" w:space="0" w:color="auto"/>
              <w:bottom w:val="single" w:sz="4" w:space="0" w:color="auto"/>
              <w:right w:val="single" w:sz="4" w:space="0" w:color="auto"/>
            </w:tcBorders>
            <w:vAlign w:val="center"/>
          </w:tcPr>
          <w:p w14:paraId="02FAE082"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126 (77.8)</w:t>
            </w:r>
          </w:p>
        </w:tc>
        <w:tc>
          <w:tcPr>
            <w:tcW w:w="847" w:type="pct"/>
            <w:gridSpan w:val="3"/>
            <w:tcBorders>
              <w:top w:val="single" w:sz="4" w:space="0" w:color="auto"/>
              <w:left w:val="single" w:sz="4" w:space="0" w:color="auto"/>
              <w:bottom w:val="single" w:sz="4" w:space="0" w:color="auto"/>
              <w:right w:val="single" w:sz="4" w:space="0" w:color="auto"/>
            </w:tcBorders>
            <w:vAlign w:val="center"/>
          </w:tcPr>
          <w:p w14:paraId="6D839CC9" w14:textId="77777777" w:rsidR="00034A31" w:rsidRPr="00F91CC3" w:rsidRDefault="00034A31" w:rsidP="00034A31">
            <w:pPr>
              <w:keepNext/>
              <w:jc w:val="center"/>
              <w:rPr>
                <w:rFonts w:ascii="Arial Narrow" w:eastAsiaTheme="majorEastAsia" w:hAnsi="Arial Narrow" w:cstheme="majorBidi"/>
                <w:sz w:val="20"/>
              </w:rPr>
            </w:pPr>
            <w:r w:rsidRPr="00F91CC3">
              <w:rPr>
                <w:rFonts w:ascii="Arial Narrow" w:eastAsiaTheme="majorEastAsia" w:hAnsi="Arial Narrow"/>
                <w:bCs/>
                <w:sz w:val="20"/>
                <w:szCs w:val="20"/>
              </w:rPr>
              <w:t>0.93 (0.82,1.06)</w:t>
            </w:r>
          </w:p>
        </w:tc>
        <w:tc>
          <w:tcPr>
            <w:tcW w:w="708" w:type="pct"/>
            <w:gridSpan w:val="2"/>
            <w:tcBorders>
              <w:top w:val="single" w:sz="4" w:space="0" w:color="auto"/>
              <w:left w:val="single" w:sz="4" w:space="0" w:color="auto"/>
              <w:bottom w:val="single" w:sz="4" w:space="0" w:color="auto"/>
              <w:right w:val="single" w:sz="4" w:space="0" w:color="auto"/>
            </w:tcBorders>
            <w:vAlign w:val="center"/>
          </w:tcPr>
          <w:p w14:paraId="6D22C8C0" w14:textId="77777777" w:rsidR="00034A31" w:rsidRPr="00F91CC3" w:rsidRDefault="00034A31" w:rsidP="00034A31">
            <w:pPr>
              <w:keepNext/>
              <w:jc w:val="center"/>
              <w:rPr>
                <w:rFonts w:ascii="Arial Narrow" w:eastAsiaTheme="majorEastAsia" w:hAnsi="Arial Narrow" w:cstheme="majorBidi"/>
                <w:bCs/>
                <w:iCs/>
                <w:sz w:val="20"/>
              </w:rPr>
            </w:pPr>
            <w:r w:rsidRPr="00F91CC3">
              <w:rPr>
                <w:rFonts w:ascii="Arial Narrow" w:eastAsiaTheme="majorEastAsia" w:hAnsi="Arial Narrow" w:cstheme="majorBidi"/>
                <w:bCs/>
                <w:iCs/>
                <w:sz w:val="20"/>
              </w:rPr>
              <w:t>73</w:t>
            </w:r>
          </w:p>
        </w:tc>
        <w:tc>
          <w:tcPr>
            <w:tcW w:w="692" w:type="pct"/>
            <w:gridSpan w:val="2"/>
            <w:tcBorders>
              <w:top w:val="single" w:sz="4" w:space="0" w:color="auto"/>
              <w:left w:val="single" w:sz="4" w:space="0" w:color="auto"/>
              <w:bottom w:val="single" w:sz="4" w:space="0" w:color="auto"/>
              <w:right w:val="single" w:sz="4" w:space="0" w:color="auto"/>
            </w:tcBorders>
            <w:vAlign w:val="center"/>
          </w:tcPr>
          <w:p w14:paraId="6A7C56B9" w14:textId="77777777" w:rsidR="00034A31" w:rsidRPr="00F91CC3" w:rsidRDefault="00034A31" w:rsidP="00034A31">
            <w:pPr>
              <w:keepNext/>
              <w:jc w:val="center"/>
              <w:rPr>
                <w:rFonts w:ascii="Arial Narrow" w:eastAsiaTheme="majorEastAsia" w:hAnsi="Arial Narrow" w:cstheme="majorBidi"/>
                <w:bCs/>
                <w:iCs/>
                <w:sz w:val="20"/>
              </w:rPr>
            </w:pPr>
            <w:r w:rsidRPr="00F91CC3">
              <w:rPr>
                <w:rFonts w:ascii="Arial Narrow" w:eastAsiaTheme="majorEastAsia" w:hAnsi="Arial Narrow" w:cstheme="majorBidi"/>
                <w:bCs/>
                <w:iCs/>
                <w:sz w:val="20"/>
              </w:rPr>
              <w:t>78</w:t>
            </w:r>
          </w:p>
        </w:tc>
        <w:tc>
          <w:tcPr>
            <w:tcW w:w="774" w:type="pct"/>
            <w:tcBorders>
              <w:top w:val="single" w:sz="4" w:space="0" w:color="auto"/>
              <w:left w:val="single" w:sz="4" w:space="0" w:color="auto"/>
              <w:bottom w:val="single" w:sz="4" w:space="0" w:color="auto"/>
              <w:right w:val="single" w:sz="4" w:space="0" w:color="auto"/>
            </w:tcBorders>
            <w:vAlign w:val="center"/>
          </w:tcPr>
          <w:p w14:paraId="3F17E37B" w14:textId="77777777" w:rsidR="00034A31" w:rsidRPr="00F91CC3" w:rsidRDefault="00034A31" w:rsidP="00034A31">
            <w:pPr>
              <w:keepNext/>
              <w:jc w:val="center"/>
              <w:rPr>
                <w:rFonts w:ascii="Arial Narrow" w:eastAsiaTheme="majorEastAsia" w:hAnsi="Arial Narrow" w:cstheme="majorBidi"/>
                <w:bCs/>
                <w:i/>
                <w:iCs/>
                <w:sz w:val="20"/>
              </w:rPr>
            </w:pPr>
            <w:r w:rsidRPr="00F91CC3">
              <w:rPr>
                <w:rFonts w:ascii="Arial Narrow" w:eastAsiaTheme="majorEastAsia" w:hAnsi="Arial Narrow"/>
                <w:bCs/>
                <w:sz w:val="20"/>
                <w:szCs w:val="20"/>
              </w:rPr>
              <w:t>-0.05 (-0.15,0.04)</w:t>
            </w:r>
          </w:p>
        </w:tc>
      </w:tr>
      <w:tr w:rsidR="00034A31" w:rsidRPr="00F91CC3" w14:paraId="352EC2B7" w14:textId="77777777" w:rsidTr="002A2AB2">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07B4C67" w14:textId="77777777" w:rsidR="00034A31" w:rsidRPr="00F91CC3" w:rsidRDefault="00034A31" w:rsidP="00034A31">
            <w:pPr>
              <w:keepNext/>
              <w:jc w:val="left"/>
              <w:rPr>
                <w:rFonts w:ascii="Arial Narrow" w:eastAsiaTheme="majorEastAsia" w:hAnsi="Arial Narrow" w:cs="Times New Roman"/>
                <w:b/>
                <w:bCs/>
                <w:iCs/>
                <w:sz w:val="20"/>
              </w:rPr>
            </w:pPr>
            <w:r w:rsidRPr="00F91CC3">
              <w:rPr>
                <w:rFonts w:ascii="Arial Narrow" w:eastAsiaTheme="majorEastAsia" w:hAnsi="Arial Narrow" w:cs="Times New Roman"/>
                <w:b/>
                <w:bCs/>
                <w:iCs/>
                <w:sz w:val="20"/>
              </w:rPr>
              <w:t>Related AE</w:t>
            </w:r>
          </w:p>
        </w:tc>
      </w:tr>
      <w:tr w:rsidR="00034A31" w:rsidRPr="00F91CC3" w14:paraId="27CE7D6F" w14:textId="77777777" w:rsidTr="002A2AB2">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5DF0C244"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 xml:space="preserve">Study 108 </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78599818"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31 (19.7)</w:t>
            </w:r>
          </w:p>
        </w:tc>
        <w:tc>
          <w:tcPr>
            <w:tcW w:w="708" w:type="pct"/>
            <w:gridSpan w:val="2"/>
            <w:tcBorders>
              <w:top w:val="single" w:sz="4" w:space="0" w:color="auto"/>
              <w:left w:val="single" w:sz="4" w:space="0" w:color="auto"/>
              <w:bottom w:val="single" w:sz="4" w:space="0" w:color="auto"/>
              <w:right w:val="single" w:sz="4" w:space="0" w:color="auto"/>
            </w:tcBorders>
            <w:vAlign w:val="center"/>
          </w:tcPr>
          <w:p w14:paraId="202CD86B"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38 (23.5)</w:t>
            </w:r>
          </w:p>
        </w:tc>
        <w:tc>
          <w:tcPr>
            <w:tcW w:w="847" w:type="pct"/>
            <w:gridSpan w:val="3"/>
            <w:tcBorders>
              <w:top w:val="single" w:sz="4" w:space="0" w:color="auto"/>
              <w:left w:val="single" w:sz="4" w:space="0" w:color="auto"/>
              <w:bottom w:val="single" w:sz="4" w:space="0" w:color="auto"/>
              <w:right w:val="single" w:sz="4" w:space="0" w:color="auto"/>
            </w:tcBorders>
            <w:vAlign w:val="center"/>
          </w:tcPr>
          <w:p w14:paraId="7377328C" w14:textId="77777777" w:rsidR="00034A31" w:rsidRPr="00F91CC3" w:rsidRDefault="00034A31" w:rsidP="00034A31">
            <w:pPr>
              <w:keepNext/>
              <w:jc w:val="center"/>
              <w:rPr>
                <w:rFonts w:ascii="Arial Narrow" w:eastAsiaTheme="majorEastAsia" w:hAnsi="Arial Narrow" w:cstheme="majorBidi"/>
                <w:sz w:val="20"/>
              </w:rPr>
            </w:pPr>
            <w:r w:rsidRPr="00F91CC3">
              <w:rPr>
                <w:rFonts w:ascii="Arial Narrow" w:eastAsiaTheme="majorEastAsia" w:hAnsi="Arial Narrow" w:cstheme="majorBidi"/>
                <w:sz w:val="20"/>
              </w:rPr>
              <w:t>0.84 (0.55, 1.28)</w:t>
            </w:r>
          </w:p>
        </w:tc>
        <w:tc>
          <w:tcPr>
            <w:tcW w:w="708" w:type="pct"/>
            <w:gridSpan w:val="2"/>
            <w:tcBorders>
              <w:top w:val="single" w:sz="4" w:space="0" w:color="auto"/>
              <w:left w:val="single" w:sz="4" w:space="0" w:color="auto"/>
              <w:bottom w:val="single" w:sz="4" w:space="0" w:color="auto"/>
              <w:right w:val="single" w:sz="4" w:space="0" w:color="auto"/>
            </w:tcBorders>
            <w:vAlign w:val="center"/>
          </w:tcPr>
          <w:p w14:paraId="3EDB0F1C" w14:textId="77777777" w:rsidR="00034A31" w:rsidRPr="00F91CC3" w:rsidRDefault="00034A31" w:rsidP="00034A31">
            <w:pPr>
              <w:keepNext/>
              <w:jc w:val="center"/>
              <w:rPr>
                <w:rFonts w:ascii="Arial Narrow" w:eastAsiaTheme="majorEastAsia" w:hAnsi="Arial Narrow" w:cstheme="majorBidi"/>
                <w:bCs/>
                <w:iCs/>
                <w:sz w:val="20"/>
              </w:rPr>
            </w:pPr>
            <w:r w:rsidRPr="00F91CC3">
              <w:rPr>
                <w:rFonts w:ascii="Arial Narrow" w:eastAsiaTheme="majorEastAsia" w:hAnsi="Arial Narrow" w:cstheme="majorBidi"/>
                <w:bCs/>
                <w:iCs/>
                <w:sz w:val="20"/>
              </w:rPr>
              <w:t>20</w:t>
            </w:r>
          </w:p>
        </w:tc>
        <w:tc>
          <w:tcPr>
            <w:tcW w:w="692" w:type="pct"/>
            <w:gridSpan w:val="2"/>
            <w:tcBorders>
              <w:top w:val="single" w:sz="4" w:space="0" w:color="auto"/>
              <w:left w:val="single" w:sz="4" w:space="0" w:color="auto"/>
              <w:bottom w:val="single" w:sz="4" w:space="0" w:color="auto"/>
              <w:right w:val="single" w:sz="4" w:space="0" w:color="auto"/>
            </w:tcBorders>
            <w:vAlign w:val="center"/>
          </w:tcPr>
          <w:p w14:paraId="74DF6E86" w14:textId="77777777" w:rsidR="00034A31" w:rsidRPr="00F91CC3" w:rsidRDefault="00034A31" w:rsidP="00034A31">
            <w:pPr>
              <w:keepNext/>
              <w:jc w:val="center"/>
              <w:rPr>
                <w:rFonts w:ascii="Arial Narrow" w:eastAsiaTheme="majorEastAsia" w:hAnsi="Arial Narrow" w:cstheme="majorBidi"/>
                <w:bCs/>
                <w:iCs/>
                <w:sz w:val="20"/>
              </w:rPr>
            </w:pPr>
            <w:r w:rsidRPr="00F91CC3">
              <w:rPr>
                <w:rFonts w:ascii="Arial Narrow" w:eastAsiaTheme="majorEastAsia" w:hAnsi="Arial Narrow" w:cstheme="majorBidi"/>
                <w:bCs/>
                <w:iCs/>
                <w:sz w:val="20"/>
              </w:rPr>
              <w:t>24</w:t>
            </w:r>
          </w:p>
        </w:tc>
        <w:tc>
          <w:tcPr>
            <w:tcW w:w="774" w:type="pct"/>
            <w:tcBorders>
              <w:top w:val="single" w:sz="4" w:space="0" w:color="auto"/>
              <w:left w:val="single" w:sz="4" w:space="0" w:color="auto"/>
              <w:bottom w:val="single" w:sz="4" w:space="0" w:color="auto"/>
              <w:right w:val="single" w:sz="4" w:space="0" w:color="auto"/>
            </w:tcBorders>
            <w:vAlign w:val="center"/>
          </w:tcPr>
          <w:p w14:paraId="3AA00437" w14:textId="77777777" w:rsidR="00034A31" w:rsidRPr="00F91CC3" w:rsidRDefault="00034A31" w:rsidP="00034A31">
            <w:pPr>
              <w:keepNext/>
              <w:jc w:val="center"/>
              <w:rPr>
                <w:rFonts w:ascii="Arial Narrow" w:eastAsiaTheme="majorEastAsia" w:hAnsi="Arial Narrow" w:cstheme="majorBidi"/>
                <w:i/>
                <w:sz w:val="20"/>
              </w:rPr>
            </w:pPr>
            <w:r w:rsidRPr="00F91CC3">
              <w:rPr>
                <w:rFonts w:ascii="Arial Narrow" w:eastAsiaTheme="majorEastAsia" w:hAnsi="Arial Narrow"/>
                <w:bCs/>
                <w:sz w:val="20"/>
                <w:szCs w:val="20"/>
              </w:rPr>
              <w:t>-0.04 (-0.13,0.05)</w:t>
            </w:r>
          </w:p>
        </w:tc>
      </w:tr>
      <w:tr w:rsidR="00034A31" w:rsidRPr="00F91CC3" w14:paraId="707064B1" w14:textId="77777777" w:rsidTr="002A2AB2">
        <w:tc>
          <w:tcPr>
            <w:tcW w:w="637" w:type="pct"/>
            <w:vMerge w:val="restart"/>
            <w:tcBorders>
              <w:top w:val="single" w:sz="4" w:space="0" w:color="auto"/>
              <w:left w:val="single" w:sz="4" w:space="0" w:color="auto"/>
              <w:right w:val="single" w:sz="4" w:space="0" w:color="auto"/>
            </w:tcBorders>
            <w:shd w:val="clear" w:color="auto" w:fill="auto"/>
            <w:vAlign w:val="center"/>
          </w:tcPr>
          <w:p w14:paraId="37AEE1CB" w14:textId="77777777" w:rsidR="00034A31" w:rsidRPr="00F91CC3" w:rsidRDefault="00034A31" w:rsidP="00034A31">
            <w:pPr>
              <w:keepNext/>
              <w:jc w:val="left"/>
              <w:rPr>
                <w:rFonts w:ascii="Arial Narrow" w:eastAsiaTheme="majorEastAsia" w:hAnsi="Arial Narrow" w:cstheme="majorBidi"/>
                <w:bCs/>
                <w:sz w:val="20"/>
              </w:rPr>
            </w:pPr>
          </w:p>
        </w:tc>
        <w:tc>
          <w:tcPr>
            <w:tcW w:w="634" w:type="pct"/>
            <w:gridSpan w:val="2"/>
            <w:vMerge w:val="restart"/>
            <w:tcBorders>
              <w:top w:val="single" w:sz="4" w:space="0" w:color="auto"/>
              <w:left w:val="single" w:sz="4" w:space="0" w:color="auto"/>
              <w:right w:val="single" w:sz="4" w:space="0" w:color="auto"/>
            </w:tcBorders>
            <w:vAlign w:val="center"/>
          </w:tcPr>
          <w:p w14:paraId="4B18F3C0" w14:textId="44FA1DBB" w:rsidR="00034A31" w:rsidRPr="00F91CC3" w:rsidRDefault="00D738D1" w:rsidP="00034A31">
            <w:pPr>
              <w:keepNext/>
              <w:jc w:val="center"/>
              <w:rPr>
                <w:rFonts w:ascii="Arial Narrow" w:eastAsiaTheme="majorEastAsia" w:hAnsi="Arial Narrow" w:cs="Times New Roman"/>
                <w:b/>
                <w:sz w:val="20"/>
              </w:rPr>
            </w:pPr>
            <w:r w:rsidRPr="00F91CC3">
              <w:rPr>
                <w:rFonts w:ascii="Arial Narrow" w:eastAsiaTheme="majorEastAsia" w:hAnsi="Arial Narrow" w:cs="Times New Roman"/>
                <w:b/>
                <w:sz w:val="20"/>
              </w:rPr>
              <w:t>I</w:t>
            </w:r>
            <w:r w:rsidR="00034A31" w:rsidRPr="00F91CC3">
              <w:rPr>
                <w:rFonts w:ascii="Arial Narrow" w:eastAsiaTheme="majorEastAsia" w:hAnsi="Arial Narrow" w:cs="Times New Roman"/>
                <w:b/>
                <w:sz w:val="20"/>
              </w:rPr>
              <w:t>vacaftor</w:t>
            </w:r>
          </w:p>
          <w:p w14:paraId="174BDFC6" w14:textId="77777777" w:rsidR="00034A31" w:rsidRPr="00F91CC3" w:rsidRDefault="00034A31" w:rsidP="00034A31">
            <w:pPr>
              <w:keepNext/>
              <w:jc w:val="center"/>
              <w:rPr>
                <w:rFonts w:ascii="Arial Narrow" w:eastAsiaTheme="majorEastAsia" w:hAnsi="Arial Narrow" w:cstheme="majorBidi"/>
                <w:b/>
                <w:bCs/>
                <w:sz w:val="20"/>
              </w:rPr>
            </w:pPr>
            <w:r w:rsidRPr="00F91CC3">
              <w:rPr>
                <w:rFonts w:ascii="Arial Narrow" w:eastAsiaTheme="majorEastAsia" w:hAnsi="Arial Narrow" w:cstheme="majorBidi"/>
                <w:b/>
                <w:bCs/>
                <w:sz w:val="20"/>
              </w:rPr>
              <w:t>N=157</w:t>
            </w:r>
          </w:p>
        </w:tc>
        <w:tc>
          <w:tcPr>
            <w:tcW w:w="708" w:type="pct"/>
            <w:gridSpan w:val="2"/>
            <w:vMerge w:val="restart"/>
            <w:tcBorders>
              <w:top w:val="single" w:sz="4" w:space="0" w:color="auto"/>
              <w:left w:val="single" w:sz="4" w:space="0" w:color="auto"/>
              <w:right w:val="single" w:sz="4" w:space="0" w:color="auto"/>
            </w:tcBorders>
            <w:vAlign w:val="center"/>
          </w:tcPr>
          <w:p w14:paraId="54D46C4C" w14:textId="77777777" w:rsidR="00034A31" w:rsidRPr="00F91CC3" w:rsidRDefault="00034A31" w:rsidP="00034A31">
            <w:pPr>
              <w:keepNext/>
              <w:jc w:val="center"/>
              <w:rPr>
                <w:rFonts w:ascii="Arial Narrow" w:eastAsiaTheme="majorEastAsia" w:hAnsi="Arial Narrow" w:cs="Times New Roman"/>
                <w:b/>
                <w:sz w:val="20"/>
              </w:rPr>
            </w:pPr>
            <w:r w:rsidRPr="00F91CC3">
              <w:rPr>
                <w:rFonts w:ascii="Arial Narrow" w:eastAsiaTheme="majorEastAsia" w:hAnsi="Arial Narrow" w:cs="Times New Roman"/>
                <w:b/>
                <w:sz w:val="20"/>
              </w:rPr>
              <w:t>PBO</w:t>
            </w:r>
          </w:p>
          <w:p w14:paraId="744B7061" w14:textId="77777777" w:rsidR="00034A31" w:rsidRPr="00F91CC3" w:rsidRDefault="00034A31" w:rsidP="00034A31">
            <w:pPr>
              <w:keepNext/>
              <w:jc w:val="center"/>
              <w:rPr>
                <w:rFonts w:ascii="Arial Narrow" w:eastAsiaTheme="majorEastAsia" w:hAnsi="Arial Narrow" w:cstheme="majorBidi"/>
                <w:b/>
                <w:bCs/>
                <w:sz w:val="20"/>
              </w:rPr>
            </w:pPr>
            <w:r w:rsidRPr="00F91CC3">
              <w:rPr>
                <w:rFonts w:ascii="Arial Narrow" w:eastAsiaTheme="majorEastAsia" w:hAnsi="Arial Narrow" w:cstheme="majorBidi"/>
                <w:b/>
                <w:bCs/>
                <w:sz w:val="20"/>
              </w:rPr>
              <w:t>N=168</w:t>
            </w:r>
          </w:p>
        </w:tc>
        <w:tc>
          <w:tcPr>
            <w:tcW w:w="847" w:type="pct"/>
            <w:gridSpan w:val="3"/>
            <w:vMerge w:val="restart"/>
            <w:tcBorders>
              <w:top w:val="single" w:sz="4" w:space="0" w:color="auto"/>
              <w:left w:val="single" w:sz="4" w:space="0" w:color="auto"/>
              <w:right w:val="single" w:sz="4" w:space="0" w:color="auto"/>
            </w:tcBorders>
            <w:vAlign w:val="center"/>
          </w:tcPr>
          <w:p w14:paraId="0D23321A" w14:textId="77777777" w:rsidR="00034A31" w:rsidRPr="00F91CC3" w:rsidRDefault="00034A31" w:rsidP="00034A31">
            <w:pPr>
              <w:keepNext/>
              <w:jc w:val="center"/>
              <w:rPr>
                <w:rFonts w:ascii="Arial Narrow" w:eastAsiaTheme="majorEastAsia" w:hAnsi="Arial Narrow" w:cs="Times New Roman"/>
                <w:b/>
                <w:sz w:val="20"/>
              </w:rPr>
            </w:pPr>
            <w:r w:rsidRPr="00F91CC3">
              <w:rPr>
                <w:rFonts w:ascii="Arial Narrow" w:eastAsiaTheme="majorEastAsia" w:hAnsi="Arial Narrow" w:cs="Times New Roman"/>
                <w:b/>
                <w:sz w:val="20"/>
              </w:rPr>
              <w:t>RR</w:t>
            </w:r>
          </w:p>
          <w:p w14:paraId="1A45C279" w14:textId="77777777" w:rsidR="00034A31" w:rsidRPr="00F91CC3" w:rsidRDefault="00034A31" w:rsidP="00034A31">
            <w:pPr>
              <w:keepNext/>
              <w:jc w:val="center"/>
              <w:rPr>
                <w:rFonts w:ascii="Arial Narrow" w:eastAsiaTheme="majorEastAsia" w:hAnsi="Arial Narrow"/>
                <w:b/>
                <w:bCs/>
                <w:sz w:val="20"/>
                <w:szCs w:val="20"/>
              </w:rPr>
            </w:pPr>
            <w:r w:rsidRPr="00F91CC3">
              <w:rPr>
                <w:rFonts w:ascii="Arial Narrow" w:eastAsiaTheme="majorEastAsia" w:hAnsi="Arial Narrow" w:cstheme="majorBidi"/>
                <w:b/>
                <w:bCs/>
                <w:sz w:val="20"/>
              </w:rPr>
              <w:t>(95% CI)</w:t>
            </w:r>
          </w:p>
        </w:tc>
        <w:tc>
          <w:tcPr>
            <w:tcW w:w="1400" w:type="pct"/>
            <w:gridSpan w:val="4"/>
            <w:tcBorders>
              <w:top w:val="single" w:sz="4" w:space="0" w:color="auto"/>
              <w:left w:val="single" w:sz="4" w:space="0" w:color="auto"/>
              <w:bottom w:val="single" w:sz="4" w:space="0" w:color="auto"/>
              <w:right w:val="single" w:sz="4" w:space="0" w:color="auto"/>
            </w:tcBorders>
            <w:vAlign w:val="center"/>
          </w:tcPr>
          <w:p w14:paraId="01426A30" w14:textId="77777777" w:rsidR="00034A31" w:rsidRPr="00F91CC3" w:rsidRDefault="00034A31" w:rsidP="00034A31">
            <w:pPr>
              <w:keepNext/>
              <w:jc w:val="center"/>
              <w:rPr>
                <w:rFonts w:ascii="Arial Narrow" w:eastAsiaTheme="majorEastAsia" w:hAnsi="Arial Narrow" w:cstheme="majorBidi"/>
                <w:b/>
                <w:bCs/>
                <w:i/>
                <w:sz w:val="20"/>
              </w:rPr>
            </w:pPr>
            <w:r w:rsidRPr="00F91CC3">
              <w:rPr>
                <w:rFonts w:ascii="Arial Narrow" w:eastAsiaTheme="majorEastAsia" w:hAnsi="Arial Narrow" w:cstheme="majorBidi"/>
                <w:b/>
                <w:bCs/>
                <w:sz w:val="20"/>
              </w:rPr>
              <w:t>Event rate/100 patients</w:t>
            </w:r>
          </w:p>
        </w:tc>
        <w:tc>
          <w:tcPr>
            <w:tcW w:w="774" w:type="pct"/>
            <w:vMerge w:val="restart"/>
            <w:tcBorders>
              <w:top w:val="single" w:sz="4" w:space="0" w:color="auto"/>
              <w:left w:val="single" w:sz="4" w:space="0" w:color="auto"/>
              <w:right w:val="single" w:sz="4" w:space="0" w:color="auto"/>
            </w:tcBorders>
            <w:vAlign w:val="center"/>
          </w:tcPr>
          <w:p w14:paraId="6BF058D3" w14:textId="77777777" w:rsidR="00034A31" w:rsidRPr="00F91CC3" w:rsidRDefault="00034A31" w:rsidP="00034A31">
            <w:pPr>
              <w:keepNext/>
              <w:jc w:val="center"/>
              <w:rPr>
                <w:rFonts w:ascii="Arial Narrow" w:eastAsiaTheme="majorEastAsia" w:hAnsi="Arial Narrow" w:cs="Times New Roman"/>
                <w:b/>
                <w:sz w:val="20"/>
              </w:rPr>
            </w:pPr>
            <w:r w:rsidRPr="00F91CC3">
              <w:rPr>
                <w:rFonts w:ascii="Arial Narrow" w:eastAsiaTheme="majorEastAsia" w:hAnsi="Arial Narrow" w:cs="Times New Roman"/>
                <w:b/>
                <w:sz w:val="20"/>
              </w:rPr>
              <w:t>RD</w:t>
            </w:r>
          </w:p>
          <w:p w14:paraId="7E8C88FE" w14:textId="77777777" w:rsidR="00034A31" w:rsidRPr="00F91CC3" w:rsidRDefault="00034A31" w:rsidP="00034A31">
            <w:pPr>
              <w:keepNext/>
              <w:jc w:val="center"/>
              <w:rPr>
                <w:rFonts w:ascii="Arial Narrow" w:eastAsiaTheme="majorEastAsia" w:hAnsi="Arial Narrow"/>
                <w:b/>
                <w:bCs/>
                <w:sz w:val="20"/>
                <w:szCs w:val="20"/>
              </w:rPr>
            </w:pPr>
            <w:r w:rsidRPr="00F91CC3">
              <w:rPr>
                <w:rFonts w:ascii="Arial Narrow" w:eastAsiaTheme="majorEastAsia" w:hAnsi="Arial Narrow" w:cstheme="majorBidi"/>
                <w:b/>
                <w:bCs/>
                <w:sz w:val="20"/>
              </w:rPr>
              <w:t>(95% CI)</w:t>
            </w:r>
          </w:p>
        </w:tc>
      </w:tr>
      <w:tr w:rsidR="00034A31" w:rsidRPr="00F91CC3" w14:paraId="5C7B3BCE" w14:textId="77777777" w:rsidTr="002A2AB2">
        <w:tc>
          <w:tcPr>
            <w:tcW w:w="637" w:type="pct"/>
            <w:vMerge/>
            <w:tcBorders>
              <w:left w:val="single" w:sz="4" w:space="0" w:color="auto"/>
              <w:bottom w:val="single" w:sz="4" w:space="0" w:color="auto"/>
              <w:right w:val="single" w:sz="4" w:space="0" w:color="auto"/>
            </w:tcBorders>
            <w:shd w:val="clear" w:color="auto" w:fill="auto"/>
            <w:vAlign w:val="center"/>
          </w:tcPr>
          <w:p w14:paraId="22D3D436" w14:textId="77777777" w:rsidR="00034A31" w:rsidRPr="00F91CC3" w:rsidRDefault="00034A31" w:rsidP="00034A31">
            <w:pPr>
              <w:keepNext/>
              <w:jc w:val="left"/>
              <w:rPr>
                <w:rFonts w:ascii="Arial Narrow" w:eastAsiaTheme="majorEastAsia" w:hAnsi="Arial Narrow" w:cstheme="majorBidi"/>
                <w:bCs/>
                <w:sz w:val="20"/>
              </w:rPr>
            </w:pPr>
          </w:p>
        </w:tc>
        <w:tc>
          <w:tcPr>
            <w:tcW w:w="634" w:type="pct"/>
            <w:gridSpan w:val="2"/>
            <w:vMerge/>
            <w:tcBorders>
              <w:left w:val="single" w:sz="4" w:space="0" w:color="auto"/>
              <w:bottom w:val="single" w:sz="4" w:space="0" w:color="auto"/>
              <w:right w:val="single" w:sz="4" w:space="0" w:color="auto"/>
            </w:tcBorders>
            <w:vAlign w:val="center"/>
          </w:tcPr>
          <w:p w14:paraId="3380E379" w14:textId="77777777" w:rsidR="00034A31" w:rsidRPr="00F91CC3" w:rsidRDefault="00034A31" w:rsidP="00034A31">
            <w:pPr>
              <w:keepNext/>
              <w:jc w:val="center"/>
              <w:rPr>
                <w:rFonts w:ascii="Arial Narrow" w:eastAsiaTheme="majorEastAsia" w:hAnsi="Arial Narrow" w:cstheme="majorBidi"/>
                <w:bCs/>
                <w:sz w:val="20"/>
              </w:rPr>
            </w:pPr>
          </w:p>
        </w:tc>
        <w:tc>
          <w:tcPr>
            <w:tcW w:w="708" w:type="pct"/>
            <w:gridSpan w:val="2"/>
            <w:vMerge/>
            <w:tcBorders>
              <w:left w:val="single" w:sz="4" w:space="0" w:color="auto"/>
              <w:bottom w:val="single" w:sz="4" w:space="0" w:color="auto"/>
              <w:right w:val="single" w:sz="4" w:space="0" w:color="auto"/>
            </w:tcBorders>
            <w:vAlign w:val="center"/>
          </w:tcPr>
          <w:p w14:paraId="72A37A36" w14:textId="77777777" w:rsidR="00034A31" w:rsidRPr="00F91CC3" w:rsidRDefault="00034A31" w:rsidP="00034A31">
            <w:pPr>
              <w:keepNext/>
              <w:jc w:val="center"/>
              <w:rPr>
                <w:rFonts w:ascii="Arial Narrow" w:eastAsiaTheme="majorEastAsia" w:hAnsi="Arial Narrow" w:cstheme="majorBidi"/>
                <w:bCs/>
                <w:sz w:val="20"/>
              </w:rPr>
            </w:pPr>
          </w:p>
        </w:tc>
        <w:tc>
          <w:tcPr>
            <w:tcW w:w="847" w:type="pct"/>
            <w:gridSpan w:val="3"/>
            <w:vMerge/>
            <w:tcBorders>
              <w:left w:val="single" w:sz="4" w:space="0" w:color="auto"/>
              <w:bottom w:val="single" w:sz="4" w:space="0" w:color="auto"/>
              <w:right w:val="single" w:sz="4" w:space="0" w:color="auto"/>
            </w:tcBorders>
            <w:vAlign w:val="center"/>
          </w:tcPr>
          <w:p w14:paraId="049460FB" w14:textId="77777777" w:rsidR="00034A31" w:rsidRPr="00F91CC3" w:rsidRDefault="00034A31" w:rsidP="00034A31">
            <w:pPr>
              <w:keepNext/>
              <w:jc w:val="center"/>
              <w:rPr>
                <w:rFonts w:ascii="Arial Narrow" w:eastAsiaTheme="majorEastAsia" w:hAnsi="Arial Narrow"/>
                <w:bCs/>
                <w:sz w:val="20"/>
                <w:szCs w:val="20"/>
              </w:rPr>
            </w:pPr>
          </w:p>
        </w:tc>
        <w:tc>
          <w:tcPr>
            <w:tcW w:w="708" w:type="pct"/>
            <w:gridSpan w:val="2"/>
            <w:tcBorders>
              <w:top w:val="single" w:sz="4" w:space="0" w:color="auto"/>
              <w:left w:val="single" w:sz="4" w:space="0" w:color="auto"/>
              <w:bottom w:val="single" w:sz="4" w:space="0" w:color="auto"/>
              <w:right w:val="single" w:sz="4" w:space="0" w:color="auto"/>
            </w:tcBorders>
            <w:vAlign w:val="center"/>
          </w:tcPr>
          <w:p w14:paraId="4B593E4C" w14:textId="77777777" w:rsidR="00034A31" w:rsidRPr="00F91CC3" w:rsidRDefault="00034A31" w:rsidP="00034A31">
            <w:pPr>
              <w:keepNext/>
              <w:jc w:val="center"/>
              <w:rPr>
                <w:rFonts w:ascii="Arial Narrow" w:eastAsiaTheme="majorEastAsia" w:hAnsi="Arial Narrow" w:cstheme="majorBidi"/>
                <w:b/>
                <w:bCs/>
                <w:i/>
                <w:sz w:val="20"/>
              </w:rPr>
            </w:pPr>
            <w:r w:rsidRPr="00F91CC3">
              <w:rPr>
                <w:rFonts w:ascii="Arial Narrow" w:eastAsiaTheme="majorEastAsia" w:hAnsi="Arial Narrow" w:cstheme="majorBidi"/>
                <w:b/>
                <w:bCs/>
                <w:sz w:val="20"/>
              </w:rPr>
              <w:t>ivacaftor</w:t>
            </w:r>
          </w:p>
        </w:tc>
        <w:tc>
          <w:tcPr>
            <w:tcW w:w="692" w:type="pct"/>
            <w:gridSpan w:val="2"/>
            <w:tcBorders>
              <w:top w:val="single" w:sz="4" w:space="0" w:color="auto"/>
              <w:left w:val="single" w:sz="4" w:space="0" w:color="auto"/>
              <w:bottom w:val="single" w:sz="4" w:space="0" w:color="auto"/>
              <w:right w:val="single" w:sz="4" w:space="0" w:color="auto"/>
            </w:tcBorders>
            <w:vAlign w:val="center"/>
          </w:tcPr>
          <w:p w14:paraId="39B7BD88" w14:textId="77777777" w:rsidR="00034A31" w:rsidRPr="00F91CC3" w:rsidRDefault="00034A31" w:rsidP="00034A31">
            <w:pPr>
              <w:keepNext/>
              <w:jc w:val="center"/>
              <w:rPr>
                <w:rFonts w:ascii="Arial Narrow" w:eastAsiaTheme="majorEastAsia" w:hAnsi="Arial Narrow" w:cstheme="majorBidi"/>
                <w:b/>
                <w:bCs/>
                <w:i/>
                <w:sz w:val="20"/>
              </w:rPr>
            </w:pPr>
            <w:r w:rsidRPr="00F91CC3">
              <w:rPr>
                <w:rFonts w:ascii="Arial Narrow" w:eastAsiaTheme="majorEastAsia" w:hAnsi="Arial Narrow" w:cstheme="majorBidi"/>
                <w:b/>
                <w:bCs/>
                <w:sz w:val="20"/>
              </w:rPr>
              <w:t>placebo</w:t>
            </w:r>
          </w:p>
        </w:tc>
        <w:tc>
          <w:tcPr>
            <w:tcW w:w="774" w:type="pct"/>
            <w:vMerge/>
            <w:tcBorders>
              <w:left w:val="single" w:sz="4" w:space="0" w:color="auto"/>
              <w:bottom w:val="single" w:sz="4" w:space="0" w:color="auto"/>
              <w:right w:val="single" w:sz="4" w:space="0" w:color="auto"/>
            </w:tcBorders>
            <w:vAlign w:val="center"/>
          </w:tcPr>
          <w:p w14:paraId="58EECEAA" w14:textId="77777777" w:rsidR="00034A31" w:rsidRPr="00F91CC3" w:rsidRDefault="00034A31" w:rsidP="00034A31">
            <w:pPr>
              <w:keepNext/>
              <w:jc w:val="center"/>
              <w:rPr>
                <w:rFonts w:ascii="Arial Narrow" w:eastAsiaTheme="majorEastAsia" w:hAnsi="Arial Narrow"/>
                <w:bCs/>
                <w:sz w:val="20"/>
                <w:szCs w:val="20"/>
              </w:rPr>
            </w:pPr>
          </w:p>
        </w:tc>
      </w:tr>
      <w:tr w:rsidR="00034A31" w:rsidRPr="00F91CC3" w14:paraId="133BAE70" w14:textId="77777777" w:rsidTr="002A2AB2">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EB224D3" w14:textId="77777777" w:rsidR="00034A31" w:rsidRPr="00F91CC3" w:rsidRDefault="00034A31" w:rsidP="00034A31">
            <w:pPr>
              <w:keepNext/>
              <w:jc w:val="left"/>
              <w:rPr>
                <w:rFonts w:ascii="Arial Narrow" w:eastAsiaTheme="majorEastAsia" w:hAnsi="Arial Narrow"/>
                <w:bCs/>
                <w:sz w:val="20"/>
                <w:szCs w:val="20"/>
              </w:rPr>
            </w:pPr>
            <w:r w:rsidRPr="00F91CC3">
              <w:rPr>
                <w:rFonts w:ascii="Arial Narrow" w:eastAsiaTheme="majorEastAsia" w:hAnsi="Arial Narrow" w:cstheme="majorBidi"/>
                <w:b/>
                <w:sz w:val="20"/>
                <w:szCs w:val="20"/>
              </w:rPr>
              <w:t>Patients with any AE</w:t>
            </w:r>
          </w:p>
        </w:tc>
      </w:tr>
      <w:tr w:rsidR="00034A31" w:rsidRPr="00F91CC3" w14:paraId="0C0597E6" w14:textId="77777777" w:rsidTr="002A2AB2">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14:paraId="739FB4DC"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Study 110</w:t>
            </w:r>
          </w:p>
        </w:tc>
        <w:tc>
          <w:tcPr>
            <w:tcW w:w="634" w:type="pct"/>
            <w:gridSpan w:val="2"/>
            <w:tcBorders>
              <w:top w:val="single" w:sz="4" w:space="0" w:color="auto"/>
              <w:left w:val="single" w:sz="4" w:space="0" w:color="auto"/>
              <w:bottom w:val="single" w:sz="4" w:space="0" w:color="auto"/>
              <w:right w:val="single" w:sz="4" w:space="0" w:color="auto"/>
            </w:tcBorders>
            <w:vAlign w:val="center"/>
          </w:tcPr>
          <w:p w14:paraId="50EA4246"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inorHAnsi"/>
                <w:bCs/>
                <w:sz w:val="20"/>
              </w:rPr>
              <w:t>32 (94.1)</w:t>
            </w:r>
          </w:p>
        </w:tc>
        <w:tc>
          <w:tcPr>
            <w:tcW w:w="708" w:type="pct"/>
            <w:gridSpan w:val="2"/>
            <w:tcBorders>
              <w:top w:val="single" w:sz="4" w:space="0" w:color="auto"/>
              <w:left w:val="single" w:sz="4" w:space="0" w:color="auto"/>
              <w:bottom w:val="single" w:sz="4" w:space="0" w:color="auto"/>
              <w:right w:val="single" w:sz="4" w:space="0" w:color="auto"/>
            </w:tcBorders>
            <w:vAlign w:val="center"/>
          </w:tcPr>
          <w:p w14:paraId="45FD5610"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inorHAnsi"/>
                <w:bCs/>
                <w:sz w:val="20"/>
              </w:rPr>
              <w:t>35 (100.0)</w:t>
            </w:r>
          </w:p>
        </w:tc>
        <w:tc>
          <w:tcPr>
            <w:tcW w:w="847" w:type="pct"/>
            <w:gridSpan w:val="3"/>
            <w:tcBorders>
              <w:top w:val="single" w:sz="4" w:space="0" w:color="auto"/>
              <w:left w:val="single" w:sz="4" w:space="0" w:color="auto"/>
              <w:bottom w:val="single" w:sz="4" w:space="0" w:color="auto"/>
              <w:right w:val="single" w:sz="4" w:space="0" w:color="auto"/>
            </w:tcBorders>
            <w:vAlign w:val="center"/>
          </w:tcPr>
          <w:p w14:paraId="22DB8D77" w14:textId="77777777" w:rsidR="00034A31" w:rsidRPr="00F91CC3" w:rsidRDefault="00034A31" w:rsidP="00034A31">
            <w:pPr>
              <w:keepNext/>
              <w:jc w:val="center"/>
              <w:rPr>
                <w:rFonts w:ascii="Arial Narrow" w:eastAsiaTheme="majorEastAsia" w:hAnsi="Arial Narrow"/>
                <w:bCs/>
                <w:sz w:val="20"/>
                <w:szCs w:val="20"/>
              </w:rPr>
            </w:pPr>
            <w:r w:rsidRPr="00F91CC3">
              <w:rPr>
                <w:rFonts w:ascii="Arial Narrow" w:eastAsiaTheme="majorEastAsia" w:hAnsi="Arial Narrow"/>
                <w:bCs/>
                <w:sz w:val="20"/>
                <w:szCs w:val="20"/>
              </w:rPr>
              <w:t>0.94 (0.87,1.03)</w:t>
            </w:r>
          </w:p>
        </w:tc>
        <w:tc>
          <w:tcPr>
            <w:tcW w:w="708" w:type="pct"/>
            <w:gridSpan w:val="2"/>
            <w:tcBorders>
              <w:top w:val="single" w:sz="4" w:space="0" w:color="auto"/>
              <w:left w:val="single" w:sz="4" w:space="0" w:color="auto"/>
              <w:bottom w:val="single" w:sz="4" w:space="0" w:color="auto"/>
              <w:right w:val="single" w:sz="4" w:space="0" w:color="auto"/>
            </w:tcBorders>
            <w:vAlign w:val="center"/>
          </w:tcPr>
          <w:p w14:paraId="5BCEC60D"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94</w:t>
            </w:r>
          </w:p>
        </w:tc>
        <w:tc>
          <w:tcPr>
            <w:tcW w:w="692" w:type="pct"/>
            <w:gridSpan w:val="2"/>
            <w:tcBorders>
              <w:top w:val="single" w:sz="4" w:space="0" w:color="auto"/>
              <w:left w:val="single" w:sz="4" w:space="0" w:color="auto"/>
              <w:bottom w:val="single" w:sz="4" w:space="0" w:color="auto"/>
              <w:right w:val="single" w:sz="4" w:space="0" w:color="auto"/>
            </w:tcBorders>
            <w:vAlign w:val="center"/>
          </w:tcPr>
          <w:p w14:paraId="2690C6ED"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100</w:t>
            </w:r>
          </w:p>
        </w:tc>
        <w:tc>
          <w:tcPr>
            <w:tcW w:w="774" w:type="pct"/>
            <w:tcBorders>
              <w:top w:val="single" w:sz="4" w:space="0" w:color="auto"/>
              <w:left w:val="single" w:sz="4" w:space="0" w:color="auto"/>
              <w:bottom w:val="single" w:sz="4" w:space="0" w:color="auto"/>
              <w:right w:val="single" w:sz="4" w:space="0" w:color="auto"/>
            </w:tcBorders>
            <w:vAlign w:val="center"/>
          </w:tcPr>
          <w:p w14:paraId="1B2C42A6" w14:textId="77777777" w:rsidR="00034A31" w:rsidRPr="00F91CC3" w:rsidRDefault="00034A31" w:rsidP="00034A31">
            <w:pPr>
              <w:keepNext/>
              <w:jc w:val="center"/>
              <w:rPr>
                <w:rFonts w:ascii="Arial Narrow" w:eastAsiaTheme="majorEastAsia" w:hAnsi="Arial Narrow"/>
                <w:bCs/>
                <w:sz w:val="20"/>
                <w:szCs w:val="20"/>
              </w:rPr>
            </w:pPr>
            <w:r w:rsidRPr="00F91CC3">
              <w:rPr>
                <w:rFonts w:ascii="Arial Narrow" w:eastAsiaTheme="majorEastAsia" w:hAnsi="Arial Narrow"/>
                <w:bCs/>
                <w:sz w:val="20"/>
                <w:szCs w:val="20"/>
              </w:rPr>
              <w:t>-0.06 (-0.06,0.02)</w:t>
            </w:r>
          </w:p>
        </w:tc>
      </w:tr>
      <w:tr w:rsidR="00034A31" w:rsidRPr="00F91CC3" w14:paraId="37375E25" w14:textId="77777777" w:rsidTr="002A2AB2">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DA111DE" w14:textId="77777777" w:rsidR="00034A31" w:rsidRPr="00F91CC3" w:rsidRDefault="00034A31" w:rsidP="00034A31">
            <w:pPr>
              <w:keepNext/>
              <w:jc w:val="left"/>
              <w:rPr>
                <w:rFonts w:ascii="Arial Narrow" w:eastAsiaTheme="majorEastAsia" w:hAnsi="Arial Narrow"/>
                <w:b/>
                <w:bCs/>
                <w:sz w:val="20"/>
                <w:szCs w:val="20"/>
              </w:rPr>
            </w:pPr>
            <w:r w:rsidRPr="00F91CC3">
              <w:rPr>
                <w:rFonts w:ascii="Arial Narrow" w:eastAsiaTheme="majorEastAsia" w:hAnsi="Arial Narrow" w:cstheme="majorBidi"/>
                <w:b/>
                <w:sz w:val="20"/>
              </w:rPr>
              <w:t>Related AE</w:t>
            </w:r>
          </w:p>
        </w:tc>
      </w:tr>
      <w:tr w:rsidR="00034A31" w:rsidRPr="00F91CC3" w14:paraId="635339B2" w14:textId="77777777" w:rsidTr="002A2AB2">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14:paraId="62238BE1"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 xml:space="preserve">Study 110 </w:t>
            </w:r>
          </w:p>
        </w:tc>
        <w:tc>
          <w:tcPr>
            <w:tcW w:w="634" w:type="pct"/>
            <w:gridSpan w:val="2"/>
            <w:tcBorders>
              <w:top w:val="single" w:sz="4" w:space="0" w:color="auto"/>
              <w:left w:val="single" w:sz="4" w:space="0" w:color="auto"/>
              <w:bottom w:val="single" w:sz="4" w:space="0" w:color="auto"/>
              <w:right w:val="single" w:sz="4" w:space="0" w:color="auto"/>
            </w:tcBorders>
            <w:vAlign w:val="center"/>
          </w:tcPr>
          <w:p w14:paraId="08BA19CC"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3 (8.8)</w:t>
            </w:r>
          </w:p>
        </w:tc>
        <w:tc>
          <w:tcPr>
            <w:tcW w:w="708" w:type="pct"/>
            <w:gridSpan w:val="2"/>
            <w:tcBorders>
              <w:top w:val="single" w:sz="4" w:space="0" w:color="auto"/>
              <w:left w:val="single" w:sz="4" w:space="0" w:color="auto"/>
              <w:bottom w:val="single" w:sz="4" w:space="0" w:color="auto"/>
              <w:right w:val="single" w:sz="4" w:space="0" w:color="auto"/>
            </w:tcBorders>
            <w:vAlign w:val="center"/>
          </w:tcPr>
          <w:p w14:paraId="667C5F87"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7 (20.0)</w:t>
            </w:r>
          </w:p>
        </w:tc>
        <w:tc>
          <w:tcPr>
            <w:tcW w:w="847" w:type="pct"/>
            <w:gridSpan w:val="3"/>
            <w:tcBorders>
              <w:top w:val="single" w:sz="4" w:space="0" w:color="auto"/>
              <w:left w:val="single" w:sz="4" w:space="0" w:color="auto"/>
              <w:bottom w:val="single" w:sz="4" w:space="0" w:color="auto"/>
              <w:right w:val="single" w:sz="4" w:space="0" w:color="auto"/>
            </w:tcBorders>
            <w:vAlign w:val="center"/>
          </w:tcPr>
          <w:p w14:paraId="4C69B5A1" w14:textId="77777777" w:rsidR="00034A31" w:rsidRPr="00F91CC3" w:rsidRDefault="00034A31" w:rsidP="00034A31">
            <w:pPr>
              <w:keepNext/>
              <w:jc w:val="center"/>
              <w:rPr>
                <w:rFonts w:ascii="Arial Narrow" w:eastAsiaTheme="majorEastAsia" w:hAnsi="Arial Narrow"/>
                <w:bCs/>
                <w:sz w:val="20"/>
                <w:szCs w:val="20"/>
              </w:rPr>
            </w:pPr>
            <w:r w:rsidRPr="00F91CC3">
              <w:rPr>
                <w:rFonts w:ascii="Arial Narrow" w:eastAsiaTheme="majorEastAsia" w:hAnsi="Arial Narrow"/>
                <w:bCs/>
                <w:sz w:val="20"/>
                <w:szCs w:val="20"/>
              </w:rPr>
              <w:t>0.44 (0.12,1.57)</w:t>
            </w:r>
          </w:p>
        </w:tc>
        <w:tc>
          <w:tcPr>
            <w:tcW w:w="708" w:type="pct"/>
            <w:gridSpan w:val="2"/>
            <w:tcBorders>
              <w:top w:val="single" w:sz="4" w:space="0" w:color="auto"/>
              <w:left w:val="single" w:sz="4" w:space="0" w:color="auto"/>
              <w:bottom w:val="single" w:sz="4" w:space="0" w:color="auto"/>
              <w:right w:val="single" w:sz="4" w:space="0" w:color="auto"/>
            </w:tcBorders>
            <w:vAlign w:val="center"/>
          </w:tcPr>
          <w:p w14:paraId="0E69B76F"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9</w:t>
            </w:r>
          </w:p>
        </w:tc>
        <w:tc>
          <w:tcPr>
            <w:tcW w:w="692" w:type="pct"/>
            <w:gridSpan w:val="2"/>
            <w:tcBorders>
              <w:top w:val="single" w:sz="4" w:space="0" w:color="auto"/>
              <w:left w:val="single" w:sz="4" w:space="0" w:color="auto"/>
              <w:bottom w:val="single" w:sz="4" w:space="0" w:color="auto"/>
              <w:right w:val="single" w:sz="4" w:space="0" w:color="auto"/>
            </w:tcBorders>
            <w:vAlign w:val="center"/>
          </w:tcPr>
          <w:p w14:paraId="08AEDDEB" w14:textId="77777777" w:rsidR="00034A31" w:rsidRPr="00F91CC3" w:rsidRDefault="00034A31" w:rsidP="00034A31">
            <w:pPr>
              <w:keepNext/>
              <w:jc w:val="center"/>
              <w:rPr>
                <w:rFonts w:ascii="Arial Narrow" w:eastAsiaTheme="majorEastAsia" w:hAnsi="Arial Narrow" w:cstheme="majorBidi"/>
                <w:bCs/>
                <w:sz w:val="20"/>
              </w:rPr>
            </w:pPr>
            <w:r w:rsidRPr="00F91CC3">
              <w:rPr>
                <w:rFonts w:ascii="Arial Narrow" w:eastAsiaTheme="majorEastAsia" w:hAnsi="Arial Narrow" w:cstheme="majorBidi"/>
                <w:bCs/>
                <w:sz w:val="20"/>
              </w:rPr>
              <w:t>20</w:t>
            </w:r>
          </w:p>
        </w:tc>
        <w:tc>
          <w:tcPr>
            <w:tcW w:w="774" w:type="pct"/>
            <w:tcBorders>
              <w:top w:val="single" w:sz="4" w:space="0" w:color="auto"/>
              <w:left w:val="single" w:sz="4" w:space="0" w:color="auto"/>
              <w:bottom w:val="single" w:sz="4" w:space="0" w:color="auto"/>
              <w:right w:val="single" w:sz="4" w:space="0" w:color="auto"/>
            </w:tcBorders>
            <w:vAlign w:val="center"/>
          </w:tcPr>
          <w:p w14:paraId="37842383" w14:textId="77777777" w:rsidR="00034A31" w:rsidRPr="00F91CC3" w:rsidRDefault="00034A31" w:rsidP="00034A31">
            <w:pPr>
              <w:keepNext/>
              <w:jc w:val="center"/>
              <w:rPr>
                <w:rFonts w:ascii="Arial Narrow" w:eastAsiaTheme="majorEastAsia" w:hAnsi="Arial Narrow"/>
                <w:bCs/>
                <w:sz w:val="20"/>
                <w:szCs w:val="20"/>
              </w:rPr>
            </w:pPr>
            <w:r w:rsidRPr="00F91CC3">
              <w:rPr>
                <w:rFonts w:ascii="Arial Narrow" w:eastAsiaTheme="majorEastAsia" w:hAnsi="Arial Narrow"/>
                <w:bCs/>
                <w:sz w:val="20"/>
                <w:szCs w:val="20"/>
              </w:rPr>
              <w:t>-0.11 (-0.27,0.05)</w:t>
            </w:r>
          </w:p>
        </w:tc>
      </w:tr>
    </w:tbl>
    <w:p w14:paraId="0AD94B17" w14:textId="77777777" w:rsidR="00034A31" w:rsidRPr="00F91CC3" w:rsidRDefault="00034A31" w:rsidP="00034A31">
      <w:pPr>
        <w:spacing w:after="120"/>
        <w:contextualSpacing/>
        <w:rPr>
          <w:rFonts w:ascii="Arial Narrow" w:hAnsi="Arial Narrow"/>
          <w:snapToGrid w:val="0"/>
          <w:sz w:val="18"/>
          <w:szCs w:val="22"/>
        </w:rPr>
      </w:pPr>
      <w:r w:rsidRPr="00F91CC3">
        <w:rPr>
          <w:rFonts w:ascii="Arial Narrow" w:hAnsi="Arial Narrow"/>
          <w:snapToGrid w:val="0"/>
          <w:sz w:val="18"/>
          <w:szCs w:val="22"/>
        </w:rPr>
        <w:t xml:space="preserve">Source: Study 108: Table 2.7.36 p168; Table 2.7.44 p175; Study 110: Table 2.4.8 p92; Table 2.4.11 p94; of the submission. </w:t>
      </w:r>
    </w:p>
    <w:p w14:paraId="4D227AA3" w14:textId="2204ABB0" w:rsidR="00034A31" w:rsidRPr="00F91CC3" w:rsidRDefault="00034A31" w:rsidP="00034A31">
      <w:pPr>
        <w:spacing w:after="120"/>
        <w:contextualSpacing/>
        <w:rPr>
          <w:rFonts w:ascii="Arial Narrow" w:hAnsi="Arial Narrow"/>
          <w:snapToGrid w:val="0"/>
          <w:sz w:val="18"/>
          <w:szCs w:val="22"/>
        </w:rPr>
      </w:pPr>
      <w:r w:rsidRPr="00F91CC3">
        <w:rPr>
          <w:rFonts w:ascii="Arial Narrow" w:hAnsi="Arial Narrow"/>
          <w:snapToGrid w:val="0"/>
          <w:sz w:val="18"/>
          <w:szCs w:val="22"/>
        </w:rPr>
        <w:t>AE = adverse event; CI = confidence interval; N = number of patients; NR = not reported; PBO = placebo; ppFEV1 = percent predicted forced expiratory volume in 1 second; RD = risk difference; RR = relative risk; SE = standard error.</w:t>
      </w:r>
    </w:p>
    <w:p w14:paraId="283B55DB" w14:textId="77777777" w:rsidR="00D738D1" w:rsidRPr="00F91CC3" w:rsidRDefault="00D738D1" w:rsidP="00034A31">
      <w:pPr>
        <w:spacing w:after="120"/>
        <w:contextualSpacing/>
        <w:rPr>
          <w:rFonts w:ascii="Arial Narrow" w:hAnsi="Arial Narrow"/>
          <w:snapToGrid w:val="0"/>
          <w:sz w:val="18"/>
          <w:szCs w:val="22"/>
        </w:rPr>
      </w:pPr>
    </w:p>
    <w:p w14:paraId="67A38686" w14:textId="7D232996" w:rsidR="000A0645" w:rsidRPr="00F91CC3" w:rsidRDefault="000A0645">
      <w:pPr>
        <w:jc w:val="left"/>
        <w:rPr>
          <w:rFonts w:asciiTheme="minorHAnsi" w:eastAsiaTheme="majorEastAsia" w:hAnsiTheme="minorHAnsi" w:cstheme="majorBidi"/>
          <w:b/>
          <w:i/>
          <w:spacing w:val="5"/>
          <w:kern w:val="28"/>
          <w:sz w:val="28"/>
          <w:szCs w:val="36"/>
        </w:rPr>
      </w:pPr>
      <w:bookmarkStart w:id="53" w:name="_Toc145484396"/>
      <w:r w:rsidRPr="00F91CC3">
        <w:rPr>
          <w:rFonts w:asciiTheme="minorHAnsi" w:eastAsiaTheme="majorEastAsia" w:hAnsiTheme="minorHAnsi" w:cstheme="majorBidi"/>
          <w:b/>
          <w:i/>
          <w:spacing w:val="5"/>
          <w:kern w:val="28"/>
          <w:sz w:val="28"/>
          <w:szCs w:val="36"/>
        </w:rPr>
        <w:br w:type="page"/>
      </w:r>
    </w:p>
    <w:p w14:paraId="3EC78B6B" w14:textId="486862CF" w:rsidR="00034A31" w:rsidRPr="00F91CC3" w:rsidRDefault="00034A31" w:rsidP="00034A31">
      <w:pPr>
        <w:keepNext/>
        <w:spacing w:before="120" w:after="120"/>
        <w:outlineLvl w:val="1"/>
        <w:rPr>
          <w:rFonts w:asciiTheme="minorHAnsi" w:eastAsiaTheme="majorEastAsia" w:hAnsiTheme="minorHAnsi" w:cstheme="majorBidi"/>
          <w:b/>
          <w:i/>
          <w:spacing w:val="5"/>
          <w:kern w:val="28"/>
          <w:sz w:val="28"/>
          <w:szCs w:val="36"/>
        </w:rPr>
      </w:pPr>
      <w:r w:rsidRPr="00F91CC3">
        <w:rPr>
          <w:rFonts w:asciiTheme="minorHAnsi" w:eastAsiaTheme="majorEastAsia" w:hAnsiTheme="minorHAnsi" w:cstheme="majorBidi"/>
          <w:b/>
          <w:i/>
          <w:spacing w:val="5"/>
          <w:kern w:val="28"/>
          <w:sz w:val="28"/>
          <w:szCs w:val="36"/>
        </w:rPr>
        <w:lastRenderedPageBreak/>
        <w:t>Clinical claim</w:t>
      </w:r>
      <w:bookmarkEnd w:id="53"/>
    </w:p>
    <w:p w14:paraId="083C574C" w14:textId="77777777" w:rsidR="00034A31" w:rsidRPr="00F07396" w:rsidRDefault="00034A31" w:rsidP="00F07396">
      <w:pPr>
        <w:pStyle w:val="Heading3"/>
        <w:rPr>
          <w:rFonts w:asciiTheme="minorHAnsi" w:hAnsiTheme="minorHAnsi"/>
          <w:b/>
          <w:bCs/>
          <w:iCs/>
          <w:snapToGrid w:val="0"/>
          <w:u w:val="none"/>
        </w:rPr>
      </w:pPr>
      <w:r w:rsidRPr="00F07396">
        <w:rPr>
          <w:rFonts w:asciiTheme="minorHAnsi" w:hAnsiTheme="minorHAnsi"/>
          <w:b/>
          <w:bCs/>
          <w:iCs/>
          <w:snapToGrid w:val="0"/>
          <w:u w:val="none"/>
        </w:rPr>
        <w:t>Gating population</w:t>
      </w:r>
    </w:p>
    <w:p w14:paraId="0DEDC6C5" w14:textId="6E3120A3" w:rsidR="00034A31" w:rsidRPr="00F91CC3" w:rsidRDefault="00034A31" w:rsidP="00034A31">
      <w:pPr>
        <w:numPr>
          <w:ilvl w:val="1"/>
          <w:numId w:val="1"/>
        </w:numPr>
        <w:spacing w:after="120"/>
        <w:rPr>
          <w:rFonts w:asciiTheme="minorHAnsi" w:hAnsiTheme="minorHAnsi"/>
          <w:iCs/>
          <w:snapToGrid w:val="0"/>
          <w:color w:val="0066FF"/>
        </w:rPr>
      </w:pPr>
      <w:r w:rsidRPr="00F91CC3">
        <w:rPr>
          <w:rFonts w:asciiTheme="minorHAnsi" w:hAnsiTheme="minorHAnsi"/>
        </w:rPr>
        <w:t>The submission made a clinical claim that ivacaftor plus BSC is superior in terms of efficacy and comparable in terms of safety relative to BSC alone in patients aged 4 months or older with a gating (</w:t>
      </w:r>
      <w:r w:rsidR="00D738D1" w:rsidRPr="00F91CC3">
        <w:rPr>
          <w:rFonts w:asciiTheme="minorHAnsi" w:hAnsiTheme="minorHAnsi"/>
        </w:rPr>
        <w:t>C</w:t>
      </w:r>
      <w:r w:rsidRPr="00F91CC3">
        <w:rPr>
          <w:rFonts w:asciiTheme="minorHAnsi" w:hAnsiTheme="minorHAnsi"/>
        </w:rPr>
        <w:t>lass III) mutation.</w:t>
      </w:r>
      <w:r w:rsidRPr="00F91CC3">
        <w:rPr>
          <w:rFonts w:asciiTheme="minorHAnsi" w:hAnsiTheme="minorHAnsi"/>
          <w:i/>
        </w:rPr>
        <w:t xml:space="preserve"> </w:t>
      </w:r>
      <w:r w:rsidRPr="00F91CC3">
        <w:rPr>
          <w:rFonts w:asciiTheme="minorHAnsi" w:hAnsiTheme="minorHAnsi"/>
          <w:iCs/>
        </w:rPr>
        <w:t xml:space="preserve">Study 124 was a single arm study and therefore it did not provide comparative evidence against BSC. </w:t>
      </w:r>
      <w:r w:rsidRPr="00F91CC3">
        <w:rPr>
          <w:bCs/>
          <w:iCs/>
          <w:snapToGrid w:val="0"/>
        </w:rPr>
        <w:t xml:space="preserve">The submission did not compare the incremental benefit of commencing ivacaftor at 4 months with commencement of CFTR modulator(s) at a later age. </w:t>
      </w:r>
      <w:r w:rsidRPr="00F91CC3">
        <w:rPr>
          <w:rFonts w:asciiTheme="minorHAnsi" w:hAnsiTheme="minorHAnsi"/>
          <w:iCs/>
          <w:snapToGrid w:val="0"/>
        </w:rPr>
        <w:t>Overall, the benefits of treatment with ivacaftor demonstrated by Study 124 should be interpreted with caution due to the small size of the study (n=17), short duration of follow up and the absence of a control group.</w:t>
      </w:r>
    </w:p>
    <w:p w14:paraId="75EF23F8" w14:textId="77777777" w:rsidR="00034A31" w:rsidRPr="00F91CC3" w:rsidRDefault="00034A31" w:rsidP="00034A31">
      <w:pPr>
        <w:numPr>
          <w:ilvl w:val="1"/>
          <w:numId w:val="1"/>
        </w:numPr>
        <w:spacing w:after="120"/>
        <w:rPr>
          <w:rFonts w:asciiTheme="minorHAnsi" w:hAnsiTheme="minorHAnsi"/>
          <w:snapToGrid w:val="0"/>
          <w:color w:val="0066FF"/>
        </w:rPr>
      </w:pPr>
      <w:r w:rsidRPr="00F91CC3">
        <w:rPr>
          <w:rFonts w:asciiTheme="minorHAnsi" w:hAnsiTheme="minorHAnsi" w:cstheme="minorHAnsi"/>
          <w:snapToGrid w:val="0"/>
        </w:rPr>
        <w:t>The submission claimed the reduction in SwCl seen in Study 124 was</w:t>
      </w:r>
      <w:r w:rsidRPr="00F91CC3">
        <w:rPr>
          <w:rFonts w:asciiTheme="minorHAnsi" w:hAnsiTheme="minorHAnsi"/>
          <w:snapToGrid w:val="0"/>
        </w:rPr>
        <w:t xml:space="preserve"> indicative of treatment effect</w:t>
      </w:r>
      <w:r w:rsidRPr="00F91CC3">
        <w:rPr>
          <w:rFonts w:asciiTheme="minorHAnsi" w:hAnsiTheme="minorHAnsi" w:cstheme="minorHAnsi"/>
          <w:snapToGrid w:val="0"/>
        </w:rPr>
        <w:t xml:space="preserve">, and was similar to that seen in the 2 to 5 year old population. </w:t>
      </w:r>
      <w:r w:rsidRPr="00F91CC3">
        <w:rPr>
          <w:rFonts w:asciiTheme="minorHAnsi" w:hAnsiTheme="minorHAnsi"/>
          <w:iCs/>
        </w:rPr>
        <w:t>The prognostic impact of the improvement in SwCl in terms of patient survival and quality of life was not addressed.</w:t>
      </w:r>
    </w:p>
    <w:p w14:paraId="7243C7F8" w14:textId="17BB7E3A" w:rsidR="00034A31" w:rsidRPr="00F91CC3" w:rsidRDefault="00034A31" w:rsidP="00034A31">
      <w:pPr>
        <w:numPr>
          <w:ilvl w:val="1"/>
          <w:numId w:val="1"/>
        </w:numPr>
        <w:spacing w:after="120"/>
        <w:rPr>
          <w:rFonts w:asciiTheme="minorHAnsi" w:hAnsiTheme="minorHAnsi"/>
          <w:iCs/>
          <w:color w:val="0066FF"/>
        </w:rPr>
      </w:pPr>
      <w:r w:rsidRPr="00F91CC3">
        <w:rPr>
          <w:rFonts w:asciiTheme="minorHAnsi" w:hAnsiTheme="minorHAnsi"/>
          <w:iCs/>
        </w:rPr>
        <w:t>The PBAC has previously considered a reduction in SwCl as evidence of biological activity (paragraph 6.22, ivacaftor PSD, March 2019 PBAC meeting) for CFTR modulators in the treatment of patients with CF. In the absence of ppFEV</w:t>
      </w:r>
      <w:r w:rsidRPr="00F91CC3">
        <w:rPr>
          <w:rFonts w:asciiTheme="minorHAnsi" w:hAnsiTheme="minorHAnsi"/>
          <w:iCs/>
          <w:vertAlign w:val="subscript"/>
        </w:rPr>
        <w:t>1</w:t>
      </w:r>
      <w:r w:rsidRPr="00F91CC3">
        <w:rPr>
          <w:rFonts w:asciiTheme="minorHAnsi" w:hAnsiTheme="minorHAnsi"/>
          <w:iCs/>
        </w:rPr>
        <w:t xml:space="preserve"> results, the PBAC has previously considered the comparative improvements in SwCl in the 1 to 2 years cohort, in relation to older age cohorts, as an uncertain but plausible measure of effectiveness (paragraph 6.22, ivacaftor, PSD, March 2019 PBAC meeting).</w:t>
      </w:r>
      <w:r w:rsidR="00E57F92" w:rsidRPr="00F91CC3">
        <w:rPr>
          <w:rFonts w:asciiTheme="minorHAnsi" w:hAnsiTheme="minorHAnsi"/>
          <w:iCs/>
          <w:snapToGrid w:val="0"/>
        </w:rPr>
        <w:t>T</w:t>
      </w:r>
      <w:r w:rsidR="00D72AE3" w:rsidRPr="00F91CC3">
        <w:rPr>
          <w:rFonts w:asciiTheme="minorHAnsi" w:hAnsiTheme="minorHAnsi"/>
          <w:iCs/>
          <w:snapToGrid w:val="0"/>
        </w:rPr>
        <w:t xml:space="preserve">he evaluation considered </w:t>
      </w:r>
      <w:r w:rsidRPr="00F91CC3">
        <w:rPr>
          <w:rFonts w:asciiTheme="minorHAnsi" w:hAnsiTheme="minorHAnsi"/>
          <w:iCs/>
          <w:snapToGrid w:val="0"/>
        </w:rPr>
        <w:t>it would appear reasonable that the same interpretation of the clinical claim applied to older cohorts in the gating mutation population is applicable to the consideration of the evidence provided in this submission and applied to the use of ivacaftor in the 4 to &lt;12 months age group for the gating population.</w:t>
      </w:r>
      <w:r w:rsidR="00D72AE3" w:rsidRPr="00F91CC3">
        <w:rPr>
          <w:rFonts w:asciiTheme="minorHAnsi" w:hAnsiTheme="minorHAnsi"/>
          <w:iCs/>
          <w:snapToGrid w:val="0"/>
        </w:rPr>
        <w:t xml:space="preserve"> The ESC considered the clinical benefit of starting ivacaftor at 4 months of age compared to starting ivacaftor at 1 year of age and transitioning to ELX/TEZ/IVA at 6 years of age (for some patients with a gating mutation) remained uncertain.</w:t>
      </w:r>
    </w:p>
    <w:p w14:paraId="2D5B5E12" w14:textId="211B3665" w:rsidR="00034A31" w:rsidRPr="00F07396" w:rsidRDefault="00C64B74" w:rsidP="00F07396">
      <w:pPr>
        <w:pStyle w:val="Heading3"/>
        <w:rPr>
          <w:rFonts w:asciiTheme="minorHAnsi" w:hAnsiTheme="minorHAnsi"/>
          <w:b/>
          <w:bCs/>
          <w:iCs/>
          <w:snapToGrid w:val="0"/>
          <w:u w:val="none"/>
        </w:rPr>
      </w:pPr>
      <w:r w:rsidRPr="00F07396">
        <w:rPr>
          <w:rFonts w:asciiTheme="minorHAnsi" w:hAnsiTheme="minorHAnsi"/>
          <w:b/>
          <w:bCs/>
          <w:iCs/>
          <w:snapToGrid w:val="0"/>
          <w:u w:val="none"/>
        </w:rPr>
        <w:t xml:space="preserve">R117H </w:t>
      </w:r>
      <w:r w:rsidR="00080AFA" w:rsidRPr="00F07396">
        <w:rPr>
          <w:rFonts w:asciiTheme="minorHAnsi" w:hAnsiTheme="minorHAnsi"/>
          <w:b/>
          <w:bCs/>
          <w:iCs/>
          <w:snapToGrid w:val="0"/>
          <w:u w:val="none"/>
        </w:rPr>
        <w:t>or non-splice</w:t>
      </w:r>
      <w:r w:rsidRPr="00F07396">
        <w:rPr>
          <w:rFonts w:asciiTheme="minorHAnsi" w:hAnsiTheme="minorHAnsi"/>
          <w:b/>
          <w:bCs/>
          <w:iCs/>
          <w:snapToGrid w:val="0"/>
          <w:u w:val="none"/>
        </w:rPr>
        <w:t xml:space="preserve"> RF </w:t>
      </w:r>
      <w:r w:rsidR="00985DEF" w:rsidRPr="00F07396">
        <w:rPr>
          <w:rFonts w:asciiTheme="minorHAnsi" w:hAnsiTheme="minorHAnsi"/>
          <w:b/>
          <w:bCs/>
          <w:iCs/>
          <w:snapToGrid w:val="0"/>
          <w:u w:val="none"/>
        </w:rPr>
        <w:t>population</w:t>
      </w:r>
    </w:p>
    <w:p w14:paraId="25349E73" w14:textId="23C95636" w:rsidR="00034A31" w:rsidRPr="00F91CC3" w:rsidRDefault="00034A31" w:rsidP="00034A31">
      <w:pPr>
        <w:numPr>
          <w:ilvl w:val="1"/>
          <w:numId w:val="1"/>
        </w:numPr>
        <w:spacing w:after="120"/>
        <w:rPr>
          <w:rFonts w:asciiTheme="minorHAnsi" w:eastAsia="Calibri" w:hAnsiTheme="minorHAnsi"/>
          <w:iCs/>
          <w:snapToGrid w:val="0"/>
        </w:rPr>
      </w:pPr>
      <w:r w:rsidRPr="00F91CC3">
        <w:rPr>
          <w:rFonts w:asciiTheme="minorHAnsi" w:eastAsia="Calibri" w:hAnsiTheme="minorHAnsi"/>
          <w:iCs/>
          <w:snapToGrid w:val="0"/>
        </w:rPr>
        <w:t xml:space="preserve">Overall, the claim presented by the submission of superior efficacy of ivacaftor compared to BSC in the </w:t>
      </w:r>
      <w:r w:rsidR="00985DEF" w:rsidRPr="00F91CC3">
        <w:rPr>
          <w:rFonts w:asciiTheme="minorHAnsi" w:eastAsia="Calibri" w:hAnsiTheme="minorHAnsi"/>
          <w:iCs/>
          <w:snapToGrid w:val="0"/>
        </w:rPr>
        <w:t>R117H and non-splice RF</w:t>
      </w:r>
      <w:r w:rsidRPr="00F91CC3">
        <w:rPr>
          <w:rFonts w:asciiTheme="minorHAnsi" w:eastAsia="Calibri" w:hAnsiTheme="minorHAnsi"/>
          <w:iCs/>
          <w:snapToGrid w:val="0"/>
        </w:rPr>
        <w:t xml:space="preserve"> population was not well supported by the evidence due to the requested age group not being aligned with the trial population’s age groups, small study sample sizes (Study 110, Study 112, Study 113, Study 127), short duration of follow up (Study 110, Study 113, Study 127, Study 108), lack of comparator for all or some outcomes (Study 112 and Study 113), cohort attrition and missing data (Study 128), and lack of statistical significance in the reporting of several outcomes.</w:t>
      </w:r>
    </w:p>
    <w:p w14:paraId="6EAF674F" w14:textId="3CBC7B9A" w:rsidR="00034A31" w:rsidRPr="00F91CC3" w:rsidRDefault="00034A31" w:rsidP="00034A31">
      <w:pPr>
        <w:numPr>
          <w:ilvl w:val="1"/>
          <w:numId w:val="1"/>
        </w:numPr>
        <w:spacing w:after="120"/>
        <w:rPr>
          <w:rFonts w:asciiTheme="minorHAnsi" w:eastAsia="Calibri" w:hAnsiTheme="minorHAnsi"/>
          <w:snapToGrid w:val="0"/>
        </w:rPr>
      </w:pPr>
      <w:r w:rsidRPr="00F91CC3">
        <w:rPr>
          <w:rFonts w:asciiTheme="minorHAnsi" w:eastAsia="Calibri" w:hAnsiTheme="minorHAnsi"/>
          <w:snapToGrid w:val="0"/>
        </w:rPr>
        <w:t xml:space="preserve">Study 113, Study 127 and Study 108 included patients with a splice mutation which is not part of the TGA regulatory approval. </w:t>
      </w:r>
      <w:r w:rsidRPr="00F91CC3">
        <w:rPr>
          <w:rFonts w:asciiTheme="minorHAnsi" w:hAnsiTheme="minorHAnsi"/>
          <w:snapToGrid w:val="0"/>
        </w:rPr>
        <w:t>Out of the 92 mutations for which this submission is seeking a listing, Study 113 included only 5</w:t>
      </w:r>
      <w:r w:rsidR="00E57F92" w:rsidRPr="00F91CC3">
        <w:rPr>
          <w:rFonts w:asciiTheme="minorHAnsi" w:hAnsiTheme="minorHAnsi"/>
          <w:snapToGrid w:val="0"/>
        </w:rPr>
        <w:t xml:space="preserve"> mutations</w:t>
      </w:r>
      <w:r w:rsidRPr="00F91CC3">
        <w:rPr>
          <w:rFonts w:asciiTheme="minorHAnsi" w:hAnsiTheme="minorHAnsi"/>
          <w:snapToGrid w:val="0"/>
        </w:rPr>
        <w:t xml:space="preserve">, Study 127 included 1, Study 128 included 19. For Study 108, 96 (59.6%) patients had a Class V </w:t>
      </w:r>
      <w:r w:rsidRPr="00F91CC3">
        <w:rPr>
          <w:rFonts w:asciiTheme="minorHAnsi" w:hAnsiTheme="minorHAnsi"/>
          <w:snapToGrid w:val="0"/>
        </w:rPr>
        <w:lastRenderedPageBreak/>
        <w:t>non-canonical splice RF mutation at Period 1, and 65 (40.4%) had a Class II to IV RF mutation. The submission did not report how many of these are represented in the 92 mutations for which it sought listing. Thus, it is not possible to discern the applicability of the results from Study 108 to practice in Australia with respect to mutation status. Overall clinical evidence of in vitro responsive mutations was presented for 25% of the mutations for which this submission is seeking a PBS listing.</w:t>
      </w:r>
    </w:p>
    <w:p w14:paraId="744A7BDE" w14:textId="77777777" w:rsidR="00E57F92" w:rsidRPr="00F91CC3" w:rsidRDefault="00034A31" w:rsidP="00034A31">
      <w:pPr>
        <w:numPr>
          <w:ilvl w:val="1"/>
          <w:numId w:val="1"/>
        </w:numPr>
        <w:spacing w:after="120"/>
        <w:rPr>
          <w:rFonts w:asciiTheme="minorHAnsi" w:eastAsia="Calibri" w:hAnsiTheme="minorHAnsi"/>
          <w:snapToGrid w:val="0"/>
        </w:rPr>
      </w:pPr>
      <w:r w:rsidRPr="00F91CC3">
        <w:rPr>
          <w:rFonts w:asciiTheme="minorHAnsi" w:hAnsiTheme="minorHAnsi" w:cs="Calibri"/>
          <w:snapToGrid w:val="0"/>
          <w:color w:val="000000"/>
        </w:rPr>
        <w:t>Given the aetiology of CF, difficulties in obtaining comparative data in infants with CF, and the results presented for intermediate outcomes (including reduction in SwCl),</w:t>
      </w:r>
      <w:r w:rsidRPr="00F91CC3">
        <w:rPr>
          <w:rFonts w:asciiTheme="minorHAnsi" w:hAnsiTheme="minorHAnsi"/>
          <w:snapToGrid w:val="0"/>
        </w:rPr>
        <w:t xml:space="preserve"> </w:t>
      </w:r>
      <w:r w:rsidR="00D72AE3" w:rsidRPr="00F91CC3">
        <w:rPr>
          <w:rFonts w:asciiTheme="minorHAnsi" w:hAnsiTheme="minorHAnsi"/>
          <w:snapToGrid w:val="0"/>
        </w:rPr>
        <w:t xml:space="preserve">the evaluation considered </w:t>
      </w:r>
      <w:r w:rsidRPr="00F91CC3">
        <w:rPr>
          <w:rFonts w:asciiTheme="minorHAnsi" w:hAnsiTheme="minorHAnsi"/>
          <w:snapToGrid w:val="0"/>
        </w:rPr>
        <w:t xml:space="preserve">it would appear reasonable that the same extrapolation of the clinical and safety claim applied to older cohorts in the R117H mutation population be applicable to the consideration of the evidence provided in this submission and applied to the use of ivacaftor in the </w:t>
      </w:r>
      <w:r w:rsidR="00757CE7" w:rsidRPr="00F91CC3">
        <w:rPr>
          <w:rFonts w:asciiTheme="minorHAnsi" w:hAnsiTheme="minorHAnsi" w:cstheme="minorHAnsi"/>
          <w:snapToGrid w:val="0"/>
        </w:rPr>
        <w:t>≥</w:t>
      </w:r>
      <w:r w:rsidR="00757CE7" w:rsidRPr="00F91CC3">
        <w:rPr>
          <w:rFonts w:asciiTheme="minorHAnsi" w:hAnsiTheme="minorHAnsi"/>
          <w:snapToGrid w:val="0"/>
        </w:rPr>
        <w:t xml:space="preserve"> </w:t>
      </w:r>
      <w:r w:rsidRPr="00F91CC3">
        <w:rPr>
          <w:rFonts w:asciiTheme="minorHAnsi" w:hAnsiTheme="minorHAnsi"/>
          <w:snapToGrid w:val="0"/>
        </w:rPr>
        <w:t>4 to months age group.</w:t>
      </w:r>
    </w:p>
    <w:p w14:paraId="5A1B311E" w14:textId="04CD4146" w:rsidR="00034A31" w:rsidRPr="00F91CC3" w:rsidRDefault="00D72AE3" w:rsidP="00034A31">
      <w:pPr>
        <w:numPr>
          <w:ilvl w:val="1"/>
          <w:numId w:val="1"/>
        </w:numPr>
        <w:spacing w:after="120"/>
        <w:rPr>
          <w:rFonts w:asciiTheme="minorHAnsi" w:eastAsia="Calibri" w:hAnsiTheme="minorHAnsi"/>
          <w:snapToGrid w:val="0"/>
        </w:rPr>
      </w:pPr>
      <w:r w:rsidRPr="00F91CC3">
        <w:rPr>
          <w:rFonts w:asciiTheme="minorHAnsi" w:hAnsiTheme="minorHAnsi"/>
          <w:iCs/>
          <w:snapToGrid w:val="0"/>
        </w:rPr>
        <w:t xml:space="preserve">The ESC considered the clinical benefit of starting ivacaftor at 4 months of age compared to starting ELX/TEZ/IVA at 6 years of age </w:t>
      </w:r>
      <w:r w:rsidR="00E57F92" w:rsidRPr="00F91CC3">
        <w:rPr>
          <w:rFonts w:asciiTheme="minorHAnsi" w:hAnsiTheme="minorHAnsi"/>
          <w:iCs/>
          <w:snapToGrid w:val="0"/>
        </w:rPr>
        <w:t xml:space="preserve">(for the F/R117H population) </w:t>
      </w:r>
      <w:r w:rsidRPr="00F91CC3">
        <w:rPr>
          <w:rFonts w:asciiTheme="minorHAnsi" w:hAnsiTheme="minorHAnsi"/>
          <w:iCs/>
          <w:snapToGrid w:val="0"/>
        </w:rPr>
        <w:t xml:space="preserve">or TEZ/IVA at 12 years of age </w:t>
      </w:r>
      <w:r w:rsidR="00E57F92" w:rsidRPr="00F91CC3">
        <w:rPr>
          <w:rFonts w:asciiTheme="minorHAnsi" w:hAnsiTheme="minorHAnsi"/>
          <w:iCs/>
          <w:snapToGrid w:val="0"/>
        </w:rPr>
        <w:t>(for the non-F/ RF</w:t>
      </w:r>
      <w:r w:rsidR="00C4106C" w:rsidRPr="00F91CC3">
        <w:rPr>
          <w:rFonts w:asciiTheme="minorHAnsi" w:hAnsiTheme="minorHAnsi"/>
          <w:iCs/>
          <w:snapToGrid w:val="0"/>
        </w:rPr>
        <w:t>)</w:t>
      </w:r>
      <w:r w:rsidR="00E57F92" w:rsidRPr="00F91CC3">
        <w:rPr>
          <w:rFonts w:asciiTheme="minorHAnsi" w:hAnsiTheme="minorHAnsi"/>
          <w:iCs/>
          <w:snapToGrid w:val="0"/>
        </w:rPr>
        <w:t xml:space="preserve"> </w:t>
      </w:r>
      <w:r w:rsidRPr="00F91CC3">
        <w:rPr>
          <w:rFonts w:asciiTheme="minorHAnsi" w:hAnsiTheme="minorHAnsi"/>
          <w:iCs/>
          <w:snapToGrid w:val="0"/>
        </w:rPr>
        <w:t xml:space="preserve">remained uncertain. </w:t>
      </w:r>
    </w:p>
    <w:p w14:paraId="603829A2" w14:textId="59D6C325" w:rsidR="00034A31" w:rsidRPr="00F07396" w:rsidRDefault="003710E4" w:rsidP="00F07396">
      <w:pPr>
        <w:pStyle w:val="Heading3"/>
        <w:rPr>
          <w:rFonts w:asciiTheme="minorHAnsi" w:hAnsiTheme="minorHAnsi"/>
          <w:b/>
          <w:bCs/>
          <w:iCs/>
          <w:snapToGrid w:val="0"/>
          <w:u w:val="none"/>
        </w:rPr>
      </w:pPr>
      <w:r w:rsidRPr="00F07396">
        <w:rPr>
          <w:rFonts w:asciiTheme="minorHAnsi" w:hAnsiTheme="minorHAnsi"/>
          <w:b/>
          <w:bCs/>
          <w:iCs/>
          <w:snapToGrid w:val="0"/>
          <w:u w:val="none"/>
        </w:rPr>
        <w:t>IVA-responsive</w:t>
      </w:r>
      <w:r w:rsidR="002B3C95" w:rsidRPr="00F07396">
        <w:rPr>
          <w:rFonts w:asciiTheme="minorHAnsi" w:hAnsiTheme="minorHAnsi"/>
          <w:b/>
          <w:bCs/>
          <w:iCs/>
          <w:snapToGrid w:val="0"/>
          <w:u w:val="none"/>
        </w:rPr>
        <w:t xml:space="preserve"> rare</w:t>
      </w:r>
      <w:r w:rsidRPr="00F07396">
        <w:rPr>
          <w:rFonts w:asciiTheme="minorHAnsi" w:hAnsiTheme="minorHAnsi"/>
          <w:b/>
          <w:bCs/>
          <w:iCs/>
          <w:snapToGrid w:val="0"/>
          <w:u w:val="none"/>
        </w:rPr>
        <w:t xml:space="preserve"> mutation</w:t>
      </w:r>
      <w:r w:rsidR="002B3C95" w:rsidRPr="00F07396">
        <w:rPr>
          <w:rFonts w:asciiTheme="minorHAnsi" w:hAnsiTheme="minorHAnsi"/>
          <w:b/>
          <w:bCs/>
          <w:iCs/>
          <w:snapToGrid w:val="0"/>
          <w:u w:val="none"/>
        </w:rPr>
        <w:t>s</w:t>
      </w:r>
      <w:r w:rsidRPr="00F07396">
        <w:rPr>
          <w:rFonts w:asciiTheme="minorHAnsi" w:hAnsiTheme="minorHAnsi"/>
          <w:b/>
          <w:bCs/>
          <w:iCs/>
          <w:snapToGrid w:val="0"/>
          <w:u w:val="none"/>
        </w:rPr>
        <w:t xml:space="preserve"> population</w:t>
      </w:r>
      <w:r w:rsidR="00034A31" w:rsidRPr="00F07396">
        <w:rPr>
          <w:rFonts w:asciiTheme="minorHAnsi" w:hAnsiTheme="minorHAnsi"/>
          <w:b/>
          <w:bCs/>
          <w:iCs/>
          <w:snapToGrid w:val="0"/>
          <w:u w:val="none"/>
        </w:rPr>
        <w:t xml:space="preserve"> (non-clinical stud</w:t>
      </w:r>
      <w:r w:rsidRPr="00F07396">
        <w:rPr>
          <w:rFonts w:asciiTheme="minorHAnsi" w:hAnsiTheme="minorHAnsi"/>
          <w:b/>
          <w:bCs/>
          <w:iCs/>
          <w:snapToGrid w:val="0"/>
          <w:u w:val="none"/>
        </w:rPr>
        <w:t>ies</w:t>
      </w:r>
      <w:r w:rsidR="00034A31" w:rsidRPr="00F07396">
        <w:rPr>
          <w:rFonts w:asciiTheme="minorHAnsi" w:hAnsiTheme="minorHAnsi"/>
          <w:b/>
          <w:bCs/>
          <w:iCs/>
          <w:snapToGrid w:val="0"/>
          <w:u w:val="none"/>
        </w:rPr>
        <w:t>)</w:t>
      </w:r>
    </w:p>
    <w:p w14:paraId="44835368" w14:textId="77777777" w:rsidR="00D84CFA" w:rsidRPr="00F91CC3" w:rsidRDefault="00034A31" w:rsidP="00034A31">
      <w:pPr>
        <w:numPr>
          <w:ilvl w:val="1"/>
          <w:numId w:val="1"/>
        </w:numPr>
        <w:spacing w:after="120"/>
        <w:rPr>
          <w:rFonts w:asciiTheme="minorHAnsi" w:eastAsia="Calibri" w:hAnsiTheme="minorHAnsi"/>
          <w:iCs/>
          <w:snapToGrid w:val="0"/>
        </w:rPr>
      </w:pPr>
      <w:r w:rsidRPr="00F91CC3">
        <w:rPr>
          <w:rFonts w:asciiTheme="minorHAnsi" w:hAnsiTheme="minorHAnsi"/>
          <w:snapToGrid w:val="0"/>
        </w:rPr>
        <w:t xml:space="preserve">The submission requested ivacaftor be listed for patients who have at least one mutation in the CFTR gene that is responsive to ivacaftor potentiation based on clinical and/or in vitro assay data, listing 92 eligible mutations. </w:t>
      </w:r>
      <w:r w:rsidRPr="00F91CC3">
        <w:rPr>
          <w:rFonts w:asciiTheme="minorHAnsi" w:hAnsiTheme="minorHAnsi"/>
          <w:iCs/>
          <w:snapToGrid w:val="0"/>
        </w:rPr>
        <w:t xml:space="preserve">The submission did not provide robust evidence to support its claim that animal-cell in vitro efficacy would be predictive of clinical benefit in patients across all the mutations for which it sought a PBS listing. The tenuous relationship between FRT in vitro and in vivo efficacy means that there is a risk that ivacaftor may have reduced or absent clinical effectiveness in at least some of the CFTR non-gating mutations requested for PBS listing. The </w:t>
      </w:r>
      <w:r w:rsidR="00606852" w:rsidRPr="00F91CC3">
        <w:rPr>
          <w:rFonts w:asciiTheme="minorHAnsi" w:hAnsiTheme="minorHAnsi"/>
          <w:iCs/>
          <w:snapToGrid w:val="0"/>
        </w:rPr>
        <w:t xml:space="preserve">evaluation considered the </w:t>
      </w:r>
      <w:r w:rsidRPr="00F91CC3">
        <w:rPr>
          <w:rFonts w:asciiTheme="minorHAnsi" w:hAnsiTheme="minorHAnsi"/>
          <w:iCs/>
          <w:snapToGrid w:val="0"/>
        </w:rPr>
        <w:t>risk that listing ivacaftor for use in non-gating mutations may have reduced or absent clinical effectiveness would be borne by Australian CF patients and the Australian Government, and is compounded by the submission’s anticipation of lifetime treatment for eligible patients, with no proposed treatment stopping rules in non-responding patients.</w:t>
      </w:r>
      <w:r w:rsidR="00D72AE3" w:rsidRPr="00F91CC3">
        <w:rPr>
          <w:rFonts w:asciiTheme="minorHAnsi" w:hAnsiTheme="minorHAnsi"/>
          <w:iCs/>
          <w:snapToGrid w:val="0"/>
        </w:rPr>
        <w:t xml:space="preserve"> The ESC acknowledged the challenges of conducting clinical studies in </w:t>
      </w:r>
      <w:r w:rsidR="008041FA" w:rsidRPr="00F91CC3">
        <w:rPr>
          <w:rFonts w:asciiTheme="minorHAnsi" w:hAnsiTheme="minorHAnsi"/>
          <w:iCs/>
          <w:snapToGrid w:val="0"/>
        </w:rPr>
        <w:t>these</w:t>
      </w:r>
      <w:r w:rsidR="00D72AE3" w:rsidRPr="00F91CC3">
        <w:rPr>
          <w:rFonts w:asciiTheme="minorHAnsi" w:hAnsiTheme="minorHAnsi"/>
          <w:iCs/>
          <w:snapToGrid w:val="0"/>
        </w:rPr>
        <w:t xml:space="preserve"> patients (as noted in the PSCR); however, </w:t>
      </w:r>
      <w:r w:rsidR="00D72AE3" w:rsidRPr="00F91CC3">
        <w:rPr>
          <w:iCs/>
        </w:rPr>
        <w:t>the uncertainty regarding the benefit of treating this population with ivacaftor</w:t>
      </w:r>
      <w:r w:rsidR="00B34401" w:rsidRPr="00F91CC3">
        <w:rPr>
          <w:iCs/>
        </w:rPr>
        <w:t xml:space="preserve"> remained</w:t>
      </w:r>
      <w:r w:rsidR="00D72AE3" w:rsidRPr="00F91CC3">
        <w:rPr>
          <w:i/>
        </w:rPr>
        <w:t xml:space="preserve">. </w:t>
      </w:r>
    </w:p>
    <w:p w14:paraId="20BD5D18" w14:textId="10F8A631" w:rsidR="00D84CFA" w:rsidRPr="00F91CC3" w:rsidRDefault="00D84CFA" w:rsidP="00D84CFA">
      <w:pPr>
        <w:pStyle w:val="3-BodyText"/>
        <w:rPr>
          <w:rFonts w:ascii="Calibri" w:hAnsi="Calibri"/>
          <w:iCs/>
          <w:snapToGrid/>
        </w:rPr>
      </w:pPr>
      <w:r w:rsidRPr="00F91CC3">
        <w:rPr>
          <w:rFonts w:ascii="Calibri" w:hAnsi="Calibri"/>
          <w:iCs/>
          <w:snapToGrid/>
        </w:rPr>
        <w:t xml:space="preserve">The ESC noted there was limited (and for some populations, no) clinical data provided in the submission to support the clinical claim that ivacaftor is superior in terms of effectiveness and non-inferior in terms of safety compared to BSC alone. </w:t>
      </w:r>
      <w:r w:rsidR="00382777" w:rsidRPr="00F91CC3">
        <w:rPr>
          <w:rFonts w:ascii="Calibri" w:hAnsi="Calibri"/>
          <w:iCs/>
          <w:snapToGrid/>
        </w:rPr>
        <w:t>The pre-PBAC response acknowledged the limitations of the data presented in the submission due to the constraints of conducting clinical trials in young patients and in those with rare CFTR mutations. The pre-PBAC response stated a comprehensive literature search had been conducted to identify all relevant sources such as clinical trials, real-world studies and non-clinical studies.</w:t>
      </w:r>
    </w:p>
    <w:p w14:paraId="1195E920" w14:textId="1FBC9311" w:rsidR="001F3C36" w:rsidRPr="00F91CC3" w:rsidRDefault="001F3C36" w:rsidP="001F3C36">
      <w:pPr>
        <w:pStyle w:val="3-BodyText"/>
        <w:widowControl w:val="0"/>
        <w:rPr>
          <w:szCs w:val="20"/>
        </w:rPr>
      </w:pPr>
      <w:r w:rsidRPr="00F91CC3">
        <w:rPr>
          <w:iCs/>
        </w:rPr>
        <w:t>The</w:t>
      </w:r>
      <w:r w:rsidRPr="00F91CC3">
        <w:rPr>
          <w:szCs w:val="20"/>
        </w:rPr>
        <w:t xml:space="preserve"> PBAC considered that the claim of superior comparative effectiveness (for all populations) was uncertain but, overall, was likely to be reasonable.</w:t>
      </w:r>
    </w:p>
    <w:p w14:paraId="15173996" w14:textId="77777777" w:rsidR="00034A31" w:rsidRPr="00F07396" w:rsidRDefault="00034A31" w:rsidP="00F07396">
      <w:pPr>
        <w:pStyle w:val="Heading3"/>
        <w:rPr>
          <w:rFonts w:asciiTheme="minorHAnsi" w:hAnsiTheme="minorHAnsi"/>
          <w:b/>
          <w:bCs/>
          <w:iCs/>
          <w:snapToGrid w:val="0"/>
          <w:u w:val="none"/>
        </w:rPr>
      </w:pPr>
      <w:r w:rsidRPr="00F07396">
        <w:rPr>
          <w:rFonts w:asciiTheme="minorHAnsi" w:hAnsiTheme="minorHAnsi"/>
          <w:b/>
          <w:bCs/>
          <w:iCs/>
          <w:snapToGrid w:val="0"/>
          <w:u w:val="none"/>
        </w:rPr>
        <w:lastRenderedPageBreak/>
        <w:t>Safety</w:t>
      </w:r>
    </w:p>
    <w:p w14:paraId="3708EAD6" w14:textId="0A584094" w:rsidR="00034A31" w:rsidRPr="00F91CC3" w:rsidRDefault="00034A31" w:rsidP="005142A2">
      <w:pPr>
        <w:numPr>
          <w:ilvl w:val="1"/>
          <w:numId w:val="10"/>
        </w:numPr>
        <w:snapToGrid w:val="0"/>
        <w:spacing w:after="120"/>
        <w:rPr>
          <w:rFonts w:asciiTheme="minorHAnsi" w:hAnsiTheme="minorHAnsi"/>
          <w:snapToGrid w:val="0"/>
        </w:rPr>
      </w:pPr>
      <w:r w:rsidRPr="00F91CC3">
        <w:rPr>
          <w:rFonts w:asciiTheme="minorHAnsi" w:eastAsia="Calibri" w:hAnsiTheme="minorHAnsi"/>
          <w:snapToGrid w:val="0"/>
        </w:rPr>
        <w:t xml:space="preserve">The submission described ivacaftor as comparable in terms of safety compared to BSC. </w:t>
      </w:r>
      <w:r w:rsidRPr="00F91CC3">
        <w:rPr>
          <w:rFonts w:asciiTheme="minorHAnsi" w:hAnsiTheme="minorHAnsi"/>
          <w:snapToGrid w:val="0"/>
        </w:rPr>
        <w:t>The evidence provided by the submission suggested that ivacaftor appeared to be generally well tolerated with a comparable side-effect profile with the placebo throughout the trial periods. No critical safety concerns regarding the safety profile for the proposed registered indication were raised</w:t>
      </w:r>
      <w:r w:rsidRPr="00F91CC3">
        <w:rPr>
          <w:rFonts w:asciiTheme="minorHAnsi" w:hAnsiTheme="minorHAnsi"/>
          <w:i/>
          <w:iCs/>
          <w:snapToGrid w:val="0"/>
        </w:rPr>
        <w:t>.</w:t>
      </w:r>
    </w:p>
    <w:p w14:paraId="5A51E8AF" w14:textId="4564E464" w:rsidR="0007621A" w:rsidRPr="00F91CC3" w:rsidRDefault="0007621A" w:rsidP="0007621A">
      <w:pPr>
        <w:pStyle w:val="3-BodyText"/>
        <w:widowControl w:val="0"/>
        <w:rPr>
          <w:szCs w:val="20"/>
        </w:rPr>
      </w:pPr>
      <w:bookmarkStart w:id="54" w:name="_Hlk76376200"/>
      <w:r w:rsidRPr="00F91CC3">
        <w:rPr>
          <w:szCs w:val="20"/>
        </w:rPr>
        <w:t>The PBAC considered that the claim of compara</w:t>
      </w:r>
      <w:r w:rsidR="00E57F92" w:rsidRPr="00F91CC3">
        <w:rPr>
          <w:szCs w:val="20"/>
        </w:rPr>
        <w:t xml:space="preserve">ble </w:t>
      </w:r>
      <w:r w:rsidRPr="00F91CC3">
        <w:rPr>
          <w:szCs w:val="20"/>
        </w:rPr>
        <w:t>safety was reasonable.</w:t>
      </w:r>
    </w:p>
    <w:p w14:paraId="6C25E82F" w14:textId="77777777" w:rsidR="00034A31" w:rsidRPr="00F91CC3" w:rsidRDefault="00034A31" w:rsidP="00034A31">
      <w:pPr>
        <w:keepNext/>
        <w:spacing w:before="120" w:after="120"/>
        <w:outlineLvl w:val="1"/>
        <w:rPr>
          <w:rFonts w:asciiTheme="minorHAnsi" w:eastAsiaTheme="majorEastAsia" w:hAnsiTheme="minorHAnsi" w:cstheme="majorBidi"/>
          <w:b/>
          <w:i/>
          <w:spacing w:val="5"/>
          <w:kern w:val="28"/>
          <w:sz w:val="28"/>
          <w:szCs w:val="36"/>
        </w:rPr>
      </w:pPr>
      <w:bookmarkStart w:id="55" w:name="_Toc145484397"/>
      <w:bookmarkEnd w:id="54"/>
      <w:r w:rsidRPr="00F91CC3">
        <w:rPr>
          <w:rFonts w:asciiTheme="minorHAnsi" w:eastAsiaTheme="majorEastAsia" w:hAnsiTheme="minorHAnsi" w:cstheme="majorBidi"/>
          <w:b/>
          <w:i/>
          <w:spacing w:val="5"/>
          <w:kern w:val="28"/>
          <w:sz w:val="28"/>
          <w:szCs w:val="36"/>
        </w:rPr>
        <w:t>Economic analysis</w:t>
      </w:r>
      <w:bookmarkEnd w:id="30"/>
      <w:bookmarkEnd w:id="55"/>
      <w:r w:rsidRPr="00F91CC3">
        <w:rPr>
          <w:rFonts w:asciiTheme="minorHAnsi" w:eastAsiaTheme="majorEastAsia" w:hAnsiTheme="minorHAnsi" w:cstheme="majorBidi"/>
          <w:b/>
          <w:i/>
          <w:spacing w:val="5"/>
          <w:kern w:val="28"/>
          <w:sz w:val="28"/>
          <w:szCs w:val="36"/>
        </w:rPr>
        <w:t xml:space="preserve"> </w:t>
      </w:r>
    </w:p>
    <w:p w14:paraId="0549481E" w14:textId="2C028567" w:rsidR="00034A31" w:rsidRPr="00F91CC3" w:rsidRDefault="00034A31" w:rsidP="005142A2">
      <w:pPr>
        <w:numPr>
          <w:ilvl w:val="1"/>
          <w:numId w:val="10"/>
        </w:numPr>
        <w:snapToGrid w:val="0"/>
        <w:spacing w:after="120"/>
        <w:rPr>
          <w:rFonts w:asciiTheme="minorHAnsi" w:hAnsiTheme="minorHAnsi"/>
          <w:i/>
          <w:snapToGrid w:val="0"/>
        </w:rPr>
      </w:pPr>
      <w:r w:rsidRPr="00F91CC3">
        <w:rPr>
          <w:rFonts w:asciiTheme="minorHAnsi" w:hAnsiTheme="minorHAnsi"/>
          <w:snapToGrid w:val="0"/>
        </w:rPr>
        <w:t xml:space="preserve">The submission did not present an economic </w:t>
      </w:r>
      <w:r w:rsidR="00F91CC3" w:rsidRPr="00F91CC3">
        <w:rPr>
          <w:rFonts w:asciiTheme="minorHAnsi" w:hAnsiTheme="minorHAnsi"/>
          <w:snapToGrid w:val="0"/>
        </w:rPr>
        <w:t>evaluation,</w:t>
      </w:r>
      <w:r w:rsidRPr="00F91CC3">
        <w:rPr>
          <w:rFonts w:asciiTheme="minorHAnsi" w:hAnsiTheme="minorHAnsi"/>
          <w:snapToGrid w:val="0"/>
        </w:rPr>
        <w:t xml:space="preserve"> </w:t>
      </w:r>
      <w:r w:rsidR="006331CA" w:rsidRPr="00F91CC3">
        <w:rPr>
          <w:rFonts w:asciiTheme="minorHAnsi" w:hAnsiTheme="minorHAnsi"/>
          <w:snapToGrid w:val="0"/>
        </w:rPr>
        <w:t xml:space="preserve">which </w:t>
      </w:r>
      <w:r w:rsidRPr="00F91CC3">
        <w:rPr>
          <w:rFonts w:asciiTheme="minorHAnsi" w:hAnsiTheme="minorHAnsi"/>
          <w:snapToGrid w:val="0"/>
        </w:rPr>
        <w:t>was justified on the basis of inherent limitations in the currently available data to inform a cost-effectiveness analysis (CEA) of ivacaftor in the requested populations which the sponsor stated are unlikely to be resolved in the future. For the gating population, the young age of participants was cited as a limiting factor in measuring relevant outcomes previously used in CEAs for ivacaftor, such as lung function (i.e., ppFEV</w:t>
      </w:r>
      <w:r w:rsidRPr="00F91CC3">
        <w:rPr>
          <w:rFonts w:asciiTheme="minorHAnsi" w:hAnsiTheme="minorHAnsi"/>
          <w:snapToGrid w:val="0"/>
          <w:vertAlign w:val="subscript"/>
        </w:rPr>
        <w:t>1</w:t>
      </w:r>
      <w:r w:rsidRPr="00F91CC3">
        <w:rPr>
          <w:rFonts w:asciiTheme="minorHAnsi" w:hAnsiTheme="minorHAnsi"/>
          <w:snapToGrid w:val="0"/>
        </w:rPr>
        <w:t xml:space="preserve">) through spirometry. For the </w:t>
      </w:r>
      <w:r w:rsidR="00ED3E8D" w:rsidRPr="00F91CC3">
        <w:rPr>
          <w:rFonts w:asciiTheme="minorHAnsi" w:hAnsiTheme="minorHAnsi"/>
          <w:snapToGrid w:val="0"/>
        </w:rPr>
        <w:t>additional</w:t>
      </w:r>
      <w:r w:rsidRPr="00F91CC3">
        <w:rPr>
          <w:rFonts w:asciiTheme="minorHAnsi" w:hAnsiTheme="minorHAnsi"/>
          <w:snapToGrid w:val="0"/>
        </w:rPr>
        <w:t xml:space="preserve"> population</w:t>
      </w:r>
      <w:r w:rsidR="00ED3E8D" w:rsidRPr="00F91CC3">
        <w:rPr>
          <w:rFonts w:asciiTheme="minorHAnsi" w:hAnsiTheme="minorHAnsi"/>
          <w:snapToGrid w:val="0"/>
        </w:rPr>
        <w:t>s</w:t>
      </w:r>
      <w:r w:rsidRPr="00F91CC3">
        <w:rPr>
          <w:rFonts w:asciiTheme="minorHAnsi" w:hAnsiTheme="minorHAnsi"/>
          <w:snapToGrid w:val="0"/>
        </w:rPr>
        <w:t xml:space="preserve">, the genotype rarity of the RF and </w:t>
      </w:r>
      <w:r w:rsidR="002B3C95" w:rsidRPr="00F91CC3">
        <w:rPr>
          <w:rFonts w:asciiTheme="minorHAnsi" w:hAnsiTheme="minorHAnsi"/>
          <w:snapToGrid w:val="0"/>
        </w:rPr>
        <w:t>IVA</w:t>
      </w:r>
      <w:r w:rsidRPr="00F91CC3">
        <w:rPr>
          <w:rFonts w:asciiTheme="minorHAnsi" w:hAnsiTheme="minorHAnsi"/>
          <w:snapToGrid w:val="0"/>
        </w:rPr>
        <w:t xml:space="preserve">-responsive </w:t>
      </w:r>
      <w:r w:rsidR="002B3C95" w:rsidRPr="00F91CC3">
        <w:rPr>
          <w:rFonts w:asciiTheme="minorHAnsi" w:hAnsiTheme="minorHAnsi"/>
          <w:snapToGrid w:val="0"/>
        </w:rPr>
        <w:t xml:space="preserve">rare </w:t>
      </w:r>
      <w:r w:rsidRPr="00F91CC3">
        <w:rPr>
          <w:rFonts w:asciiTheme="minorHAnsi" w:hAnsiTheme="minorHAnsi"/>
          <w:snapToGrid w:val="0"/>
        </w:rPr>
        <w:t xml:space="preserve">mutations was cited as a limitation, making it impossible to run appropriately powered RCTs. </w:t>
      </w:r>
      <w:r w:rsidR="002B3C95" w:rsidRPr="00F91CC3">
        <w:rPr>
          <w:rFonts w:asciiTheme="minorHAnsi" w:hAnsiTheme="minorHAnsi"/>
          <w:snapToGrid w:val="0"/>
        </w:rPr>
        <w:t xml:space="preserve">For the R117H population, the submission argued that </w:t>
      </w:r>
      <w:r w:rsidR="002676CB" w:rsidRPr="00F91CC3">
        <w:rPr>
          <w:rFonts w:asciiTheme="minorHAnsi" w:hAnsiTheme="minorHAnsi"/>
          <w:snapToGrid w:val="0"/>
        </w:rPr>
        <w:t xml:space="preserve">these </w:t>
      </w:r>
      <w:r w:rsidR="002B3C95" w:rsidRPr="00F91CC3">
        <w:rPr>
          <w:rFonts w:asciiTheme="minorHAnsi" w:hAnsiTheme="minorHAnsi"/>
          <w:snapToGrid w:val="0"/>
        </w:rPr>
        <w:t xml:space="preserve">patients </w:t>
      </w:r>
      <w:r w:rsidR="002676CB" w:rsidRPr="00F91CC3">
        <w:rPr>
          <w:rFonts w:asciiTheme="minorHAnsi" w:hAnsiTheme="minorHAnsi"/>
          <w:snapToGrid w:val="0"/>
        </w:rPr>
        <w:t xml:space="preserve">can access ELX/TEZ/IVA from 6 years of age if they carry an F508del (F) mutation on the other allele but those without an F mutation have no access to CFTR modulator treatment. </w:t>
      </w:r>
      <w:r w:rsidRPr="00F91CC3">
        <w:rPr>
          <w:rFonts w:asciiTheme="minorHAnsi" w:hAnsiTheme="minorHAnsi"/>
          <w:snapToGrid w:val="0"/>
        </w:rPr>
        <w:t>However, the sponsor argued that these limitations should not preclude access to CFTR modulators (making an age-based</w:t>
      </w:r>
      <w:r w:rsidR="002676CB" w:rsidRPr="00F91CC3">
        <w:rPr>
          <w:rFonts w:asciiTheme="minorHAnsi" w:hAnsiTheme="minorHAnsi"/>
          <w:snapToGrid w:val="0"/>
        </w:rPr>
        <w:t xml:space="preserve">, </w:t>
      </w:r>
      <w:r w:rsidRPr="00F91CC3">
        <w:rPr>
          <w:rFonts w:asciiTheme="minorHAnsi" w:hAnsiTheme="minorHAnsi"/>
          <w:snapToGrid w:val="0"/>
        </w:rPr>
        <w:t xml:space="preserve">rarity- </w:t>
      </w:r>
      <w:r w:rsidR="002676CB" w:rsidRPr="00F91CC3">
        <w:rPr>
          <w:rFonts w:asciiTheme="minorHAnsi" w:hAnsiTheme="minorHAnsi"/>
          <w:snapToGrid w:val="0"/>
        </w:rPr>
        <w:t xml:space="preserve">and clinical need </w:t>
      </w:r>
      <w:r w:rsidRPr="00F91CC3">
        <w:rPr>
          <w:rFonts w:asciiTheme="minorHAnsi" w:hAnsiTheme="minorHAnsi"/>
          <w:snapToGrid w:val="0"/>
        </w:rPr>
        <w:t xml:space="preserve">equity argument) and pragmatically requested that </w:t>
      </w:r>
      <w:r w:rsidRPr="00F91CC3">
        <w:rPr>
          <w:rFonts w:asciiTheme="minorHAnsi" w:hAnsiTheme="minorHAnsi" w:cs="Tahoma"/>
          <w:snapToGrid w:val="0"/>
        </w:rPr>
        <w:t>ivacaftor be made available for these additional patients at the same price as it is currently reimbursed through the PBS.</w:t>
      </w:r>
    </w:p>
    <w:p w14:paraId="67604FE2" w14:textId="4CDD44CD" w:rsidR="00034A31" w:rsidRPr="00F91CC3" w:rsidRDefault="00034A31" w:rsidP="005142A2">
      <w:pPr>
        <w:numPr>
          <w:ilvl w:val="1"/>
          <w:numId w:val="10"/>
        </w:numPr>
        <w:snapToGrid w:val="0"/>
        <w:spacing w:after="120"/>
        <w:rPr>
          <w:rFonts w:asciiTheme="minorHAnsi" w:hAnsiTheme="minorHAnsi"/>
          <w:snapToGrid w:val="0"/>
        </w:rPr>
      </w:pPr>
      <w:r w:rsidRPr="00F91CC3">
        <w:rPr>
          <w:rFonts w:asciiTheme="minorHAnsi" w:hAnsiTheme="minorHAnsi"/>
          <w:snapToGrid w:val="0"/>
        </w:rPr>
        <w:t>The age-based equity argument was consistent with that in a previous submission to the PBAC to extend the listing of ivacaftor for treatment of CF in patients with a G5</w:t>
      </w:r>
      <w:r w:rsidR="00962A6F">
        <w:rPr>
          <w:rFonts w:asciiTheme="minorHAnsi" w:hAnsiTheme="minorHAnsi"/>
          <w:snapToGrid w:val="0"/>
        </w:rPr>
        <w:t>5</w:t>
      </w:r>
      <w:r w:rsidRPr="00F91CC3">
        <w:rPr>
          <w:rFonts w:asciiTheme="minorHAnsi" w:hAnsiTheme="minorHAnsi"/>
          <w:snapToGrid w:val="0"/>
        </w:rPr>
        <w:t>1D or other class III gating mutations aged 12 to 24 months of age, which also did not present an economic evaluation (paragraph 6.24, ivacaftor PSD, March 2019 PBAC meeting). The PBAC considered that the cost-effectiveness of the additional year of treatment with ivacaftor, compared with BSC, was unknown; however, the ESC stated that the incremental cost per QALY gained of the additional year of treatment was likely to be high (paragraph 6.25, ivacaftor PSD, March 2019 PBAC meeting).</w:t>
      </w:r>
    </w:p>
    <w:p w14:paraId="74725695" w14:textId="271DDD69" w:rsidR="009C4855" w:rsidRPr="00F91CC3" w:rsidRDefault="00034A31" w:rsidP="005142A2">
      <w:pPr>
        <w:numPr>
          <w:ilvl w:val="1"/>
          <w:numId w:val="10"/>
        </w:numPr>
        <w:snapToGrid w:val="0"/>
        <w:spacing w:after="120"/>
        <w:rPr>
          <w:rFonts w:asciiTheme="minorHAnsi" w:eastAsiaTheme="majorEastAsia" w:hAnsiTheme="minorHAnsi" w:cstheme="majorBidi"/>
          <w:b/>
          <w:iCs/>
          <w:spacing w:val="5"/>
          <w:kern w:val="28"/>
          <w:sz w:val="28"/>
          <w:szCs w:val="36"/>
        </w:rPr>
      </w:pPr>
      <w:r w:rsidRPr="00F91CC3">
        <w:rPr>
          <w:rFonts w:asciiTheme="minorHAnsi" w:hAnsiTheme="minorHAnsi"/>
          <w:iCs/>
          <w:snapToGrid w:val="0"/>
        </w:rPr>
        <w:t xml:space="preserve">A previous PBAC submission to expand the listing of ELX/TEZ/IVA for CF patients aged 6-11 years with an F508del (F) mutation in the </w:t>
      </w:r>
      <w:r w:rsidR="00F91CC3" w:rsidRPr="00F91CC3">
        <w:rPr>
          <w:rFonts w:asciiTheme="minorHAnsi" w:hAnsiTheme="minorHAnsi"/>
          <w:iCs/>
          <w:snapToGrid w:val="0"/>
        </w:rPr>
        <w:t>CFTR</w:t>
      </w:r>
      <w:r w:rsidRPr="00F91CC3">
        <w:rPr>
          <w:rFonts w:asciiTheme="minorHAnsi" w:hAnsiTheme="minorHAnsi"/>
          <w:iCs/>
          <w:snapToGrid w:val="0"/>
        </w:rPr>
        <w:t xml:space="preserve"> gene also did not present an economic evaluation for those with an RF or R117H mutation on the other allele (F/RF and F/R117H), due to a lack of clinical evidence in these patient cohorts (paragraph 6.41, ELX/TEZ/IVA PSD, November 2022 PBAC meeting with March 2023 addendum). </w:t>
      </w:r>
      <w:r w:rsidR="007A7F72" w:rsidRPr="00F91CC3">
        <w:rPr>
          <w:rFonts w:asciiTheme="minorHAnsi" w:hAnsiTheme="minorHAnsi"/>
          <w:iCs/>
          <w:snapToGrid w:val="0"/>
        </w:rPr>
        <w:t>T</w:t>
      </w:r>
      <w:r w:rsidRPr="00F91CC3">
        <w:rPr>
          <w:rFonts w:asciiTheme="minorHAnsi" w:hAnsiTheme="minorHAnsi"/>
          <w:iCs/>
          <w:snapToGrid w:val="0"/>
        </w:rPr>
        <w:t xml:space="preserve">he PBAC recommended listing of ELX/TEZ/IVA, noting the treatment was expected to address a high and urgent unmet clinical need for these patient populations as they currently have no alternative treatment options (until they are at least 12 years of age) </w:t>
      </w:r>
      <w:r w:rsidRPr="00F91CC3">
        <w:rPr>
          <w:rFonts w:asciiTheme="minorHAnsi" w:hAnsiTheme="minorHAnsi"/>
          <w:iCs/>
          <w:snapToGrid w:val="0"/>
        </w:rPr>
        <w:lastRenderedPageBreak/>
        <w:t>(paragraph 7.14, ELX/TEZ/IVA PSD, November 2022 PBAC meeting with March 2023 addendum).</w:t>
      </w:r>
      <w:bookmarkStart w:id="56" w:name="_Toc22897646"/>
    </w:p>
    <w:p w14:paraId="7A735F33" w14:textId="7CF92C68" w:rsidR="00A459AF" w:rsidRPr="00F91CC3" w:rsidRDefault="00A459AF" w:rsidP="005142A2">
      <w:pPr>
        <w:numPr>
          <w:ilvl w:val="1"/>
          <w:numId w:val="10"/>
        </w:numPr>
        <w:snapToGrid w:val="0"/>
        <w:spacing w:after="120"/>
        <w:rPr>
          <w:rFonts w:asciiTheme="minorHAnsi" w:eastAsiaTheme="majorEastAsia" w:hAnsiTheme="minorHAnsi" w:cstheme="majorBidi"/>
          <w:b/>
          <w:spacing w:val="5"/>
          <w:kern w:val="28"/>
          <w:sz w:val="28"/>
          <w:szCs w:val="36"/>
        </w:rPr>
      </w:pPr>
      <w:r w:rsidRPr="00F91CC3">
        <w:rPr>
          <w:rFonts w:cs="Calibri"/>
        </w:rPr>
        <w:t xml:space="preserve">The ESC considered it was unlikely ivacaftor would be cost effective at the requested price. Given the uncertainties associated with the clinical benefit and therefore the cost-effectiveness, the ESC considered it may </w:t>
      </w:r>
      <w:r w:rsidR="00836508" w:rsidRPr="00F91CC3">
        <w:rPr>
          <w:rFonts w:cs="Calibri"/>
        </w:rPr>
        <w:t>not be</w:t>
      </w:r>
      <w:r w:rsidRPr="00F91CC3">
        <w:rPr>
          <w:rFonts w:cs="Calibri"/>
        </w:rPr>
        <w:t xml:space="preserve"> reasonable to pay more than the lowest cost CFTR modulator for this additional population</w:t>
      </w:r>
      <w:r w:rsidR="00F91CC3">
        <w:rPr>
          <w:rFonts w:cs="Calibri"/>
        </w:rPr>
        <w:t xml:space="preserve">. </w:t>
      </w:r>
      <w:r w:rsidR="00C4565E" w:rsidRPr="00F91CC3">
        <w:rPr>
          <w:rFonts w:cs="Calibri"/>
        </w:rPr>
        <w:t>The pre-PBAC response stated that to consider ivacaftor and ELX/TEZ/IVA comparable to the less effective therapy, TEZ/IVA, is not appropriate and is not a proposition the sponsor can accept.</w:t>
      </w:r>
    </w:p>
    <w:p w14:paraId="510E2329" w14:textId="04B86317" w:rsidR="00034A31" w:rsidRPr="00F91CC3" w:rsidRDefault="00034A31" w:rsidP="000A0645">
      <w:pPr>
        <w:keepNext/>
        <w:keepLines/>
        <w:spacing w:before="120" w:after="120"/>
        <w:outlineLvl w:val="1"/>
        <w:rPr>
          <w:rFonts w:asciiTheme="minorHAnsi" w:eastAsiaTheme="majorEastAsia" w:hAnsiTheme="minorHAnsi" w:cstheme="majorBidi"/>
          <w:b/>
          <w:i/>
          <w:spacing w:val="5"/>
          <w:kern w:val="28"/>
          <w:sz w:val="28"/>
          <w:szCs w:val="36"/>
        </w:rPr>
      </w:pPr>
      <w:bookmarkStart w:id="57" w:name="_Toc145484398"/>
      <w:r w:rsidRPr="00F91CC3">
        <w:rPr>
          <w:rFonts w:asciiTheme="minorHAnsi" w:eastAsiaTheme="majorEastAsia" w:hAnsiTheme="minorHAnsi" w:cstheme="majorBidi"/>
          <w:b/>
          <w:i/>
          <w:spacing w:val="5"/>
          <w:kern w:val="28"/>
          <w:sz w:val="28"/>
          <w:szCs w:val="36"/>
        </w:rPr>
        <w:t>Ivacaftor cost/patient/year</w:t>
      </w:r>
      <w:bookmarkEnd w:id="56"/>
      <w:bookmarkEnd w:id="57"/>
    </w:p>
    <w:p w14:paraId="7787F2DE" w14:textId="70AD85F2" w:rsidR="00034A31" w:rsidRPr="00F91CC3" w:rsidRDefault="00034A31" w:rsidP="000A0645">
      <w:pPr>
        <w:keepNext/>
        <w:keepLines/>
        <w:rPr>
          <w:rFonts w:ascii="Arial Narrow" w:hAnsi="Arial Narrow"/>
          <w:b/>
          <w:sz w:val="20"/>
        </w:rPr>
      </w:pPr>
      <w:bookmarkStart w:id="58" w:name="_Ref144306645"/>
      <w:bookmarkStart w:id="59" w:name="_Ref145255732"/>
      <w:r w:rsidRPr="00F91CC3">
        <w:rPr>
          <w:rFonts w:ascii="Arial Narrow" w:hAnsi="Arial Narrow"/>
          <w:b/>
          <w:bCs/>
          <w:sz w:val="20"/>
          <w:szCs w:val="18"/>
        </w:rPr>
        <w:t xml:space="preserve">Table </w:t>
      </w:r>
      <w:r w:rsidRPr="00F91CC3">
        <w:rPr>
          <w:rFonts w:ascii="Arial Narrow" w:hAnsi="Arial Narrow"/>
          <w:b/>
          <w:bCs/>
          <w:sz w:val="20"/>
          <w:szCs w:val="18"/>
        </w:rPr>
        <w:fldChar w:fldCharType="begin"/>
      </w:r>
      <w:r w:rsidRPr="00F91CC3">
        <w:rPr>
          <w:rFonts w:ascii="Arial Narrow" w:hAnsi="Arial Narrow"/>
          <w:b/>
          <w:bCs/>
          <w:sz w:val="20"/>
          <w:szCs w:val="18"/>
        </w:rPr>
        <w:instrText xml:space="preserve"> SEQ Table \* ARABIC </w:instrText>
      </w:r>
      <w:r w:rsidRPr="00F91CC3">
        <w:rPr>
          <w:rFonts w:ascii="Arial Narrow" w:hAnsi="Arial Narrow"/>
          <w:b/>
          <w:bCs/>
          <w:sz w:val="20"/>
          <w:szCs w:val="18"/>
        </w:rPr>
        <w:fldChar w:fldCharType="separate"/>
      </w:r>
      <w:r w:rsidR="008D6198">
        <w:rPr>
          <w:rFonts w:ascii="Arial Narrow" w:hAnsi="Arial Narrow"/>
          <w:b/>
          <w:bCs/>
          <w:noProof/>
          <w:sz w:val="20"/>
          <w:szCs w:val="18"/>
        </w:rPr>
        <w:t>13</w:t>
      </w:r>
      <w:r w:rsidRPr="00F91CC3">
        <w:rPr>
          <w:rFonts w:ascii="Arial Narrow" w:hAnsi="Arial Narrow"/>
          <w:b/>
          <w:bCs/>
          <w:sz w:val="20"/>
          <w:szCs w:val="18"/>
        </w:rPr>
        <w:fldChar w:fldCharType="end"/>
      </w:r>
      <w:bookmarkEnd w:id="58"/>
      <w:r w:rsidRPr="00F91CC3">
        <w:rPr>
          <w:rFonts w:ascii="Arial Narrow" w:hAnsi="Arial Narrow"/>
          <w:b/>
          <w:bCs/>
          <w:sz w:val="20"/>
          <w:szCs w:val="18"/>
        </w:rPr>
        <w:t>:</w:t>
      </w:r>
      <w:r w:rsidRPr="00F91CC3">
        <w:rPr>
          <w:rFonts w:ascii="Arial Narrow" w:hAnsi="Arial Narrow"/>
          <w:b/>
          <w:bCs/>
          <w:sz w:val="20"/>
        </w:rPr>
        <w:t xml:space="preserve"> Drug cost per patient for ivacaftor</w:t>
      </w:r>
      <w:bookmarkEnd w:id="59"/>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96"/>
        <w:gridCol w:w="1533"/>
        <w:gridCol w:w="1522"/>
        <w:gridCol w:w="914"/>
        <w:gridCol w:w="1252"/>
        <w:gridCol w:w="1569"/>
        <w:gridCol w:w="931"/>
      </w:tblGrid>
      <w:tr w:rsidR="00034A31" w:rsidRPr="00F91CC3" w14:paraId="236136EE" w14:textId="77777777" w:rsidTr="00972394">
        <w:trPr>
          <w:tblHeader/>
          <w:jc w:val="center"/>
        </w:trPr>
        <w:tc>
          <w:tcPr>
            <w:tcW w:w="719" w:type="pct"/>
            <w:tcBorders>
              <w:top w:val="single" w:sz="4" w:space="0" w:color="auto"/>
              <w:left w:val="single" w:sz="4" w:space="0" w:color="auto"/>
              <w:bottom w:val="single" w:sz="4" w:space="0" w:color="auto"/>
              <w:right w:val="single" w:sz="4" w:space="0" w:color="auto"/>
            </w:tcBorders>
            <w:vAlign w:val="center"/>
          </w:tcPr>
          <w:p w14:paraId="357D1633" w14:textId="77777777" w:rsidR="00034A31" w:rsidRPr="00F91CC3" w:rsidRDefault="00034A31" w:rsidP="000A0645">
            <w:pPr>
              <w:keepNext/>
              <w:keepLines/>
              <w:jc w:val="center"/>
              <w:rPr>
                <w:rFonts w:ascii="Arial Narrow" w:eastAsiaTheme="majorEastAsia" w:hAnsi="Arial Narrow" w:cs="Times New Roman"/>
                <w:b/>
                <w:sz w:val="20"/>
              </w:rPr>
            </w:pPr>
          </w:p>
        </w:tc>
        <w:tc>
          <w:tcPr>
            <w:tcW w:w="2201" w:type="pct"/>
            <w:gridSpan w:val="3"/>
            <w:tcBorders>
              <w:top w:val="single" w:sz="4" w:space="0" w:color="auto"/>
              <w:left w:val="single" w:sz="4" w:space="0" w:color="auto"/>
              <w:bottom w:val="single" w:sz="4" w:space="0" w:color="auto"/>
              <w:right w:val="single" w:sz="4" w:space="0" w:color="auto"/>
            </w:tcBorders>
            <w:vAlign w:val="center"/>
            <w:hideMark/>
          </w:tcPr>
          <w:p w14:paraId="1AC97D91" w14:textId="77777777" w:rsidR="00034A31" w:rsidRPr="00F91CC3" w:rsidRDefault="00034A31" w:rsidP="000A0645">
            <w:pPr>
              <w:keepNext/>
              <w:keepLines/>
              <w:jc w:val="center"/>
              <w:rPr>
                <w:rFonts w:ascii="Arial Narrow" w:eastAsiaTheme="majorEastAsia" w:hAnsi="Arial Narrow" w:cs="Times New Roman"/>
                <w:b/>
                <w:sz w:val="20"/>
              </w:rPr>
            </w:pPr>
            <w:r w:rsidRPr="00F91CC3">
              <w:rPr>
                <w:rFonts w:ascii="Arial Narrow" w:eastAsiaTheme="majorEastAsia" w:hAnsi="Arial Narrow" w:cs="Times New Roman"/>
                <w:b/>
                <w:sz w:val="20"/>
              </w:rPr>
              <w:t>Trials included in submission</w:t>
            </w:r>
          </w:p>
        </w:tc>
        <w:tc>
          <w:tcPr>
            <w:tcW w:w="2080" w:type="pct"/>
            <w:gridSpan w:val="3"/>
            <w:tcBorders>
              <w:top w:val="single" w:sz="4" w:space="0" w:color="auto"/>
              <w:left w:val="single" w:sz="4" w:space="0" w:color="auto"/>
              <w:bottom w:val="single" w:sz="4" w:space="0" w:color="auto"/>
              <w:right w:val="single" w:sz="4" w:space="0" w:color="auto"/>
            </w:tcBorders>
            <w:vAlign w:val="center"/>
            <w:hideMark/>
          </w:tcPr>
          <w:p w14:paraId="3EE2F1C0" w14:textId="77777777" w:rsidR="00034A31" w:rsidRPr="00F91CC3" w:rsidRDefault="00034A31" w:rsidP="000A0645">
            <w:pPr>
              <w:keepNext/>
              <w:keepLines/>
              <w:jc w:val="center"/>
              <w:rPr>
                <w:rFonts w:ascii="Arial Narrow" w:eastAsiaTheme="majorEastAsia" w:hAnsi="Arial Narrow" w:cs="Times New Roman"/>
                <w:b/>
                <w:sz w:val="20"/>
              </w:rPr>
            </w:pPr>
            <w:r w:rsidRPr="00F91CC3">
              <w:rPr>
                <w:rFonts w:ascii="Arial Narrow" w:eastAsiaTheme="majorEastAsia" w:hAnsi="Arial Narrow" w:cs="Times New Roman"/>
                <w:b/>
                <w:sz w:val="20"/>
              </w:rPr>
              <w:t xml:space="preserve">Financial estimates </w:t>
            </w:r>
          </w:p>
        </w:tc>
      </w:tr>
      <w:tr w:rsidR="00034A31" w:rsidRPr="00F91CC3" w14:paraId="4E79075B" w14:textId="77777777" w:rsidTr="00972394">
        <w:trPr>
          <w:jc w:val="center"/>
        </w:trPr>
        <w:tc>
          <w:tcPr>
            <w:tcW w:w="719" w:type="pct"/>
            <w:tcBorders>
              <w:top w:val="single" w:sz="4" w:space="0" w:color="auto"/>
              <w:left w:val="single" w:sz="4" w:space="0" w:color="auto"/>
              <w:bottom w:val="single" w:sz="4" w:space="0" w:color="auto"/>
              <w:right w:val="single" w:sz="4" w:space="0" w:color="auto"/>
            </w:tcBorders>
            <w:vAlign w:val="center"/>
            <w:hideMark/>
          </w:tcPr>
          <w:p w14:paraId="01130071" w14:textId="22C78A9E" w:rsidR="00034A31" w:rsidRPr="00F91CC3" w:rsidRDefault="00034A31" w:rsidP="000A0645">
            <w:pPr>
              <w:keepNext/>
              <w:keepLines/>
              <w:jc w:val="left"/>
              <w:rPr>
                <w:rFonts w:ascii="Arial Narrow" w:eastAsiaTheme="majorEastAsia" w:hAnsi="Arial Narrow" w:cstheme="majorBidi"/>
                <w:bCs/>
                <w:sz w:val="20"/>
                <w:vertAlign w:val="superscript"/>
              </w:rPr>
            </w:pPr>
            <w:r w:rsidRPr="00F91CC3">
              <w:rPr>
                <w:rFonts w:ascii="Arial Narrow" w:eastAsiaTheme="majorEastAsia" w:hAnsi="Arial Narrow" w:cstheme="majorBidi"/>
                <w:bCs/>
                <w:sz w:val="20"/>
              </w:rPr>
              <w:t xml:space="preserve">Cost per 28-day pack </w:t>
            </w:r>
            <w:r w:rsidR="00E37DEA" w:rsidRPr="00F91CC3">
              <w:rPr>
                <w:rFonts w:ascii="Arial Narrow" w:eastAsiaTheme="majorEastAsia" w:hAnsi="Arial Narrow" w:cstheme="majorBidi"/>
                <w:bCs/>
                <w:sz w:val="20"/>
              </w:rPr>
              <w:t>(effective)</w:t>
            </w:r>
            <w:r w:rsidRPr="00F91CC3">
              <w:rPr>
                <w:rFonts w:ascii="Arial Narrow" w:eastAsiaTheme="majorEastAsia" w:hAnsi="Arial Narrow" w:cstheme="majorBidi"/>
                <w:bCs/>
                <w:sz w:val="20"/>
                <w:vertAlign w:val="superscript"/>
              </w:rPr>
              <w:t>a</w:t>
            </w:r>
          </w:p>
        </w:tc>
        <w:tc>
          <w:tcPr>
            <w:tcW w:w="2201" w:type="pct"/>
            <w:gridSpan w:val="3"/>
            <w:tcBorders>
              <w:top w:val="single" w:sz="4" w:space="0" w:color="auto"/>
              <w:left w:val="single" w:sz="4" w:space="0" w:color="auto"/>
              <w:bottom w:val="single" w:sz="4" w:space="0" w:color="auto"/>
              <w:right w:val="single" w:sz="4" w:space="0" w:color="auto"/>
            </w:tcBorders>
            <w:vAlign w:val="center"/>
            <w:hideMark/>
          </w:tcPr>
          <w:p w14:paraId="3B2C3796" w14:textId="5BCF21DB" w:rsidR="00034A31" w:rsidRPr="00F91CC3" w:rsidRDefault="00034A31" w:rsidP="000A0645">
            <w:pPr>
              <w:keepNext/>
              <w:keepLines/>
              <w:jc w:val="center"/>
              <w:rPr>
                <w:rFonts w:ascii="Arial Narrow" w:eastAsiaTheme="majorEastAsia" w:hAnsi="Arial Narrow" w:cstheme="majorBidi"/>
                <w:sz w:val="20"/>
              </w:rPr>
            </w:pPr>
            <w:r w:rsidRPr="00F91CC3">
              <w:rPr>
                <w:rFonts w:ascii="Arial Narrow" w:eastAsiaTheme="majorEastAsia" w:hAnsi="Arial Narrow" w:cstheme="majorBidi"/>
                <w:sz w:val="20"/>
              </w:rPr>
              <w:t>$</w:t>
            </w:r>
            <w:r w:rsidR="004E53B2">
              <w:rPr>
                <w:rFonts w:ascii="Arial Narrow" w:eastAsiaTheme="majorEastAsia" w:hAnsi="Arial Narrow" w:cstheme="majorBidi"/>
                <w:sz w:val="20"/>
              </w:rPr>
              <w:t xml:space="preserve"> </w:t>
            </w:r>
            <w:r w:rsidR="004E53B2" w:rsidRPr="004E53B2">
              <w:rPr>
                <w:rFonts w:ascii="Arial Narrow" w:eastAsiaTheme="majorEastAsia" w:hAnsi="Arial Narrow" w:cstheme="majorBidi"/>
                <w:color w:val="000000"/>
                <w:sz w:val="20"/>
                <w:shd w:val="solid" w:color="000000" w:fill="000000"/>
                <w14:textFill>
                  <w14:solidFill>
                    <w14:srgbClr w14:val="000000">
                      <w14:alpha w14:val="100000"/>
                    </w14:srgbClr>
                  </w14:solidFill>
                </w14:textFill>
              </w:rPr>
              <w:t>|</w:t>
            </w:r>
            <w:r w:rsidR="00E37DEA" w:rsidRPr="00F91CC3">
              <w:rPr>
                <w:rFonts w:ascii="Arial Narrow" w:eastAsiaTheme="majorEastAsia" w:hAnsi="Arial Narrow" w:cstheme="majorBidi"/>
                <w:sz w:val="20"/>
              </w:rPr>
              <w:t xml:space="preserve"> </w:t>
            </w:r>
          </w:p>
        </w:tc>
        <w:tc>
          <w:tcPr>
            <w:tcW w:w="2080" w:type="pct"/>
            <w:gridSpan w:val="3"/>
            <w:tcBorders>
              <w:top w:val="single" w:sz="4" w:space="0" w:color="auto"/>
              <w:left w:val="single" w:sz="4" w:space="0" w:color="auto"/>
              <w:bottom w:val="single" w:sz="4" w:space="0" w:color="auto"/>
              <w:right w:val="single" w:sz="4" w:space="0" w:color="auto"/>
            </w:tcBorders>
            <w:vAlign w:val="center"/>
            <w:hideMark/>
          </w:tcPr>
          <w:p w14:paraId="571B542C" w14:textId="52786C20" w:rsidR="00034A31" w:rsidRPr="00F91CC3" w:rsidRDefault="00034A31" w:rsidP="000A0645">
            <w:pPr>
              <w:keepNext/>
              <w:keepLines/>
              <w:jc w:val="center"/>
              <w:rPr>
                <w:rFonts w:ascii="Arial Narrow" w:eastAsiaTheme="majorEastAsia" w:hAnsi="Arial Narrow" w:cstheme="majorBidi"/>
                <w:sz w:val="20"/>
              </w:rPr>
            </w:pPr>
            <w:r w:rsidRPr="00F91CC3">
              <w:rPr>
                <w:rFonts w:ascii="Arial Narrow" w:eastAsiaTheme="majorEastAsia" w:hAnsi="Arial Narrow" w:cstheme="majorBidi"/>
                <w:sz w:val="20"/>
              </w:rPr>
              <w:t>$</w:t>
            </w:r>
            <w:r w:rsidR="004E53B2">
              <w:rPr>
                <w:rFonts w:ascii="Arial Narrow" w:eastAsiaTheme="majorEastAsia" w:hAnsi="Arial Narrow" w:cstheme="majorBidi"/>
                <w:sz w:val="20"/>
              </w:rPr>
              <w:t xml:space="preserve"> </w:t>
            </w:r>
            <w:r w:rsidR="004E53B2" w:rsidRPr="004E53B2">
              <w:rPr>
                <w:rFonts w:ascii="Arial Narrow" w:eastAsiaTheme="majorEastAsia" w:hAnsi="Arial Narrow" w:cstheme="majorBidi"/>
                <w:color w:val="000000"/>
                <w:sz w:val="20"/>
                <w:shd w:val="solid" w:color="000000" w:fill="000000"/>
                <w14:textFill>
                  <w14:solidFill>
                    <w14:srgbClr w14:val="000000">
                      <w14:alpha w14:val="100000"/>
                    </w14:srgbClr>
                  </w14:solidFill>
                </w14:textFill>
              </w:rPr>
              <w:t>|</w:t>
            </w:r>
          </w:p>
        </w:tc>
      </w:tr>
      <w:tr w:rsidR="00034A31" w:rsidRPr="00F91CC3" w14:paraId="78F51DFE" w14:textId="77777777" w:rsidTr="003E0435">
        <w:trPr>
          <w:cantSplit/>
          <w:trHeight w:val="349"/>
          <w:jc w:val="center"/>
        </w:trPr>
        <w:tc>
          <w:tcPr>
            <w:tcW w:w="719" w:type="pct"/>
            <w:vMerge w:val="restart"/>
            <w:tcBorders>
              <w:top w:val="single" w:sz="4" w:space="0" w:color="auto"/>
              <w:left w:val="single" w:sz="4" w:space="0" w:color="auto"/>
              <w:bottom w:val="single" w:sz="4" w:space="0" w:color="auto"/>
              <w:right w:val="single" w:sz="4" w:space="0" w:color="auto"/>
            </w:tcBorders>
            <w:vAlign w:val="center"/>
            <w:hideMark/>
          </w:tcPr>
          <w:p w14:paraId="141C1311" w14:textId="77777777" w:rsidR="00034A31" w:rsidRPr="00F91CC3" w:rsidRDefault="00034A31" w:rsidP="000A0645">
            <w:pPr>
              <w:keepNext/>
              <w:keepLines/>
              <w:jc w:val="left"/>
              <w:rPr>
                <w:rFonts w:ascii="Arial Narrow" w:eastAsiaTheme="majorEastAsia" w:hAnsi="Arial Narrow" w:cstheme="majorBidi"/>
                <w:bCs/>
                <w:sz w:val="20"/>
              </w:rPr>
            </w:pPr>
            <w:r w:rsidRPr="00F91CC3">
              <w:rPr>
                <w:rFonts w:ascii="Arial Narrow" w:eastAsiaTheme="majorEastAsia" w:hAnsi="Arial Narrow" w:cstheme="majorBidi"/>
                <w:bCs/>
                <w:sz w:val="20"/>
              </w:rPr>
              <w:t>Compliance</w:t>
            </w:r>
          </w:p>
        </w:tc>
        <w:tc>
          <w:tcPr>
            <w:tcW w:w="850" w:type="pct"/>
            <w:tcBorders>
              <w:top w:val="single" w:sz="4" w:space="0" w:color="auto"/>
              <w:left w:val="single" w:sz="4" w:space="0" w:color="auto"/>
              <w:bottom w:val="single" w:sz="4" w:space="0" w:color="auto"/>
              <w:right w:val="single" w:sz="4" w:space="0" w:color="auto"/>
            </w:tcBorders>
            <w:vAlign w:val="center"/>
            <w:hideMark/>
          </w:tcPr>
          <w:p w14:paraId="141420F6" w14:textId="77777777" w:rsidR="00034A31" w:rsidRPr="00F91CC3" w:rsidRDefault="00034A31" w:rsidP="000A0645">
            <w:pPr>
              <w:keepNext/>
              <w:keepLines/>
              <w:jc w:val="left"/>
              <w:rPr>
                <w:rFonts w:ascii="Arial Narrow" w:eastAsiaTheme="majorEastAsia" w:hAnsi="Arial Narrow" w:cstheme="majorBidi"/>
                <w:b/>
                <w:sz w:val="20"/>
              </w:rPr>
            </w:pPr>
            <w:r w:rsidRPr="00F91CC3">
              <w:rPr>
                <w:rFonts w:ascii="Arial Narrow" w:eastAsiaTheme="majorEastAsia" w:hAnsi="Arial Narrow" w:cstheme="majorBidi"/>
                <w:b/>
                <w:sz w:val="20"/>
              </w:rPr>
              <w:t>Gating population</w:t>
            </w:r>
          </w:p>
        </w:tc>
        <w:tc>
          <w:tcPr>
            <w:tcW w:w="1351" w:type="pct"/>
            <w:gridSpan w:val="2"/>
            <w:tcBorders>
              <w:top w:val="single" w:sz="4" w:space="0" w:color="auto"/>
              <w:left w:val="single" w:sz="4" w:space="0" w:color="auto"/>
              <w:bottom w:val="single" w:sz="4" w:space="0" w:color="auto"/>
              <w:right w:val="single" w:sz="4" w:space="0" w:color="auto"/>
            </w:tcBorders>
            <w:vAlign w:val="center"/>
            <w:hideMark/>
          </w:tcPr>
          <w:p w14:paraId="6341302B" w14:textId="0D2150F6" w:rsidR="00034A31" w:rsidRPr="00F91CC3" w:rsidRDefault="00972394" w:rsidP="000A0645">
            <w:pPr>
              <w:keepNext/>
              <w:keepLines/>
              <w:jc w:val="center"/>
              <w:rPr>
                <w:rFonts w:ascii="Arial Narrow" w:eastAsiaTheme="majorEastAsia" w:hAnsi="Arial Narrow" w:cstheme="majorBidi"/>
                <w:b/>
                <w:sz w:val="20"/>
              </w:rPr>
            </w:pPr>
            <w:r w:rsidRPr="00F91CC3">
              <w:rPr>
                <w:rFonts w:ascii="Arial Narrow" w:eastAsiaTheme="majorEastAsia" w:hAnsi="Arial Narrow" w:cstheme="majorBidi"/>
                <w:b/>
                <w:sz w:val="20"/>
              </w:rPr>
              <w:t xml:space="preserve">Additional </w:t>
            </w:r>
            <w:r w:rsidR="00034A31" w:rsidRPr="00F91CC3">
              <w:rPr>
                <w:rFonts w:ascii="Arial Narrow" w:eastAsiaTheme="majorEastAsia" w:hAnsi="Arial Narrow" w:cstheme="majorBidi"/>
                <w:b/>
                <w:sz w:val="20"/>
              </w:rPr>
              <w:t>population</w:t>
            </w:r>
            <w:r w:rsidRPr="00F91CC3">
              <w:rPr>
                <w:rFonts w:ascii="Arial Narrow" w:eastAsiaTheme="majorEastAsia" w:hAnsi="Arial Narrow" w:cstheme="majorBidi"/>
                <w:b/>
                <w:sz w:val="20"/>
              </w:rPr>
              <w:t>s</w:t>
            </w:r>
          </w:p>
        </w:tc>
        <w:tc>
          <w:tcPr>
            <w:tcW w:w="694" w:type="pct"/>
            <w:tcBorders>
              <w:top w:val="single" w:sz="4" w:space="0" w:color="auto"/>
              <w:left w:val="single" w:sz="4" w:space="0" w:color="auto"/>
              <w:bottom w:val="single" w:sz="4" w:space="0" w:color="auto"/>
              <w:right w:val="single" w:sz="4" w:space="0" w:color="auto"/>
            </w:tcBorders>
            <w:vAlign w:val="center"/>
            <w:hideMark/>
          </w:tcPr>
          <w:p w14:paraId="56E1C14E" w14:textId="77777777" w:rsidR="00034A31" w:rsidRPr="00F91CC3" w:rsidRDefault="00034A31" w:rsidP="000A0645">
            <w:pPr>
              <w:keepNext/>
              <w:keepLines/>
              <w:jc w:val="left"/>
              <w:rPr>
                <w:rFonts w:ascii="Arial Narrow" w:eastAsiaTheme="majorEastAsia" w:hAnsi="Arial Narrow" w:cstheme="majorBidi"/>
                <w:b/>
                <w:sz w:val="20"/>
              </w:rPr>
            </w:pPr>
            <w:r w:rsidRPr="00F91CC3">
              <w:rPr>
                <w:rFonts w:ascii="Arial Narrow" w:eastAsiaTheme="majorEastAsia" w:hAnsi="Arial Narrow" w:cstheme="majorBidi"/>
                <w:b/>
                <w:sz w:val="20"/>
              </w:rPr>
              <w:t>Gating population</w:t>
            </w:r>
          </w:p>
        </w:tc>
        <w:tc>
          <w:tcPr>
            <w:tcW w:w="1386" w:type="pct"/>
            <w:gridSpan w:val="2"/>
            <w:tcBorders>
              <w:top w:val="single" w:sz="4" w:space="0" w:color="auto"/>
              <w:left w:val="single" w:sz="4" w:space="0" w:color="auto"/>
              <w:bottom w:val="single" w:sz="4" w:space="0" w:color="auto"/>
              <w:right w:val="single" w:sz="4" w:space="0" w:color="auto"/>
            </w:tcBorders>
            <w:vAlign w:val="center"/>
            <w:hideMark/>
          </w:tcPr>
          <w:p w14:paraId="2DC1A574" w14:textId="70CAA467" w:rsidR="00034A31" w:rsidRPr="00F91CC3" w:rsidRDefault="00972394" w:rsidP="000A0645">
            <w:pPr>
              <w:keepNext/>
              <w:keepLines/>
              <w:jc w:val="center"/>
              <w:rPr>
                <w:rFonts w:ascii="Arial Narrow" w:eastAsiaTheme="majorEastAsia" w:hAnsi="Arial Narrow" w:cstheme="majorBidi"/>
                <w:b/>
                <w:sz w:val="20"/>
              </w:rPr>
            </w:pPr>
            <w:r w:rsidRPr="00F91CC3">
              <w:rPr>
                <w:rFonts w:ascii="Arial Narrow" w:eastAsiaTheme="majorEastAsia" w:hAnsi="Arial Narrow" w:cstheme="majorBidi"/>
                <w:b/>
                <w:sz w:val="20"/>
              </w:rPr>
              <w:t>Additional populations</w:t>
            </w:r>
          </w:p>
        </w:tc>
      </w:tr>
      <w:tr w:rsidR="00034A31" w:rsidRPr="00F91CC3" w14:paraId="26B9A589" w14:textId="77777777" w:rsidTr="003E0435">
        <w:trPr>
          <w:trHeight w:val="642"/>
          <w:jc w:val="center"/>
        </w:trPr>
        <w:tc>
          <w:tcPr>
            <w:tcW w:w="719" w:type="pct"/>
            <w:vMerge/>
            <w:tcBorders>
              <w:top w:val="single" w:sz="4" w:space="0" w:color="auto"/>
              <w:left w:val="single" w:sz="4" w:space="0" w:color="auto"/>
              <w:bottom w:val="single" w:sz="4" w:space="0" w:color="auto"/>
              <w:right w:val="single" w:sz="4" w:space="0" w:color="auto"/>
            </w:tcBorders>
            <w:vAlign w:val="center"/>
            <w:hideMark/>
          </w:tcPr>
          <w:p w14:paraId="6E8C84B8" w14:textId="77777777" w:rsidR="00034A31" w:rsidRPr="00F91CC3" w:rsidRDefault="00034A31" w:rsidP="000A0645">
            <w:pPr>
              <w:keepNext/>
              <w:keepLines/>
              <w:jc w:val="left"/>
              <w:rPr>
                <w:rFonts w:ascii="Arial Narrow" w:eastAsiaTheme="majorEastAsia" w:hAnsi="Arial Narrow" w:cstheme="majorBidi"/>
                <w:bCs/>
                <w:sz w:val="20"/>
              </w:rPr>
            </w:pPr>
          </w:p>
        </w:tc>
        <w:tc>
          <w:tcPr>
            <w:tcW w:w="850" w:type="pct"/>
            <w:vMerge w:val="restart"/>
            <w:tcBorders>
              <w:top w:val="single" w:sz="4" w:space="0" w:color="auto"/>
              <w:left w:val="single" w:sz="4" w:space="0" w:color="auto"/>
              <w:bottom w:val="single" w:sz="4" w:space="0" w:color="auto"/>
              <w:right w:val="single" w:sz="4" w:space="0" w:color="auto"/>
            </w:tcBorders>
            <w:vAlign w:val="center"/>
          </w:tcPr>
          <w:p w14:paraId="595E7678" w14:textId="4E2A7E36" w:rsidR="00034A31" w:rsidRPr="00F91CC3" w:rsidRDefault="00034A31" w:rsidP="000A0645">
            <w:pPr>
              <w:keepNext/>
              <w:keepLines/>
              <w:jc w:val="center"/>
              <w:rPr>
                <w:rFonts w:ascii="Arial Narrow" w:eastAsiaTheme="majorEastAsia" w:hAnsi="Arial Narrow" w:cstheme="majorBidi"/>
                <w:bCs/>
                <w:sz w:val="20"/>
              </w:rPr>
            </w:pPr>
            <w:r w:rsidRPr="00F91CC3">
              <w:rPr>
                <w:rFonts w:ascii="Arial Narrow" w:eastAsiaTheme="majorEastAsia" w:hAnsi="Arial Narrow" w:cstheme="majorBidi"/>
                <w:bCs/>
                <w:sz w:val="20"/>
              </w:rPr>
              <w:t>Study 124: 99.9% and 99.3% in both groups</w:t>
            </w:r>
          </w:p>
        </w:tc>
        <w:tc>
          <w:tcPr>
            <w:tcW w:w="844" w:type="pct"/>
            <w:tcBorders>
              <w:top w:val="single" w:sz="4" w:space="0" w:color="auto"/>
              <w:left w:val="single" w:sz="4" w:space="0" w:color="auto"/>
              <w:bottom w:val="single" w:sz="4" w:space="0" w:color="auto"/>
              <w:right w:val="single" w:sz="4" w:space="0" w:color="auto"/>
            </w:tcBorders>
            <w:vAlign w:val="center"/>
            <w:hideMark/>
          </w:tcPr>
          <w:p w14:paraId="17F3B263" w14:textId="7B1D9FA2" w:rsidR="00034A31" w:rsidRPr="00F91CC3" w:rsidRDefault="00034A31" w:rsidP="000A0645">
            <w:pPr>
              <w:keepNext/>
              <w:keepLines/>
              <w:jc w:val="center"/>
              <w:rPr>
                <w:rFonts w:ascii="Arial Narrow" w:eastAsiaTheme="majorEastAsia" w:hAnsi="Arial Narrow" w:cstheme="majorBidi"/>
                <w:bCs/>
                <w:sz w:val="20"/>
              </w:rPr>
            </w:pPr>
            <w:r w:rsidRPr="00F91CC3">
              <w:rPr>
                <w:rFonts w:ascii="Arial Narrow" w:eastAsiaTheme="majorEastAsia" w:hAnsi="Arial Narrow" w:cstheme="majorBidi"/>
                <w:bCs/>
                <w:sz w:val="20"/>
              </w:rPr>
              <w:t xml:space="preserve">F/(R117H or RF);  </w:t>
            </w:r>
            <w:r w:rsidR="00972394" w:rsidRPr="00F91CC3">
              <w:rPr>
                <w:rFonts w:ascii="Arial Narrow" w:eastAsiaTheme="majorEastAsia" w:hAnsi="Arial Narrow" w:cstheme="majorBidi"/>
                <w:bCs/>
                <w:sz w:val="20"/>
              </w:rPr>
              <w:t>N</w:t>
            </w:r>
            <w:r w:rsidRPr="00F91CC3">
              <w:rPr>
                <w:rFonts w:ascii="Arial Narrow" w:eastAsiaTheme="majorEastAsia" w:hAnsi="Arial Narrow" w:cstheme="majorBidi"/>
                <w:bCs/>
                <w:sz w:val="20"/>
              </w:rPr>
              <w:t>on-F/RF;  F/</w:t>
            </w:r>
            <w:r w:rsidR="00972394" w:rsidRPr="00F91CC3">
              <w:rPr>
                <w:rFonts w:ascii="Arial Narrow" w:eastAsiaTheme="majorEastAsia" w:hAnsi="Arial Narrow" w:cstheme="majorBidi"/>
                <w:bCs/>
                <w:sz w:val="20"/>
              </w:rPr>
              <w:t>r</w:t>
            </w:r>
            <w:r w:rsidR="00F31DD1" w:rsidRPr="00F91CC3">
              <w:rPr>
                <w:rFonts w:ascii="Arial Narrow" w:eastAsiaTheme="majorEastAsia" w:hAnsi="Arial Narrow" w:cstheme="majorBidi"/>
                <w:bCs/>
                <w:sz w:val="20"/>
              </w:rPr>
              <w:t>are</w:t>
            </w:r>
            <w:r w:rsidRPr="00F91CC3">
              <w:rPr>
                <w:rFonts w:ascii="Arial Narrow" w:eastAsiaTheme="majorEastAsia" w:hAnsi="Arial Narrow" w:cstheme="majorBidi"/>
                <w:bCs/>
                <w:sz w:val="20"/>
              </w:rPr>
              <w:t xml:space="preserve"> (Study 108, 110 and 112)</w:t>
            </w:r>
          </w:p>
        </w:tc>
        <w:tc>
          <w:tcPr>
            <w:tcW w:w="507" w:type="pct"/>
            <w:tcBorders>
              <w:top w:val="single" w:sz="4" w:space="0" w:color="auto"/>
              <w:left w:val="single" w:sz="4" w:space="0" w:color="auto"/>
              <w:bottom w:val="single" w:sz="4" w:space="0" w:color="auto"/>
              <w:right w:val="single" w:sz="4" w:space="0" w:color="auto"/>
            </w:tcBorders>
            <w:vAlign w:val="center"/>
            <w:hideMark/>
          </w:tcPr>
          <w:p w14:paraId="7B0F4844" w14:textId="77777777" w:rsidR="00034A31" w:rsidRPr="00F91CC3" w:rsidRDefault="00034A31" w:rsidP="000A0645">
            <w:pPr>
              <w:keepNext/>
              <w:keepLines/>
              <w:jc w:val="center"/>
              <w:rPr>
                <w:rFonts w:ascii="Arial Narrow" w:eastAsiaTheme="majorEastAsia" w:hAnsi="Arial Narrow" w:cstheme="majorBidi"/>
                <w:bCs/>
                <w:sz w:val="20"/>
              </w:rPr>
            </w:pPr>
            <w:r w:rsidRPr="00F91CC3">
              <w:rPr>
                <w:rFonts w:ascii="Arial Narrow" w:eastAsiaTheme="majorEastAsia" w:hAnsi="Arial Narrow" w:cstheme="majorBidi"/>
                <w:bCs/>
                <w:sz w:val="20"/>
              </w:rPr>
              <w:t>100%</w:t>
            </w:r>
          </w:p>
        </w:tc>
        <w:tc>
          <w:tcPr>
            <w:tcW w:w="694" w:type="pct"/>
            <w:vMerge w:val="restart"/>
            <w:tcBorders>
              <w:top w:val="single" w:sz="4" w:space="0" w:color="auto"/>
              <w:left w:val="single" w:sz="4" w:space="0" w:color="auto"/>
              <w:bottom w:val="single" w:sz="4" w:space="0" w:color="auto"/>
              <w:right w:val="single" w:sz="4" w:space="0" w:color="auto"/>
            </w:tcBorders>
            <w:vAlign w:val="center"/>
            <w:hideMark/>
          </w:tcPr>
          <w:p w14:paraId="145463C6" w14:textId="77777777" w:rsidR="00034A31" w:rsidRPr="00F91CC3" w:rsidRDefault="00034A31" w:rsidP="000A0645">
            <w:pPr>
              <w:keepNext/>
              <w:keepLines/>
              <w:jc w:val="center"/>
              <w:rPr>
                <w:rFonts w:ascii="Arial Narrow" w:eastAsiaTheme="majorEastAsia" w:hAnsi="Arial Narrow" w:cstheme="majorBidi"/>
                <w:bCs/>
                <w:sz w:val="20"/>
              </w:rPr>
            </w:pPr>
            <w:r w:rsidRPr="00F91CC3">
              <w:rPr>
                <w:rFonts w:ascii="Arial Narrow" w:eastAsiaTheme="majorEastAsia" w:hAnsi="Arial Narrow" w:cstheme="majorBidi"/>
                <w:bCs/>
                <w:sz w:val="20"/>
              </w:rPr>
              <w:t>100%</w:t>
            </w:r>
          </w:p>
        </w:tc>
        <w:tc>
          <w:tcPr>
            <w:tcW w:w="870" w:type="pct"/>
            <w:tcBorders>
              <w:top w:val="single" w:sz="4" w:space="0" w:color="auto"/>
              <w:left w:val="single" w:sz="4" w:space="0" w:color="auto"/>
              <w:bottom w:val="single" w:sz="4" w:space="0" w:color="auto"/>
              <w:right w:val="single" w:sz="4" w:space="0" w:color="auto"/>
            </w:tcBorders>
            <w:vAlign w:val="center"/>
            <w:hideMark/>
          </w:tcPr>
          <w:p w14:paraId="04845B34" w14:textId="596D3F93" w:rsidR="00034A31" w:rsidRPr="00F91CC3" w:rsidRDefault="00034A31" w:rsidP="000A0645">
            <w:pPr>
              <w:keepNext/>
              <w:keepLines/>
              <w:jc w:val="center"/>
              <w:rPr>
                <w:rFonts w:ascii="Arial Narrow" w:eastAsiaTheme="majorEastAsia" w:hAnsi="Arial Narrow" w:cstheme="majorBidi"/>
                <w:bCs/>
                <w:sz w:val="20"/>
              </w:rPr>
            </w:pPr>
            <w:r w:rsidRPr="00F91CC3">
              <w:rPr>
                <w:rFonts w:ascii="Arial Narrow" w:eastAsiaTheme="majorEastAsia" w:hAnsi="Arial Narrow" w:cstheme="majorBidi"/>
                <w:bCs/>
                <w:sz w:val="20"/>
              </w:rPr>
              <w:t xml:space="preserve">F/(R117H or RF); </w:t>
            </w:r>
            <w:r w:rsidR="00972394" w:rsidRPr="00F91CC3">
              <w:rPr>
                <w:rFonts w:ascii="Arial Narrow" w:eastAsiaTheme="majorEastAsia" w:hAnsi="Arial Narrow" w:cstheme="majorBidi"/>
                <w:bCs/>
                <w:sz w:val="20"/>
              </w:rPr>
              <w:t>N</w:t>
            </w:r>
            <w:r w:rsidRPr="00F91CC3">
              <w:rPr>
                <w:rFonts w:ascii="Arial Narrow" w:eastAsiaTheme="majorEastAsia" w:hAnsi="Arial Narrow" w:cstheme="majorBidi"/>
                <w:bCs/>
                <w:sz w:val="20"/>
              </w:rPr>
              <w:t xml:space="preserve">on-F/RF; </w:t>
            </w:r>
            <w:r w:rsidR="00F31DD1" w:rsidRPr="00F91CC3">
              <w:rPr>
                <w:rFonts w:ascii="Arial Narrow" w:eastAsiaTheme="majorEastAsia" w:hAnsi="Arial Narrow" w:cstheme="majorBidi"/>
                <w:bCs/>
                <w:sz w:val="20"/>
              </w:rPr>
              <w:t xml:space="preserve"> F/rare</w:t>
            </w:r>
          </w:p>
        </w:tc>
        <w:tc>
          <w:tcPr>
            <w:tcW w:w="517" w:type="pct"/>
            <w:tcBorders>
              <w:top w:val="single" w:sz="4" w:space="0" w:color="auto"/>
              <w:left w:val="single" w:sz="4" w:space="0" w:color="auto"/>
              <w:bottom w:val="single" w:sz="4" w:space="0" w:color="auto"/>
              <w:right w:val="single" w:sz="4" w:space="0" w:color="auto"/>
            </w:tcBorders>
            <w:vAlign w:val="center"/>
            <w:hideMark/>
          </w:tcPr>
          <w:p w14:paraId="64AB9D2D" w14:textId="77777777" w:rsidR="00034A31" w:rsidRPr="00F91CC3" w:rsidRDefault="00034A31" w:rsidP="000A0645">
            <w:pPr>
              <w:keepNext/>
              <w:keepLines/>
              <w:jc w:val="center"/>
              <w:rPr>
                <w:rFonts w:ascii="Arial Narrow" w:eastAsiaTheme="majorEastAsia" w:hAnsi="Arial Narrow" w:cstheme="majorBidi"/>
                <w:bCs/>
                <w:sz w:val="20"/>
              </w:rPr>
            </w:pPr>
            <w:r w:rsidRPr="00F91CC3">
              <w:rPr>
                <w:rFonts w:ascii="Arial Narrow" w:eastAsiaTheme="majorEastAsia" w:hAnsi="Arial Narrow" w:cstheme="majorBidi"/>
                <w:bCs/>
                <w:sz w:val="20"/>
              </w:rPr>
              <w:t>95%</w:t>
            </w:r>
          </w:p>
        </w:tc>
      </w:tr>
      <w:tr w:rsidR="00034A31" w:rsidRPr="00F91CC3" w14:paraId="5813B2D3" w14:textId="77777777" w:rsidTr="003E0435">
        <w:trPr>
          <w:trHeight w:val="642"/>
          <w:jc w:val="center"/>
        </w:trPr>
        <w:tc>
          <w:tcPr>
            <w:tcW w:w="719" w:type="pct"/>
            <w:vMerge/>
            <w:tcBorders>
              <w:top w:val="single" w:sz="4" w:space="0" w:color="auto"/>
              <w:left w:val="single" w:sz="4" w:space="0" w:color="auto"/>
              <w:bottom w:val="single" w:sz="4" w:space="0" w:color="auto"/>
              <w:right w:val="single" w:sz="4" w:space="0" w:color="auto"/>
            </w:tcBorders>
            <w:vAlign w:val="center"/>
            <w:hideMark/>
          </w:tcPr>
          <w:p w14:paraId="3B10389C" w14:textId="77777777" w:rsidR="00034A31" w:rsidRPr="00F91CC3" w:rsidRDefault="00034A31" w:rsidP="000A0645">
            <w:pPr>
              <w:keepNext/>
              <w:keepLines/>
              <w:jc w:val="left"/>
              <w:rPr>
                <w:rFonts w:ascii="Arial Narrow" w:eastAsiaTheme="majorEastAsia" w:hAnsi="Arial Narrow" w:cstheme="majorBidi"/>
                <w:bCs/>
                <w:sz w:val="20"/>
              </w:rPr>
            </w:pPr>
          </w:p>
        </w:tc>
        <w:tc>
          <w:tcPr>
            <w:tcW w:w="850" w:type="pct"/>
            <w:vMerge/>
            <w:tcBorders>
              <w:top w:val="single" w:sz="4" w:space="0" w:color="auto"/>
              <w:left w:val="single" w:sz="4" w:space="0" w:color="auto"/>
              <w:bottom w:val="single" w:sz="4" w:space="0" w:color="auto"/>
              <w:right w:val="single" w:sz="4" w:space="0" w:color="auto"/>
            </w:tcBorders>
            <w:vAlign w:val="center"/>
            <w:hideMark/>
          </w:tcPr>
          <w:p w14:paraId="78588937" w14:textId="77777777" w:rsidR="00034A31" w:rsidRPr="00F91CC3" w:rsidRDefault="00034A31" w:rsidP="000A0645">
            <w:pPr>
              <w:keepNext/>
              <w:keepLines/>
              <w:jc w:val="left"/>
              <w:rPr>
                <w:rFonts w:ascii="Arial Narrow" w:eastAsiaTheme="majorEastAsia" w:hAnsi="Arial Narrow" w:cstheme="majorBidi"/>
                <w:bCs/>
                <w:sz w:val="20"/>
              </w:rPr>
            </w:pPr>
          </w:p>
        </w:tc>
        <w:tc>
          <w:tcPr>
            <w:tcW w:w="844" w:type="pct"/>
            <w:tcBorders>
              <w:top w:val="single" w:sz="4" w:space="0" w:color="auto"/>
              <w:left w:val="single" w:sz="4" w:space="0" w:color="auto"/>
              <w:bottom w:val="single" w:sz="4" w:space="0" w:color="auto"/>
              <w:right w:val="single" w:sz="4" w:space="0" w:color="auto"/>
            </w:tcBorders>
            <w:vAlign w:val="center"/>
            <w:hideMark/>
          </w:tcPr>
          <w:p w14:paraId="271520D3" w14:textId="55248CA7" w:rsidR="00972394" w:rsidRPr="00F91CC3" w:rsidRDefault="00972394" w:rsidP="000A0645">
            <w:pPr>
              <w:keepNext/>
              <w:keepLines/>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w:t>
            </w:r>
            <w:r w:rsidR="00034A31" w:rsidRPr="00F91CC3">
              <w:rPr>
                <w:rFonts w:ascii="Arial Narrow" w:eastAsiaTheme="majorEastAsia" w:hAnsi="Arial Narrow" w:cstheme="majorBidi"/>
                <w:bCs/>
                <w:sz w:val="20"/>
              </w:rPr>
              <w:t xml:space="preserve">on-F/R117H; </w:t>
            </w:r>
          </w:p>
          <w:p w14:paraId="4623DBD0" w14:textId="2FC79EBC" w:rsidR="00D16721" w:rsidRPr="00F91CC3" w:rsidRDefault="00972394" w:rsidP="000A0645">
            <w:pPr>
              <w:keepNext/>
              <w:keepLines/>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w:t>
            </w:r>
            <w:r w:rsidR="00034A31" w:rsidRPr="00F91CC3">
              <w:rPr>
                <w:rFonts w:ascii="Arial Narrow" w:eastAsiaTheme="majorEastAsia" w:hAnsi="Arial Narrow" w:cstheme="majorBidi"/>
                <w:bCs/>
                <w:sz w:val="20"/>
              </w:rPr>
              <w:t>on-F/</w:t>
            </w:r>
            <w:r w:rsidR="00F31DD1" w:rsidRPr="00F91CC3">
              <w:rPr>
                <w:rFonts w:ascii="Arial Narrow" w:eastAsiaTheme="majorEastAsia" w:hAnsi="Arial Narrow" w:cstheme="majorBidi"/>
                <w:bCs/>
                <w:sz w:val="20"/>
              </w:rPr>
              <w:t>rare</w:t>
            </w:r>
            <w:r w:rsidR="00034A31" w:rsidRPr="00F91CC3">
              <w:rPr>
                <w:rFonts w:ascii="Arial Narrow" w:eastAsiaTheme="majorEastAsia" w:hAnsi="Arial Narrow" w:cstheme="majorBidi"/>
                <w:bCs/>
                <w:sz w:val="20"/>
              </w:rPr>
              <w:t xml:space="preserve"> </w:t>
            </w:r>
          </w:p>
          <w:p w14:paraId="77950D4C" w14:textId="5A493930" w:rsidR="00034A31" w:rsidRPr="00F91CC3" w:rsidRDefault="00034A31" w:rsidP="000A0645">
            <w:pPr>
              <w:keepNext/>
              <w:keepLines/>
              <w:jc w:val="center"/>
              <w:rPr>
                <w:rFonts w:ascii="Arial Narrow" w:eastAsiaTheme="majorEastAsia" w:hAnsi="Arial Narrow" w:cstheme="majorBidi"/>
                <w:bCs/>
                <w:sz w:val="20"/>
              </w:rPr>
            </w:pPr>
            <w:r w:rsidRPr="00F91CC3">
              <w:rPr>
                <w:rFonts w:ascii="Arial Narrow" w:eastAsiaTheme="majorEastAsia" w:hAnsi="Arial Narrow" w:cstheme="majorBidi"/>
                <w:bCs/>
                <w:sz w:val="20"/>
              </w:rPr>
              <w:t>(Study 108, 110 and 112)</w:t>
            </w:r>
          </w:p>
        </w:tc>
        <w:tc>
          <w:tcPr>
            <w:tcW w:w="507" w:type="pct"/>
            <w:tcBorders>
              <w:top w:val="single" w:sz="4" w:space="0" w:color="auto"/>
              <w:left w:val="single" w:sz="4" w:space="0" w:color="auto"/>
              <w:bottom w:val="single" w:sz="4" w:space="0" w:color="auto"/>
              <w:right w:val="single" w:sz="4" w:space="0" w:color="auto"/>
            </w:tcBorders>
            <w:vAlign w:val="center"/>
            <w:hideMark/>
          </w:tcPr>
          <w:p w14:paraId="2C2C0270" w14:textId="77777777" w:rsidR="00034A31" w:rsidRPr="00F91CC3" w:rsidRDefault="00034A31" w:rsidP="000A0645">
            <w:pPr>
              <w:keepNext/>
              <w:keepLines/>
              <w:jc w:val="center"/>
              <w:rPr>
                <w:rFonts w:ascii="Arial Narrow" w:eastAsiaTheme="majorEastAsia" w:hAnsi="Arial Narrow" w:cstheme="majorBidi"/>
                <w:bCs/>
                <w:sz w:val="20"/>
              </w:rPr>
            </w:pPr>
            <w:r w:rsidRPr="00F91CC3">
              <w:rPr>
                <w:rFonts w:ascii="Arial Narrow" w:eastAsiaTheme="majorEastAsia" w:hAnsi="Arial Narrow" w:cstheme="majorBidi"/>
                <w:bCs/>
                <w:sz w:val="20"/>
              </w:rPr>
              <w:t>100%</w:t>
            </w: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2F6656D5" w14:textId="77777777" w:rsidR="00034A31" w:rsidRPr="00F91CC3" w:rsidRDefault="00034A31" w:rsidP="000A0645">
            <w:pPr>
              <w:keepNext/>
              <w:keepLines/>
              <w:jc w:val="left"/>
              <w:rPr>
                <w:rFonts w:ascii="Arial Narrow" w:eastAsiaTheme="majorEastAsia" w:hAnsi="Arial Narrow" w:cstheme="majorBidi"/>
                <w:bCs/>
                <w:sz w:val="20"/>
              </w:rPr>
            </w:pPr>
          </w:p>
        </w:tc>
        <w:tc>
          <w:tcPr>
            <w:tcW w:w="870" w:type="pct"/>
            <w:tcBorders>
              <w:top w:val="single" w:sz="4" w:space="0" w:color="auto"/>
              <w:left w:val="single" w:sz="4" w:space="0" w:color="auto"/>
              <w:bottom w:val="single" w:sz="4" w:space="0" w:color="auto"/>
              <w:right w:val="single" w:sz="4" w:space="0" w:color="auto"/>
            </w:tcBorders>
            <w:vAlign w:val="center"/>
            <w:hideMark/>
          </w:tcPr>
          <w:p w14:paraId="0EAB09A7" w14:textId="5377E541" w:rsidR="003E0435" w:rsidRPr="00F91CC3" w:rsidRDefault="00972394" w:rsidP="000A0645">
            <w:pPr>
              <w:keepNext/>
              <w:keepLines/>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w:t>
            </w:r>
            <w:r w:rsidR="00034A31" w:rsidRPr="00F91CC3">
              <w:rPr>
                <w:rFonts w:ascii="Arial Narrow" w:eastAsiaTheme="majorEastAsia" w:hAnsi="Arial Narrow" w:cstheme="majorBidi"/>
                <w:bCs/>
                <w:sz w:val="20"/>
              </w:rPr>
              <w:t xml:space="preserve">on-F/R117H; </w:t>
            </w:r>
          </w:p>
          <w:p w14:paraId="0718A27F" w14:textId="77777777" w:rsidR="00F31DD1" w:rsidRPr="00F91CC3" w:rsidRDefault="00F31DD1" w:rsidP="000A0645">
            <w:pPr>
              <w:keepNext/>
              <w:keepLines/>
              <w:jc w:val="center"/>
              <w:rPr>
                <w:rFonts w:ascii="Arial Narrow" w:eastAsiaTheme="majorEastAsia" w:hAnsi="Arial Narrow" w:cstheme="majorBidi"/>
                <w:bCs/>
                <w:sz w:val="20"/>
              </w:rPr>
            </w:pPr>
            <w:r w:rsidRPr="00F91CC3">
              <w:rPr>
                <w:rFonts w:ascii="Arial Narrow" w:eastAsiaTheme="majorEastAsia" w:hAnsi="Arial Narrow" w:cstheme="majorBidi"/>
                <w:bCs/>
                <w:sz w:val="20"/>
              </w:rPr>
              <w:t xml:space="preserve">Non-F/rare </w:t>
            </w:r>
          </w:p>
          <w:p w14:paraId="041E028C" w14:textId="1C25891A" w:rsidR="00034A31" w:rsidRPr="00F91CC3" w:rsidRDefault="00034A31" w:rsidP="000A0645">
            <w:pPr>
              <w:keepNext/>
              <w:keepLines/>
              <w:jc w:val="center"/>
              <w:rPr>
                <w:rFonts w:ascii="Arial Narrow" w:eastAsiaTheme="majorEastAsia" w:hAnsi="Arial Narrow" w:cstheme="majorBidi"/>
                <w:bCs/>
                <w:sz w:val="20"/>
              </w:rPr>
            </w:pPr>
          </w:p>
        </w:tc>
        <w:tc>
          <w:tcPr>
            <w:tcW w:w="517" w:type="pct"/>
            <w:tcBorders>
              <w:top w:val="single" w:sz="4" w:space="0" w:color="auto"/>
              <w:left w:val="single" w:sz="4" w:space="0" w:color="auto"/>
              <w:bottom w:val="single" w:sz="4" w:space="0" w:color="auto"/>
              <w:right w:val="single" w:sz="4" w:space="0" w:color="auto"/>
            </w:tcBorders>
            <w:vAlign w:val="center"/>
            <w:hideMark/>
          </w:tcPr>
          <w:p w14:paraId="0E546E2F" w14:textId="77777777" w:rsidR="00034A31" w:rsidRPr="00F91CC3" w:rsidRDefault="00034A31" w:rsidP="000A0645">
            <w:pPr>
              <w:keepNext/>
              <w:keepLines/>
              <w:jc w:val="center"/>
              <w:rPr>
                <w:rFonts w:ascii="Arial Narrow" w:eastAsiaTheme="majorEastAsia" w:hAnsi="Arial Narrow" w:cstheme="majorBidi"/>
                <w:bCs/>
                <w:sz w:val="20"/>
              </w:rPr>
            </w:pPr>
            <w:r w:rsidRPr="00F91CC3">
              <w:rPr>
                <w:rFonts w:ascii="Arial Narrow" w:eastAsiaTheme="majorEastAsia" w:hAnsi="Arial Narrow" w:cstheme="majorBidi"/>
                <w:bCs/>
                <w:sz w:val="20"/>
              </w:rPr>
              <w:t>85%</w:t>
            </w:r>
          </w:p>
        </w:tc>
      </w:tr>
      <w:tr w:rsidR="00034A31" w:rsidRPr="00F91CC3" w14:paraId="62D5F689" w14:textId="77777777" w:rsidTr="003E0435">
        <w:trPr>
          <w:trHeight w:val="345"/>
          <w:jc w:val="center"/>
        </w:trPr>
        <w:tc>
          <w:tcPr>
            <w:tcW w:w="719" w:type="pct"/>
            <w:vMerge w:val="restart"/>
            <w:tcBorders>
              <w:top w:val="single" w:sz="4" w:space="0" w:color="auto"/>
              <w:left w:val="single" w:sz="4" w:space="0" w:color="auto"/>
              <w:bottom w:val="single" w:sz="4" w:space="0" w:color="auto"/>
              <w:right w:val="single" w:sz="4" w:space="0" w:color="auto"/>
            </w:tcBorders>
            <w:vAlign w:val="center"/>
            <w:hideMark/>
          </w:tcPr>
          <w:p w14:paraId="06C039DF" w14:textId="77777777" w:rsidR="00034A31" w:rsidRPr="00F91CC3" w:rsidRDefault="00034A31" w:rsidP="000A0645">
            <w:pPr>
              <w:keepNext/>
              <w:keepLines/>
              <w:jc w:val="left"/>
              <w:rPr>
                <w:rFonts w:ascii="Arial Narrow" w:eastAsiaTheme="majorEastAsia" w:hAnsi="Arial Narrow" w:cstheme="majorBidi"/>
                <w:bCs/>
                <w:sz w:val="20"/>
              </w:rPr>
            </w:pPr>
            <w:r w:rsidRPr="00F91CC3">
              <w:rPr>
                <w:rFonts w:ascii="Arial Narrow" w:eastAsiaTheme="majorEastAsia" w:hAnsi="Arial Narrow" w:cstheme="majorBidi"/>
                <w:bCs/>
                <w:sz w:val="20"/>
              </w:rPr>
              <w:t>Number of scripts per year</w:t>
            </w:r>
          </w:p>
        </w:tc>
        <w:tc>
          <w:tcPr>
            <w:tcW w:w="850" w:type="pct"/>
            <w:tcBorders>
              <w:top w:val="single" w:sz="4" w:space="0" w:color="auto"/>
              <w:left w:val="single" w:sz="4" w:space="0" w:color="auto"/>
              <w:bottom w:val="single" w:sz="4" w:space="0" w:color="auto"/>
              <w:right w:val="single" w:sz="4" w:space="0" w:color="auto"/>
            </w:tcBorders>
            <w:vAlign w:val="center"/>
            <w:hideMark/>
          </w:tcPr>
          <w:p w14:paraId="1778E519" w14:textId="77777777" w:rsidR="00034A31" w:rsidRPr="00F91CC3" w:rsidRDefault="00034A31" w:rsidP="000A0645">
            <w:pPr>
              <w:keepNext/>
              <w:keepLines/>
              <w:jc w:val="center"/>
              <w:rPr>
                <w:rFonts w:ascii="Arial Narrow" w:eastAsiaTheme="majorEastAsia" w:hAnsi="Arial Narrow" w:cstheme="majorBidi"/>
                <w:bCs/>
                <w:sz w:val="20"/>
              </w:rPr>
            </w:pPr>
            <w:r w:rsidRPr="00F91CC3">
              <w:rPr>
                <w:rFonts w:ascii="Arial Narrow" w:eastAsiaTheme="majorEastAsia" w:hAnsi="Arial Narrow" w:cstheme="majorBidi"/>
                <w:b/>
                <w:sz w:val="20"/>
              </w:rPr>
              <w:t>Gating population</w:t>
            </w:r>
          </w:p>
        </w:tc>
        <w:tc>
          <w:tcPr>
            <w:tcW w:w="1351" w:type="pct"/>
            <w:gridSpan w:val="2"/>
            <w:tcBorders>
              <w:top w:val="single" w:sz="4" w:space="0" w:color="auto"/>
              <w:left w:val="single" w:sz="4" w:space="0" w:color="auto"/>
              <w:bottom w:val="single" w:sz="4" w:space="0" w:color="auto"/>
              <w:right w:val="single" w:sz="4" w:space="0" w:color="auto"/>
            </w:tcBorders>
            <w:vAlign w:val="center"/>
            <w:hideMark/>
          </w:tcPr>
          <w:p w14:paraId="13F9B5B2" w14:textId="14709CE5" w:rsidR="00034A31" w:rsidRPr="00F91CC3" w:rsidRDefault="00972394" w:rsidP="000A0645">
            <w:pPr>
              <w:keepNext/>
              <w:keepLines/>
              <w:jc w:val="center"/>
              <w:rPr>
                <w:rFonts w:ascii="Arial Narrow" w:eastAsiaTheme="majorEastAsia" w:hAnsi="Arial Narrow" w:cstheme="majorBidi"/>
                <w:bCs/>
                <w:sz w:val="20"/>
              </w:rPr>
            </w:pPr>
            <w:r w:rsidRPr="00F91CC3">
              <w:rPr>
                <w:rFonts w:ascii="Arial Narrow" w:eastAsiaTheme="majorEastAsia" w:hAnsi="Arial Narrow" w:cstheme="majorBidi"/>
                <w:b/>
                <w:sz w:val="20"/>
              </w:rPr>
              <w:t>Additional populations</w:t>
            </w:r>
          </w:p>
        </w:tc>
        <w:tc>
          <w:tcPr>
            <w:tcW w:w="694" w:type="pct"/>
            <w:tcBorders>
              <w:top w:val="single" w:sz="4" w:space="0" w:color="auto"/>
              <w:left w:val="single" w:sz="4" w:space="0" w:color="auto"/>
              <w:bottom w:val="single" w:sz="4" w:space="0" w:color="auto"/>
              <w:right w:val="single" w:sz="4" w:space="0" w:color="auto"/>
            </w:tcBorders>
            <w:vAlign w:val="center"/>
            <w:hideMark/>
          </w:tcPr>
          <w:p w14:paraId="6DBC1752" w14:textId="77777777" w:rsidR="00034A31" w:rsidRPr="00F91CC3" w:rsidRDefault="00034A31" w:rsidP="000A0645">
            <w:pPr>
              <w:keepNext/>
              <w:keepLines/>
              <w:jc w:val="left"/>
              <w:rPr>
                <w:rFonts w:ascii="Arial Narrow" w:eastAsiaTheme="majorEastAsia" w:hAnsi="Arial Narrow" w:cstheme="majorBidi"/>
                <w:b/>
                <w:sz w:val="20"/>
              </w:rPr>
            </w:pPr>
            <w:r w:rsidRPr="00F91CC3">
              <w:rPr>
                <w:rFonts w:ascii="Arial Narrow" w:eastAsiaTheme="majorEastAsia" w:hAnsi="Arial Narrow" w:cstheme="majorBidi"/>
                <w:b/>
                <w:sz w:val="20"/>
              </w:rPr>
              <w:t>Gating population</w:t>
            </w:r>
          </w:p>
        </w:tc>
        <w:tc>
          <w:tcPr>
            <w:tcW w:w="1386" w:type="pct"/>
            <w:gridSpan w:val="2"/>
            <w:tcBorders>
              <w:top w:val="single" w:sz="4" w:space="0" w:color="auto"/>
              <w:left w:val="single" w:sz="4" w:space="0" w:color="auto"/>
              <w:bottom w:val="single" w:sz="4" w:space="0" w:color="auto"/>
              <w:right w:val="single" w:sz="4" w:space="0" w:color="auto"/>
            </w:tcBorders>
            <w:vAlign w:val="center"/>
            <w:hideMark/>
          </w:tcPr>
          <w:p w14:paraId="63D7A4B1" w14:textId="3132BFE9" w:rsidR="00034A31" w:rsidRPr="00F91CC3" w:rsidRDefault="00972394" w:rsidP="000A0645">
            <w:pPr>
              <w:keepNext/>
              <w:keepLines/>
              <w:jc w:val="center"/>
              <w:rPr>
                <w:rFonts w:ascii="Arial Narrow" w:eastAsiaTheme="majorEastAsia" w:hAnsi="Arial Narrow" w:cstheme="majorBidi"/>
                <w:b/>
                <w:sz w:val="20"/>
              </w:rPr>
            </w:pPr>
            <w:r w:rsidRPr="00F91CC3">
              <w:rPr>
                <w:rFonts w:ascii="Arial Narrow" w:eastAsiaTheme="majorEastAsia" w:hAnsi="Arial Narrow" w:cstheme="majorBidi"/>
                <w:b/>
                <w:sz w:val="20"/>
              </w:rPr>
              <w:t>Additional populations</w:t>
            </w:r>
          </w:p>
        </w:tc>
      </w:tr>
      <w:tr w:rsidR="00034A31" w:rsidRPr="00F91CC3" w14:paraId="64B86898" w14:textId="77777777" w:rsidTr="003E0435">
        <w:trPr>
          <w:trHeight w:val="69"/>
          <w:jc w:val="center"/>
        </w:trPr>
        <w:tc>
          <w:tcPr>
            <w:tcW w:w="719" w:type="pct"/>
            <w:vMerge/>
            <w:tcBorders>
              <w:top w:val="single" w:sz="4" w:space="0" w:color="auto"/>
              <w:left w:val="single" w:sz="4" w:space="0" w:color="auto"/>
              <w:bottom w:val="single" w:sz="4" w:space="0" w:color="auto"/>
              <w:right w:val="single" w:sz="4" w:space="0" w:color="auto"/>
            </w:tcBorders>
            <w:vAlign w:val="center"/>
            <w:hideMark/>
          </w:tcPr>
          <w:p w14:paraId="455FD69D" w14:textId="77777777" w:rsidR="00034A31" w:rsidRPr="00F91CC3" w:rsidRDefault="00034A31" w:rsidP="000A0645">
            <w:pPr>
              <w:keepNext/>
              <w:keepLines/>
              <w:jc w:val="left"/>
              <w:rPr>
                <w:rFonts w:ascii="Arial Narrow" w:eastAsiaTheme="majorEastAsia" w:hAnsi="Arial Narrow" w:cstheme="majorBidi"/>
                <w:bCs/>
                <w:sz w:val="20"/>
              </w:rPr>
            </w:pPr>
          </w:p>
        </w:tc>
        <w:tc>
          <w:tcPr>
            <w:tcW w:w="850" w:type="pct"/>
            <w:vMerge w:val="restart"/>
            <w:tcBorders>
              <w:top w:val="single" w:sz="4" w:space="0" w:color="auto"/>
              <w:left w:val="single" w:sz="4" w:space="0" w:color="auto"/>
              <w:bottom w:val="single" w:sz="4" w:space="0" w:color="auto"/>
              <w:right w:val="single" w:sz="4" w:space="0" w:color="auto"/>
            </w:tcBorders>
            <w:vAlign w:val="center"/>
            <w:hideMark/>
          </w:tcPr>
          <w:p w14:paraId="08B90DA5" w14:textId="5FE93D46" w:rsidR="00034A31" w:rsidRPr="00F91CC3" w:rsidRDefault="00034A31" w:rsidP="000A0645">
            <w:pPr>
              <w:keepNext/>
              <w:keepLines/>
              <w:jc w:val="center"/>
              <w:rPr>
                <w:rFonts w:ascii="Arial Narrow" w:eastAsiaTheme="majorEastAsia" w:hAnsi="Arial Narrow" w:cstheme="majorBidi"/>
                <w:bCs/>
                <w:sz w:val="20"/>
                <w:vertAlign w:val="superscript"/>
              </w:rPr>
            </w:pPr>
            <w:r w:rsidRPr="00F91CC3">
              <w:rPr>
                <w:rFonts w:ascii="Arial Narrow" w:eastAsiaTheme="majorEastAsia" w:hAnsi="Arial Narrow" w:cstheme="majorBidi"/>
                <w:bCs/>
                <w:sz w:val="20"/>
              </w:rPr>
              <w:t xml:space="preserve">8.66 </w:t>
            </w:r>
            <w:r w:rsidR="001F2F57" w:rsidRPr="00F91CC3">
              <w:rPr>
                <w:rFonts w:ascii="Arial Narrow" w:eastAsiaTheme="majorEastAsia" w:hAnsi="Arial Narrow" w:cstheme="majorBidi"/>
                <w:bCs/>
                <w:sz w:val="20"/>
                <w:vertAlign w:val="superscript"/>
              </w:rPr>
              <w:t>b</w:t>
            </w:r>
          </w:p>
        </w:tc>
        <w:tc>
          <w:tcPr>
            <w:tcW w:w="844" w:type="pct"/>
            <w:tcBorders>
              <w:top w:val="single" w:sz="4" w:space="0" w:color="auto"/>
              <w:left w:val="single" w:sz="4" w:space="0" w:color="auto"/>
              <w:bottom w:val="single" w:sz="4" w:space="0" w:color="auto"/>
              <w:right w:val="single" w:sz="4" w:space="0" w:color="auto"/>
            </w:tcBorders>
            <w:vAlign w:val="center"/>
            <w:hideMark/>
          </w:tcPr>
          <w:p w14:paraId="3E4D26CB" w14:textId="5F041466" w:rsidR="00034A31" w:rsidRPr="00F91CC3" w:rsidRDefault="00034A31" w:rsidP="000A0645">
            <w:pPr>
              <w:keepNext/>
              <w:keepLines/>
              <w:jc w:val="center"/>
              <w:rPr>
                <w:rFonts w:ascii="Arial Narrow" w:eastAsiaTheme="majorEastAsia" w:hAnsi="Arial Narrow" w:cstheme="majorBidi"/>
                <w:bCs/>
                <w:sz w:val="20"/>
              </w:rPr>
            </w:pPr>
            <w:r w:rsidRPr="00F91CC3">
              <w:rPr>
                <w:rFonts w:ascii="Arial Narrow" w:eastAsiaTheme="majorEastAsia" w:hAnsi="Arial Narrow" w:cstheme="majorBidi"/>
                <w:bCs/>
                <w:sz w:val="20"/>
              </w:rPr>
              <w:t xml:space="preserve">F/(R117H or RF);  </w:t>
            </w:r>
            <w:r w:rsidR="00972394" w:rsidRPr="00F91CC3">
              <w:rPr>
                <w:rFonts w:ascii="Arial Narrow" w:eastAsiaTheme="majorEastAsia" w:hAnsi="Arial Narrow" w:cstheme="majorBidi"/>
                <w:bCs/>
                <w:sz w:val="20"/>
              </w:rPr>
              <w:t>N</w:t>
            </w:r>
            <w:r w:rsidRPr="00F91CC3">
              <w:rPr>
                <w:rFonts w:ascii="Arial Narrow" w:eastAsiaTheme="majorEastAsia" w:hAnsi="Arial Narrow" w:cstheme="majorBidi"/>
                <w:bCs/>
                <w:sz w:val="20"/>
              </w:rPr>
              <w:t xml:space="preserve">on-F/RF;  </w:t>
            </w:r>
            <w:r w:rsidR="00F31DD1" w:rsidRPr="00F91CC3">
              <w:rPr>
                <w:rFonts w:ascii="Arial Narrow" w:eastAsiaTheme="majorEastAsia" w:hAnsi="Arial Narrow" w:cstheme="majorBidi"/>
                <w:bCs/>
                <w:sz w:val="20"/>
              </w:rPr>
              <w:t xml:space="preserve"> F/rare</w:t>
            </w:r>
          </w:p>
        </w:tc>
        <w:tc>
          <w:tcPr>
            <w:tcW w:w="507" w:type="pct"/>
            <w:tcBorders>
              <w:top w:val="single" w:sz="4" w:space="0" w:color="auto"/>
              <w:left w:val="single" w:sz="4" w:space="0" w:color="auto"/>
              <w:bottom w:val="single" w:sz="4" w:space="0" w:color="auto"/>
              <w:right w:val="single" w:sz="4" w:space="0" w:color="auto"/>
            </w:tcBorders>
            <w:vAlign w:val="center"/>
            <w:hideMark/>
          </w:tcPr>
          <w:p w14:paraId="30D607E6" w14:textId="77777777" w:rsidR="00034A31" w:rsidRPr="00F91CC3" w:rsidRDefault="00034A31" w:rsidP="000A0645">
            <w:pPr>
              <w:keepNext/>
              <w:keepLines/>
              <w:jc w:val="center"/>
              <w:rPr>
                <w:rFonts w:ascii="Arial Narrow" w:eastAsiaTheme="majorEastAsia" w:hAnsi="Arial Narrow" w:cstheme="majorBidi"/>
                <w:bCs/>
                <w:sz w:val="20"/>
              </w:rPr>
            </w:pPr>
            <w:r w:rsidRPr="00F91CC3">
              <w:rPr>
                <w:rFonts w:ascii="Arial Narrow" w:eastAsiaTheme="majorEastAsia" w:hAnsi="Arial Narrow" w:cstheme="majorBidi"/>
                <w:bCs/>
                <w:sz w:val="20"/>
              </w:rPr>
              <w:t>13.04</w:t>
            </w:r>
          </w:p>
        </w:tc>
        <w:tc>
          <w:tcPr>
            <w:tcW w:w="694" w:type="pct"/>
            <w:vMerge w:val="restart"/>
            <w:tcBorders>
              <w:top w:val="single" w:sz="4" w:space="0" w:color="auto"/>
              <w:left w:val="single" w:sz="4" w:space="0" w:color="auto"/>
              <w:bottom w:val="single" w:sz="4" w:space="0" w:color="auto"/>
              <w:right w:val="single" w:sz="4" w:space="0" w:color="auto"/>
            </w:tcBorders>
            <w:vAlign w:val="center"/>
            <w:hideMark/>
          </w:tcPr>
          <w:p w14:paraId="1DF9C757" w14:textId="77777777" w:rsidR="00034A31" w:rsidRPr="00F91CC3" w:rsidRDefault="00034A31" w:rsidP="000A0645">
            <w:pPr>
              <w:keepNext/>
              <w:keepLines/>
              <w:jc w:val="center"/>
              <w:rPr>
                <w:rFonts w:ascii="Arial Narrow" w:eastAsiaTheme="majorEastAsia" w:hAnsi="Arial Narrow" w:cstheme="majorBidi"/>
                <w:bCs/>
                <w:sz w:val="20"/>
              </w:rPr>
            </w:pPr>
            <w:r w:rsidRPr="00F91CC3">
              <w:rPr>
                <w:rFonts w:ascii="Arial Narrow" w:eastAsiaTheme="majorEastAsia" w:hAnsi="Arial Narrow" w:cstheme="majorBidi"/>
                <w:bCs/>
                <w:sz w:val="20"/>
              </w:rPr>
              <w:t xml:space="preserve">8.69 </w:t>
            </w:r>
            <w:r w:rsidRPr="00F91CC3">
              <w:rPr>
                <w:rFonts w:ascii="Arial Narrow" w:eastAsiaTheme="majorEastAsia" w:hAnsi="Arial Narrow" w:cstheme="majorBidi"/>
                <w:bCs/>
                <w:sz w:val="20"/>
                <w:vertAlign w:val="superscript"/>
              </w:rPr>
              <w:t>b</w:t>
            </w:r>
          </w:p>
        </w:tc>
        <w:tc>
          <w:tcPr>
            <w:tcW w:w="870" w:type="pct"/>
            <w:tcBorders>
              <w:top w:val="single" w:sz="4" w:space="0" w:color="auto"/>
              <w:left w:val="single" w:sz="4" w:space="0" w:color="auto"/>
              <w:bottom w:val="single" w:sz="4" w:space="0" w:color="auto"/>
              <w:right w:val="single" w:sz="4" w:space="0" w:color="auto"/>
            </w:tcBorders>
            <w:vAlign w:val="center"/>
            <w:hideMark/>
          </w:tcPr>
          <w:p w14:paraId="126124B5" w14:textId="1A17553A" w:rsidR="00034A31" w:rsidRPr="00F91CC3" w:rsidRDefault="00034A31" w:rsidP="000A0645">
            <w:pPr>
              <w:keepNext/>
              <w:keepLines/>
              <w:jc w:val="center"/>
              <w:rPr>
                <w:rFonts w:ascii="Arial Narrow" w:eastAsiaTheme="majorEastAsia" w:hAnsi="Arial Narrow" w:cstheme="majorBidi"/>
                <w:bCs/>
                <w:sz w:val="20"/>
              </w:rPr>
            </w:pPr>
            <w:r w:rsidRPr="00F91CC3">
              <w:rPr>
                <w:rFonts w:ascii="Arial Narrow" w:eastAsiaTheme="majorEastAsia" w:hAnsi="Arial Narrow" w:cstheme="majorBidi"/>
                <w:bCs/>
                <w:sz w:val="20"/>
              </w:rPr>
              <w:t xml:space="preserve">F/(R117H or RF); </w:t>
            </w:r>
            <w:r w:rsidR="00972394" w:rsidRPr="00F91CC3">
              <w:rPr>
                <w:rFonts w:ascii="Arial Narrow" w:eastAsiaTheme="majorEastAsia" w:hAnsi="Arial Narrow" w:cstheme="majorBidi"/>
                <w:bCs/>
                <w:sz w:val="20"/>
              </w:rPr>
              <w:t>N</w:t>
            </w:r>
            <w:r w:rsidRPr="00F91CC3">
              <w:rPr>
                <w:rFonts w:ascii="Arial Narrow" w:eastAsiaTheme="majorEastAsia" w:hAnsi="Arial Narrow" w:cstheme="majorBidi"/>
                <w:bCs/>
                <w:sz w:val="20"/>
              </w:rPr>
              <w:t xml:space="preserve">on-F/RF;  </w:t>
            </w:r>
            <w:r w:rsidR="00F31DD1" w:rsidRPr="00F91CC3">
              <w:rPr>
                <w:rFonts w:ascii="Arial Narrow" w:eastAsiaTheme="majorEastAsia" w:hAnsi="Arial Narrow" w:cstheme="majorBidi"/>
                <w:bCs/>
                <w:sz w:val="20"/>
              </w:rPr>
              <w:t xml:space="preserve"> F/rare</w:t>
            </w:r>
          </w:p>
        </w:tc>
        <w:tc>
          <w:tcPr>
            <w:tcW w:w="517" w:type="pct"/>
            <w:tcBorders>
              <w:top w:val="single" w:sz="4" w:space="0" w:color="auto"/>
              <w:left w:val="single" w:sz="4" w:space="0" w:color="auto"/>
              <w:bottom w:val="single" w:sz="4" w:space="0" w:color="auto"/>
              <w:right w:val="single" w:sz="4" w:space="0" w:color="auto"/>
            </w:tcBorders>
            <w:vAlign w:val="center"/>
            <w:hideMark/>
          </w:tcPr>
          <w:p w14:paraId="33C9EDE6" w14:textId="77777777" w:rsidR="00034A31" w:rsidRPr="00F91CC3" w:rsidRDefault="00034A31" w:rsidP="000A0645">
            <w:pPr>
              <w:keepNext/>
              <w:keepLines/>
              <w:jc w:val="center"/>
              <w:rPr>
                <w:rFonts w:ascii="Arial Narrow" w:eastAsiaTheme="majorEastAsia" w:hAnsi="Arial Narrow" w:cstheme="majorBidi"/>
                <w:bCs/>
                <w:sz w:val="20"/>
              </w:rPr>
            </w:pPr>
            <w:r w:rsidRPr="00F91CC3">
              <w:rPr>
                <w:rFonts w:ascii="Arial Narrow" w:eastAsiaTheme="majorEastAsia" w:hAnsi="Arial Narrow" w:cstheme="majorBidi"/>
                <w:bCs/>
                <w:sz w:val="20"/>
              </w:rPr>
              <w:t>12.39</w:t>
            </w:r>
          </w:p>
        </w:tc>
      </w:tr>
      <w:tr w:rsidR="00034A31" w:rsidRPr="00F91CC3" w14:paraId="527EAAFF" w14:textId="77777777" w:rsidTr="003E0435">
        <w:trPr>
          <w:trHeight w:val="69"/>
          <w:jc w:val="center"/>
        </w:trPr>
        <w:tc>
          <w:tcPr>
            <w:tcW w:w="719" w:type="pct"/>
            <w:vMerge/>
            <w:tcBorders>
              <w:top w:val="single" w:sz="4" w:space="0" w:color="auto"/>
              <w:left w:val="single" w:sz="4" w:space="0" w:color="auto"/>
              <w:bottom w:val="single" w:sz="4" w:space="0" w:color="auto"/>
              <w:right w:val="single" w:sz="4" w:space="0" w:color="auto"/>
            </w:tcBorders>
            <w:vAlign w:val="center"/>
            <w:hideMark/>
          </w:tcPr>
          <w:p w14:paraId="11917978" w14:textId="77777777" w:rsidR="00034A31" w:rsidRPr="00F91CC3" w:rsidRDefault="00034A31" w:rsidP="000A0645">
            <w:pPr>
              <w:keepNext/>
              <w:keepLines/>
              <w:jc w:val="left"/>
              <w:rPr>
                <w:rFonts w:ascii="Arial Narrow" w:eastAsiaTheme="majorEastAsia" w:hAnsi="Arial Narrow" w:cstheme="majorBidi"/>
                <w:bCs/>
                <w:sz w:val="20"/>
              </w:rPr>
            </w:pPr>
          </w:p>
        </w:tc>
        <w:tc>
          <w:tcPr>
            <w:tcW w:w="850" w:type="pct"/>
            <w:vMerge/>
            <w:tcBorders>
              <w:top w:val="single" w:sz="4" w:space="0" w:color="auto"/>
              <w:left w:val="single" w:sz="4" w:space="0" w:color="auto"/>
              <w:bottom w:val="single" w:sz="4" w:space="0" w:color="auto"/>
              <w:right w:val="single" w:sz="4" w:space="0" w:color="auto"/>
            </w:tcBorders>
            <w:vAlign w:val="center"/>
            <w:hideMark/>
          </w:tcPr>
          <w:p w14:paraId="14EDB9CD" w14:textId="77777777" w:rsidR="00034A31" w:rsidRPr="00F91CC3" w:rsidRDefault="00034A31" w:rsidP="000A0645">
            <w:pPr>
              <w:keepNext/>
              <w:keepLines/>
              <w:jc w:val="left"/>
              <w:rPr>
                <w:rFonts w:ascii="Arial Narrow" w:eastAsiaTheme="majorEastAsia" w:hAnsi="Arial Narrow" w:cstheme="majorBidi"/>
                <w:bCs/>
                <w:sz w:val="20"/>
                <w:vertAlign w:val="superscript"/>
              </w:rPr>
            </w:pPr>
          </w:p>
        </w:tc>
        <w:tc>
          <w:tcPr>
            <w:tcW w:w="844" w:type="pct"/>
            <w:tcBorders>
              <w:top w:val="single" w:sz="4" w:space="0" w:color="auto"/>
              <w:left w:val="single" w:sz="4" w:space="0" w:color="auto"/>
              <w:bottom w:val="single" w:sz="4" w:space="0" w:color="auto"/>
              <w:right w:val="single" w:sz="4" w:space="0" w:color="auto"/>
            </w:tcBorders>
            <w:vAlign w:val="center"/>
            <w:hideMark/>
          </w:tcPr>
          <w:p w14:paraId="5CB7180B" w14:textId="4F63F323" w:rsidR="00972394" w:rsidRPr="00F91CC3" w:rsidRDefault="00972394" w:rsidP="000A0645">
            <w:pPr>
              <w:keepNext/>
              <w:keepLines/>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w:t>
            </w:r>
            <w:r w:rsidR="00034A31" w:rsidRPr="00F91CC3">
              <w:rPr>
                <w:rFonts w:ascii="Arial Narrow" w:eastAsiaTheme="majorEastAsia" w:hAnsi="Arial Narrow" w:cstheme="majorBidi"/>
                <w:bCs/>
                <w:sz w:val="20"/>
              </w:rPr>
              <w:t xml:space="preserve">on-F/R117H; </w:t>
            </w:r>
          </w:p>
          <w:p w14:paraId="7EFDB2B4" w14:textId="5EE04C2D" w:rsidR="00034A31" w:rsidRPr="00F91CC3" w:rsidRDefault="00F31DD1" w:rsidP="000A0645">
            <w:pPr>
              <w:keepNext/>
              <w:keepLines/>
              <w:jc w:val="center"/>
              <w:rPr>
                <w:rFonts w:ascii="Arial Narrow" w:eastAsiaTheme="majorEastAsia" w:hAnsi="Arial Narrow" w:cstheme="majorBidi"/>
                <w:bCs/>
                <w:sz w:val="20"/>
              </w:rPr>
            </w:pPr>
            <w:r w:rsidRPr="00F91CC3">
              <w:rPr>
                <w:rFonts w:ascii="Arial Narrow" w:eastAsiaTheme="majorEastAsia" w:hAnsi="Arial Narrow" w:cstheme="majorBidi"/>
                <w:bCs/>
                <w:sz w:val="20"/>
              </w:rPr>
              <w:t xml:space="preserve">Non-F/rare </w:t>
            </w:r>
          </w:p>
        </w:tc>
        <w:tc>
          <w:tcPr>
            <w:tcW w:w="507" w:type="pct"/>
            <w:tcBorders>
              <w:top w:val="single" w:sz="4" w:space="0" w:color="auto"/>
              <w:left w:val="single" w:sz="4" w:space="0" w:color="auto"/>
              <w:bottom w:val="single" w:sz="4" w:space="0" w:color="auto"/>
              <w:right w:val="single" w:sz="4" w:space="0" w:color="auto"/>
            </w:tcBorders>
            <w:vAlign w:val="center"/>
            <w:hideMark/>
          </w:tcPr>
          <w:p w14:paraId="65BD9D4C" w14:textId="77777777" w:rsidR="00034A31" w:rsidRPr="00F91CC3" w:rsidRDefault="00034A31" w:rsidP="000A0645">
            <w:pPr>
              <w:keepNext/>
              <w:keepLines/>
              <w:jc w:val="center"/>
              <w:rPr>
                <w:rFonts w:ascii="Arial Narrow" w:eastAsiaTheme="majorEastAsia" w:hAnsi="Arial Narrow" w:cstheme="majorBidi"/>
                <w:bCs/>
                <w:sz w:val="20"/>
              </w:rPr>
            </w:pPr>
            <w:r w:rsidRPr="00F91CC3">
              <w:rPr>
                <w:rFonts w:ascii="Arial Narrow" w:eastAsiaTheme="majorEastAsia" w:hAnsi="Arial Narrow" w:cstheme="majorBidi"/>
                <w:bCs/>
                <w:sz w:val="20"/>
              </w:rPr>
              <w:t>13.04</w:t>
            </w: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36485AD4" w14:textId="77777777" w:rsidR="00034A31" w:rsidRPr="00F91CC3" w:rsidRDefault="00034A31" w:rsidP="000A0645">
            <w:pPr>
              <w:keepNext/>
              <w:keepLines/>
              <w:jc w:val="left"/>
              <w:rPr>
                <w:rFonts w:ascii="Arial Narrow" w:eastAsiaTheme="majorEastAsia" w:hAnsi="Arial Narrow" w:cstheme="majorBidi"/>
                <w:bCs/>
                <w:sz w:val="20"/>
              </w:rPr>
            </w:pPr>
          </w:p>
        </w:tc>
        <w:tc>
          <w:tcPr>
            <w:tcW w:w="870" w:type="pct"/>
            <w:tcBorders>
              <w:top w:val="single" w:sz="4" w:space="0" w:color="auto"/>
              <w:left w:val="single" w:sz="4" w:space="0" w:color="auto"/>
              <w:bottom w:val="single" w:sz="4" w:space="0" w:color="auto"/>
              <w:right w:val="single" w:sz="4" w:space="0" w:color="auto"/>
            </w:tcBorders>
            <w:vAlign w:val="center"/>
            <w:hideMark/>
          </w:tcPr>
          <w:p w14:paraId="2D187298" w14:textId="7EEB3BF2" w:rsidR="003E0435" w:rsidRPr="00F91CC3" w:rsidRDefault="00972394" w:rsidP="000A0645">
            <w:pPr>
              <w:keepNext/>
              <w:keepLines/>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w:t>
            </w:r>
            <w:r w:rsidR="00034A31" w:rsidRPr="00F91CC3">
              <w:rPr>
                <w:rFonts w:ascii="Arial Narrow" w:eastAsiaTheme="majorEastAsia" w:hAnsi="Arial Narrow" w:cstheme="majorBidi"/>
                <w:bCs/>
                <w:sz w:val="20"/>
              </w:rPr>
              <w:t xml:space="preserve">on-F/R117H; </w:t>
            </w:r>
          </w:p>
          <w:p w14:paraId="10D15847" w14:textId="2911EA58" w:rsidR="00034A31" w:rsidRPr="00F91CC3" w:rsidRDefault="00F31DD1" w:rsidP="000A0645">
            <w:pPr>
              <w:keepNext/>
              <w:keepLines/>
              <w:jc w:val="center"/>
              <w:rPr>
                <w:rFonts w:ascii="Arial Narrow" w:eastAsiaTheme="majorEastAsia" w:hAnsi="Arial Narrow" w:cstheme="majorBidi"/>
                <w:bCs/>
                <w:sz w:val="20"/>
              </w:rPr>
            </w:pPr>
            <w:r w:rsidRPr="00F91CC3">
              <w:rPr>
                <w:rFonts w:ascii="Arial Narrow" w:eastAsiaTheme="majorEastAsia" w:hAnsi="Arial Narrow" w:cstheme="majorBidi"/>
                <w:bCs/>
                <w:sz w:val="20"/>
              </w:rPr>
              <w:t xml:space="preserve">Non-F/rare </w:t>
            </w:r>
          </w:p>
        </w:tc>
        <w:tc>
          <w:tcPr>
            <w:tcW w:w="517" w:type="pct"/>
            <w:tcBorders>
              <w:top w:val="single" w:sz="4" w:space="0" w:color="auto"/>
              <w:left w:val="single" w:sz="4" w:space="0" w:color="auto"/>
              <w:bottom w:val="single" w:sz="4" w:space="0" w:color="auto"/>
              <w:right w:val="single" w:sz="4" w:space="0" w:color="auto"/>
            </w:tcBorders>
            <w:vAlign w:val="center"/>
            <w:hideMark/>
          </w:tcPr>
          <w:p w14:paraId="4A34466D" w14:textId="77777777" w:rsidR="00034A31" w:rsidRPr="00F91CC3" w:rsidRDefault="00034A31" w:rsidP="000A0645">
            <w:pPr>
              <w:keepNext/>
              <w:keepLines/>
              <w:jc w:val="center"/>
              <w:rPr>
                <w:rFonts w:ascii="Arial Narrow" w:eastAsiaTheme="majorEastAsia" w:hAnsi="Arial Narrow" w:cstheme="majorBidi"/>
                <w:bCs/>
                <w:sz w:val="20"/>
              </w:rPr>
            </w:pPr>
            <w:r w:rsidRPr="00F91CC3">
              <w:rPr>
                <w:rFonts w:ascii="Arial Narrow" w:eastAsiaTheme="majorEastAsia" w:hAnsi="Arial Narrow" w:cstheme="majorBidi"/>
                <w:bCs/>
                <w:sz w:val="20"/>
              </w:rPr>
              <w:t>11.09</w:t>
            </w:r>
          </w:p>
        </w:tc>
      </w:tr>
      <w:tr w:rsidR="00034A31" w:rsidRPr="00F91CC3" w14:paraId="6AFDF623" w14:textId="77777777" w:rsidTr="003E0435">
        <w:trPr>
          <w:trHeight w:val="458"/>
          <w:jc w:val="center"/>
        </w:trPr>
        <w:tc>
          <w:tcPr>
            <w:tcW w:w="719" w:type="pct"/>
            <w:vMerge w:val="restart"/>
            <w:tcBorders>
              <w:top w:val="single" w:sz="4" w:space="0" w:color="auto"/>
              <w:left w:val="single" w:sz="4" w:space="0" w:color="auto"/>
              <w:bottom w:val="single" w:sz="4" w:space="0" w:color="auto"/>
              <w:right w:val="single" w:sz="4" w:space="0" w:color="auto"/>
            </w:tcBorders>
            <w:vAlign w:val="center"/>
            <w:hideMark/>
          </w:tcPr>
          <w:p w14:paraId="6072EBF3" w14:textId="10A60E2C" w:rsidR="00034A31" w:rsidRPr="00F91CC3" w:rsidRDefault="00034A31" w:rsidP="000A0645">
            <w:pPr>
              <w:keepNext/>
              <w:keepLines/>
              <w:jc w:val="left"/>
              <w:rPr>
                <w:rFonts w:ascii="Arial Narrow" w:eastAsiaTheme="majorEastAsia" w:hAnsi="Arial Narrow" w:cstheme="majorBidi"/>
                <w:bCs/>
                <w:sz w:val="20"/>
              </w:rPr>
            </w:pPr>
            <w:r w:rsidRPr="00F91CC3">
              <w:rPr>
                <w:rFonts w:ascii="Arial Narrow" w:eastAsiaTheme="majorEastAsia" w:hAnsi="Arial Narrow" w:cstheme="majorBidi"/>
                <w:bCs/>
                <w:sz w:val="20"/>
              </w:rPr>
              <w:t>Cost/patient/year</w:t>
            </w:r>
            <w:r w:rsidR="00E37DEA" w:rsidRPr="00F91CC3">
              <w:rPr>
                <w:rFonts w:ascii="Arial Narrow" w:eastAsiaTheme="majorEastAsia" w:hAnsi="Arial Narrow" w:cstheme="majorBidi"/>
                <w:bCs/>
                <w:sz w:val="20"/>
              </w:rPr>
              <w:t xml:space="preserve"> (using effective price)</w:t>
            </w:r>
            <w:r w:rsidRPr="00F91CC3">
              <w:rPr>
                <w:rFonts w:ascii="Arial Narrow" w:eastAsiaTheme="majorEastAsia" w:hAnsi="Arial Narrow" w:cstheme="majorBidi"/>
                <w:bCs/>
                <w:sz w:val="20"/>
              </w:rPr>
              <w:t xml:space="preserve"> </w:t>
            </w:r>
            <w:r w:rsidR="001F2F57" w:rsidRPr="00F91CC3">
              <w:rPr>
                <w:rFonts w:ascii="Arial Narrow" w:eastAsiaTheme="majorEastAsia" w:hAnsi="Arial Narrow" w:cstheme="majorBidi"/>
                <w:bCs/>
                <w:sz w:val="20"/>
                <w:vertAlign w:val="superscript"/>
              </w:rPr>
              <w:t>c</w:t>
            </w:r>
            <w:r w:rsidRPr="00F91CC3">
              <w:rPr>
                <w:rFonts w:ascii="Arial Narrow" w:eastAsiaTheme="majorEastAsia" w:hAnsi="Arial Narrow" w:cstheme="majorBidi"/>
                <w:bCs/>
                <w:sz w:val="20"/>
              </w:rPr>
              <w:t xml:space="preserve"> </w:t>
            </w:r>
          </w:p>
        </w:tc>
        <w:tc>
          <w:tcPr>
            <w:tcW w:w="850" w:type="pct"/>
            <w:tcBorders>
              <w:top w:val="single" w:sz="4" w:space="0" w:color="auto"/>
              <w:left w:val="single" w:sz="4" w:space="0" w:color="auto"/>
              <w:bottom w:val="single" w:sz="4" w:space="0" w:color="auto"/>
              <w:right w:val="single" w:sz="4" w:space="0" w:color="auto"/>
            </w:tcBorders>
            <w:vAlign w:val="center"/>
            <w:hideMark/>
          </w:tcPr>
          <w:p w14:paraId="33D2B806" w14:textId="77777777" w:rsidR="00034A31" w:rsidRPr="00F91CC3" w:rsidRDefault="00034A31" w:rsidP="000A0645">
            <w:pPr>
              <w:keepNext/>
              <w:keepLines/>
              <w:jc w:val="center"/>
              <w:rPr>
                <w:rFonts w:ascii="Arial Narrow" w:eastAsiaTheme="majorEastAsia" w:hAnsi="Arial Narrow" w:cstheme="majorBidi"/>
                <w:bCs/>
                <w:sz w:val="20"/>
              </w:rPr>
            </w:pPr>
            <w:r w:rsidRPr="00F91CC3">
              <w:rPr>
                <w:rFonts w:ascii="Arial Narrow" w:eastAsiaTheme="majorEastAsia" w:hAnsi="Arial Narrow" w:cstheme="majorBidi"/>
                <w:b/>
                <w:sz w:val="20"/>
              </w:rPr>
              <w:t>Gating population</w:t>
            </w:r>
          </w:p>
        </w:tc>
        <w:tc>
          <w:tcPr>
            <w:tcW w:w="1351" w:type="pct"/>
            <w:gridSpan w:val="2"/>
            <w:tcBorders>
              <w:top w:val="single" w:sz="4" w:space="0" w:color="auto"/>
              <w:left w:val="single" w:sz="4" w:space="0" w:color="auto"/>
              <w:bottom w:val="single" w:sz="4" w:space="0" w:color="auto"/>
              <w:right w:val="single" w:sz="4" w:space="0" w:color="auto"/>
            </w:tcBorders>
            <w:vAlign w:val="center"/>
            <w:hideMark/>
          </w:tcPr>
          <w:p w14:paraId="35EA837D" w14:textId="439CC3DB" w:rsidR="00034A31" w:rsidRPr="00F91CC3" w:rsidRDefault="00972394" w:rsidP="000A0645">
            <w:pPr>
              <w:keepNext/>
              <w:keepLines/>
              <w:jc w:val="center"/>
              <w:rPr>
                <w:rFonts w:ascii="Arial Narrow" w:eastAsiaTheme="majorEastAsia" w:hAnsi="Arial Narrow" w:cstheme="majorBidi"/>
                <w:bCs/>
                <w:sz w:val="20"/>
              </w:rPr>
            </w:pPr>
            <w:r w:rsidRPr="00F91CC3">
              <w:rPr>
                <w:rFonts w:ascii="Arial Narrow" w:eastAsiaTheme="majorEastAsia" w:hAnsi="Arial Narrow" w:cstheme="majorBidi"/>
                <w:b/>
                <w:sz w:val="20"/>
              </w:rPr>
              <w:t>Additional populations</w:t>
            </w:r>
          </w:p>
        </w:tc>
        <w:tc>
          <w:tcPr>
            <w:tcW w:w="694" w:type="pct"/>
            <w:tcBorders>
              <w:top w:val="single" w:sz="4" w:space="0" w:color="auto"/>
              <w:left w:val="single" w:sz="4" w:space="0" w:color="auto"/>
              <w:bottom w:val="single" w:sz="4" w:space="0" w:color="auto"/>
              <w:right w:val="single" w:sz="4" w:space="0" w:color="auto"/>
            </w:tcBorders>
            <w:vAlign w:val="center"/>
          </w:tcPr>
          <w:p w14:paraId="5A9F43C2" w14:textId="21BF8413" w:rsidR="00034A31" w:rsidRPr="00F91CC3" w:rsidRDefault="00034A31" w:rsidP="000A0645">
            <w:pPr>
              <w:keepNext/>
              <w:keepLines/>
              <w:jc w:val="left"/>
              <w:rPr>
                <w:rFonts w:ascii="Arial Narrow" w:eastAsiaTheme="majorEastAsia" w:hAnsi="Arial Narrow" w:cstheme="majorBidi"/>
                <w:b/>
                <w:sz w:val="20"/>
              </w:rPr>
            </w:pPr>
            <w:r w:rsidRPr="00F91CC3">
              <w:rPr>
                <w:rFonts w:ascii="Arial Narrow" w:eastAsiaTheme="majorEastAsia" w:hAnsi="Arial Narrow" w:cstheme="majorBidi"/>
                <w:b/>
                <w:sz w:val="20"/>
              </w:rPr>
              <w:t>Gating population</w:t>
            </w:r>
          </w:p>
        </w:tc>
        <w:tc>
          <w:tcPr>
            <w:tcW w:w="1386" w:type="pct"/>
            <w:gridSpan w:val="2"/>
            <w:tcBorders>
              <w:top w:val="single" w:sz="4" w:space="0" w:color="auto"/>
              <w:left w:val="single" w:sz="4" w:space="0" w:color="auto"/>
              <w:bottom w:val="single" w:sz="4" w:space="0" w:color="auto"/>
              <w:right w:val="single" w:sz="4" w:space="0" w:color="auto"/>
            </w:tcBorders>
            <w:vAlign w:val="center"/>
            <w:hideMark/>
          </w:tcPr>
          <w:p w14:paraId="2AF74424" w14:textId="6728E6E5" w:rsidR="00034A31" w:rsidRPr="00F91CC3" w:rsidRDefault="00972394" w:rsidP="000A0645">
            <w:pPr>
              <w:keepNext/>
              <w:keepLines/>
              <w:jc w:val="center"/>
              <w:rPr>
                <w:rFonts w:ascii="Arial Narrow" w:eastAsiaTheme="majorEastAsia" w:hAnsi="Arial Narrow" w:cstheme="majorBidi"/>
                <w:b/>
                <w:sz w:val="20"/>
              </w:rPr>
            </w:pPr>
            <w:r w:rsidRPr="00F91CC3">
              <w:rPr>
                <w:rFonts w:ascii="Arial Narrow" w:eastAsiaTheme="majorEastAsia" w:hAnsi="Arial Narrow" w:cstheme="majorBidi"/>
                <w:b/>
                <w:sz w:val="20"/>
              </w:rPr>
              <w:t>Additional populations</w:t>
            </w:r>
          </w:p>
        </w:tc>
      </w:tr>
      <w:tr w:rsidR="00034A31" w:rsidRPr="00F91CC3" w14:paraId="24CA2F46" w14:textId="77777777" w:rsidTr="003E0435">
        <w:trPr>
          <w:trHeight w:val="252"/>
          <w:jc w:val="center"/>
        </w:trPr>
        <w:tc>
          <w:tcPr>
            <w:tcW w:w="719" w:type="pct"/>
            <w:vMerge/>
            <w:tcBorders>
              <w:top w:val="single" w:sz="4" w:space="0" w:color="auto"/>
              <w:left w:val="single" w:sz="4" w:space="0" w:color="auto"/>
              <w:bottom w:val="single" w:sz="4" w:space="0" w:color="auto"/>
              <w:right w:val="single" w:sz="4" w:space="0" w:color="auto"/>
            </w:tcBorders>
            <w:vAlign w:val="center"/>
            <w:hideMark/>
          </w:tcPr>
          <w:p w14:paraId="2BD88D7C" w14:textId="77777777" w:rsidR="00034A31" w:rsidRPr="00F91CC3" w:rsidRDefault="00034A31" w:rsidP="000A0645">
            <w:pPr>
              <w:keepNext/>
              <w:keepLines/>
              <w:jc w:val="left"/>
              <w:rPr>
                <w:rFonts w:ascii="Arial Narrow" w:eastAsiaTheme="majorEastAsia" w:hAnsi="Arial Narrow" w:cstheme="majorBidi"/>
                <w:bCs/>
                <w:sz w:val="20"/>
              </w:rPr>
            </w:pPr>
          </w:p>
        </w:tc>
        <w:tc>
          <w:tcPr>
            <w:tcW w:w="850" w:type="pct"/>
            <w:vMerge w:val="restart"/>
            <w:tcBorders>
              <w:top w:val="single" w:sz="4" w:space="0" w:color="auto"/>
              <w:left w:val="single" w:sz="4" w:space="0" w:color="auto"/>
              <w:bottom w:val="single" w:sz="4" w:space="0" w:color="auto"/>
              <w:right w:val="single" w:sz="4" w:space="0" w:color="auto"/>
            </w:tcBorders>
            <w:vAlign w:val="center"/>
            <w:hideMark/>
          </w:tcPr>
          <w:p w14:paraId="1C6FEAC8" w14:textId="5D08EEF0" w:rsidR="00034A31" w:rsidRPr="00F91CC3" w:rsidRDefault="00034A31" w:rsidP="000A0645">
            <w:pPr>
              <w:keepNext/>
              <w:keepLines/>
              <w:jc w:val="center"/>
              <w:rPr>
                <w:rFonts w:ascii="Arial Narrow" w:eastAsiaTheme="majorEastAsia" w:hAnsi="Arial Narrow" w:cstheme="majorBidi"/>
                <w:bCs/>
                <w:sz w:val="20"/>
              </w:rPr>
            </w:pPr>
            <w:r w:rsidRPr="00F91CC3">
              <w:rPr>
                <w:rFonts w:ascii="Arial Narrow" w:eastAsiaTheme="majorEastAsia" w:hAnsi="Arial Narrow" w:cstheme="majorBidi"/>
                <w:bCs/>
                <w:sz w:val="20"/>
              </w:rPr>
              <w:t>$</w:t>
            </w:r>
            <w:r w:rsidR="004E53B2">
              <w:rPr>
                <w:rFonts w:ascii="Arial Narrow" w:eastAsiaTheme="majorEastAsia" w:hAnsi="Arial Narrow" w:cstheme="majorBidi"/>
                <w:bCs/>
                <w:sz w:val="20"/>
              </w:rPr>
              <w:t xml:space="preserve"> </w:t>
            </w:r>
            <w:r w:rsidR="004E53B2" w:rsidRPr="004E53B2">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844" w:type="pct"/>
            <w:tcBorders>
              <w:top w:val="single" w:sz="4" w:space="0" w:color="auto"/>
              <w:left w:val="single" w:sz="4" w:space="0" w:color="auto"/>
              <w:bottom w:val="single" w:sz="4" w:space="0" w:color="auto"/>
              <w:right w:val="single" w:sz="4" w:space="0" w:color="auto"/>
            </w:tcBorders>
            <w:vAlign w:val="center"/>
            <w:hideMark/>
          </w:tcPr>
          <w:p w14:paraId="0C8EC450" w14:textId="407A5EBC" w:rsidR="00034A31" w:rsidRPr="00F91CC3" w:rsidRDefault="00034A31" w:rsidP="000A0645">
            <w:pPr>
              <w:keepNext/>
              <w:keepLines/>
              <w:jc w:val="center"/>
              <w:rPr>
                <w:rFonts w:ascii="Arial Narrow" w:eastAsiaTheme="majorEastAsia" w:hAnsi="Arial Narrow" w:cstheme="majorBidi"/>
                <w:bCs/>
                <w:sz w:val="20"/>
              </w:rPr>
            </w:pPr>
            <w:r w:rsidRPr="00F91CC3">
              <w:rPr>
                <w:rFonts w:ascii="Arial Narrow" w:eastAsiaTheme="majorEastAsia" w:hAnsi="Arial Narrow" w:cstheme="majorBidi"/>
                <w:bCs/>
                <w:sz w:val="20"/>
              </w:rPr>
              <w:t xml:space="preserve">F/(R117H or RF);  </w:t>
            </w:r>
            <w:r w:rsidR="00972394" w:rsidRPr="00F91CC3">
              <w:rPr>
                <w:rFonts w:ascii="Arial Narrow" w:eastAsiaTheme="majorEastAsia" w:hAnsi="Arial Narrow" w:cstheme="majorBidi"/>
                <w:bCs/>
                <w:sz w:val="20"/>
              </w:rPr>
              <w:t>N</w:t>
            </w:r>
            <w:r w:rsidRPr="00F91CC3">
              <w:rPr>
                <w:rFonts w:ascii="Arial Narrow" w:eastAsiaTheme="majorEastAsia" w:hAnsi="Arial Narrow" w:cstheme="majorBidi"/>
                <w:bCs/>
                <w:sz w:val="20"/>
              </w:rPr>
              <w:t xml:space="preserve">on-F/RF;  </w:t>
            </w:r>
            <w:r w:rsidR="00F31DD1" w:rsidRPr="00F91CC3">
              <w:rPr>
                <w:rFonts w:ascii="Arial Narrow" w:eastAsiaTheme="majorEastAsia" w:hAnsi="Arial Narrow" w:cstheme="majorBidi"/>
                <w:bCs/>
                <w:sz w:val="20"/>
              </w:rPr>
              <w:t xml:space="preserve"> F/rare</w:t>
            </w:r>
          </w:p>
        </w:tc>
        <w:tc>
          <w:tcPr>
            <w:tcW w:w="507" w:type="pct"/>
            <w:tcBorders>
              <w:top w:val="single" w:sz="4" w:space="0" w:color="auto"/>
              <w:left w:val="single" w:sz="4" w:space="0" w:color="auto"/>
              <w:bottom w:val="single" w:sz="4" w:space="0" w:color="auto"/>
              <w:right w:val="single" w:sz="4" w:space="0" w:color="auto"/>
            </w:tcBorders>
            <w:vAlign w:val="center"/>
            <w:hideMark/>
          </w:tcPr>
          <w:p w14:paraId="1F32CF35" w14:textId="135937D2" w:rsidR="00034A31" w:rsidRPr="00F91CC3" w:rsidRDefault="00034A31" w:rsidP="000A0645">
            <w:pPr>
              <w:keepNext/>
              <w:keepLines/>
              <w:jc w:val="center"/>
              <w:rPr>
                <w:rFonts w:ascii="Arial Narrow" w:eastAsiaTheme="majorEastAsia" w:hAnsi="Arial Narrow" w:cstheme="majorBidi"/>
                <w:bCs/>
                <w:sz w:val="20"/>
              </w:rPr>
            </w:pPr>
            <w:r w:rsidRPr="00F91CC3">
              <w:rPr>
                <w:rFonts w:ascii="Arial Narrow" w:eastAsiaTheme="majorEastAsia" w:hAnsi="Arial Narrow" w:cstheme="majorBidi"/>
                <w:bCs/>
                <w:sz w:val="20"/>
              </w:rPr>
              <w:t>$</w:t>
            </w:r>
            <w:r w:rsidR="004E53B2">
              <w:rPr>
                <w:rFonts w:ascii="Arial Narrow" w:eastAsiaTheme="majorEastAsia" w:hAnsi="Arial Narrow" w:cstheme="majorBidi"/>
                <w:bCs/>
                <w:sz w:val="20"/>
              </w:rPr>
              <w:t xml:space="preserve"> </w:t>
            </w:r>
            <w:r w:rsidR="004E53B2" w:rsidRPr="004E53B2">
              <w:rPr>
                <w:rFonts w:ascii="Arial Narrow" w:eastAsiaTheme="majorEastAsia" w:hAnsi="Arial Narrow" w:cstheme="majorBidi"/>
                <w:bCs/>
                <w:color w:val="000000"/>
                <w:spacing w:val="104"/>
                <w:sz w:val="20"/>
                <w:shd w:val="solid" w:color="000000" w:fill="000000"/>
                <w:fitText w:val="190" w:id="-1032066560"/>
                <w14:textFill>
                  <w14:solidFill>
                    <w14:srgbClr w14:val="000000">
                      <w14:alpha w14:val="100000"/>
                    </w14:srgbClr>
                  </w14:solidFill>
                </w14:textFill>
              </w:rPr>
              <w:t>|</w:t>
            </w:r>
            <w:r w:rsidR="004E53B2" w:rsidRPr="004E53B2">
              <w:rPr>
                <w:rFonts w:ascii="Arial Narrow" w:eastAsiaTheme="majorEastAsia" w:hAnsi="Arial Narrow" w:cstheme="majorBidi"/>
                <w:bCs/>
                <w:color w:val="000000"/>
                <w:sz w:val="20"/>
                <w:shd w:val="solid" w:color="000000" w:fill="000000"/>
                <w:fitText w:val="190" w:id="-1032066560"/>
                <w14:textFill>
                  <w14:solidFill>
                    <w14:srgbClr w14:val="000000">
                      <w14:alpha w14:val="100000"/>
                    </w14:srgbClr>
                  </w14:solidFill>
                </w14:textFill>
              </w:rPr>
              <w:t>|</w:t>
            </w:r>
            <w:r w:rsidRPr="00F91CC3">
              <w:rPr>
                <w:rFonts w:ascii="Arial Narrow" w:eastAsiaTheme="majorEastAsia" w:hAnsi="Arial Narrow" w:cstheme="majorBidi"/>
                <w:bCs/>
                <w:sz w:val="20"/>
              </w:rPr>
              <w:t xml:space="preserve"> </w:t>
            </w:r>
          </w:p>
        </w:tc>
        <w:tc>
          <w:tcPr>
            <w:tcW w:w="694" w:type="pct"/>
            <w:vMerge w:val="restart"/>
            <w:tcBorders>
              <w:top w:val="single" w:sz="4" w:space="0" w:color="auto"/>
              <w:left w:val="single" w:sz="4" w:space="0" w:color="auto"/>
              <w:bottom w:val="single" w:sz="4" w:space="0" w:color="auto"/>
              <w:right w:val="single" w:sz="4" w:space="0" w:color="auto"/>
            </w:tcBorders>
            <w:vAlign w:val="center"/>
            <w:hideMark/>
          </w:tcPr>
          <w:p w14:paraId="7B43EE48" w14:textId="43F2D6F6" w:rsidR="00034A31" w:rsidRPr="00F91CC3" w:rsidRDefault="00034A31" w:rsidP="000A0645">
            <w:pPr>
              <w:keepNext/>
              <w:keepLines/>
              <w:jc w:val="center"/>
              <w:rPr>
                <w:rFonts w:ascii="Arial Narrow" w:eastAsiaTheme="majorEastAsia" w:hAnsi="Arial Narrow" w:cstheme="majorBidi"/>
                <w:bCs/>
                <w:sz w:val="20"/>
              </w:rPr>
            </w:pPr>
            <w:r w:rsidRPr="00F91CC3">
              <w:rPr>
                <w:rFonts w:ascii="Arial Narrow" w:eastAsiaTheme="majorEastAsia" w:hAnsi="Arial Narrow" w:cstheme="majorBidi"/>
                <w:bCs/>
                <w:sz w:val="20"/>
              </w:rPr>
              <w:t>$</w:t>
            </w:r>
            <w:r w:rsidR="004E53B2">
              <w:rPr>
                <w:rFonts w:ascii="Arial Narrow" w:eastAsiaTheme="majorEastAsia" w:hAnsi="Arial Narrow" w:cstheme="majorBidi"/>
                <w:bCs/>
                <w:sz w:val="20"/>
              </w:rPr>
              <w:t xml:space="preserve"> </w:t>
            </w:r>
            <w:r w:rsidR="004E53B2" w:rsidRPr="008D6198">
              <w:rPr>
                <w:rFonts w:ascii="Arial Narrow" w:eastAsiaTheme="majorEastAsia" w:hAnsi="Arial Narrow" w:cstheme="majorBidi" w:hint="eastAsia"/>
                <w:bCs/>
                <w:color w:val="000000"/>
                <w:w w:val="15"/>
                <w:sz w:val="20"/>
                <w:shd w:val="solid" w:color="000000" w:fill="000000"/>
                <w:fitText w:val="20" w:id="-1032066559"/>
                <w14:textFill>
                  <w14:solidFill>
                    <w14:srgbClr w14:val="000000">
                      <w14:alpha w14:val="100000"/>
                    </w14:srgbClr>
                  </w14:solidFill>
                </w14:textFill>
              </w:rPr>
              <w:t xml:space="preserve">　</w:t>
            </w:r>
            <w:r w:rsidR="004E53B2" w:rsidRPr="008D6198">
              <w:rPr>
                <w:rFonts w:ascii="Arial Narrow" w:eastAsiaTheme="majorEastAsia" w:hAnsi="Arial Narrow" w:cstheme="majorBidi"/>
                <w:bCs/>
                <w:color w:val="000000"/>
                <w:w w:val="15"/>
                <w:sz w:val="20"/>
                <w:shd w:val="solid" w:color="000000" w:fill="000000"/>
                <w:fitText w:val="20" w:id="-1032066559"/>
                <w14:textFill>
                  <w14:solidFill>
                    <w14:srgbClr w14:val="000000">
                      <w14:alpha w14:val="100000"/>
                    </w14:srgbClr>
                  </w14:solidFill>
                </w14:textFill>
              </w:rPr>
              <w:t>|</w:t>
            </w:r>
            <w:r w:rsidR="004E53B2" w:rsidRPr="008D6198">
              <w:rPr>
                <w:rFonts w:ascii="Arial Narrow" w:eastAsiaTheme="majorEastAsia" w:hAnsi="Arial Narrow" w:cstheme="majorBidi" w:hint="eastAsia"/>
                <w:bCs/>
                <w:color w:val="000000"/>
                <w:spacing w:val="-45"/>
                <w:w w:val="15"/>
                <w:sz w:val="20"/>
                <w:shd w:val="solid" w:color="000000" w:fill="000000"/>
                <w:fitText w:val="20" w:id="-1032066559"/>
                <w14:textFill>
                  <w14:solidFill>
                    <w14:srgbClr w14:val="000000">
                      <w14:alpha w14:val="100000"/>
                    </w14:srgbClr>
                  </w14:solidFill>
                </w14:textFill>
              </w:rPr>
              <w:t xml:space="preserve">　</w:t>
            </w:r>
          </w:p>
        </w:tc>
        <w:tc>
          <w:tcPr>
            <w:tcW w:w="870" w:type="pct"/>
            <w:tcBorders>
              <w:top w:val="single" w:sz="4" w:space="0" w:color="auto"/>
              <w:left w:val="single" w:sz="4" w:space="0" w:color="auto"/>
              <w:bottom w:val="single" w:sz="4" w:space="0" w:color="auto"/>
              <w:right w:val="single" w:sz="4" w:space="0" w:color="auto"/>
            </w:tcBorders>
            <w:vAlign w:val="center"/>
            <w:hideMark/>
          </w:tcPr>
          <w:p w14:paraId="78192BAD" w14:textId="0694D9E7" w:rsidR="00034A31" w:rsidRPr="00F91CC3" w:rsidRDefault="00034A31" w:rsidP="000A0645">
            <w:pPr>
              <w:keepNext/>
              <w:keepLines/>
              <w:jc w:val="center"/>
              <w:rPr>
                <w:rFonts w:ascii="Arial Narrow" w:eastAsiaTheme="majorEastAsia" w:hAnsi="Arial Narrow" w:cstheme="majorBidi"/>
                <w:bCs/>
                <w:sz w:val="20"/>
              </w:rPr>
            </w:pPr>
            <w:r w:rsidRPr="00F91CC3">
              <w:rPr>
                <w:rFonts w:ascii="Arial Narrow" w:eastAsiaTheme="majorEastAsia" w:hAnsi="Arial Narrow" w:cstheme="majorBidi"/>
                <w:bCs/>
                <w:sz w:val="20"/>
              </w:rPr>
              <w:t xml:space="preserve">F/(R117H or RF);  </w:t>
            </w:r>
            <w:r w:rsidR="00972394" w:rsidRPr="00F91CC3">
              <w:rPr>
                <w:rFonts w:ascii="Arial Narrow" w:eastAsiaTheme="majorEastAsia" w:hAnsi="Arial Narrow" w:cstheme="majorBidi"/>
                <w:bCs/>
                <w:sz w:val="20"/>
              </w:rPr>
              <w:t>N</w:t>
            </w:r>
            <w:r w:rsidRPr="00F91CC3">
              <w:rPr>
                <w:rFonts w:ascii="Arial Narrow" w:eastAsiaTheme="majorEastAsia" w:hAnsi="Arial Narrow" w:cstheme="majorBidi"/>
                <w:bCs/>
                <w:sz w:val="20"/>
              </w:rPr>
              <w:t xml:space="preserve">on-F/RF;  </w:t>
            </w:r>
            <w:r w:rsidR="00F31DD1" w:rsidRPr="00F91CC3">
              <w:rPr>
                <w:rFonts w:ascii="Arial Narrow" w:eastAsiaTheme="majorEastAsia" w:hAnsi="Arial Narrow" w:cstheme="majorBidi"/>
                <w:bCs/>
                <w:sz w:val="20"/>
              </w:rPr>
              <w:t xml:space="preserve"> F/rare</w:t>
            </w:r>
          </w:p>
        </w:tc>
        <w:tc>
          <w:tcPr>
            <w:tcW w:w="517" w:type="pct"/>
            <w:tcBorders>
              <w:top w:val="single" w:sz="4" w:space="0" w:color="auto"/>
              <w:left w:val="single" w:sz="4" w:space="0" w:color="auto"/>
              <w:bottom w:val="single" w:sz="4" w:space="0" w:color="auto"/>
              <w:right w:val="single" w:sz="4" w:space="0" w:color="auto"/>
            </w:tcBorders>
            <w:vAlign w:val="center"/>
            <w:hideMark/>
          </w:tcPr>
          <w:p w14:paraId="32E8B73B" w14:textId="0A99A35E" w:rsidR="00034A31" w:rsidRPr="00F91CC3" w:rsidRDefault="00034A31" w:rsidP="000A0645">
            <w:pPr>
              <w:keepNext/>
              <w:keepLines/>
              <w:jc w:val="center"/>
              <w:rPr>
                <w:rFonts w:ascii="Arial Narrow" w:eastAsiaTheme="majorEastAsia" w:hAnsi="Arial Narrow" w:cstheme="majorBidi"/>
                <w:bCs/>
                <w:sz w:val="20"/>
              </w:rPr>
            </w:pPr>
            <w:r w:rsidRPr="00F91CC3">
              <w:rPr>
                <w:rFonts w:ascii="Arial Narrow" w:eastAsiaTheme="majorEastAsia" w:hAnsi="Arial Narrow" w:cstheme="majorBidi"/>
                <w:bCs/>
                <w:sz w:val="20"/>
              </w:rPr>
              <w:t>$</w:t>
            </w:r>
            <w:r w:rsidR="004E53B2">
              <w:rPr>
                <w:rFonts w:ascii="Arial Narrow" w:eastAsiaTheme="majorEastAsia" w:hAnsi="Arial Narrow" w:cstheme="majorBidi"/>
                <w:bCs/>
                <w:sz w:val="20"/>
              </w:rPr>
              <w:t xml:space="preserve"> </w:t>
            </w:r>
            <w:r w:rsidR="004E53B2" w:rsidRPr="004E53B2">
              <w:rPr>
                <w:rFonts w:ascii="Arial Narrow" w:eastAsiaTheme="majorEastAsia" w:hAnsi="Arial Narrow" w:cstheme="majorBidi"/>
                <w:bCs/>
                <w:color w:val="000000"/>
                <w:spacing w:val="84"/>
                <w:sz w:val="20"/>
                <w:shd w:val="solid" w:color="000000" w:fill="000000"/>
                <w:fitText w:val="170" w:id="-1032066558"/>
                <w14:textFill>
                  <w14:solidFill>
                    <w14:srgbClr w14:val="000000">
                      <w14:alpha w14:val="100000"/>
                    </w14:srgbClr>
                  </w14:solidFill>
                </w14:textFill>
              </w:rPr>
              <w:t>|</w:t>
            </w:r>
            <w:r w:rsidR="004E53B2" w:rsidRPr="004E53B2">
              <w:rPr>
                <w:rFonts w:ascii="Arial Narrow" w:eastAsiaTheme="majorEastAsia" w:hAnsi="Arial Narrow" w:cstheme="majorBidi"/>
                <w:bCs/>
                <w:color w:val="000000"/>
                <w:sz w:val="20"/>
                <w:shd w:val="solid" w:color="000000" w:fill="000000"/>
                <w:fitText w:val="170" w:id="-1032066558"/>
                <w14:textFill>
                  <w14:solidFill>
                    <w14:srgbClr w14:val="000000">
                      <w14:alpha w14:val="100000"/>
                    </w14:srgbClr>
                  </w14:solidFill>
                </w14:textFill>
              </w:rPr>
              <w:t>|</w:t>
            </w:r>
          </w:p>
        </w:tc>
      </w:tr>
      <w:tr w:rsidR="00034A31" w:rsidRPr="00F91CC3" w14:paraId="39728900" w14:textId="77777777" w:rsidTr="003E0435">
        <w:trPr>
          <w:trHeight w:val="252"/>
          <w:jc w:val="center"/>
        </w:trPr>
        <w:tc>
          <w:tcPr>
            <w:tcW w:w="719" w:type="pct"/>
            <w:vMerge/>
            <w:tcBorders>
              <w:top w:val="single" w:sz="4" w:space="0" w:color="auto"/>
              <w:left w:val="single" w:sz="4" w:space="0" w:color="auto"/>
              <w:bottom w:val="single" w:sz="4" w:space="0" w:color="auto"/>
              <w:right w:val="single" w:sz="4" w:space="0" w:color="auto"/>
            </w:tcBorders>
            <w:vAlign w:val="center"/>
            <w:hideMark/>
          </w:tcPr>
          <w:p w14:paraId="7B8445ED" w14:textId="77777777" w:rsidR="00034A31" w:rsidRPr="00F91CC3" w:rsidRDefault="00034A31" w:rsidP="000A0645">
            <w:pPr>
              <w:keepNext/>
              <w:keepLines/>
              <w:jc w:val="left"/>
              <w:rPr>
                <w:rFonts w:ascii="Arial Narrow" w:eastAsiaTheme="majorEastAsia" w:hAnsi="Arial Narrow" w:cstheme="majorBidi"/>
                <w:bCs/>
                <w:sz w:val="20"/>
              </w:rPr>
            </w:pPr>
          </w:p>
        </w:tc>
        <w:tc>
          <w:tcPr>
            <w:tcW w:w="850" w:type="pct"/>
            <w:vMerge/>
            <w:tcBorders>
              <w:top w:val="single" w:sz="4" w:space="0" w:color="auto"/>
              <w:left w:val="single" w:sz="4" w:space="0" w:color="auto"/>
              <w:bottom w:val="single" w:sz="4" w:space="0" w:color="auto"/>
              <w:right w:val="single" w:sz="4" w:space="0" w:color="auto"/>
            </w:tcBorders>
            <w:vAlign w:val="center"/>
            <w:hideMark/>
          </w:tcPr>
          <w:p w14:paraId="1C7B8977" w14:textId="77777777" w:rsidR="00034A31" w:rsidRPr="00F91CC3" w:rsidRDefault="00034A31" w:rsidP="000A0645">
            <w:pPr>
              <w:keepNext/>
              <w:keepLines/>
              <w:jc w:val="left"/>
              <w:rPr>
                <w:rFonts w:ascii="Arial Narrow" w:eastAsiaTheme="majorEastAsia" w:hAnsi="Arial Narrow" w:cstheme="majorBidi"/>
                <w:bCs/>
                <w:sz w:val="20"/>
              </w:rPr>
            </w:pPr>
          </w:p>
        </w:tc>
        <w:tc>
          <w:tcPr>
            <w:tcW w:w="844" w:type="pct"/>
            <w:tcBorders>
              <w:top w:val="single" w:sz="4" w:space="0" w:color="auto"/>
              <w:left w:val="single" w:sz="4" w:space="0" w:color="auto"/>
              <w:bottom w:val="single" w:sz="4" w:space="0" w:color="auto"/>
              <w:right w:val="single" w:sz="4" w:space="0" w:color="auto"/>
            </w:tcBorders>
            <w:vAlign w:val="center"/>
            <w:hideMark/>
          </w:tcPr>
          <w:p w14:paraId="6210B00E" w14:textId="455BA753" w:rsidR="00D16721" w:rsidRPr="00F91CC3" w:rsidRDefault="00972394" w:rsidP="000A0645">
            <w:pPr>
              <w:keepNext/>
              <w:keepLines/>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w:t>
            </w:r>
            <w:r w:rsidR="00034A31" w:rsidRPr="00F91CC3">
              <w:rPr>
                <w:rFonts w:ascii="Arial Narrow" w:eastAsiaTheme="majorEastAsia" w:hAnsi="Arial Narrow" w:cstheme="majorBidi"/>
                <w:bCs/>
                <w:sz w:val="20"/>
              </w:rPr>
              <w:t>on-F/R117H;</w:t>
            </w:r>
          </w:p>
          <w:p w14:paraId="26DCEED3" w14:textId="77777777" w:rsidR="00F31DD1" w:rsidRPr="00F91CC3" w:rsidRDefault="00F31DD1" w:rsidP="000A0645">
            <w:pPr>
              <w:keepNext/>
              <w:keepLines/>
              <w:jc w:val="center"/>
              <w:rPr>
                <w:rFonts w:ascii="Arial Narrow" w:eastAsiaTheme="majorEastAsia" w:hAnsi="Arial Narrow" w:cstheme="majorBidi"/>
                <w:bCs/>
                <w:sz w:val="20"/>
              </w:rPr>
            </w:pPr>
            <w:r w:rsidRPr="00F91CC3">
              <w:rPr>
                <w:rFonts w:ascii="Arial Narrow" w:eastAsiaTheme="majorEastAsia" w:hAnsi="Arial Narrow" w:cstheme="majorBidi"/>
                <w:bCs/>
                <w:sz w:val="20"/>
              </w:rPr>
              <w:t xml:space="preserve">Non-F/rare </w:t>
            </w:r>
          </w:p>
          <w:p w14:paraId="4A555127" w14:textId="021EC68D" w:rsidR="00034A31" w:rsidRPr="00F91CC3" w:rsidRDefault="00034A31" w:rsidP="000A0645">
            <w:pPr>
              <w:keepNext/>
              <w:keepLines/>
              <w:jc w:val="center"/>
              <w:rPr>
                <w:rFonts w:ascii="Arial Narrow" w:eastAsiaTheme="majorEastAsia" w:hAnsi="Arial Narrow" w:cstheme="majorBidi"/>
                <w:bCs/>
                <w:sz w:val="20"/>
              </w:rPr>
            </w:pPr>
          </w:p>
        </w:tc>
        <w:tc>
          <w:tcPr>
            <w:tcW w:w="507" w:type="pct"/>
            <w:tcBorders>
              <w:top w:val="single" w:sz="4" w:space="0" w:color="auto"/>
              <w:left w:val="single" w:sz="4" w:space="0" w:color="auto"/>
              <w:bottom w:val="single" w:sz="4" w:space="0" w:color="auto"/>
              <w:right w:val="single" w:sz="4" w:space="0" w:color="auto"/>
            </w:tcBorders>
            <w:vAlign w:val="center"/>
            <w:hideMark/>
          </w:tcPr>
          <w:p w14:paraId="00DF37F6" w14:textId="3211F21D" w:rsidR="00034A31" w:rsidRPr="00F91CC3" w:rsidRDefault="00034A31" w:rsidP="000A0645">
            <w:pPr>
              <w:keepNext/>
              <w:keepLines/>
              <w:rPr>
                <w:rFonts w:ascii="Arial Narrow" w:eastAsiaTheme="majorEastAsia" w:hAnsi="Arial Narrow" w:cstheme="majorBidi"/>
                <w:bCs/>
                <w:sz w:val="20"/>
              </w:rPr>
            </w:pPr>
            <w:r w:rsidRPr="00F91CC3">
              <w:rPr>
                <w:rFonts w:ascii="Arial Narrow" w:eastAsiaTheme="majorEastAsia" w:hAnsi="Arial Narrow" w:cstheme="majorBidi"/>
                <w:bCs/>
                <w:sz w:val="20"/>
              </w:rPr>
              <w:t>$</w:t>
            </w:r>
            <w:r w:rsidR="004E53B2">
              <w:rPr>
                <w:rFonts w:ascii="Arial Narrow" w:eastAsiaTheme="majorEastAsia" w:hAnsi="Arial Narrow" w:cstheme="majorBidi"/>
                <w:bCs/>
                <w:sz w:val="20"/>
              </w:rPr>
              <w:t xml:space="preserve"> </w:t>
            </w:r>
            <w:r w:rsidR="004E53B2" w:rsidRPr="004E53B2">
              <w:rPr>
                <w:rFonts w:ascii="Arial Narrow" w:eastAsiaTheme="majorEastAsia" w:hAnsi="Arial Narrow" w:cstheme="majorBidi"/>
                <w:bCs/>
                <w:color w:val="000000"/>
                <w:spacing w:val="7"/>
                <w:sz w:val="20"/>
                <w:shd w:val="solid" w:color="000000" w:fill="000000"/>
                <w:fitText w:val="300" w:id="-1032066557"/>
                <w14:textFill>
                  <w14:solidFill>
                    <w14:srgbClr w14:val="000000">
                      <w14:alpha w14:val="100000"/>
                    </w14:srgbClr>
                  </w14:solidFill>
                </w14:textFill>
              </w:rPr>
              <w:t>||  |</w:t>
            </w:r>
            <w:r w:rsidR="004E53B2" w:rsidRPr="004E53B2">
              <w:rPr>
                <w:rFonts w:ascii="Arial Narrow" w:eastAsiaTheme="majorEastAsia" w:hAnsi="Arial Narrow" w:cstheme="majorBidi"/>
                <w:bCs/>
                <w:color w:val="000000"/>
                <w:spacing w:val="4"/>
                <w:sz w:val="20"/>
                <w:shd w:val="solid" w:color="000000" w:fill="000000"/>
                <w:fitText w:val="300" w:id="-1032066557"/>
                <w14:textFill>
                  <w14:solidFill>
                    <w14:srgbClr w14:val="000000">
                      <w14:alpha w14:val="100000"/>
                    </w14:srgbClr>
                  </w14:solidFill>
                </w14:textFill>
              </w:rPr>
              <w:t>|</w:t>
            </w: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0E729177" w14:textId="77777777" w:rsidR="00034A31" w:rsidRPr="00F91CC3" w:rsidRDefault="00034A31" w:rsidP="000A0645">
            <w:pPr>
              <w:keepNext/>
              <w:keepLines/>
              <w:jc w:val="left"/>
              <w:rPr>
                <w:rFonts w:ascii="Arial Narrow" w:eastAsiaTheme="majorEastAsia" w:hAnsi="Arial Narrow" w:cstheme="majorBidi"/>
                <w:bCs/>
                <w:sz w:val="20"/>
              </w:rPr>
            </w:pPr>
          </w:p>
        </w:tc>
        <w:tc>
          <w:tcPr>
            <w:tcW w:w="870" w:type="pct"/>
            <w:tcBorders>
              <w:top w:val="single" w:sz="4" w:space="0" w:color="auto"/>
              <w:left w:val="single" w:sz="4" w:space="0" w:color="auto"/>
              <w:bottom w:val="single" w:sz="4" w:space="0" w:color="auto"/>
              <w:right w:val="single" w:sz="4" w:space="0" w:color="auto"/>
            </w:tcBorders>
            <w:vAlign w:val="center"/>
            <w:hideMark/>
          </w:tcPr>
          <w:p w14:paraId="38D0B2D7" w14:textId="682EEBF6" w:rsidR="003E0435" w:rsidRPr="00F91CC3" w:rsidRDefault="00972394" w:rsidP="000A0645">
            <w:pPr>
              <w:keepNext/>
              <w:keepLines/>
              <w:jc w:val="center"/>
              <w:rPr>
                <w:rFonts w:ascii="Arial Narrow" w:eastAsiaTheme="majorEastAsia" w:hAnsi="Arial Narrow" w:cstheme="majorBidi"/>
                <w:bCs/>
                <w:sz w:val="20"/>
              </w:rPr>
            </w:pPr>
            <w:r w:rsidRPr="00F91CC3">
              <w:rPr>
                <w:rFonts w:ascii="Arial Narrow" w:eastAsiaTheme="majorEastAsia" w:hAnsi="Arial Narrow" w:cstheme="majorBidi"/>
                <w:bCs/>
                <w:sz w:val="20"/>
              </w:rPr>
              <w:t>N</w:t>
            </w:r>
            <w:r w:rsidR="00034A31" w:rsidRPr="00F91CC3">
              <w:rPr>
                <w:rFonts w:ascii="Arial Narrow" w:eastAsiaTheme="majorEastAsia" w:hAnsi="Arial Narrow" w:cstheme="majorBidi"/>
                <w:bCs/>
                <w:sz w:val="20"/>
              </w:rPr>
              <w:t>on-F/R117H;</w:t>
            </w:r>
          </w:p>
          <w:p w14:paraId="6E35DBFE" w14:textId="77777777" w:rsidR="00F31DD1" w:rsidRPr="00F91CC3" w:rsidRDefault="00F31DD1" w:rsidP="000A0645">
            <w:pPr>
              <w:keepNext/>
              <w:keepLines/>
              <w:jc w:val="center"/>
              <w:rPr>
                <w:rFonts w:ascii="Arial Narrow" w:eastAsiaTheme="majorEastAsia" w:hAnsi="Arial Narrow" w:cstheme="majorBidi"/>
                <w:bCs/>
                <w:sz w:val="20"/>
              </w:rPr>
            </w:pPr>
            <w:r w:rsidRPr="00F91CC3">
              <w:rPr>
                <w:rFonts w:ascii="Arial Narrow" w:eastAsiaTheme="majorEastAsia" w:hAnsi="Arial Narrow" w:cstheme="majorBidi"/>
                <w:bCs/>
                <w:sz w:val="20"/>
              </w:rPr>
              <w:t xml:space="preserve">Non-F/rare </w:t>
            </w:r>
          </w:p>
          <w:p w14:paraId="5C434571" w14:textId="3C56F06A" w:rsidR="00034A31" w:rsidRPr="00F91CC3" w:rsidRDefault="00034A31" w:rsidP="000A0645">
            <w:pPr>
              <w:keepNext/>
              <w:keepLines/>
              <w:jc w:val="center"/>
              <w:rPr>
                <w:rFonts w:ascii="Arial Narrow" w:eastAsiaTheme="majorEastAsia" w:hAnsi="Arial Narrow" w:cstheme="majorBidi"/>
                <w:bCs/>
                <w:sz w:val="20"/>
              </w:rPr>
            </w:pPr>
          </w:p>
        </w:tc>
        <w:tc>
          <w:tcPr>
            <w:tcW w:w="517" w:type="pct"/>
            <w:tcBorders>
              <w:top w:val="single" w:sz="4" w:space="0" w:color="auto"/>
              <w:left w:val="single" w:sz="4" w:space="0" w:color="auto"/>
              <w:bottom w:val="single" w:sz="4" w:space="0" w:color="auto"/>
              <w:right w:val="single" w:sz="4" w:space="0" w:color="auto"/>
            </w:tcBorders>
            <w:vAlign w:val="center"/>
            <w:hideMark/>
          </w:tcPr>
          <w:p w14:paraId="77C77222" w14:textId="7D4231F9" w:rsidR="00034A31" w:rsidRPr="00F91CC3" w:rsidRDefault="00034A31" w:rsidP="000A0645">
            <w:pPr>
              <w:keepNext/>
              <w:keepLines/>
              <w:jc w:val="center"/>
              <w:rPr>
                <w:rFonts w:ascii="Arial Narrow" w:eastAsiaTheme="majorEastAsia" w:hAnsi="Arial Narrow" w:cstheme="majorBidi"/>
                <w:bCs/>
                <w:sz w:val="20"/>
              </w:rPr>
            </w:pPr>
            <w:r w:rsidRPr="00F91CC3">
              <w:rPr>
                <w:rFonts w:ascii="Arial Narrow" w:eastAsiaTheme="majorEastAsia" w:hAnsi="Arial Narrow" w:cstheme="majorBidi"/>
                <w:bCs/>
                <w:sz w:val="20"/>
              </w:rPr>
              <w:t>$</w:t>
            </w:r>
            <w:r w:rsidR="004E53B2">
              <w:rPr>
                <w:rFonts w:ascii="Arial Narrow" w:eastAsiaTheme="majorEastAsia" w:hAnsi="Arial Narrow" w:cstheme="majorBidi"/>
                <w:bCs/>
                <w:sz w:val="20"/>
              </w:rPr>
              <w:t xml:space="preserve"> </w:t>
            </w:r>
            <w:r w:rsidR="004E53B2" w:rsidRPr="004E53B2">
              <w:rPr>
                <w:rFonts w:ascii="Arial Narrow" w:eastAsiaTheme="majorEastAsia" w:hAnsi="Arial Narrow" w:cstheme="majorBidi"/>
                <w:bCs/>
                <w:color w:val="000000"/>
                <w:spacing w:val="84"/>
                <w:sz w:val="20"/>
                <w:shd w:val="solid" w:color="000000" w:fill="000000"/>
                <w:fitText w:val="170" w:id="-1032066556"/>
                <w14:textFill>
                  <w14:solidFill>
                    <w14:srgbClr w14:val="000000">
                      <w14:alpha w14:val="100000"/>
                    </w14:srgbClr>
                  </w14:solidFill>
                </w14:textFill>
              </w:rPr>
              <w:t>|</w:t>
            </w:r>
            <w:r w:rsidR="004E53B2" w:rsidRPr="004E53B2">
              <w:rPr>
                <w:rFonts w:ascii="Arial Narrow" w:eastAsiaTheme="majorEastAsia" w:hAnsi="Arial Narrow" w:cstheme="majorBidi"/>
                <w:bCs/>
                <w:color w:val="000000"/>
                <w:sz w:val="20"/>
                <w:shd w:val="solid" w:color="000000" w:fill="000000"/>
                <w:fitText w:val="170" w:id="-1032066556"/>
                <w14:textFill>
                  <w14:solidFill>
                    <w14:srgbClr w14:val="000000">
                      <w14:alpha w14:val="100000"/>
                    </w14:srgbClr>
                  </w14:solidFill>
                </w14:textFill>
              </w:rPr>
              <w:t>|</w:t>
            </w:r>
          </w:p>
        </w:tc>
      </w:tr>
    </w:tbl>
    <w:p w14:paraId="79FE8835" w14:textId="32013F50" w:rsidR="00034A31" w:rsidRPr="00F91CC3" w:rsidRDefault="00034A31" w:rsidP="000A0645">
      <w:pPr>
        <w:keepNext/>
        <w:keepLines/>
        <w:spacing w:after="120"/>
        <w:contextualSpacing/>
        <w:rPr>
          <w:rFonts w:ascii="Arial Narrow" w:hAnsi="Arial Narrow"/>
          <w:snapToGrid w:val="0"/>
          <w:sz w:val="18"/>
          <w:szCs w:val="22"/>
        </w:rPr>
      </w:pPr>
      <w:r w:rsidRPr="00F91CC3">
        <w:rPr>
          <w:rFonts w:ascii="Arial Narrow" w:hAnsi="Arial Narrow"/>
          <w:snapToGrid w:val="0"/>
          <w:sz w:val="18"/>
          <w:szCs w:val="22"/>
        </w:rPr>
        <w:t>Source: Table constructed during the evaluation, using inputs provided by the submission.</w:t>
      </w:r>
    </w:p>
    <w:p w14:paraId="385C13B4" w14:textId="52491C6E" w:rsidR="00034A31" w:rsidRPr="00F91CC3" w:rsidRDefault="00034A31" w:rsidP="000A0645">
      <w:pPr>
        <w:keepNext/>
        <w:keepLines/>
        <w:spacing w:after="120"/>
        <w:contextualSpacing/>
        <w:rPr>
          <w:rFonts w:ascii="Arial Narrow" w:hAnsi="Arial Narrow"/>
          <w:snapToGrid w:val="0"/>
          <w:sz w:val="18"/>
          <w:szCs w:val="22"/>
        </w:rPr>
      </w:pPr>
      <w:r w:rsidRPr="00F91CC3">
        <w:rPr>
          <w:rFonts w:ascii="Arial Narrow" w:hAnsi="Arial Narrow"/>
          <w:snapToGrid w:val="0"/>
          <w:sz w:val="18"/>
          <w:szCs w:val="22"/>
          <w:vertAlign w:val="superscript"/>
        </w:rPr>
        <w:t xml:space="preserve">a </w:t>
      </w:r>
      <w:r w:rsidRPr="00F91CC3">
        <w:rPr>
          <w:rFonts w:ascii="Arial Narrow" w:hAnsi="Arial Narrow"/>
          <w:snapToGrid w:val="0"/>
          <w:sz w:val="18"/>
          <w:szCs w:val="22"/>
        </w:rPr>
        <w:t>Cost per pack is the same regardless of dose or formulation</w:t>
      </w:r>
    </w:p>
    <w:p w14:paraId="3F6CB090" w14:textId="60119908" w:rsidR="00034A31" w:rsidRPr="00F91CC3" w:rsidRDefault="001F2F57" w:rsidP="000A0645">
      <w:pPr>
        <w:keepNext/>
        <w:keepLines/>
        <w:spacing w:after="120"/>
        <w:contextualSpacing/>
        <w:rPr>
          <w:rFonts w:ascii="Arial Narrow" w:hAnsi="Arial Narrow"/>
          <w:snapToGrid w:val="0"/>
          <w:sz w:val="18"/>
          <w:szCs w:val="22"/>
        </w:rPr>
      </w:pPr>
      <w:r w:rsidRPr="00F91CC3">
        <w:rPr>
          <w:rFonts w:ascii="Arial Narrow" w:hAnsi="Arial Narrow"/>
          <w:snapToGrid w:val="0"/>
          <w:sz w:val="18"/>
          <w:szCs w:val="22"/>
          <w:vertAlign w:val="superscript"/>
        </w:rPr>
        <w:t>b</w:t>
      </w:r>
      <w:r w:rsidR="00034A31" w:rsidRPr="00F91CC3">
        <w:rPr>
          <w:rFonts w:ascii="Arial Narrow" w:hAnsi="Arial Narrow"/>
          <w:snapToGrid w:val="0"/>
          <w:sz w:val="18"/>
          <w:szCs w:val="22"/>
          <w:vertAlign w:val="superscript"/>
        </w:rPr>
        <w:t xml:space="preserve"> </w:t>
      </w:r>
      <w:r w:rsidR="00034A31" w:rsidRPr="00F91CC3">
        <w:rPr>
          <w:rFonts w:ascii="Arial Narrow" w:hAnsi="Arial Narrow"/>
          <w:snapToGrid w:val="0"/>
          <w:sz w:val="18"/>
          <w:szCs w:val="22"/>
        </w:rPr>
        <w:t>Scripts per year multiplied by (8/12) that represents additional 8 months of treatment with extension to current PBS listing of ivacaftor for this patient population</w:t>
      </w:r>
    </w:p>
    <w:p w14:paraId="77B28A27" w14:textId="0D60B305" w:rsidR="009C4855" w:rsidRPr="00F91CC3" w:rsidRDefault="001F2F57" w:rsidP="000A0645">
      <w:pPr>
        <w:keepNext/>
        <w:keepLines/>
        <w:spacing w:after="120"/>
        <w:contextualSpacing/>
        <w:rPr>
          <w:rFonts w:ascii="Arial Narrow" w:hAnsi="Arial Narrow"/>
          <w:snapToGrid w:val="0"/>
          <w:sz w:val="18"/>
          <w:szCs w:val="22"/>
        </w:rPr>
      </w:pPr>
      <w:r w:rsidRPr="00F91CC3">
        <w:rPr>
          <w:rFonts w:ascii="Arial Narrow" w:hAnsi="Arial Narrow"/>
          <w:snapToGrid w:val="0"/>
          <w:sz w:val="18"/>
          <w:szCs w:val="22"/>
          <w:vertAlign w:val="superscript"/>
        </w:rPr>
        <w:t>c</w:t>
      </w:r>
      <w:r w:rsidR="00034A31" w:rsidRPr="00F91CC3">
        <w:rPr>
          <w:rFonts w:ascii="Arial Narrow" w:hAnsi="Arial Narrow"/>
          <w:snapToGrid w:val="0"/>
          <w:sz w:val="18"/>
          <w:szCs w:val="22"/>
          <w:vertAlign w:val="superscript"/>
        </w:rPr>
        <w:t xml:space="preserve"> </w:t>
      </w:r>
      <w:r w:rsidR="00034A31" w:rsidRPr="00F91CC3">
        <w:rPr>
          <w:rFonts w:ascii="Arial Narrow" w:hAnsi="Arial Narrow"/>
          <w:snapToGrid w:val="0"/>
          <w:sz w:val="18"/>
          <w:szCs w:val="22"/>
        </w:rPr>
        <w:t>Calculation conducted during the evaluation, (cost per packet * compliance * number of scripts per year) using inputs provided by submission</w:t>
      </w:r>
    </w:p>
    <w:p w14:paraId="51B33194" w14:textId="65BCC358" w:rsidR="005C4188" w:rsidRPr="00F91CC3" w:rsidRDefault="00034A31" w:rsidP="00F07396">
      <w:pPr>
        <w:pStyle w:val="3-BodyText"/>
        <w:snapToGrid w:val="0"/>
        <w:rPr>
          <w:color w:val="0066FF"/>
        </w:rPr>
      </w:pPr>
      <w:bookmarkStart w:id="60" w:name="_Hlk107307804"/>
      <w:r w:rsidRPr="00F91CC3">
        <w:t xml:space="preserve">Drug costs per patient per year are presented in </w:t>
      </w:r>
      <w:r w:rsidR="005C4188" w:rsidRPr="00F91CC3">
        <w:rPr>
          <w:rFonts w:cstheme="minorHAnsi"/>
        </w:rPr>
        <w:fldChar w:fldCharType="begin"/>
      </w:r>
      <w:r w:rsidR="005C4188" w:rsidRPr="00F91CC3">
        <w:rPr>
          <w:rFonts w:cstheme="minorHAnsi"/>
        </w:rPr>
        <w:instrText xml:space="preserve"> REF _Ref144306645 \h  \* MERGEFORMAT </w:instrText>
      </w:r>
      <w:r w:rsidR="005C4188" w:rsidRPr="00F91CC3">
        <w:rPr>
          <w:rFonts w:cstheme="minorHAnsi"/>
        </w:rPr>
      </w:r>
      <w:r w:rsidR="005C4188" w:rsidRPr="00F91CC3">
        <w:rPr>
          <w:rFonts w:cstheme="minorHAnsi"/>
        </w:rPr>
        <w:fldChar w:fldCharType="separate"/>
      </w:r>
      <w:r w:rsidR="008D6198" w:rsidRPr="008D6198">
        <w:rPr>
          <w:rFonts w:cstheme="minorHAnsi"/>
        </w:rPr>
        <w:t>Table 13</w:t>
      </w:r>
      <w:r w:rsidR="005C4188" w:rsidRPr="00F91CC3">
        <w:rPr>
          <w:rFonts w:cstheme="minorHAnsi"/>
        </w:rPr>
        <w:fldChar w:fldCharType="end"/>
      </w:r>
      <w:r w:rsidRPr="00F91CC3">
        <w:t>. While treatment is ongoing for the lifetime of the patient, costs for the gating population are restricted to those associated with the additional eight months of therapy that would be permitted for a new patient commencing therapy under the proposed listing (i.e., from the proposed 4 months of age, up to 12 months of age at which time a patient ca</w:t>
      </w:r>
      <w:r w:rsidR="00E67B2C" w:rsidRPr="00F91CC3">
        <w:t>n</w:t>
      </w:r>
      <w:r w:rsidRPr="00F91CC3">
        <w:t xml:space="preserve"> already access ivacaftor on the PBS).</w:t>
      </w:r>
      <w:bookmarkEnd w:id="60"/>
    </w:p>
    <w:p w14:paraId="2F4DC475" w14:textId="1A3DC283" w:rsidR="001F2F57" w:rsidRPr="00F91CC3" w:rsidRDefault="001F2F57" w:rsidP="005142A2">
      <w:pPr>
        <w:pStyle w:val="3-BodyText"/>
        <w:snapToGrid w:val="0"/>
        <w:rPr>
          <w:rFonts w:cstheme="minorHAnsi"/>
          <w:i/>
          <w:iCs/>
          <w:snapToGrid/>
        </w:rPr>
      </w:pPr>
      <w:r w:rsidRPr="00F91CC3">
        <w:lastRenderedPageBreak/>
        <w:t>The estimated drug cost per patient per year</w:t>
      </w:r>
      <w:r w:rsidR="005C4188" w:rsidRPr="00F91CC3">
        <w:t xml:space="preserve"> for ivacaftor </w:t>
      </w:r>
      <w:r w:rsidR="005972E4" w:rsidRPr="00F91CC3">
        <w:t>(</w:t>
      </w:r>
      <w:r w:rsidR="005C4188" w:rsidRPr="00F91CC3">
        <w:t>$</w:t>
      </w:r>
      <w:r w:rsidR="004E53B2">
        <w:t xml:space="preserve"> </w:t>
      </w:r>
      <w:r w:rsidR="004E53B2" w:rsidRPr="004E53B2">
        <w:rPr>
          <w:color w:val="000000"/>
          <w:w w:val="60"/>
          <w:shd w:val="solid" w:color="000000" w:fill="000000"/>
          <w:fitText w:val="470" w:id="-1032066555"/>
          <w14:textFill>
            <w14:solidFill>
              <w14:srgbClr w14:val="000000">
                <w14:alpha w14:val="100000"/>
              </w14:srgbClr>
            </w14:solidFill>
          </w14:textFill>
        </w:rPr>
        <w:t>|||  ||</w:t>
      </w:r>
      <w:r w:rsidR="004E53B2" w:rsidRPr="004E53B2">
        <w:rPr>
          <w:color w:val="000000"/>
          <w:spacing w:val="6"/>
          <w:w w:val="60"/>
          <w:shd w:val="solid" w:color="000000" w:fill="000000"/>
          <w:fitText w:val="470" w:id="-1032066555"/>
          <w14:textFill>
            <w14:solidFill>
              <w14:srgbClr w14:val="000000">
                <w14:alpha w14:val="100000"/>
              </w14:srgbClr>
            </w14:solidFill>
          </w14:textFill>
        </w:rPr>
        <w:t>|</w:t>
      </w:r>
      <w:r w:rsidR="00145CE7" w:rsidRPr="00F91CC3">
        <w:t xml:space="preserve"> to $</w:t>
      </w:r>
      <w:r w:rsidR="004E53B2">
        <w:t xml:space="preserve"> </w:t>
      </w:r>
      <w:r w:rsidR="004E53B2" w:rsidRPr="004E53B2">
        <w:rPr>
          <w:color w:val="000000"/>
          <w:w w:val="60"/>
          <w:shd w:val="solid" w:color="000000" w:fill="000000"/>
          <w:fitText w:val="470" w:id="-1032066554"/>
          <w14:textFill>
            <w14:solidFill>
              <w14:srgbClr w14:val="000000">
                <w14:alpha w14:val="100000"/>
              </w14:srgbClr>
            </w14:solidFill>
          </w14:textFill>
        </w:rPr>
        <w:t>|||  ||</w:t>
      </w:r>
      <w:r w:rsidR="004E53B2" w:rsidRPr="004E53B2">
        <w:rPr>
          <w:color w:val="000000"/>
          <w:spacing w:val="6"/>
          <w:w w:val="60"/>
          <w:shd w:val="solid" w:color="000000" w:fill="000000"/>
          <w:fitText w:val="470" w:id="-1032066554"/>
          <w14:textFill>
            <w14:solidFill>
              <w14:srgbClr w14:val="000000">
                <w14:alpha w14:val="100000"/>
              </w14:srgbClr>
            </w14:solidFill>
          </w14:textFill>
        </w:rPr>
        <w:t>|</w:t>
      </w:r>
      <w:r w:rsidR="00145CE7" w:rsidRPr="00F91CC3">
        <w:t xml:space="preserve"> depending on population</w:t>
      </w:r>
      <w:r w:rsidR="005972E4" w:rsidRPr="00F91CC3">
        <w:t>)</w:t>
      </w:r>
      <w:r w:rsidR="005C4188" w:rsidRPr="00F91CC3">
        <w:t xml:space="preserve"> </w:t>
      </w:r>
      <w:r w:rsidR="00323701" w:rsidRPr="00F91CC3">
        <w:t xml:space="preserve">is greater than the </w:t>
      </w:r>
      <w:r w:rsidR="00323701" w:rsidRPr="00F91CC3">
        <w:rPr>
          <w:rFonts w:cstheme="minorHAnsi"/>
        </w:rPr>
        <w:t>c</w:t>
      </w:r>
      <w:r w:rsidR="005C4188" w:rsidRPr="00F91CC3">
        <w:rPr>
          <w:rFonts w:cstheme="minorHAnsi"/>
        </w:rPr>
        <w:t>ost per patient</w:t>
      </w:r>
      <w:r w:rsidR="00323701" w:rsidRPr="00F91CC3">
        <w:rPr>
          <w:rFonts w:cstheme="minorHAnsi"/>
        </w:rPr>
        <w:t xml:space="preserve"> per year</w:t>
      </w:r>
      <w:r w:rsidR="005C4188" w:rsidRPr="00F91CC3">
        <w:rPr>
          <w:rFonts w:cstheme="minorHAnsi"/>
        </w:rPr>
        <w:t xml:space="preserve"> for</w:t>
      </w:r>
      <w:r w:rsidR="00323701" w:rsidRPr="00F91CC3">
        <w:rPr>
          <w:rFonts w:cstheme="minorHAnsi"/>
        </w:rPr>
        <w:t xml:space="preserve"> ELX/TEZ/IVA</w:t>
      </w:r>
      <w:r w:rsidR="005C4188" w:rsidRPr="00F91CC3">
        <w:rPr>
          <w:rFonts w:cstheme="minorHAnsi"/>
        </w:rPr>
        <w:t xml:space="preserve"> </w:t>
      </w:r>
      <w:r w:rsidR="00323701" w:rsidRPr="00F91CC3">
        <w:rPr>
          <w:rFonts w:cstheme="minorHAnsi"/>
        </w:rPr>
        <w:t>(</w:t>
      </w:r>
      <w:r w:rsidR="005C4188" w:rsidRPr="00F91CC3">
        <w:rPr>
          <w:rFonts w:cstheme="minorHAnsi"/>
        </w:rPr>
        <w:t>$</w:t>
      </w:r>
      <w:r w:rsidR="004E53B2">
        <w:rPr>
          <w:rFonts w:cstheme="minorHAnsi"/>
        </w:rPr>
        <w:t xml:space="preserve"> </w:t>
      </w:r>
      <w:r w:rsidR="004E53B2" w:rsidRPr="008D6198">
        <w:rPr>
          <w:rFonts w:cstheme="minorHAnsi"/>
          <w:color w:val="000000"/>
          <w:w w:val="15"/>
          <w:shd w:val="solid" w:color="000000" w:fill="000000"/>
          <w:fitText w:val="-20" w:id="-1032066553"/>
          <w14:textFill>
            <w14:solidFill>
              <w14:srgbClr w14:val="000000">
                <w14:alpha w14:val="100000"/>
              </w14:srgbClr>
            </w14:solidFill>
          </w14:textFill>
        </w:rPr>
        <w:t xml:space="preserve">|  </w:t>
      </w:r>
      <w:r w:rsidR="004E53B2" w:rsidRPr="008D6198">
        <w:rPr>
          <w:rFonts w:cstheme="minorHAnsi"/>
          <w:color w:val="000000"/>
          <w:spacing w:val="-69"/>
          <w:w w:val="15"/>
          <w:shd w:val="solid" w:color="000000" w:fill="000000"/>
          <w:fitText w:val="-20" w:id="-1032066553"/>
          <w14:textFill>
            <w14:solidFill>
              <w14:srgbClr w14:val="000000">
                <w14:alpha w14:val="100000"/>
              </w14:srgbClr>
            </w14:solidFill>
          </w14:textFill>
        </w:rPr>
        <w:t>|</w:t>
      </w:r>
      <w:r w:rsidR="007658F1" w:rsidRPr="00F91CC3">
        <w:rPr>
          <w:rFonts w:cstheme="minorHAnsi"/>
        </w:rPr>
        <w:t xml:space="preserve"> in CF patients over 12 years of age, $</w:t>
      </w:r>
      <w:r w:rsidR="004E53B2">
        <w:rPr>
          <w:rFonts w:cstheme="minorHAnsi"/>
        </w:rPr>
        <w:t xml:space="preserve"> </w:t>
      </w:r>
      <w:r w:rsidR="004E53B2" w:rsidRPr="008D6198">
        <w:rPr>
          <w:rFonts w:cstheme="minorHAnsi"/>
          <w:color w:val="000000"/>
          <w:w w:val="15"/>
          <w:shd w:val="solid" w:color="000000" w:fill="000000"/>
          <w:fitText w:val="-20" w:id="-1032066552"/>
          <w14:textFill>
            <w14:solidFill>
              <w14:srgbClr w14:val="000000">
                <w14:alpha w14:val="100000"/>
              </w14:srgbClr>
            </w14:solidFill>
          </w14:textFill>
        </w:rPr>
        <w:t xml:space="preserve">|  </w:t>
      </w:r>
      <w:r w:rsidR="004E53B2" w:rsidRPr="008D6198">
        <w:rPr>
          <w:rFonts w:cstheme="minorHAnsi"/>
          <w:color w:val="000000"/>
          <w:spacing w:val="-69"/>
          <w:w w:val="15"/>
          <w:shd w:val="solid" w:color="000000" w:fill="000000"/>
          <w:fitText w:val="-20" w:id="-1032066552"/>
          <w14:textFill>
            <w14:solidFill>
              <w14:srgbClr w14:val="000000">
                <w14:alpha w14:val="100000"/>
              </w14:srgbClr>
            </w14:solidFill>
          </w14:textFill>
        </w:rPr>
        <w:t>|</w:t>
      </w:r>
      <w:r w:rsidR="007658F1" w:rsidRPr="00F91CC3">
        <w:rPr>
          <w:rFonts w:cstheme="minorHAnsi"/>
        </w:rPr>
        <w:t xml:space="preserve"> in CF patients 6 to 11 years of age</w:t>
      </w:r>
      <w:r w:rsidR="00323701" w:rsidRPr="00F91CC3">
        <w:rPr>
          <w:rFonts w:cstheme="minorHAnsi"/>
        </w:rPr>
        <w:t>)</w:t>
      </w:r>
      <w:r w:rsidR="005C4188" w:rsidRPr="00F91CC3">
        <w:rPr>
          <w:rFonts w:cstheme="minorHAnsi"/>
        </w:rPr>
        <w:t xml:space="preserve"> (Table 8, </w:t>
      </w:r>
      <w:r w:rsidR="00323701" w:rsidRPr="00F91CC3">
        <w:rPr>
          <w:rFonts w:cstheme="minorHAnsi"/>
        </w:rPr>
        <w:t xml:space="preserve">ELX/TEZ/IVA </w:t>
      </w:r>
      <w:r w:rsidR="00EA49F0">
        <w:rPr>
          <w:rFonts w:cstheme="minorHAnsi"/>
        </w:rPr>
        <w:t>PSD</w:t>
      </w:r>
      <w:r w:rsidR="005C4188" w:rsidRPr="00F91CC3">
        <w:rPr>
          <w:rFonts w:cstheme="minorHAnsi"/>
        </w:rPr>
        <w:t>, Dec 2021</w:t>
      </w:r>
      <w:r w:rsidR="00323701" w:rsidRPr="00F91CC3">
        <w:rPr>
          <w:rFonts w:cstheme="minorHAnsi"/>
        </w:rPr>
        <w:t xml:space="preserve"> PBAC meeting</w:t>
      </w:r>
      <w:r w:rsidR="007658F1" w:rsidRPr="00F91CC3">
        <w:rPr>
          <w:rFonts w:cstheme="minorHAnsi"/>
        </w:rPr>
        <w:t xml:space="preserve"> and Table 18, ELX/TEZ/IVA </w:t>
      </w:r>
      <w:r w:rsidR="00EA49F0">
        <w:rPr>
          <w:rFonts w:cstheme="minorHAnsi"/>
        </w:rPr>
        <w:t>PSD</w:t>
      </w:r>
      <w:r w:rsidR="007658F1" w:rsidRPr="00F91CC3">
        <w:rPr>
          <w:rFonts w:cstheme="minorHAnsi"/>
        </w:rPr>
        <w:t>, March 2023 PBAC meeting</w:t>
      </w:r>
      <w:r w:rsidR="005C4188" w:rsidRPr="00F91CC3">
        <w:rPr>
          <w:rFonts w:cstheme="minorHAnsi"/>
        </w:rPr>
        <w:t>)</w:t>
      </w:r>
      <w:r w:rsidR="00323701" w:rsidRPr="00F91CC3">
        <w:rPr>
          <w:rFonts w:cstheme="minorHAnsi"/>
        </w:rPr>
        <w:t xml:space="preserve"> and </w:t>
      </w:r>
      <w:r w:rsidR="005C4188" w:rsidRPr="00F91CC3">
        <w:rPr>
          <w:rFonts w:cstheme="minorHAnsi"/>
        </w:rPr>
        <w:t xml:space="preserve">TEZ/IVA </w:t>
      </w:r>
      <w:r w:rsidR="00323701" w:rsidRPr="00F91CC3">
        <w:rPr>
          <w:rFonts w:cstheme="minorHAnsi"/>
        </w:rPr>
        <w:t>(</w:t>
      </w:r>
      <w:r w:rsidR="005C4188" w:rsidRPr="00F91CC3">
        <w:rPr>
          <w:rFonts w:cstheme="minorHAnsi"/>
        </w:rPr>
        <w:t>$</w:t>
      </w:r>
      <w:r w:rsidR="004E53B2">
        <w:rPr>
          <w:rFonts w:cstheme="minorHAnsi"/>
        </w:rPr>
        <w:t xml:space="preserve"> </w:t>
      </w:r>
      <w:r w:rsidR="004E53B2" w:rsidRPr="008D6198">
        <w:rPr>
          <w:rFonts w:cstheme="minorHAnsi"/>
          <w:color w:val="000000"/>
          <w:w w:val="15"/>
          <w:shd w:val="solid" w:color="000000" w:fill="000000"/>
          <w:fitText w:val="-20" w:id="-1032066551"/>
          <w14:textFill>
            <w14:solidFill>
              <w14:srgbClr w14:val="000000">
                <w14:alpha w14:val="100000"/>
              </w14:srgbClr>
            </w14:solidFill>
          </w14:textFill>
        </w:rPr>
        <w:t xml:space="preserve">|  </w:t>
      </w:r>
      <w:r w:rsidR="004E53B2" w:rsidRPr="008D6198">
        <w:rPr>
          <w:rFonts w:cstheme="minorHAnsi"/>
          <w:color w:val="000000"/>
          <w:spacing w:val="-69"/>
          <w:w w:val="15"/>
          <w:shd w:val="solid" w:color="000000" w:fill="000000"/>
          <w:fitText w:val="-20" w:id="-1032066551"/>
          <w14:textFill>
            <w14:solidFill>
              <w14:srgbClr w14:val="000000">
                <w14:alpha w14:val="100000"/>
              </w14:srgbClr>
            </w14:solidFill>
          </w14:textFill>
        </w:rPr>
        <w:t>|</w:t>
      </w:r>
      <w:r w:rsidR="00323701" w:rsidRPr="00F91CC3">
        <w:rPr>
          <w:rFonts w:cstheme="minorHAnsi"/>
        </w:rPr>
        <w:t xml:space="preserve">). </w:t>
      </w:r>
      <w:r w:rsidR="00E523C6" w:rsidRPr="00F91CC3">
        <w:rPr>
          <w:rFonts w:cstheme="minorHAnsi"/>
        </w:rPr>
        <w:t xml:space="preserve">As noted earlier, </w:t>
      </w:r>
      <w:r w:rsidR="00E523C6" w:rsidRPr="00F91CC3">
        <w:t>patients with an</w:t>
      </w:r>
      <w:r w:rsidR="00E523C6" w:rsidRPr="00F91CC3">
        <w:rPr>
          <w:i/>
          <w:iCs/>
        </w:rPr>
        <w:t xml:space="preserve"> </w:t>
      </w:r>
      <w:r w:rsidR="00E523C6" w:rsidRPr="00F91CC3">
        <w:t xml:space="preserve">F508del mutation (F) are expected to switch to </w:t>
      </w:r>
      <w:r w:rsidR="00E523C6" w:rsidRPr="00F91CC3">
        <w:rPr>
          <w:rFonts w:cs="Calibri"/>
        </w:rPr>
        <w:t>ELX/TEZ/IVA from ivacaftor from 6 years of age and patients with a non-splice RF mutation are expected to switch to TEZ/IVA from 12 years of age</w:t>
      </w:r>
      <w:r w:rsidR="00717E3E" w:rsidRPr="00F91CC3">
        <w:rPr>
          <w:rFonts w:cs="Calibri"/>
        </w:rPr>
        <w:t xml:space="preserve">. </w:t>
      </w:r>
      <w:r w:rsidR="00AF1829" w:rsidRPr="00F91CC3">
        <w:rPr>
          <w:rFonts w:cstheme="minorHAnsi"/>
        </w:rPr>
        <w:t>No evidence was presented demonstrating a larger benefit with ivacaftor in younger patients to support a higher price being cost-effective</w:t>
      </w:r>
      <w:r w:rsidR="00F91CC3">
        <w:rPr>
          <w:rFonts w:cstheme="minorHAnsi"/>
          <w:i/>
          <w:iCs/>
        </w:rPr>
        <w:t xml:space="preserve">. </w:t>
      </w:r>
    </w:p>
    <w:p w14:paraId="64977F8D" w14:textId="477E5410" w:rsidR="00000D17" w:rsidRPr="00F91CC3" w:rsidRDefault="008F5519" w:rsidP="005142A2">
      <w:pPr>
        <w:pStyle w:val="3-BodyText"/>
        <w:snapToGrid w:val="0"/>
        <w:rPr>
          <w:rFonts w:cstheme="minorHAnsi"/>
          <w:i/>
          <w:iCs/>
          <w:snapToGrid/>
        </w:rPr>
      </w:pPr>
      <w:r w:rsidRPr="00F91CC3">
        <w:t>The pre-PBAC response stated the effective pack price applied in the financial estimates</w:t>
      </w:r>
      <w:r w:rsidR="007A7F72" w:rsidRPr="00F91CC3">
        <w:t xml:space="preserve"> of $</w:t>
      </w:r>
      <w:r w:rsidR="004E53B2">
        <w:t xml:space="preserve"> </w:t>
      </w:r>
      <w:r w:rsidR="004E53B2" w:rsidRPr="008D6198">
        <w:rPr>
          <w:color w:val="000000"/>
          <w:w w:val="15"/>
          <w:shd w:val="solid" w:color="000000" w:fill="000000"/>
          <w:fitText w:val="-20" w:id="-1032066550"/>
          <w14:textFill>
            <w14:solidFill>
              <w14:srgbClr w14:val="000000">
                <w14:alpha w14:val="100000"/>
              </w14:srgbClr>
            </w14:solidFill>
          </w14:textFill>
        </w:rPr>
        <w:t xml:space="preserve">|  </w:t>
      </w:r>
      <w:r w:rsidR="004E53B2" w:rsidRPr="008D6198">
        <w:rPr>
          <w:color w:val="000000"/>
          <w:spacing w:val="-69"/>
          <w:w w:val="15"/>
          <w:shd w:val="solid" w:color="000000" w:fill="000000"/>
          <w:fitText w:val="-20" w:id="-1032066550"/>
          <w14:textFill>
            <w14:solidFill>
              <w14:srgbClr w14:val="000000">
                <w14:alpha w14:val="100000"/>
              </w14:srgbClr>
            </w14:solidFill>
          </w14:textFill>
        </w:rPr>
        <w:t>|</w:t>
      </w:r>
      <w:r w:rsidR="007A7F72" w:rsidRPr="00F91CC3">
        <w:t xml:space="preserve"> was</w:t>
      </w:r>
      <w:r w:rsidRPr="00F91CC3">
        <w:t xml:space="preserve"> calculated using the assumptions applied in calculating the IVA offsets for the listing of ELX/TEZ/IVA</w:t>
      </w:r>
      <w:r w:rsidR="002C3F03" w:rsidRPr="00F91CC3">
        <w:t xml:space="preserve"> i</w:t>
      </w:r>
      <w:r w:rsidR="00E37DBA" w:rsidRPr="00F91CC3">
        <w:t>.</w:t>
      </w:r>
      <w:r w:rsidR="002C3F03" w:rsidRPr="00F91CC3">
        <w:t>e.</w:t>
      </w:r>
      <w:r w:rsidR="00E37DBA" w:rsidRPr="00F91CC3">
        <w:t>,</w:t>
      </w:r>
      <w:r w:rsidR="007658F1" w:rsidRPr="00F91CC3">
        <w:t xml:space="preserve"> based on an ivacaftor cost per patient of $</w:t>
      </w:r>
      <w:r w:rsidR="004E53B2">
        <w:t xml:space="preserve"> </w:t>
      </w:r>
      <w:r w:rsidR="004E53B2" w:rsidRPr="008D6198">
        <w:rPr>
          <w:color w:val="000000"/>
          <w:w w:val="15"/>
          <w:shd w:val="solid" w:color="000000" w:fill="000000"/>
          <w:fitText w:val="-20" w:id="-1032066549"/>
          <w14:textFill>
            <w14:solidFill>
              <w14:srgbClr w14:val="000000">
                <w14:alpha w14:val="100000"/>
              </w14:srgbClr>
            </w14:solidFill>
          </w14:textFill>
        </w:rPr>
        <w:t xml:space="preserve">|  </w:t>
      </w:r>
      <w:r w:rsidR="004E53B2" w:rsidRPr="008D6198">
        <w:rPr>
          <w:color w:val="000000"/>
          <w:spacing w:val="-69"/>
          <w:w w:val="15"/>
          <w:shd w:val="solid" w:color="000000" w:fill="000000"/>
          <w:fitText w:val="-20" w:id="-1032066549"/>
          <w14:textFill>
            <w14:solidFill>
              <w14:srgbClr w14:val="000000">
                <w14:alpha w14:val="100000"/>
              </w14:srgbClr>
            </w14:solidFill>
          </w14:textFill>
        </w:rPr>
        <w:t>|</w:t>
      </w:r>
      <w:r w:rsidR="007658F1" w:rsidRPr="00F91CC3">
        <w:t xml:space="preserve"> (</w:t>
      </w:r>
      <w:r w:rsidR="007658F1" w:rsidRPr="00F91CC3">
        <w:rPr>
          <w:rFonts w:cstheme="minorHAnsi"/>
        </w:rPr>
        <w:t xml:space="preserve">paragraph 6.55, ELX/TEZ/IVA </w:t>
      </w:r>
      <w:r w:rsidR="00EA49F0">
        <w:rPr>
          <w:rFonts w:cstheme="minorHAnsi"/>
        </w:rPr>
        <w:t>PSD</w:t>
      </w:r>
      <w:r w:rsidR="007658F1" w:rsidRPr="00F91CC3">
        <w:rPr>
          <w:rFonts w:cstheme="minorHAnsi"/>
        </w:rPr>
        <w:t>, July 2021 PBAC meeting)</w:t>
      </w:r>
      <w:r w:rsidR="007658F1" w:rsidRPr="00F91CC3">
        <w:t xml:space="preserve"> divided by 10.51 scripts (</w:t>
      </w:r>
      <w:r w:rsidRPr="00F91CC3">
        <w:t xml:space="preserve">assuming </w:t>
      </w:r>
      <w:r w:rsidR="007658F1" w:rsidRPr="00F91CC3">
        <w:t>80% compliance)</w:t>
      </w:r>
      <w:r w:rsidR="00F91CC3">
        <w:t xml:space="preserve">. </w:t>
      </w:r>
    </w:p>
    <w:p w14:paraId="1DF78C99" w14:textId="77777777" w:rsidR="00034A31" w:rsidRPr="00F91CC3" w:rsidRDefault="00034A31" w:rsidP="00034A31">
      <w:pPr>
        <w:keepNext/>
        <w:spacing w:before="120" w:after="120"/>
        <w:outlineLvl w:val="1"/>
        <w:rPr>
          <w:rFonts w:asciiTheme="minorHAnsi" w:eastAsiaTheme="majorEastAsia" w:hAnsiTheme="minorHAnsi" w:cstheme="majorBidi"/>
          <w:b/>
          <w:i/>
          <w:spacing w:val="5"/>
          <w:kern w:val="28"/>
          <w:sz w:val="28"/>
          <w:szCs w:val="36"/>
        </w:rPr>
      </w:pPr>
      <w:bookmarkStart w:id="61" w:name="_Toc22897647"/>
      <w:bookmarkStart w:id="62" w:name="_Toc145484399"/>
      <w:r w:rsidRPr="00F91CC3">
        <w:rPr>
          <w:rFonts w:asciiTheme="minorHAnsi" w:eastAsiaTheme="majorEastAsia" w:hAnsiTheme="minorHAnsi" w:cstheme="majorBidi"/>
          <w:b/>
          <w:i/>
          <w:spacing w:val="5"/>
          <w:kern w:val="28"/>
          <w:sz w:val="28"/>
          <w:szCs w:val="36"/>
        </w:rPr>
        <w:t>Estimated PBS usage &amp; financial implications</w:t>
      </w:r>
      <w:bookmarkEnd w:id="61"/>
      <w:bookmarkEnd w:id="62"/>
    </w:p>
    <w:p w14:paraId="3CD98F57" w14:textId="6BD39A08" w:rsidR="00034A31" w:rsidRPr="00F91CC3" w:rsidRDefault="00034A31" w:rsidP="005142A2">
      <w:pPr>
        <w:numPr>
          <w:ilvl w:val="1"/>
          <w:numId w:val="10"/>
        </w:numPr>
        <w:snapToGrid w:val="0"/>
        <w:spacing w:after="120"/>
        <w:rPr>
          <w:rFonts w:asciiTheme="minorHAnsi" w:hAnsiTheme="minorHAnsi"/>
          <w:snapToGrid w:val="0"/>
          <w:color w:val="0066FF"/>
        </w:rPr>
      </w:pPr>
      <w:r w:rsidRPr="00F91CC3">
        <w:rPr>
          <w:rFonts w:asciiTheme="minorHAnsi" w:hAnsiTheme="minorHAnsi"/>
          <w:snapToGrid w:val="0"/>
        </w:rPr>
        <w:t>This submission w</w:t>
      </w:r>
      <w:r w:rsidR="00AC3B2C" w:rsidRPr="00F91CC3">
        <w:rPr>
          <w:rFonts w:asciiTheme="minorHAnsi" w:hAnsiTheme="minorHAnsi"/>
          <w:snapToGrid w:val="0"/>
        </w:rPr>
        <w:t>as not</w:t>
      </w:r>
      <w:r w:rsidRPr="00F91CC3">
        <w:rPr>
          <w:rFonts w:asciiTheme="minorHAnsi" w:hAnsiTheme="minorHAnsi"/>
          <w:snapToGrid w:val="0"/>
        </w:rPr>
        <w:t xml:space="preserve"> considered by </w:t>
      </w:r>
      <w:r w:rsidR="004C710C">
        <w:rPr>
          <w:rFonts w:asciiTheme="minorHAnsi" w:hAnsiTheme="minorHAnsi"/>
          <w:snapToGrid w:val="0"/>
        </w:rPr>
        <w:t>the Drug Utilisation Sub-Committee (</w:t>
      </w:r>
      <w:r w:rsidRPr="00F91CC3">
        <w:rPr>
          <w:rFonts w:asciiTheme="minorHAnsi" w:hAnsiTheme="minorHAnsi"/>
          <w:snapToGrid w:val="0"/>
        </w:rPr>
        <w:t>DUSC</w:t>
      </w:r>
      <w:r w:rsidR="004C710C">
        <w:rPr>
          <w:rFonts w:asciiTheme="minorHAnsi" w:hAnsiTheme="minorHAnsi"/>
          <w:snapToGrid w:val="0"/>
        </w:rPr>
        <w:t>)</w:t>
      </w:r>
      <w:r w:rsidRPr="00F91CC3">
        <w:rPr>
          <w:rFonts w:asciiTheme="minorHAnsi" w:hAnsiTheme="minorHAnsi"/>
          <w:snapToGrid w:val="0"/>
        </w:rPr>
        <w:t xml:space="preserve">. The submission used a prevalence based epidemiological approach, with the utilisation and budget impact estimates calculated separately </w:t>
      </w:r>
      <w:r w:rsidR="00F32963" w:rsidRPr="00F91CC3">
        <w:rPr>
          <w:rFonts w:asciiTheme="minorHAnsi" w:hAnsiTheme="minorHAnsi"/>
          <w:snapToGrid w:val="0"/>
        </w:rPr>
        <w:t>for each of the specified patient populations</w:t>
      </w:r>
      <w:r w:rsidRPr="00F91CC3">
        <w:rPr>
          <w:rFonts w:asciiTheme="minorHAnsi" w:hAnsiTheme="minorHAnsi"/>
          <w:snapToGrid w:val="0"/>
        </w:rPr>
        <w:t>. The eligible patient population</w:t>
      </w:r>
      <w:r w:rsidR="00F32963" w:rsidRPr="00F91CC3">
        <w:rPr>
          <w:rFonts w:asciiTheme="minorHAnsi" w:hAnsiTheme="minorHAnsi"/>
          <w:snapToGrid w:val="0"/>
        </w:rPr>
        <w:t>s</w:t>
      </w:r>
      <w:r w:rsidRPr="00F91CC3">
        <w:rPr>
          <w:rFonts w:asciiTheme="minorHAnsi" w:hAnsiTheme="minorHAnsi"/>
          <w:snapToGrid w:val="0"/>
        </w:rPr>
        <w:t xml:space="preserve"> w</w:t>
      </w:r>
      <w:r w:rsidR="00F32963" w:rsidRPr="00F91CC3">
        <w:rPr>
          <w:rFonts w:asciiTheme="minorHAnsi" w:hAnsiTheme="minorHAnsi"/>
          <w:snapToGrid w:val="0"/>
        </w:rPr>
        <w:t>ere</w:t>
      </w:r>
      <w:r w:rsidRPr="00F91CC3">
        <w:rPr>
          <w:rFonts w:asciiTheme="minorHAnsi" w:hAnsiTheme="minorHAnsi"/>
          <w:snapToGrid w:val="0"/>
        </w:rPr>
        <w:t xml:space="preserve"> converted to full-time equivalent (FTE) patients. Key inputs for financial estimates are presented </w:t>
      </w:r>
      <w:r w:rsidRPr="00F91CC3">
        <w:rPr>
          <w:rFonts w:asciiTheme="minorHAnsi" w:hAnsiTheme="minorHAnsi" w:cstheme="minorHAnsi"/>
          <w:snapToGrid w:val="0"/>
        </w:rPr>
        <w:t xml:space="preserve">in </w:t>
      </w:r>
      <w:r w:rsidR="00DA44FC" w:rsidRPr="00F91CC3">
        <w:rPr>
          <w:rFonts w:asciiTheme="minorHAnsi" w:hAnsiTheme="minorHAnsi" w:cstheme="minorHAnsi"/>
          <w:snapToGrid w:val="0"/>
        </w:rPr>
        <w:fldChar w:fldCharType="begin"/>
      </w:r>
      <w:r w:rsidR="00DA44FC" w:rsidRPr="00F91CC3">
        <w:rPr>
          <w:rFonts w:asciiTheme="minorHAnsi" w:hAnsiTheme="minorHAnsi" w:cstheme="minorHAnsi"/>
          <w:snapToGrid w:val="0"/>
        </w:rPr>
        <w:instrText xml:space="preserve"> REF _Ref144306811 \h  \* MERGEFORMAT </w:instrText>
      </w:r>
      <w:r w:rsidR="00DA44FC" w:rsidRPr="00F91CC3">
        <w:rPr>
          <w:rFonts w:asciiTheme="minorHAnsi" w:hAnsiTheme="minorHAnsi" w:cstheme="minorHAnsi"/>
          <w:snapToGrid w:val="0"/>
        </w:rPr>
      </w:r>
      <w:r w:rsidR="00DA44FC" w:rsidRPr="00F91CC3">
        <w:rPr>
          <w:rFonts w:asciiTheme="minorHAnsi" w:hAnsiTheme="minorHAnsi" w:cstheme="minorHAnsi"/>
          <w:snapToGrid w:val="0"/>
        </w:rPr>
        <w:fldChar w:fldCharType="separate"/>
      </w:r>
      <w:r w:rsidR="008D6198" w:rsidRPr="008D6198">
        <w:rPr>
          <w:rFonts w:asciiTheme="minorHAnsi" w:hAnsiTheme="minorHAnsi" w:cstheme="minorHAnsi"/>
        </w:rPr>
        <w:t>Table 14</w:t>
      </w:r>
      <w:r w:rsidR="00DA44FC" w:rsidRPr="00F91CC3">
        <w:rPr>
          <w:rFonts w:asciiTheme="minorHAnsi" w:hAnsiTheme="minorHAnsi" w:cstheme="minorHAnsi"/>
          <w:snapToGrid w:val="0"/>
        </w:rPr>
        <w:fldChar w:fldCharType="end"/>
      </w:r>
      <w:r w:rsidRPr="00F91CC3">
        <w:rPr>
          <w:rFonts w:asciiTheme="minorHAnsi" w:hAnsiTheme="minorHAnsi"/>
          <w:snapToGrid w:val="0"/>
        </w:rPr>
        <w:t>.</w:t>
      </w:r>
    </w:p>
    <w:p w14:paraId="015CDA92" w14:textId="77F0F805" w:rsidR="00034A31" w:rsidRPr="00F91CC3" w:rsidRDefault="00034A31" w:rsidP="00034A31">
      <w:pPr>
        <w:keepNext/>
        <w:keepLines/>
        <w:rPr>
          <w:rFonts w:ascii="Arial Narrow" w:hAnsi="Arial Narrow"/>
          <w:b/>
          <w:sz w:val="20"/>
          <w:szCs w:val="16"/>
        </w:rPr>
      </w:pPr>
      <w:bookmarkStart w:id="63" w:name="_Ref144306811"/>
      <w:bookmarkStart w:id="64" w:name="_Ref104805262"/>
      <w:r w:rsidRPr="00F91CC3">
        <w:rPr>
          <w:rFonts w:ascii="Arial Narrow" w:hAnsi="Arial Narrow"/>
          <w:b/>
          <w:bCs/>
          <w:sz w:val="20"/>
          <w:szCs w:val="18"/>
        </w:rPr>
        <w:t xml:space="preserve">Table </w:t>
      </w:r>
      <w:r w:rsidRPr="00F91CC3">
        <w:rPr>
          <w:rFonts w:ascii="Arial Narrow" w:hAnsi="Arial Narrow"/>
          <w:b/>
          <w:bCs/>
          <w:sz w:val="20"/>
          <w:szCs w:val="18"/>
        </w:rPr>
        <w:fldChar w:fldCharType="begin"/>
      </w:r>
      <w:r w:rsidRPr="00F91CC3">
        <w:rPr>
          <w:rFonts w:ascii="Arial Narrow" w:hAnsi="Arial Narrow"/>
          <w:b/>
          <w:bCs/>
          <w:sz w:val="20"/>
          <w:szCs w:val="18"/>
        </w:rPr>
        <w:instrText xml:space="preserve"> SEQ Table \* ARABIC </w:instrText>
      </w:r>
      <w:r w:rsidRPr="00F91CC3">
        <w:rPr>
          <w:rFonts w:ascii="Arial Narrow" w:hAnsi="Arial Narrow"/>
          <w:b/>
          <w:bCs/>
          <w:sz w:val="20"/>
          <w:szCs w:val="18"/>
        </w:rPr>
        <w:fldChar w:fldCharType="separate"/>
      </w:r>
      <w:r w:rsidR="008D6198">
        <w:rPr>
          <w:rFonts w:ascii="Arial Narrow" w:hAnsi="Arial Narrow"/>
          <w:b/>
          <w:bCs/>
          <w:noProof/>
          <w:sz w:val="20"/>
          <w:szCs w:val="18"/>
        </w:rPr>
        <w:t>14</w:t>
      </w:r>
      <w:r w:rsidRPr="00F91CC3">
        <w:rPr>
          <w:rFonts w:ascii="Arial Narrow" w:hAnsi="Arial Narrow"/>
          <w:b/>
          <w:bCs/>
          <w:sz w:val="20"/>
          <w:szCs w:val="18"/>
        </w:rPr>
        <w:fldChar w:fldCharType="end"/>
      </w:r>
      <w:bookmarkEnd w:id="63"/>
      <w:r w:rsidRPr="00F91CC3">
        <w:rPr>
          <w:rFonts w:ascii="Arial Narrow" w:hAnsi="Arial Narrow"/>
          <w:b/>
          <w:bCs/>
          <w:sz w:val="20"/>
          <w:szCs w:val="18"/>
        </w:rPr>
        <w:t>:</w:t>
      </w:r>
      <w:bookmarkEnd w:id="64"/>
      <w:r w:rsidRPr="00F91CC3">
        <w:rPr>
          <w:rFonts w:ascii="Arial Narrow" w:hAnsi="Arial Narrow"/>
          <w:b/>
          <w:bCs/>
          <w:sz w:val="20"/>
          <w:szCs w:val="18"/>
        </w:rPr>
        <w:t xml:space="preserve"> </w:t>
      </w:r>
      <w:r w:rsidRPr="00F91CC3">
        <w:rPr>
          <w:rFonts w:ascii="Arial Narrow" w:hAnsi="Arial Narrow"/>
          <w:b/>
          <w:bCs/>
          <w:sz w:val="20"/>
        </w:rPr>
        <w:t>Key inputs for financial estimates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13"/>
        <w:gridCol w:w="4094"/>
        <w:gridCol w:w="3210"/>
      </w:tblGrid>
      <w:tr w:rsidR="00034A31" w:rsidRPr="00F91CC3" w14:paraId="3CED5147" w14:textId="77777777" w:rsidTr="002A2AB2">
        <w:trPr>
          <w:tblHeader/>
        </w:trPr>
        <w:tc>
          <w:tcPr>
            <w:tcW w:w="950" w:type="pct"/>
            <w:tcBorders>
              <w:top w:val="single" w:sz="4" w:space="0" w:color="auto"/>
              <w:left w:val="single" w:sz="4" w:space="0" w:color="auto"/>
              <w:bottom w:val="single" w:sz="4" w:space="0" w:color="auto"/>
              <w:right w:val="single" w:sz="4" w:space="0" w:color="auto"/>
            </w:tcBorders>
            <w:vAlign w:val="center"/>
            <w:hideMark/>
          </w:tcPr>
          <w:p w14:paraId="6239BDF9" w14:textId="77777777" w:rsidR="00034A31" w:rsidRPr="00F91CC3" w:rsidRDefault="00034A31" w:rsidP="00034A31">
            <w:pPr>
              <w:keepNext/>
              <w:jc w:val="left"/>
              <w:rPr>
                <w:rFonts w:ascii="Arial Narrow" w:eastAsiaTheme="majorEastAsia" w:hAnsi="Arial Narrow" w:cs="Times New Roman"/>
                <w:b/>
                <w:sz w:val="20"/>
              </w:rPr>
            </w:pPr>
            <w:r w:rsidRPr="00F91CC3">
              <w:rPr>
                <w:rFonts w:ascii="Arial Narrow" w:eastAsiaTheme="majorEastAsia" w:hAnsi="Arial Narrow" w:cs="Times New Roman"/>
                <w:b/>
                <w:sz w:val="20"/>
              </w:rPr>
              <w:t>Parameter</w:t>
            </w:r>
          </w:p>
        </w:tc>
        <w:tc>
          <w:tcPr>
            <w:tcW w:w="2270" w:type="pct"/>
            <w:tcBorders>
              <w:top w:val="single" w:sz="4" w:space="0" w:color="auto"/>
              <w:left w:val="single" w:sz="4" w:space="0" w:color="auto"/>
              <w:bottom w:val="single" w:sz="4" w:space="0" w:color="auto"/>
              <w:right w:val="single" w:sz="4" w:space="0" w:color="auto"/>
            </w:tcBorders>
            <w:vAlign w:val="center"/>
            <w:hideMark/>
          </w:tcPr>
          <w:p w14:paraId="5C39D65E" w14:textId="77777777" w:rsidR="00034A31" w:rsidRPr="00F91CC3" w:rsidRDefault="00034A31" w:rsidP="00034A31">
            <w:pPr>
              <w:keepNext/>
              <w:jc w:val="left"/>
              <w:rPr>
                <w:rFonts w:ascii="Arial Narrow" w:eastAsiaTheme="majorEastAsia" w:hAnsi="Arial Narrow" w:cs="Times New Roman"/>
                <w:b/>
                <w:sz w:val="20"/>
              </w:rPr>
            </w:pPr>
            <w:r w:rsidRPr="00F91CC3">
              <w:rPr>
                <w:rFonts w:ascii="Arial Narrow" w:eastAsiaTheme="majorEastAsia" w:hAnsi="Arial Narrow" w:cs="Times New Roman"/>
                <w:b/>
                <w:sz w:val="20"/>
              </w:rPr>
              <w:t>Value applied and source</w:t>
            </w:r>
          </w:p>
        </w:tc>
        <w:tc>
          <w:tcPr>
            <w:tcW w:w="1780" w:type="pct"/>
            <w:tcBorders>
              <w:top w:val="single" w:sz="4" w:space="0" w:color="auto"/>
              <w:left w:val="single" w:sz="4" w:space="0" w:color="auto"/>
              <w:bottom w:val="single" w:sz="4" w:space="0" w:color="auto"/>
              <w:right w:val="single" w:sz="4" w:space="0" w:color="auto"/>
            </w:tcBorders>
            <w:vAlign w:val="center"/>
            <w:hideMark/>
          </w:tcPr>
          <w:p w14:paraId="31E1C272" w14:textId="77777777" w:rsidR="00034A31" w:rsidRPr="00F91CC3" w:rsidRDefault="00034A31" w:rsidP="00034A31">
            <w:pPr>
              <w:keepNext/>
              <w:jc w:val="left"/>
              <w:rPr>
                <w:rFonts w:ascii="Arial Narrow" w:eastAsiaTheme="majorEastAsia" w:hAnsi="Arial Narrow" w:cs="Times New Roman"/>
                <w:b/>
                <w:sz w:val="20"/>
              </w:rPr>
            </w:pPr>
            <w:r w:rsidRPr="00F91CC3">
              <w:rPr>
                <w:rFonts w:ascii="Arial Narrow" w:eastAsiaTheme="majorEastAsia" w:hAnsi="Arial Narrow" w:cs="Times New Roman"/>
                <w:b/>
                <w:sz w:val="20"/>
              </w:rPr>
              <w:t>Comment</w:t>
            </w:r>
          </w:p>
        </w:tc>
      </w:tr>
      <w:tr w:rsidR="00034A31" w:rsidRPr="00F91CC3" w14:paraId="676BD0E5" w14:textId="77777777" w:rsidTr="002A2AB2">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7753DDAB" w14:textId="77777777" w:rsidR="00034A31" w:rsidRPr="00F91CC3" w:rsidRDefault="00034A31" w:rsidP="006F24B9">
            <w:pPr>
              <w:keepNext/>
              <w:jc w:val="left"/>
              <w:rPr>
                <w:rFonts w:ascii="Arial Narrow" w:eastAsiaTheme="majorEastAsia" w:hAnsi="Arial Narrow" w:cstheme="majorBidi"/>
                <w:b/>
                <w:i/>
                <w:sz w:val="20"/>
              </w:rPr>
            </w:pPr>
            <w:r w:rsidRPr="00F91CC3">
              <w:rPr>
                <w:rFonts w:ascii="Arial Narrow" w:eastAsiaTheme="majorEastAsia" w:hAnsi="Arial Narrow" w:cstheme="majorBidi"/>
                <w:b/>
                <w:sz w:val="20"/>
              </w:rPr>
              <w:t>Gating population aged 4 months to 12 months</w:t>
            </w:r>
          </w:p>
        </w:tc>
      </w:tr>
      <w:tr w:rsidR="00034A31" w:rsidRPr="00F91CC3" w14:paraId="28A83E72" w14:textId="77777777" w:rsidTr="002A2AB2">
        <w:tc>
          <w:tcPr>
            <w:tcW w:w="950" w:type="pct"/>
            <w:tcBorders>
              <w:top w:val="single" w:sz="4" w:space="0" w:color="auto"/>
              <w:left w:val="single" w:sz="4" w:space="0" w:color="auto"/>
              <w:bottom w:val="single" w:sz="4" w:space="0" w:color="auto"/>
              <w:right w:val="single" w:sz="4" w:space="0" w:color="auto"/>
            </w:tcBorders>
            <w:vAlign w:val="center"/>
            <w:hideMark/>
          </w:tcPr>
          <w:p w14:paraId="2E39D110"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Prevalent population</w:t>
            </w:r>
          </w:p>
        </w:tc>
        <w:tc>
          <w:tcPr>
            <w:tcW w:w="2270" w:type="pct"/>
            <w:tcBorders>
              <w:top w:val="single" w:sz="4" w:space="0" w:color="auto"/>
              <w:left w:val="single" w:sz="4" w:space="0" w:color="auto"/>
              <w:bottom w:val="single" w:sz="4" w:space="0" w:color="auto"/>
              <w:right w:val="single" w:sz="4" w:space="0" w:color="auto"/>
            </w:tcBorders>
            <w:vAlign w:val="center"/>
            <w:hideMark/>
          </w:tcPr>
          <w:p w14:paraId="7B160D8E" w14:textId="77777777" w:rsidR="00034A31" w:rsidRPr="00F91CC3" w:rsidRDefault="00034A31" w:rsidP="00034A31">
            <w:pPr>
              <w:jc w:val="left"/>
              <w:rPr>
                <w:rFonts w:ascii="Arial Narrow" w:hAnsi="Arial Narrow"/>
                <w:sz w:val="20"/>
                <w:szCs w:val="20"/>
              </w:rPr>
            </w:pPr>
            <w:r w:rsidRPr="00F91CC3">
              <w:rPr>
                <w:rFonts w:ascii="Arial Narrow" w:hAnsi="Arial Narrow"/>
                <w:sz w:val="20"/>
                <w:szCs w:val="20"/>
              </w:rPr>
              <w:t xml:space="preserve">6 – based on the average of the eligible population from ACDFR reports between 2013 and 2021. </w:t>
            </w:r>
          </w:p>
        </w:tc>
        <w:tc>
          <w:tcPr>
            <w:tcW w:w="1780" w:type="pct"/>
            <w:tcBorders>
              <w:top w:val="single" w:sz="4" w:space="0" w:color="auto"/>
              <w:left w:val="single" w:sz="4" w:space="0" w:color="auto"/>
              <w:bottom w:val="single" w:sz="4" w:space="0" w:color="auto"/>
              <w:right w:val="single" w:sz="4" w:space="0" w:color="auto"/>
            </w:tcBorders>
            <w:vAlign w:val="center"/>
            <w:hideMark/>
          </w:tcPr>
          <w:p w14:paraId="1812EA03" w14:textId="5DAB4782" w:rsidR="00034A31" w:rsidRPr="00F91CC3" w:rsidRDefault="00034A31" w:rsidP="00034A31">
            <w:pPr>
              <w:jc w:val="left"/>
              <w:rPr>
                <w:rFonts w:ascii="Arial Narrow" w:hAnsi="Arial Narrow"/>
                <w:iCs/>
                <w:sz w:val="20"/>
                <w:szCs w:val="20"/>
              </w:rPr>
            </w:pPr>
            <w:r w:rsidRPr="00F91CC3">
              <w:rPr>
                <w:rFonts w:ascii="Arial Narrow" w:hAnsi="Arial Narrow"/>
                <w:iCs/>
                <w:sz w:val="20"/>
                <w:szCs w:val="20"/>
              </w:rPr>
              <w:t>The annual growth rate of the total population was applied to the prevalent population for forward estimates; however, this made only a negligible impact to the prevalent population.</w:t>
            </w:r>
            <w:r w:rsidR="00150ADE" w:rsidRPr="00F91CC3">
              <w:rPr>
                <w:rFonts w:ascii="Arial Narrow" w:hAnsi="Arial Narrow"/>
                <w:iCs/>
                <w:sz w:val="20"/>
                <w:szCs w:val="20"/>
              </w:rPr>
              <w:t xml:space="preserve"> </w:t>
            </w:r>
          </w:p>
        </w:tc>
      </w:tr>
      <w:tr w:rsidR="00034A31" w:rsidRPr="00F91CC3" w14:paraId="7C056BD2" w14:textId="77777777" w:rsidTr="002A2AB2">
        <w:tc>
          <w:tcPr>
            <w:tcW w:w="950" w:type="pct"/>
            <w:tcBorders>
              <w:top w:val="single" w:sz="4" w:space="0" w:color="auto"/>
              <w:left w:val="single" w:sz="4" w:space="0" w:color="auto"/>
              <w:bottom w:val="single" w:sz="4" w:space="0" w:color="auto"/>
              <w:right w:val="single" w:sz="4" w:space="0" w:color="auto"/>
            </w:tcBorders>
            <w:vAlign w:val="center"/>
            <w:hideMark/>
          </w:tcPr>
          <w:p w14:paraId="59706E95"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Uptake rate</w:t>
            </w:r>
          </w:p>
        </w:tc>
        <w:tc>
          <w:tcPr>
            <w:tcW w:w="2270" w:type="pct"/>
            <w:tcBorders>
              <w:top w:val="single" w:sz="4" w:space="0" w:color="auto"/>
              <w:left w:val="single" w:sz="4" w:space="0" w:color="auto"/>
              <w:bottom w:val="single" w:sz="4" w:space="0" w:color="auto"/>
              <w:right w:val="single" w:sz="4" w:space="0" w:color="auto"/>
            </w:tcBorders>
            <w:vAlign w:val="center"/>
            <w:hideMark/>
          </w:tcPr>
          <w:p w14:paraId="494F3BCB"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50%. Based on local clinical opinion,</w:t>
            </w:r>
            <w:r w:rsidRPr="00F91CC3">
              <w:rPr>
                <w:rFonts w:ascii="Arial Narrow" w:eastAsiaTheme="majorEastAsia" w:hAnsi="Arial Narrow" w:cstheme="majorBidi"/>
                <w:bCs/>
                <w:sz w:val="20"/>
                <w:szCs w:val="20"/>
              </w:rPr>
              <w:t xml:space="preserve"> uptake is expected to be modest due to the relatively narrow age bracket, however many parents will elect for treatment in their child as soon as they are eligible.</w:t>
            </w:r>
          </w:p>
        </w:tc>
        <w:tc>
          <w:tcPr>
            <w:tcW w:w="1780" w:type="pct"/>
            <w:tcBorders>
              <w:top w:val="single" w:sz="4" w:space="0" w:color="auto"/>
              <w:left w:val="single" w:sz="4" w:space="0" w:color="auto"/>
              <w:bottom w:val="single" w:sz="4" w:space="0" w:color="auto"/>
              <w:right w:val="single" w:sz="4" w:space="0" w:color="auto"/>
            </w:tcBorders>
            <w:vAlign w:val="center"/>
            <w:hideMark/>
          </w:tcPr>
          <w:p w14:paraId="7FB5C9A3" w14:textId="77777777" w:rsidR="00034A31" w:rsidRPr="00F91CC3" w:rsidRDefault="00034A31" w:rsidP="00034A31">
            <w:pPr>
              <w:keepNext/>
              <w:jc w:val="left"/>
              <w:rPr>
                <w:rFonts w:ascii="Arial Narrow" w:eastAsiaTheme="majorEastAsia" w:hAnsi="Arial Narrow" w:cstheme="majorBidi"/>
                <w:bCs/>
                <w:iCs/>
                <w:sz w:val="20"/>
              </w:rPr>
            </w:pPr>
            <w:r w:rsidRPr="00F91CC3">
              <w:rPr>
                <w:rFonts w:ascii="Arial Narrow" w:eastAsiaTheme="majorEastAsia" w:hAnsi="Arial Narrow" w:cstheme="majorBidi"/>
                <w:bCs/>
                <w:iCs/>
                <w:sz w:val="20"/>
              </w:rPr>
              <w:t>This could not be verified as the submission did not present the sources of this statement.</w:t>
            </w:r>
          </w:p>
        </w:tc>
      </w:tr>
      <w:tr w:rsidR="00034A31" w:rsidRPr="00F91CC3" w14:paraId="46FB568C" w14:textId="77777777" w:rsidTr="002A2AB2">
        <w:tc>
          <w:tcPr>
            <w:tcW w:w="950" w:type="pct"/>
            <w:tcBorders>
              <w:top w:val="single" w:sz="4" w:space="0" w:color="auto"/>
              <w:left w:val="single" w:sz="4" w:space="0" w:color="auto"/>
              <w:bottom w:val="single" w:sz="4" w:space="0" w:color="auto"/>
              <w:right w:val="single" w:sz="4" w:space="0" w:color="auto"/>
            </w:tcBorders>
            <w:vAlign w:val="center"/>
            <w:hideMark/>
          </w:tcPr>
          <w:p w14:paraId="77064FFF"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Discontinuation rate</w:t>
            </w:r>
          </w:p>
        </w:tc>
        <w:tc>
          <w:tcPr>
            <w:tcW w:w="2270" w:type="pct"/>
            <w:tcBorders>
              <w:top w:val="single" w:sz="4" w:space="0" w:color="auto"/>
              <w:left w:val="single" w:sz="4" w:space="0" w:color="auto"/>
              <w:bottom w:val="single" w:sz="4" w:space="0" w:color="auto"/>
              <w:right w:val="single" w:sz="4" w:space="0" w:color="auto"/>
            </w:tcBorders>
            <w:vAlign w:val="center"/>
            <w:hideMark/>
          </w:tcPr>
          <w:p w14:paraId="4837DB74"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0%. Based on clinical trial data (Study 124) and 2021 ACDRF report which showed that no patients aged between 1 and 5 years of age have discontinued ivacaftor in Australia.</w:t>
            </w:r>
          </w:p>
        </w:tc>
        <w:tc>
          <w:tcPr>
            <w:tcW w:w="1780" w:type="pct"/>
            <w:tcBorders>
              <w:top w:val="single" w:sz="4" w:space="0" w:color="auto"/>
              <w:left w:val="single" w:sz="4" w:space="0" w:color="auto"/>
              <w:bottom w:val="single" w:sz="4" w:space="0" w:color="auto"/>
              <w:right w:val="single" w:sz="4" w:space="0" w:color="auto"/>
            </w:tcBorders>
            <w:vAlign w:val="center"/>
            <w:hideMark/>
          </w:tcPr>
          <w:p w14:paraId="21EAC7AF" w14:textId="77777777" w:rsidR="00034A31" w:rsidRPr="00F91CC3" w:rsidRDefault="00034A31" w:rsidP="00034A31">
            <w:pPr>
              <w:jc w:val="left"/>
              <w:rPr>
                <w:rFonts w:ascii="Arial Narrow" w:hAnsi="Arial Narrow"/>
                <w:iCs/>
                <w:sz w:val="20"/>
                <w:szCs w:val="20"/>
              </w:rPr>
            </w:pPr>
            <w:r w:rsidRPr="00F91CC3">
              <w:rPr>
                <w:rFonts w:ascii="Arial Narrow" w:hAnsi="Arial Narrow"/>
                <w:iCs/>
                <w:sz w:val="20"/>
                <w:szCs w:val="20"/>
              </w:rPr>
              <w:t>This aligns with the PBAC submission for ivacaftor for CF patients aged 12–24 months old with a gating mutation (ivacaftor submission, March 2019 PBAC meeting), however is optimistic and may risk overestimating drug utilisation and financial estimates</w:t>
            </w:r>
          </w:p>
        </w:tc>
      </w:tr>
      <w:tr w:rsidR="00034A31" w:rsidRPr="00F91CC3" w14:paraId="1185A3D6" w14:textId="77777777" w:rsidTr="002A2AB2">
        <w:tc>
          <w:tcPr>
            <w:tcW w:w="950" w:type="pct"/>
            <w:tcBorders>
              <w:top w:val="single" w:sz="4" w:space="0" w:color="auto"/>
              <w:left w:val="single" w:sz="4" w:space="0" w:color="auto"/>
              <w:bottom w:val="single" w:sz="4" w:space="0" w:color="auto"/>
              <w:right w:val="single" w:sz="4" w:space="0" w:color="auto"/>
            </w:tcBorders>
            <w:vAlign w:val="center"/>
          </w:tcPr>
          <w:p w14:paraId="333407C3"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Compliance rate</w:t>
            </w:r>
          </w:p>
          <w:p w14:paraId="6E1A8194" w14:textId="77777777" w:rsidR="00034A31" w:rsidRPr="00F91CC3" w:rsidRDefault="00034A31" w:rsidP="00034A31">
            <w:pPr>
              <w:keepNext/>
              <w:jc w:val="left"/>
              <w:rPr>
                <w:rFonts w:ascii="Arial Narrow" w:eastAsiaTheme="majorEastAsia" w:hAnsi="Arial Narrow" w:cstheme="majorBidi"/>
                <w:bCs/>
                <w:sz w:val="20"/>
              </w:rPr>
            </w:pPr>
          </w:p>
        </w:tc>
        <w:tc>
          <w:tcPr>
            <w:tcW w:w="2270" w:type="pct"/>
            <w:tcBorders>
              <w:top w:val="single" w:sz="4" w:space="0" w:color="auto"/>
              <w:left w:val="single" w:sz="4" w:space="0" w:color="auto"/>
              <w:bottom w:val="single" w:sz="4" w:space="0" w:color="auto"/>
              <w:right w:val="single" w:sz="4" w:space="0" w:color="auto"/>
            </w:tcBorders>
            <w:vAlign w:val="center"/>
            <w:hideMark/>
          </w:tcPr>
          <w:p w14:paraId="09E9FE62"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100%. Based on clinical opinion that it has been consistently observed that compliance is higher in younger populations due to parental supervision.</w:t>
            </w:r>
          </w:p>
        </w:tc>
        <w:tc>
          <w:tcPr>
            <w:tcW w:w="1780" w:type="pct"/>
            <w:tcBorders>
              <w:top w:val="single" w:sz="4" w:space="0" w:color="auto"/>
              <w:left w:val="single" w:sz="4" w:space="0" w:color="auto"/>
              <w:bottom w:val="single" w:sz="4" w:space="0" w:color="auto"/>
              <w:right w:val="single" w:sz="4" w:space="0" w:color="auto"/>
            </w:tcBorders>
            <w:vAlign w:val="center"/>
            <w:hideMark/>
          </w:tcPr>
          <w:p w14:paraId="70D0B391" w14:textId="77777777" w:rsidR="00034A31" w:rsidRPr="00F91CC3" w:rsidRDefault="00034A31" w:rsidP="00034A31">
            <w:pPr>
              <w:keepNext/>
              <w:jc w:val="left"/>
              <w:rPr>
                <w:rFonts w:ascii="Arial Narrow" w:eastAsiaTheme="majorEastAsia" w:hAnsi="Arial Narrow" w:cstheme="majorBidi"/>
                <w:bCs/>
                <w:iCs/>
                <w:sz w:val="20"/>
              </w:rPr>
            </w:pPr>
            <w:r w:rsidRPr="00F91CC3">
              <w:rPr>
                <w:rFonts w:ascii="Arial Narrow" w:eastAsiaTheme="majorEastAsia" w:hAnsi="Arial Narrow" w:cstheme="majorBidi"/>
                <w:bCs/>
                <w:iCs/>
                <w:sz w:val="20"/>
              </w:rPr>
              <w:t>This rate is optimistic and may risk overestimating drug utilisation and financial estimates</w:t>
            </w:r>
          </w:p>
        </w:tc>
      </w:tr>
      <w:tr w:rsidR="00034A31" w:rsidRPr="00F91CC3" w14:paraId="5D928F8F" w14:textId="77777777" w:rsidTr="00150ADE">
        <w:tc>
          <w:tcPr>
            <w:tcW w:w="950" w:type="pct"/>
            <w:tcBorders>
              <w:top w:val="single" w:sz="4" w:space="0" w:color="auto"/>
              <w:left w:val="single" w:sz="4" w:space="0" w:color="auto"/>
              <w:bottom w:val="single" w:sz="4" w:space="0" w:color="auto"/>
              <w:right w:val="single" w:sz="4" w:space="0" w:color="auto"/>
            </w:tcBorders>
            <w:vAlign w:val="center"/>
          </w:tcPr>
          <w:p w14:paraId="4EEAFA6B" w14:textId="2386B4C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MBS items</w:t>
            </w:r>
          </w:p>
        </w:tc>
        <w:tc>
          <w:tcPr>
            <w:tcW w:w="2270" w:type="pct"/>
            <w:tcBorders>
              <w:top w:val="single" w:sz="4" w:space="0" w:color="auto"/>
              <w:left w:val="single" w:sz="4" w:space="0" w:color="auto"/>
              <w:bottom w:val="single" w:sz="4" w:space="0" w:color="auto"/>
              <w:right w:val="single" w:sz="4" w:space="0" w:color="auto"/>
            </w:tcBorders>
            <w:vAlign w:val="center"/>
          </w:tcPr>
          <w:p w14:paraId="2795C51F" w14:textId="23CA50B3"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Liver Functions tests (LFTs): MBS item 66512- calculated using default 80% rebate rate</w:t>
            </w:r>
          </w:p>
        </w:tc>
        <w:tc>
          <w:tcPr>
            <w:tcW w:w="1780" w:type="pct"/>
            <w:tcBorders>
              <w:top w:val="single" w:sz="4" w:space="0" w:color="auto"/>
              <w:left w:val="single" w:sz="4" w:space="0" w:color="auto"/>
              <w:bottom w:val="single" w:sz="4" w:space="0" w:color="auto"/>
              <w:right w:val="single" w:sz="4" w:space="0" w:color="auto"/>
            </w:tcBorders>
            <w:vAlign w:val="center"/>
          </w:tcPr>
          <w:p w14:paraId="28D063D4" w14:textId="572A7293" w:rsidR="00034A31" w:rsidRPr="00F91CC3" w:rsidRDefault="00034A31" w:rsidP="00034A31">
            <w:pPr>
              <w:spacing w:before="100" w:beforeAutospacing="1" w:after="100" w:afterAutospacing="1"/>
              <w:jc w:val="left"/>
              <w:rPr>
                <w:rFonts w:ascii="Arial Narrow" w:hAnsi="Arial Narrow" w:cs="Segoe UI"/>
                <w:iCs/>
                <w:sz w:val="20"/>
                <w:szCs w:val="20"/>
              </w:rPr>
            </w:pPr>
            <w:r w:rsidRPr="00F91CC3">
              <w:rPr>
                <w:rFonts w:ascii="Arial Narrow" w:hAnsi="Arial Narrow" w:cs="Segoe UI"/>
                <w:iCs/>
                <w:sz w:val="20"/>
                <w:szCs w:val="20"/>
              </w:rPr>
              <w:t xml:space="preserve">It is recommended in the PI for ivacaftor that LFTs be collected prior to commencement of therapy, every three months for the first year, and annually thereafter. The PI also recommends two </w:t>
            </w:r>
            <w:r w:rsidRPr="00F91CC3">
              <w:rPr>
                <w:rFonts w:ascii="Arial Narrow" w:hAnsi="Arial Narrow" w:cs="Segoe UI"/>
                <w:iCs/>
                <w:sz w:val="20"/>
                <w:szCs w:val="20"/>
              </w:rPr>
              <w:lastRenderedPageBreak/>
              <w:t>ophthalmological visits (MBS item 104); one at baseline and one after treatment initiation. The submission claimed that considering these patients would receive LFTs and ophthalmological visits required for ivacaftor initiation in the absence of the requested listing, they are already captured and thus are not considered in this analysis- only an additional LFT related to the additional 8 months of ivacaftor treatment was included</w:t>
            </w:r>
            <w:r w:rsidR="00E37DBA" w:rsidRPr="00F91CC3">
              <w:rPr>
                <w:rFonts w:ascii="Arial Narrow" w:hAnsi="Arial Narrow" w:cs="Segoe UI"/>
                <w:iCs/>
                <w:sz w:val="20"/>
                <w:szCs w:val="20"/>
              </w:rPr>
              <w:t>.</w:t>
            </w:r>
          </w:p>
        </w:tc>
      </w:tr>
      <w:tr w:rsidR="00034A31" w:rsidRPr="00F91CC3" w14:paraId="6CD92601" w14:textId="77777777" w:rsidTr="002A2AB2">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5A9A4F18" w14:textId="702CD064" w:rsidR="00034A31" w:rsidRPr="00F91CC3" w:rsidRDefault="00972394" w:rsidP="006F24B9">
            <w:pPr>
              <w:keepNext/>
              <w:jc w:val="left"/>
              <w:rPr>
                <w:rFonts w:ascii="Arial Narrow" w:eastAsiaTheme="majorEastAsia" w:hAnsi="Arial Narrow" w:cstheme="majorBidi"/>
                <w:b/>
                <w:i/>
                <w:sz w:val="20"/>
              </w:rPr>
            </w:pPr>
            <w:r w:rsidRPr="00F91CC3">
              <w:rPr>
                <w:rFonts w:ascii="Arial Narrow" w:eastAsiaTheme="majorEastAsia" w:hAnsi="Arial Narrow" w:cstheme="majorBidi"/>
                <w:b/>
                <w:sz w:val="20"/>
              </w:rPr>
              <w:lastRenderedPageBreak/>
              <w:t>Additional</w:t>
            </w:r>
            <w:r w:rsidR="00034A31" w:rsidRPr="00F91CC3">
              <w:rPr>
                <w:rFonts w:ascii="Arial Narrow" w:eastAsiaTheme="majorEastAsia" w:hAnsi="Arial Narrow" w:cstheme="majorBidi"/>
                <w:b/>
                <w:sz w:val="20"/>
              </w:rPr>
              <w:t xml:space="preserve"> population</w:t>
            </w:r>
            <w:r w:rsidR="00C46595" w:rsidRPr="00F91CC3">
              <w:rPr>
                <w:rFonts w:ascii="Arial Narrow" w:eastAsiaTheme="majorEastAsia" w:hAnsi="Arial Narrow" w:cstheme="majorBidi"/>
                <w:b/>
                <w:sz w:val="20"/>
              </w:rPr>
              <w:t>s</w:t>
            </w:r>
            <w:r w:rsidR="00034A31" w:rsidRPr="00F91CC3">
              <w:rPr>
                <w:rFonts w:ascii="Arial Narrow" w:eastAsiaTheme="majorEastAsia" w:hAnsi="Arial Narrow" w:cstheme="majorBidi"/>
                <w:b/>
                <w:sz w:val="20"/>
              </w:rPr>
              <w:t xml:space="preserve"> aged 4 months and older</w:t>
            </w:r>
          </w:p>
        </w:tc>
      </w:tr>
      <w:tr w:rsidR="00034A31" w:rsidRPr="00F91CC3" w14:paraId="64DD8DA8" w14:textId="77777777" w:rsidTr="00150ADE">
        <w:tc>
          <w:tcPr>
            <w:tcW w:w="950" w:type="pct"/>
            <w:tcBorders>
              <w:top w:val="single" w:sz="4" w:space="0" w:color="auto"/>
              <w:left w:val="single" w:sz="4" w:space="0" w:color="auto"/>
              <w:bottom w:val="single" w:sz="4" w:space="0" w:color="auto"/>
              <w:right w:val="single" w:sz="4" w:space="0" w:color="auto"/>
            </w:tcBorders>
            <w:vAlign w:val="center"/>
            <w:hideMark/>
          </w:tcPr>
          <w:p w14:paraId="6193EFD8"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Prevalent population</w:t>
            </w:r>
          </w:p>
        </w:tc>
        <w:tc>
          <w:tcPr>
            <w:tcW w:w="2270" w:type="pct"/>
            <w:tcBorders>
              <w:top w:val="single" w:sz="4" w:space="0" w:color="auto"/>
              <w:left w:val="single" w:sz="4" w:space="0" w:color="auto"/>
              <w:bottom w:val="single" w:sz="4" w:space="0" w:color="auto"/>
              <w:right w:val="single" w:sz="4" w:space="0" w:color="auto"/>
            </w:tcBorders>
            <w:vAlign w:val="center"/>
            <w:hideMark/>
          </w:tcPr>
          <w:p w14:paraId="03651880" w14:textId="674A41B6"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8</w:t>
            </w:r>
            <w:r w:rsidR="00150ADE" w:rsidRPr="00F91CC3">
              <w:rPr>
                <w:rFonts w:ascii="Arial Narrow" w:eastAsiaTheme="majorEastAsia" w:hAnsi="Arial Narrow" w:cstheme="majorBidi"/>
                <w:bCs/>
                <w:sz w:val="20"/>
              </w:rPr>
              <w:t>3</w:t>
            </w:r>
            <w:r w:rsidRPr="00F91CC3">
              <w:rPr>
                <w:rFonts w:ascii="Arial Narrow" w:eastAsiaTheme="majorEastAsia" w:hAnsi="Arial Narrow" w:cstheme="majorBidi"/>
                <w:bCs/>
                <w:sz w:val="20"/>
              </w:rPr>
              <w:t xml:space="preserve"> – based on bespoke data request from ACFDR for the year 2021</w:t>
            </w:r>
          </w:p>
        </w:tc>
        <w:tc>
          <w:tcPr>
            <w:tcW w:w="1780" w:type="pct"/>
            <w:tcBorders>
              <w:top w:val="single" w:sz="4" w:space="0" w:color="auto"/>
              <w:left w:val="single" w:sz="4" w:space="0" w:color="auto"/>
              <w:bottom w:val="single" w:sz="4" w:space="0" w:color="auto"/>
              <w:right w:val="single" w:sz="4" w:space="0" w:color="auto"/>
            </w:tcBorders>
            <w:vAlign w:val="center"/>
          </w:tcPr>
          <w:p w14:paraId="5869909C" w14:textId="66C32408" w:rsidR="00034A31" w:rsidRPr="00F91CC3" w:rsidRDefault="00150ADE" w:rsidP="00034A31">
            <w:pPr>
              <w:keepNext/>
              <w:jc w:val="left"/>
              <w:rPr>
                <w:rFonts w:ascii="Arial Narrow" w:eastAsiaTheme="majorEastAsia" w:hAnsi="Arial Narrow" w:cstheme="majorBidi"/>
                <w:bCs/>
                <w:iCs/>
                <w:sz w:val="20"/>
              </w:rPr>
            </w:pPr>
            <w:r w:rsidRPr="00F91CC3">
              <w:rPr>
                <w:rFonts w:ascii="Arial Narrow" w:eastAsiaTheme="majorEastAsia" w:hAnsi="Arial Narrow" w:cstheme="majorBidi"/>
                <w:bCs/>
                <w:iCs/>
                <w:sz w:val="20"/>
              </w:rPr>
              <w:t xml:space="preserve">The pre-PBAC response updated this to 90 based on 2022 data from the ACFDR. </w:t>
            </w:r>
          </w:p>
        </w:tc>
      </w:tr>
      <w:tr w:rsidR="00034A31" w:rsidRPr="00F91CC3" w14:paraId="0AED55ED" w14:textId="77777777" w:rsidTr="00E37DBA">
        <w:tc>
          <w:tcPr>
            <w:tcW w:w="950" w:type="pct"/>
            <w:tcBorders>
              <w:top w:val="single" w:sz="4" w:space="0" w:color="auto"/>
              <w:left w:val="single" w:sz="4" w:space="0" w:color="auto"/>
              <w:bottom w:val="single" w:sz="4" w:space="0" w:color="auto"/>
              <w:right w:val="single" w:sz="4" w:space="0" w:color="auto"/>
            </w:tcBorders>
            <w:vAlign w:val="center"/>
            <w:hideMark/>
          </w:tcPr>
          <w:p w14:paraId="22904FD5"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Uptake rate</w:t>
            </w:r>
          </w:p>
        </w:tc>
        <w:tc>
          <w:tcPr>
            <w:tcW w:w="2270" w:type="pct"/>
            <w:tcBorders>
              <w:top w:val="single" w:sz="4" w:space="0" w:color="auto"/>
              <w:left w:val="single" w:sz="4" w:space="0" w:color="auto"/>
              <w:bottom w:val="single" w:sz="4" w:space="0" w:color="auto"/>
              <w:right w:val="single" w:sz="4" w:space="0" w:color="auto"/>
            </w:tcBorders>
            <w:vAlign w:val="center"/>
          </w:tcPr>
          <w:p w14:paraId="15536424"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F/(R117H or RF); non-F/R117H; non-F/RF: 80%</w:t>
            </w:r>
          </w:p>
          <w:p w14:paraId="3B3570AD"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F/IVA-responsive in vitro; non-F/IVA-responsive in vitro: 95%</w:t>
            </w:r>
          </w:p>
          <w:p w14:paraId="0C306E26" w14:textId="77777777" w:rsidR="00034A31" w:rsidRPr="00F91CC3" w:rsidRDefault="00034A31" w:rsidP="00034A31">
            <w:pPr>
              <w:keepNext/>
              <w:jc w:val="left"/>
              <w:rPr>
                <w:rFonts w:ascii="Arial Narrow" w:eastAsiaTheme="majorEastAsia" w:hAnsi="Arial Narrow" w:cstheme="majorBidi"/>
                <w:bCs/>
                <w:sz w:val="20"/>
              </w:rPr>
            </w:pPr>
          </w:p>
          <w:p w14:paraId="38FE5E5A"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 xml:space="preserve">Uptake of ivacaftor was based on experience with existing listings of CFTR modulators and in consultation with Australian clinicians. </w:t>
            </w:r>
          </w:p>
        </w:tc>
        <w:tc>
          <w:tcPr>
            <w:tcW w:w="1780" w:type="pct"/>
            <w:tcBorders>
              <w:top w:val="single" w:sz="4" w:space="0" w:color="auto"/>
              <w:left w:val="single" w:sz="4" w:space="0" w:color="auto"/>
              <w:bottom w:val="single" w:sz="4" w:space="0" w:color="auto"/>
              <w:right w:val="single" w:sz="4" w:space="0" w:color="auto"/>
            </w:tcBorders>
            <w:hideMark/>
          </w:tcPr>
          <w:p w14:paraId="11768587" w14:textId="77777777" w:rsidR="00034A31" w:rsidRPr="00F91CC3" w:rsidRDefault="00034A31" w:rsidP="00E37DBA">
            <w:pPr>
              <w:keepNext/>
              <w:jc w:val="left"/>
              <w:rPr>
                <w:rFonts w:ascii="Arial Narrow" w:eastAsiaTheme="majorEastAsia" w:hAnsi="Arial Narrow" w:cstheme="majorBidi"/>
                <w:bCs/>
                <w:iCs/>
                <w:sz w:val="20"/>
              </w:rPr>
            </w:pPr>
            <w:r w:rsidRPr="00F91CC3">
              <w:rPr>
                <w:rFonts w:ascii="Arial Narrow" w:eastAsiaTheme="majorEastAsia" w:hAnsi="Arial Narrow" w:cstheme="majorBidi"/>
                <w:bCs/>
                <w:iCs/>
                <w:sz w:val="20"/>
              </w:rPr>
              <w:t>This could not be verified as the submission did not present the sources of this statement.</w:t>
            </w:r>
          </w:p>
        </w:tc>
      </w:tr>
      <w:tr w:rsidR="00034A31" w:rsidRPr="00F91CC3" w14:paraId="30CF6653" w14:textId="77777777" w:rsidTr="00E37DBA">
        <w:tc>
          <w:tcPr>
            <w:tcW w:w="950" w:type="pct"/>
            <w:tcBorders>
              <w:top w:val="single" w:sz="4" w:space="0" w:color="auto"/>
              <w:left w:val="single" w:sz="4" w:space="0" w:color="auto"/>
              <w:bottom w:val="single" w:sz="4" w:space="0" w:color="auto"/>
              <w:right w:val="single" w:sz="4" w:space="0" w:color="auto"/>
            </w:tcBorders>
            <w:vAlign w:val="center"/>
            <w:hideMark/>
          </w:tcPr>
          <w:p w14:paraId="4E061C52"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Discontinuation rates</w:t>
            </w:r>
          </w:p>
        </w:tc>
        <w:tc>
          <w:tcPr>
            <w:tcW w:w="2270" w:type="pct"/>
            <w:tcBorders>
              <w:top w:val="single" w:sz="4" w:space="0" w:color="auto"/>
              <w:left w:val="single" w:sz="4" w:space="0" w:color="auto"/>
              <w:bottom w:val="single" w:sz="4" w:space="0" w:color="auto"/>
              <w:right w:val="single" w:sz="4" w:space="0" w:color="auto"/>
            </w:tcBorders>
            <w:vAlign w:val="center"/>
          </w:tcPr>
          <w:p w14:paraId="5B794A9B"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 xml:space="preserve">F/(R117H or RF); non-F/RF; F/IVA-responsive in vitro: Year 1 1.4%, Year 2 4.2%  </w:t>
            </w:r>
          </w:p>
          <w:p w14:paraId="57300DD3"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non-F/R117H; non-F/IVA-responsive in vitro: Year 1 2.6%, Year 2 7.3%</w:t>
            </w:r>
          </w:p>
          <w:p w14:paraId="698F389B" w14:textId="77777777" w:rsidR="00034A31" w:rsidRPr="00F91CC3" w:rsidRDefault="00034A31" w:rsidP="00034A31">
            <w:pPr>
              <w:keepNext/>
              <w:jc w:val="left"/>
              <w:rPr>
                <w:rFonts w:ascii="Arial Narrow" w:eastAsiaTheme="majorEastAsia" w:hAnsi="Arial Narrow" w:cstheme="majorBidi"/>
                <w:bCs/>
                <w:sz w:val="20"/>
              </w:rPr>
            </w:pPr>
          </w:p>
          <w:p w14:paraId="367B9429"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 xml:space="preserve">The submission used discontinuation rates applied in previous PBAC submissions for ELX/TEZ/IVA noting the similar efficacy and safety profile compared to ivacaftor. </w:t>
            </w:r>
          </w:p>
        </w:tc>
        <w:tc>
          <w:tcPr>
            <w:tcW w:w="1780" w:type="pct"/>
            <w:tcBorders>
              <w:top w:val="single" w:sz="4" w:space="0" w:color="auto"/>
              <w:left w:val="single" w:sz="4" w:space="0" w:color="auto"/>
              <w:bottom w:val="single" w:sz="4" w:space="0" w:color="auto"/>
              <w:right w:val="single" w:sz="4" w:space="0" w:color="auto"/>
            </w:tcBorders>
            <w:hideMark/>
          </w:tcPr>
          <w:p w14:paraId="3DEFBA6B" w14:textId="77777777" w:rsidR="00034A31" w:rsidRPr="00F91CC3" w:rsidRDefault="00034A31" w:rsidP="00E37DBA">
            <w:pPr>
              <w:keepNext/>
              <w:jc w:val="left"/>
              <w:rPr>
                <w:rFonts w:ascii="Arial Narrow" w:eastAsiaTheme="majorEastAsia" w:hAnsi="Arial Narrow" w:cstheme="majorBidi"/>
                <w:bCs/>
                <w:iCs/>
                <w:sz w:val="20"/>
              </w:rPr>
            </w:pPr>
            <w:r w:rsidRPr="00F91CC3">
              <w:rPr>
                <w:rFonts w:ascii="Arial Narrow" w:eastAsiaTheme="majorEastAsia" w:hAnsi="Arial Narrow" w:cstheme="majorBidi"/>
                <w:bCs/>
                <w:iCs/>
                <w:sz w:val="20"/>
              </w:rPr>
              <w:t>This assumes that there is no discontinuation beyond year 2 of treatment which may risk overestimating drug utilisation and financial estimates (since treatment with ivacaftor is ongoing).</w:t>
            </w:r>
          </w:p>
        </w:tc>
      </w:tr>
      <w:tr w:rsidR="00034A31" w:rsidRPr="00F91CC3" w14:paraId="5F23357B" w14:textId="77777777" w:rsidTr="002A2AB2">
        <w:tc>
          <w:tcPr>
            <w:tcW w:w="950" w:type="pct"/>
            <w:tcBorders>
              <w:top w:val="single" w:sz="4" w:space="0" w:color="auto"/>
              <w:left w:val="single" w:sz="4" w:space="0" w:color="auto"/>
              <w:bottom w:val="single" w:sz="4" w:space="0" w:color="auto"/>
              <w:right w:val="single" w:sz="4" w:space="0" w:color="auto"/>
            </w:tcBorders>
            <w:vAlign w:val="center"/>
          </w:tcPr>
          <w:p w14:paraId="1F95549F"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Compliance rate</w:t>
            </w:r>
          </w:p>
          <w:p w14:paraId="3EDC22C4" w14:textId="77777777" w:rsidR="00034A31" w:rsidRPr="00F91CC3" w:rsidRDefault="00034A31" w:rsidP="00034A31">
            <w:pPr>
              <w:keepNext/>
              <w:jc w:val="left"/>
              <w:rPr>
                <w:rFonts w:ascii="Arial Narrow" w:eastAsiaTheme="majorEastAsia" w:hAnsi="Arial Narrow" w:cstheme="majorBidi"/>
                <w:bCs/>
                <w:sz w:val="20"/>
              </w:rPr>
            </w:pPr>
          </w:p>
        </w:tc>
        <w:tc>
          <w:tcPr>
            <w:tcW w:w="2270" w:type="pct"/>
            <w:tcBorders>
              <w:top w:val="single" w:sz="4" w:space="0" w:color="auto"/>
              <w:left w:val="single" w:sz="4" w:space="0" w:color="auto"/>
              <w:bottom w:val="single" w:sz="4" w:space="0" w:color="auto"/>
              <w:right w:val="single" w:sz="4" w:space="0" w:color="auto"/>
            </w:tcBorders>
            <w:vAlign w:val="center"/>
          </w:tcPr>
          <w:p w14:paraId="1E2E8C3A"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 xml:space="preserve">F/(R117H or RF); non-F/RF; F/IVA-responsive in vitro: 95%  </w:t>
            </w:r>
          </w:p>
          <w:p w14:paraId="7AC64A6F"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non-F/R117H; non-F/IVA-responsive in vitro: 85%</w:t>
            </w:r>
          </w:p>
          <w:p w14:paraId="24227B76" w14:textId="77777777" w:rsidR="00034A31" w:rsidRPr="00F91CC3" w:rsidRDefault="00034A31" w:rsidP="00034A31">
            <w:pPr>
              <w:keepNext/>
              <w:jc w:val="left"/>
              <w:rPr>
                <w:rFonts w:ascii="Arial Narrow" w:eastAsiaTheme="majorEastAsia" w:hAnsi="Arial Narrow" w:cstheme="majorBidi"/>
                <w:bCs/>
                <w:sz w:val="20"/>
              </w:rPr>
            </w:pPr>
          </w:p>
          <w:p w14:paraId="59E73083"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Compliance rates for the IVA-responsive populations were selected to align with previous CFTR modulator PBAC submissions and the well-established principle that compliance is higher in younger age groups where treatment is managed by parents.</w:t>
            </w:r>
          </w:p>
        </w:tc>
        <w:tc>
          <w:tcPr>
            <w:tcW w:w="1780" w:type="pct"/>
            <w:tcBorders>
              <w:top w:val="single" w:sz="4" w:space="0" w:color="auto"/>
              <w:left w:val="single" w:sz="4" w:space="0" w:color="auto"/>
              <w:bottom w:val="single" w:sz="4" w:space="0" w:color="auto"/>
              <w:right w:val="single" w:sz="4" w:space="0" w:color="auto"/>
            </w:tcBorders>
            <w:vAlign w:val="center"/>
            <w:hideMark/>
          </w:tcPr>
          <w:p w14:paraId="153CF8D8" w14:textId="77777777" w:rsidR="00034A31" w:rsidRPr="00F91CC3" w:rsidRDefault="00034A31" w:rsidP="00034A31">
            <w:pPr>
              <w:rPr>
                <w:rFonts w:ascii="Arial Narrow" w:hAnsi="Arial Narrow"/>
                <w:sz w:val="20"/>
                <w:szCs w:val="20"/>
              </w:rPr>
            </w:pPr>
            <w:r w:rsidRPr="00F91CC3">
              <w:rPr>
                <w:rFonts w:ascii="Arial Narrow" w:hAnsi="Arial Narrow"/>
                <w:sz w:val="20"/>
                <w:szCs w:val="20"/>
              </w:rPr>
              <w:t>The PBAC has previously considered that a compliance rate of 95% used in financial estimates for ELX/TEZ/IVA in CF patients aged 6-11 years old was higher than the 90% accepted for the same population aged ≥12 years and that this contributed to the total cost to the PBS likely being overestimated (paragraphs 6.70 and 6.72, ELX/TEZ/IVA PSD March 2023 Addendum).</w:t>
            </w:r>
          </w:p>
        </w:tc>
      </w:tr>
      <w:tr w:rsidR="00034A31" w:rsidRPr="00F91CC3" w14:paraId="6432526A" w14:textId="77777777" w:rsidTr="002A2AB2">
        <w:tc>
          <w:tcPr>
            <w:tcW w:w="950" w:type="pct"/>
            <w:tcBorders>
              <w:top w:val="single" w:sz="4" w:space="0" w:color="auto"/>
              <w:left w:val="single" w:sz="4" w:space="0" w:color="auto"/>
              <w:bottom w:val="single" w:sz="4" w:space="0" w:color="auto"/>
              <w:right w:val="single" w:sz="4" w:space="0" w:color="auto"/>
            </w:tcBorders>
            <w:vAlign w:val="center"/>
            <w:hideMark/>
          </w:tcPr>
          <w:p w14:paraId="64C7A6AB" w14:textId="77777777"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MBS items</w:t>
            </w:r>
          </w:p>
        </w:tc>
        <w:tc>
          <w:tcPr>
            <w:tcW w:w="2270" w:type="pct"/>
            <w:tcBorders>
              <w:top w:val="single" w:sz="4" w:space="0" w:color="auto"/>
              <w:left w:val="single" w:sz="4" w:space="0" w:color="auto"/>
              <w:bottom w:val="single" w:sz="4" w:space="0" w:color="auto"/>
              <w:right w:val="single" w:sz="4" w:space="0" w:color="auto"/>
            </w:tcBorders>
            <w:vAlign w:val="center"/>
            <w:hideMark/>
          </w:tcPr>
          <w:p w14:paraId="5A51D90B" w14:textId="77777777" w:rsidR="00034A31" w:rsidRPr="00F91CC3" w:rsidRDefault="00034A31" w:rsidP="00034A31">
            <w:pPr>
              <w:keepNext/>
              <w:keepLines/>
              <w:spacing w:before="20" w:after="20"/>
              <w:rPr>
                <w:rFonts w:ascii="Arial Narrow" w:hAnsi="Arial Narrow" w:cs="Times New Roman"/>
                <w:sz w:val="20"/>
                <w:szCs w:val="20"/>
              </w:rPr>
            </w:pPr>
            <w:r w:rsidRPr="00F91CC3">
              <w:rPr>
                <w:rFonts w:ascii="Arial Narrow" w:hAnsi="Arial Narrow" w:cs="Times New Roman"/>
                <w:sz w:val="20"/>
                <w:szCs w:val="20"/>
              </w:rPr>
              <w:t>LFTs (MBS item 66512)</w:t>
            </w:r>
          </w:p>
          <w:p w14:paraId="11005C8E" w14:textId="77777777" w:rsidR="00034A31" w:rsidRPr="00F91CC3" w:rsidRDefault="00034A31" w:rsidP="00034A31">
            <w:pPr>
              <w:keepNext/>
              <w:keepLines/>
              <w:spacing w:before="20" w:after="20"/>
              <w:rPr>
                <w:rFonts w:ascii="Arial Narrow" w:hAnsi="Arial Narrow" w:cs="Times New Roman"/>
                <w:sz w:val="20"/>
                <w:szCs w:val="20"/>
              </w:rPr>
            </w:pPr>
            <w:r w:rsidRPr="00F91CC3">
              <w:rPr>
                <w:rFonts w:ascii="Arial Narrow" w:hAnsi="Arial Narrow" w:cs="Times New Roman"/>
                <w:sz w:val="20"/>
                <w:szCs w:val="20"/>
              </w:rPr>
              <w:t xml:space="preserve">Opthamology visits </w:t>
            </w:r>
          </w:p>
          <w:p w14:paraId="55EB7A18" w14:textId="77777777" w:rsidR="00034A31" w:rsidRPr="00F91CC3" w:rsidRDefault="00034A31" w:rsidP="00034A31">
            <w:pPr>
              <w:keepNext/>
              <w:keepLines/>
              <w:spacing w:before="20" w:after="20"/>
              <w:rPr>
                <w:rFonts w:ascii="Arial Narrow" w:hAnsi="Arial Narrow" w:cs="Times New Roman"/>
                <w:sz w:val="20"/>
                <w:szCs w:val="20"/>
              </w:rPr>
            </w:pPr>
            <w:r w:rsidRPr="00F91CC3">
              <w:rPr>
                <w:rFonts w:ascii="Arial Narrow" w:hAnsi="Arial Narrow" w:cs="Times New Roman"/>
                <w:sz w:val="20"/>
                <w:szCs w:val="20"/>
              </w:rPr>
              <w:t>(MBS item 104)</w:t>
            </w:r>
          </w:p>
          <w:p w14:paraId="45B7C1A3" w14:textId="77777777" w:rsidR="00034A31" w:rsidRPr="00F91CC3" w:rsidRDefault="00034A31" w:rsidP="00034A31">
            <w:pPr>
              <w:keepNext/>
              <w:keepLines/>
              <w:spacing w:before="20" w:after="20"/>
              <w:rPr>
                <w:rFonts w:ascii="Arial Narrow" w:hAnsi="Arial Narrow" w:cs="Times New Roman"/>
                <w:sz w:val="20"/>
                <w:szCs w:val="20"/>
              </w:rPr>
            </w:pPr>
            <w:r w:rsidRPr="00F91CC3">
              <w:rPr>
                <w:rFonts w:ascii="Arial Narrow" w:hAnsi="Arial Narrow" w:cs="Times New Roman"/>
                <w:sz w:val="20"/>
                <w:szCs w:val="20"/>
              </w:rPr>
              <w:t>MBS expenditure was calculated using the default 80% rebate rate.</w:t>
            </w:r>
          </w:p>
        </w:tc>
        <w:tc>
          <w:tcPr>
            <w:tcW w:w="1780" w:type="pct"/>
            <w:tcBorders>
              <w:top w:val="single" w:sz="4" w:space="0" w:color="auto"/>
              <w:left w:val="single" w:sz="4" w:space="0" w:color="auto"/>
              <w:bottom w:val="single" w:sz="4" w:space="0" w:color="auto"/>
              <w:right w:val="single" w:sz="4" w:space="0" w:color="auto"/>
            </w:tcBorders>
            <w:vAlign w:val="center"/>
            <w:hideMark/>
          </w:tcPr>
          <w:p w14:paraId="358C58AA" w14:textId="17DA3E05" w:rsidR="00034A31" w:rsidRPr="00F91CC3" w:rsidRDefault="00034A31" w:rsidP="00034A31">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szCs w:val="20"/>
              </w:rPr>
              <w:t xml:space="preserve">It is recommended in the PI for ivacaftor that LFTs be collected prior to commencement of therapy, every three months for the first year, and annually thereafter. The PI also recommends two ophthalmological visits: one at baseline and one after treatment initiation. </w:t>
            </w:r>
          </w:p>
        </w:tc>
      </w:tr>
    </w:tbl>
    <w:p w14:paraId="7990927B" w14:textId="77777777" w:rsidR="00034A31" w:rsidRPr="00F91CC3" w:rsidRDefault="00034A31" w:rsidP="00034A31">
      <w:pPr>
        <w:spacing w:after="120"/>
        <w:contextualSpacing/>
        <w:rPr>
          <w:rFonts w:ascii="Arial Narrow" w:hAnsi="Arial Narrow"/>
          <w:snapToGrid w:val="0"/>
          <w:sz w:val="18"/>
          <w:szCs w:val="22"/>
        </w:rPr>
      </w:pPr>
      <w:r w:rsidRPr="00F91CC3">
        <w:rPr>
          <w:rFonts w:ascii="Arial Narrow" w:hAnsi="Arial Narrow"/>
          <w:snapToGrid w:val="0"/>
          <w:sz w:val="18"/>
          <w:szCs w:val="22"/>
        </w:rPr>
        <w:t xml:space="preserve">Source: Table 4.1.1, pp202-203 &amp; Table 4.1.2, pp204-205 &amp; Tables 4.2.2 and 4.2.3, p208 &amp; Table 4.2.4, p209 &amp; Table 4.2.6, p210 &amp; Table 4.2.7, p211 &amp; Table 4.3.4 p213 &amp; Tables 4.8.1 and 4.8.2, p223 of the submission. </w:t>
      </w:r>
    </w:p>
    <w:p w14:paraId="7DF9434B" w14:textId="1BA70DBB" w:rsidR="000A0645" w:rsidRPr="00F91CC3" w:rsidRDefault="00034A31" w:rsidP="00F07396">
      <w:pPr>
        <w:spacing w:after="120"/>
        <w:contextualSpacing/>
        <w:rPr>
          <w:rFonts w:ascii="Arial Narrow" w:hAnsi="Arial Narrow"/>
          <w:snapToGrid w:val="0"/>
          <w:sz w:val="18"/>
          <w:szCs w:val="18"/>
        </w:rPr>
      </w:pPr>
      <w:r w:rsidRPr="00F91CC3">
        <w:rPr>
          <w:rFonts w:ascii="Arial Narrow" w:hAnsi="Arial Narrow"/>
          <w:snapToGrid w:val="0"/>
          <w:sz w:val="18"/>
          <w:szCs w:val="18"/>
        </w:rPr>
        <w:t xml:space="preserve">ACFDR = Australian Cystic Fibrosis Data Registry; CF = cystic fibrosis; CFTR = cystic fibrosis transmembrane conductance regulator; ELX/TEZ/IVA = elexacaftor/tezacaftor/ivacaftor; IVA = ivacaftor; LFT = liver function test; MBS = Medicare Benefits Schedule; PBAC = Pharmaceutical Benefits Advisory Committee; PBS = Pharmaceutical Benefits Scheme; PI = Product Information. </w:t>
      </w:r>
      <w:r w:rsidR="000A0645" w:rsidRPr="00F91CC3">
        <w:rPr>
          <w:rFonts w:ascii="Arial Narrow" w:hAnsi="Arial Narrow"/>
          <w:snapToGrid w:val="0"/>
          <w:sz w:val="18"/>
          <w:szCs w:val="18"/>
        </w:rPr>
        <w:br w:type="page"/>
      </w:r>
    </w:p>
    <w:p w14:paraId="48250FA3" w14:textId="77777777" w:rsidR="009509FB" w:rsidRPr="00F91CC3" w:rsidRDefault="009509FB" w:rsidP="00034A31">
      <w:pPr>
        <w:spacing w:after="120"/>
        <w:contextualSpacing/>
        <w:rPr>
          <w:rFonts w:ascii="Arial Narrow" w:hAnsi="Arial Narrow"/>
          <w:snapToGrid w:val="0"/>
          <w:sz w:val="18"/>
          <w:szCs w:val="22"/>
        </w:rPr>
      </w:pPr>
    </w:p>
    <w:p w14:paraId="3D73C00A" w14:textId="2CFA3AD4" w:rsidR="00034A31" w:rsidRPr="00F91CC3" w:rsidRDefault="00034A31" w:rsidP="005142A2">
      <w:pPr>
        <w:numPr>
          <w:ilvl w:val="1"/>
          <w:numId w:val="10"/>
        </w:numPr>
        <w:snapToGrid w:val="0"/>
        <w:spacing w:after="120"/>
        <w:rPr>
          <w:rFonts w:asciiTheme="minorHAnsi" w:hAnsiTheme="minorHAnsi"/>
          <w:snapToGrid w:val="0"/>
        </w:rPr>
      </w:pPr>
      <w:bookmarkStart w:id="65" w:name="_Ref104805295"/>
      <w:r w:rsidRPr="00F91CC3">
        <w:rPr>
          <w:rFonts w:asciiTheme="minorHAnsi" w:hAnsiTheme="minorHAnsi"/>
          <w:snapToGrid w:val="0"/>
        </w:rPr>
        <w:t>A summary of the estimated use and financial implications is provided in</w:t>
      </w:r>
      <w:r w:rsidR="00DA44FC" w:rsidRPr="00F91CC3">
        <w:rPr>
          <w:rFonts w:asciiTheme="minorHAnsi" w:hAnsiTheme="minorHAnsi"/>
          <w:snapToGrid w:val="0"/>
        </w:rPr>
        <w:t xml:space="preserve"> </w:t>
      </w:r>
      <w:r w:rsidR="00DA44FC" w:rsidRPr="00F91CC3">
        <w:rPr>
          <w:rFonts w:asciiTheme="minorHAnsi" w:hAnsiTheme="minorHAnsi" w:cstheme="minorHAnsi"/>
          <w:snapToGrid w:val="0"/>
        </w:rPr>
        <w:fldChar w:fldCharType="begin"/>
      </w:r>
      <w:r w:rsidR="00DA44FC" w:rsidRPr="00F91CC3">
        <w:rPr>
          <w:rFonts w:asciiTheme="minorHAnsi" w:hAnsiTheme="minorHAnsi" w:cstheme="minorHAnsi"/>
          <w:snapToGrid w:val="0"/>
        </w:rPr>
        <w:instrText xml:space="preserve"> REF _Ref144313575 \h  \* MERGEFORMAT </w:instrText>
      </w:r>
      <w:r w:rsidR="00DA44FC" w:rsidRPr="00F91CC3">
        <w:rPr>
          <w:rFonts w:asciiTheme="minorHAnsi" w:hAnsiTheme="minorHAnsi" w:cstheme="minorHAnsi"/>
          <w:snapToGrid w:val="0"/>
        </w:rPr>
      </w:r>
      <w:r w:rsidR="00DA44FC" w:rsidRPr="00F91CC3">
        <w:rPr>
          <w:rFonts w:asciiTheme="minorHAnsi" w:hAnsiTheme="minorHAnsi" w:cstheme="minorHAnsi"/>
          <w:snapToGrid w:val="0"/>
        </w:rPr>
        <w:fldChar w:fldCharType="separate"/>
      </w:r>
      <w:r w:rsidR="008D6198" w:rsidRPr="008D6198">
        <w:rPr>
          <w:rFonts w:asciiTheme="minorHAnsi" w:hAnsiTheme="minorHAnsi" w:cstheme="minorHAnsi"/>
        </w:rPr>
        <w:t>Table 15</w:t>
      </w:r>
      <w:r w:rsidR="00DA44FC" w:rsidRPr="00F91CC3">
        <w:rPr>
          <w:rFonts w:asciiTheme="minorHAnsi" w:hAnsiTheme="minorHAnsi" w:cstheme="minorHAnsi"/>
          <w:snapToGrid w:val="0"/>
        </w:rPr>
        <w:fldChar w:fldCharType="end"/>
      </w:r>
      <w:r w:rsidRPr="00F91CC3">
        <w:rPr>
          <w:rFonts w:asciiTheme="minorHAnsi" w:hAnsiTheme="minorHAnsi" w:cstheme="minorHAnsi"/>
          <w:snapToGrid w:val="0"/>
        </w:rPr>
        <w:t>.</w:t>
      </w:r>
    </w:p>
    <w:p w14:paraId="1C9B2430" w14:textId="382217EF" w:rsidR="00034A31" w:rsidRPr="00F91CC3" w:rsidRDefault="00034A31" w:rsidP="00034A31">
      <w:pPr>
        <w:keepNext/>
        <w:keepLines/>
        <w:rPr>
          <w:rFonts w:ascii="Arial Narrow" w:hAnsi="Arial Narrow"/>
          <w:b/>
          <w:bCs/>
          <w:sz w:val="20"/>
          <w:szCs w:val="18"/>
        </w:rPr>
      </w:pPr>
      <w:bookmarkStart w:id="66" w:name="_Ref144313575"/>
      <w:bookmarkEnd w:id="65"/>
      <w:r w:rsidRPr="00F91CC3">
        <w:rPr>
          <w:rFonts w:ascii="Arial Narrow" w:hAnsi="Arial Narrow"/>
          <w:b/>
          <w:bCs/>
          <w:sz w:val="20"/>
          <w:szCs w:val="18"/>
        </w:rPr>
        <w:t xml:space="preserve">Table </w:t>
      </w:r>
      <w:r w:rsidRPr="00F91CC3">
        <w:rPr>
          <w:rFonts w:ascii="Arial Narrow" w:hAnsi="Arial Narrow"/>
          <w:b/>
          <w:bCs/>
          <w:sz w:val="20"/>
          <w:szCs w:val="18"/>
        </w:rPr>
        <w:fldChar w:fldCharType="begin"/>
      </w:r>
      <w:r w:rsidRPr="00F91CC3">
        <w:rPr>
          <w:rFonts w:ascii="Arial Narrow" w:hAnsi="Arial Narrow"/>
          <w:b/>
          <w:bCs/>
          <w:sz w:val="20"/>
          <w:szCs w:val="18"/>
        </w:rPr>
        <w:instrText xml:space="preserve"> SEQ Table \* ARABIC </w:instrText>
      </w:r>
      <w:r w:rsidRPr="00F91CC3">
        <w:rPr>
          <w:rFonts w:ascii="Arial Narrow" w:hAnsi="Arial Narrow"/>
          <w:b/>
          <w:bCs/>
          <w:sz w:val="20"/>
          <w:szCs w:val="18"/>
        </w:rPr>
        <w:fldChar w:fldCharType="separate"/>
      </w:r>
      <w:r w:rsidR="008D6198">
        <w:rPr>
          <w:rFonts w:ascii="Arial Narrow" w:hAnsi="Arial Narrow"/>
          <w:b/>
          <w:bCs/>
          <w:noProof/>
          <w:sz w:val="20"/>
          <w:szCs w:val="18"/>
        </w:rPr>
        <w:t>15</w:t>
      </w:r>
      <w:r w:rsidRPr="00F91CC3">
        <w:rPr>
          <w:rFonts w:ascii="Arial Narrow" w:hAnsi="Arial Narrow"/>
          <w:b/>
          <w:bCs/>
          <w:sz w:val="20"/>
          <w:szCs w:val="18"/>
        </w:rPr>
        <w:fldChar w:fldCharType="end"/>
      </w:r>
      <w:bookmarkEnd w:id="66"/>
      <w:r w:rsidRPr="00F91CC3">
        <w:rPr>
          <w:rFonts w:ascii="Arial Narrow" w:hAnsi="Arial Narrow"/>
          <w:b/>
          <w:bCs/>
          <w:sz w:val="20"/>
          <w:szCs w:val="18"/>
        </w:rPr>
        <w:t xml:space="preserve">: </w:t>
      </w:r>
      <w:r w:rsidRPr="00F91CC3">
        <w:rPr>
          <w:rFonts w:ascii="Arial Narrow" w:hAnsi="Arial Narrow"/>
          <w:b/>
          <w:bCs/>
          <w:sz w:val="20"/>
        </w:rPr>
        <w:t>Estimated use and financial implications (effective price)</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3"/>
        <w:gridCol w:w="1102"/>
        <w:gridCol w:w="1102"/>
        <w:gridCol w:w="1102"/>
        <w:gridCol w:w="1102"/>
        <w:gridCol w:w="1102"/>
        <w:gridCol w:w="1104"/>
      </w:tblGrid>
      <w:tr w:rsidR="00CE6EE8" w:rsidRPr="00F91CC3" w14:paraId="67093E9C" w14:textId="77777777" w:rsidTr="00CE6EE8">
        <w:trPr>
          <w:tblHeader/>
        </w:trPr>
        <w:tc>
          <w:tcPr>
            <w:tcW w:w="1333" w:type="pct"/>
            <w:tcBorders>
              <w:top w:val="single" w:sz="4" w:space="0" w:color="auto"/>
              <w:left w:val="single" w:sz="4" w:space="0" w:color="auto"/>
              <w:bottom w:val="single" w:sz="4" w:space="0" w:color="auto"/>
              <w:right w:val="single" w:sz="4" w:space="0" w:color="auto"/>
            </w:tcBorders>
            <w:vAlign w:val="center"/>
          </w:tcPr>
          <w:p w14:paraId="06C81624" w14:textId="77777777" w:rsidR="00034A31" w:rsidRPr="00F91CC3" w:rsidRDefault="00034A31" w:rsidP="00CE6EE8">
            <w:pPr>
              <w:keepNext/>
              <w:jc w:val="center"/>
              <w:rPr>
                <w:rFonts w:ascii="Arial Narrow" w:eastAsiaTheme="majorEastAsia" w:hAnsi="Arial Narrow" w:cs="Times New Roman"/>
                <w:b/>
                <w:sz w:val="20"/>
              </w:rPr>
            </w:pPr>
          </w:p>
        </w:tc>
        <w:tc>
          <w:tcPr>
            <w:tcW w:w="611" w:type="pct"/>
            <w:tcBorders>
              <w:top w:val="single" w:sz="4" w:space="0" w:color="auto"/>
              <w:left w:val="single" w:sz="4" w:space="0" w:color="auto"/>
              <w:bottom w:val="single" w:sz="4" w:space="0" w:color="auto"/>
              <w:right w:val="single" w:sz="4" w:space="0" w:color="auto"/>
            </w:tcBorders>
            <w:vAlign w:val="center"/>
            <w:hideMark/>
          </w:tcPr>
          <w:p w14:paraId="4506083E" w14:textId="77777777" w:rsidR="00034A31" w:rsidRPr="00F91CC3" w:rsidRDefault="00034A31" w:rsidP="00CE6EE8">
            <w:pPr>
              <w:keepNext/>
              <w:jc w:val="center"/>
              <w:rPr>
                <w:rFonts w:ascii="Arial Narrow" w:eastAsiaTheme="majorEastAsia" w:hAnsi="Arial Narrow" w:cs="Times New Roman"/>
                <w:b/>
                <w:sz w:val="20"/>
              </w:rPr>
            </w:pPr>
            <w:r w:rsidRPr="00F91CC3">
              <w:rPr>
                <w:rFonts w:ascii="Arial Narrow" w:eastAsiaTheme="majorEastAsia" w:hAnsi="Arial Narrow" w:cs="Times New Roman"/>
                <w:b/>
                <w:sz w:val="20"/>
              </w:rPr>
              <w:t>Year 1</w:t>
            </w:r>
          </w:p>
        </w:tc>
        <w:tc>
          <w:tcPr>
            <w:tcW w:w="611" w:type="pct"/>
            <w:tcBorders>
              <w:top w:val="single" w:sz="4" w:space="0" w:color="auto"/>
              <w:left w:val="single" w:sz="4" w:space="0" w:color="auto"/>
              <w:bottom w:val="single" w:sz="4" w:space="0" w:color="auto"/>
              <w:right w:val="single" w:sz="4" w:space="0" w:color="auto"/>
            </w:tcBorders>
            <w:vAlign w:val="center"/>
            <w:hideMark/>
          </w:tcPr>
          <w:p w14:paraId="13770FF6" w14:textId="77777777" w:rsidR="00034A31" w:rsidRPr="00F91CC3" w:rsidRDefault="00034A31" w:rsidP="00CE6EE8">
            <w:pPr>
              <w:keepNext/>
              <w:jc w:val="center"/>
              <w:rPr>
                <w:rFonts w:ascii="Arial Narrow" w:eastAsiaTheme="majorEastAsia" w:hAnsi="Arial Narrow" w:cs="Times New Roman"/>
                <w:b/>
                <w:sz w:val="20"/>
              </w:rPr>
            </w:pPr>
            <w:r w:rsidRPr="00F91CC3">
              <w:rPr>
                <w:rFonts w:ascii="Arial Narrow" w:eastAsiaTheme="majorEastAsia" w:hAnsi="Arial Narrow" w:cs="Times New Roman"/>
                <w:b/>
                <w:sz w:val="20"/>
              </w:rPr>
              <w:t>Year 2</w:t>
            </w:r>
          </w:p>
        </w:tc>
        <w:tc>
          <w:tcPr>
            <w:tcW w:w="611" w:type="pct"/>
            <w:tcBorders>
              <w:top w:val="single" w:sz="4" w:space="0" w:color="auto"/>
              <w:left w:val="single" w:sz="4" w:space="0" w:color="auto"/>
              <w:bottom w:val="single" w:sz="4" w:space="0" w:color="auto"/>
              <w:right w:val="single" w:sz="4" w:space="0" w:color="auto"/>
            </w:tcBorders>
            <w:vAlign w:val="center"/>
            <w:hideMark/>
          </w:tcPr>
          <w:p w14:paraId="59AC1740" w14:textId="77777777" w:rsidR="00034A31" w:rsidRPr="00F91CC3" w:rsidRDefault="00034A31" w:rsidP="00CE6EE8">
            <w:pPr>
              <w:keepNext/>
              <w:jc w:val="center"/>
              <w:rPr>
                <w:rFonts w:ascii="Arial Narrow" w:eastAsiaTheme="majorEastAsia" w:hAnsi="Arial Narrow" w:cs="Times New Roman"/>
                <w:b/>
                <w:sz w:val="20"/>
              </w:rPr>
            </w:pPr>
            <w:r w:rsidRPr="00F91CC3">
              <w:rPr>
                <w:rFonts w:ascii="Arial Narrow" w:eastAsiaTheme="majorEastAsia" w:hAnsi="Arial Narrow" w:cs="Times New Roman"/>
                <w:b/>
                <w:sz w:val="20"/>
              </w:rPr>
              <w:t>Year 3</w:t>
            </w:r>
          </w:p>
        </w:tc>
        <w:tc>
          <w:tcPr>
            <w:tcW w:w="611" w:type="pct"/>
            <w:tcBorders>
              <w:top w:val="single" w:sz="4" w:space="0" w:color="auto"/>
              <w:left w:val="single" w:sz="4" w:space="0" w:color="auto"/>
              <w:bottom w:val="single" w:sz="4" w:space="0" w:color="auto"/>
              <w:right w:val="single" w:sz="4" w:space="0" w:color="auto"/>
            </w:tcBorders>
            <w:vAlign w:val="center"/>
            <w:hideMark/>
          </w:tcPr>
          <w:p w14:paraId="3A04C5A5" w14:textId="77777777" w:rsidR="00034A31" w:rsidRPr="00F91CC3" w:rsidRDefault="00034A31" w:rsidP="00CE6EE8">
            <w:pPr>
              <w:keepNext/>
              <w:jc w:val="center"/>
              <w:rPr>
                <w:rFonts w:ascii="Arial Narrow" w:eastAsiaTheme="majorEastAsia" w:hAnsi="Arial Narrow" w:cs="Times New Roman"/>
                <w:b/>
                <w:sz w:val="20"/>
              </w:rPr>
            </w:pPr>
            <w:r w:rsidRPr="00F91CC3">
              <w:rPr>
                <w:rFonts w:ascii="Arial Narrow" w:eastAsiaTheme="majorEastAsia" w:hAnsi="Arial Narrow" w:cs="Times New Roman"/>
                <w:b/>
                <w:sz w:val="20"/>
              </w:rPr>
              <w:t>Year 4</w:t>
            </w:r>
          </w:p>
        </w:tc>
        <w:tc>
          <w:tcPr>
            <w:tcW w:w="611" w:type="pct"/>
            <w:tcBorders>
              <w:top w:val="single" w:sz="4" w:space="0" w:color="auto"/>
              <w:left w:val="single" w:sz="4" w:space="0" w:color="auto"/>
              <w:bottom w:val="single" w:sz="4" w:space="0" w:color="auto"/>
              <w:right w:val="single" w:sz="4" w:space="0" w:color="auto"/>
            </w:tcBorders>
            <w:vAlign w:val="center"/>
            <w:hideMark/>
          </w:tcPr>
          <w:p w14:paraId="641F2B26" w14:textId="77777777" w:rsidR="00034A31" w:rsidRPr="00F91CC3" w:rsidRDefault="00034A31" w:rsidP="00CE6EE8">
            <w:pPr>
              <w:keepNext/>
              <w:jc w:val="center"/>
              <w:rPr>
                <w:rFonts w:ascii="Arial Narrow" w:eastAsiaTheme="majorEastAsia" w:hAnsi="Arial Narrow" w:cs="Times New Roman"/>
                <w:b/>
                <w:sz w:val="20"/>
              </w:rPr>
            </w:pPr>
            <w:r w:rsidRPr="00F91CC3">
              <w:rPr>
                <w:rFonts w:ascii="Arial Narrow" w:eastAsiaTheme="majorEastAsia" w:hAnsi="Arial Narrow" w:cs="Times New Roman"/>
                <w:b/>
                <w:sz w:val="20"/>
              </w:rPr>
              <w:t>Year 5</w:t>
            </w:r>
          </w:p>
        </w:tc>
        <w:tc>
          <w:tcPr>
            <w:tcW w:w="612" w:type="pct"/>
            <w:tcBorders>
              <w:top w:val="single" w:sz="4" w:space="0" w:color="auto"/>
              <w:left w:val="single" w:sz="4" w:space="0" w:color="auto"/>
              <w:bottom w:val="single" w:sz="4" w:space="0" w:color="auto"/>
              <w:right w:val="single" w:sz="4" w:space="0" w:color="auto"/>
            </w:tcBorders>
            <w:hideMark/>
          </w:tcPr>
          <w:p w14:paraId="1AC73357" w14:textId="77777777" w:rsidR="00034A31" w:rsidRPr="00F91CC3" w:rsidRDefault="00034A31" w:rsidP="00CE6EE8">
            <w:pPr>
              <w:keepNext/>
              <w:jc w:val="center"/>
              <w:rPr>
                <w:rFonts w:ascii="Arial Narrow" w:eastAsiaTheme="majorEastAsia" w:hAnsi="Arial Narrow" w:cs="Times New Roman"/>
                <w:b/>
                <w:sz w:val="20"/>
              </w:rPr>
            </w:pPr>
            <w:r w:rsidRPr="00F91CC3">
              <w:rPr>
                <w:rFonts w:ascii="Arial Narrow" w:eastAsiaTheme="majorEastAsia" w:hAnsi="Arial Narrow" w:cs="Times New Roman"/>
                <w:b/>
                <w:sz w:val="20"/>
              </w:rPr>
              <w:t>Year 6</w:t>
            </w:r>
          </w:p>
        </w:tc>
      </w:tr>
      <w:tr w:rsidR="00034A31" w:rsidRPr="00F91CC3" w14:paraId="55F55058" w14:textId="77777777" w:rsidTr="00CE6EE8">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68B3D4BD" w14:textId="77777777" w:rsidR="00034A31" w:rsidRPr="00F91CC3" w:rsidRDefault="00034A31" w:rsidP="003A3172">
            <w:pPr>
              <w:keepNext/>
              <w:jc w:val="left"/>
              <w:rPr>
                <w:rFonts w:ascii="Arial Narrow" w:eastAsiaTheme="majorEastAsia" w:hAnsi="Arial Narrow" w:cs="Times New Roman"/>
                <w:b/>
                <w:bCs/>
                <w:color w:val="000000"/>
                <w:sz w:val="20"/>
                <w:szCs w:val="20"/>
              </w:rPr>
            </w:pPr>
            <w:r w:rsidRPr="00F91CC3">
              <w:rPr>
                <w:rFonts w:ascii="Arial Narrow" w:eastAsiaTheme="majorEastAsia" w:hAnsi="Arial Narrow" w:cs="Times New Roman"/>
                <w:b/>
                <w:sz w:val="20"/>
                <w:szCs w:val="20"/>
              </w:rPr>
              <w:t>Gating (class III) patients aged 4 months to 12 months old</w:t>
            </w:r>
          </w:p>
        </w:tc>
      </w:tr>
      <w:tr w:rsidR="00034A31" w:rsidRPr="00F91CC3" w14:paraId="1A8BECE9" w14:textId="77777777" w:rsidTr="00CE6EE8">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3F181935" w14:textId="77777777" w:rsidR="00034A31" w:rsidRPr="00F91CC3" w:rsidRDefault="00034A31" w:rsidP="00CE6EE8">
            <w:pPr>
              <w:keepNext/>
              <w:jc w:val="left"/>
              <w:rPr>
                <w:rFonts w:ascii="Arial Narrow" w:eastAsiaTheme="majorEastAsia" w:hAnsi="Arial Narrow" w:cs="Times New Roman"/>
                <w:b/>
                <w:bCs/>
                <w:color w:val="000000"/>
                <w:sz w:val="20"/>
              </w:rPr>
            </w:pPr>
            <w:r w:rsidRPr="00F91CC3">
              <w:rPr>
                <w:rFonts w:ascii="Arial Narrow" w:eastAsiaTheme="majorEastAsia" w:hAnsi="Arial Narrow" w:cs="Times New Roman"/>
                <w:b/>
                <w:bCs/>
                <w:color w:val="000000"/>
                <w:sz w:val="20"/>
              </w:rPr>
              <w:t>Estimated extent of use</w:t>
            </w:r>
          </w:p>
        </w:tc>
      </w:tr>
      <w:tr w:rsidR="00CE6EE8" w:rsidRPr="00F91CC3" w14:paraId="3B7C72F3" w14:textId="77777777" w:rsidTr="00CE6EE8">
        <w:tc>
          <w:tcPr>
            <w:tcW w:w="1333" w:type="pct"/>
            <w:tcBorders>
              <w:top w:val="single" w:sz="4" w:space="0" w:color="auto"/>
              <w:left w:val="single" w:sz="4" w:space="0" w:color="auto"/>
              <w:bottom w:val="single" w:sz="4" w:space="0" w:color="auto"/>
              <w:right w:val="single" w:sz="4" w:space="0" w:color="auto"/>
            </w:tcBorders>
            <w:vAlign w:val="center"/>
            <w:hideMark/>
          </w:tcPr>
          <w:p w14:paraId="050C5448" w14:textId="77777777" w:rsidR="00034A31" w:rsidRPr="00F91CC3" w:rsidRDefault="00034A31" w:rsidP="00CE6EE8">
            <w:pPr>
              <w:keepNext/>
              <w:jc w:val="left"/>
              <w:rPr>
                <w:rFonts w:ascii="Times" w:eastAsiaTheme="majorEastAsia" w:hAnsi="Times" w:cstheme="majorBidi"/>
                <w:bCs/>
                <w:sz w:val="20"/>
                <w:vertAlign w:val="superscript"/>
              </w:rPr>
            </w:pPr>
            <w:r w:rsidRPr="00F91CC3">
              <w:rPr>
                <w:rFonts w:ascii="Arial Narrow" w:eastAsiaTheme="majorEastAsia" w:hAnsi="Arial Narrow" w:cstheme="majorBidi"/>
                <w:bCs/>
                <w:sz w:val="20"/>
              </w:rPr>
              <w:t xml:space="preserve">Number of patients treated (FTE) </w:t>
            </w:r>
            <w:r w:rsidRPr="00F91CC3">
              <w:rPr>
                <w:rFonts w:ascii="Arial Narrow" w:eastAsiaTheme="majorEastAsia" w:hAnsi="Arial Narrow" w:cstheme="majorBidi"/>
                <w:bCs/>
                <w:sz w:val="20"/>
                <w:vertAlign w:val="superscript"/>
              </w:rPr>
              <w:t>a</w:t>
            </w:r>
          </w:p>
        </w:tc>
        <w:tc>
          <w:tcPr>
            <w:tcW w:w="611" w:type="pct"/>
            <w:tcBorders>
              <w:top w:val="single" w:sz="4" w:space="0" w:color="auto"/>
              <w:left w:val="single" w:sz="4" w:space="0" w:color="auto"/>
              <w:bottom w:val="single" w:sz="4" w:space="0" w:color="auto"/>
              <w:right w:val="single" w:sz="4" w:space="0" w:color="auto"/>
            </w:tcBorders>
            <w:hideMark/>
          </w:tcPr>
          <w:p w14:paraId="4509F305" w14:textId="02D216CF" w:rsidR="00034A31" w:rsidRPr="00EA49F0" w:rsidRDefault="004E53B2" w:rsidP="00CE6EE8">
            <w:pPr>
              <w:keepNext/>
              <w:jc w:val="center"/>
              <w:rPr>
                <w:rFonts w:ascii="Arial Narrow" w:eastAsiaTheme="majorEastAsia" w:hAnsi="Arial Narrow" w:cstheme="majorBidi"/>
                <w:bCs/>
                <w:color w:val="000000"/>
                <w:sz w:val="20"/>
                <w:szCs w:val="20"/>
                <w:highlight w:val="darkGray"/>
              </w:rPr>
            </w:pPr>
            <w:r>
              <w:rPr>
                <w:rFonts w:ascii="Arial Narrow" w:eastAsiaTheme="majorEastAsia" w:hAnsi="Arial Narrow" w:cstheme="majorBidi"/>
                <w:bCs/>
                <w:sz w:val="20"/>
                <w:szCs w:val="20"/>
              </w:rPr>
              <w:t xml:space="preserve"> </w:t>
            </w:r>
            <w:r w:rsidRPr="004E53B2">
              <w:rPr>
                <w:rFonts w:ascii="Arial Narrow" w:eastAsiaTheme="majorEastAsia" w:hAnsi="Arial Narrow" w:cstheme="majorBidi" w:hint="eastAsia"/>
                <w:bCs/>
                <w:color w:val="000000"/>
                <w:w w:val="15"/>
                <w:sz w:val="20"/>
                <w:szCs w:val="20"/>
                <w:shd w:val="solid" w:color="000000" w:fill="000000"/>
                <w:fitText w:val="70" w:id="-1032066548"/>
                <w14:textFill>
                  <w14:solidFill>
                    <w14:srgbClr w14:val="000000">
                      <w14:alpha w14:val="100000"/>
                    </w14:srgbClr>
                  </w14:solidFill>
                </w14:textFill>
              </w:rPr>
              <w:t xml:space="preserve">　</w:t>
            </w:r>
            <w:r w:rsidRPr="004E53B2">
              <w:rPr>
                <w:rFonts w:ascii="Arial Narrow" w:eastAsiaTheme="majorEastAsia" w:hAnsi="Arial Narrow" w:cstheme="majorBidi"/>
                <w:bCs/>
                <w:color w:val="000000"/>
                <w:w w:val="15"/>
                <w:sz w:val="20"/>
                <w:szCs w:val="20"/>
                <w:shd w:val="solid" w:color="000000" w:fill="000000"/>
                <w:fitText w:val="70" w:id="-1032066548"/>
                <w14:textFill>
                  <w14:solidFill>
                    <w14:srgbClr w14:val="000000">
                      <w14:alpha w14:val="100000"/>
                    </w14:srgbClr>
                  </w14:solidFill>
                </w14:textFill>
              </w:rPr>
              <w:t>|</w:t>
            </w:r>
            <w:r w:rsidRPr="004E53B2">
              <w:rPr>
                <w:rFonts w:ascii="Arial Narrow" w:eastAsiaTheme="majorEastAsia" w:hAnsi="Arial Narrow" w:cstheme="majorBidi" w:hint="eastAsia"/>
                <w:bCs/>
                <w:color w:val="000000"/>
                <w:spacing w:val="4"/>
                <w:w w:val="15"/>
                <w:sz w:val="20"/>
                <w:szCs w:val="20"/>
                <w:shd w:val="solid" w:color="000000" w:fill="000000"/>
                <w:fitText w:val="70" w:id="-1032066548"/>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hideMark/>
          </w:tcPr>
          <w:p w14:paraId="29BCEEBE" w14:textId="0C655C92" w:rsidR="00034A31" w:rsidRPr="00EA49F0" w:rsidRDefault="004E53B2" w:rsidP="00CE6EE8">
            <w:pPr>
              <w:keepNext/>
              <w:jc w:val="center"/>
              <w:rPr>
                <w:rFonts w:ascii="Arial Narrow" w:eastAsiaTheme="majorEastAsia" w:hAnsi="Arial Narrow" w:cstheme="majorBidi"/>
                <w:bCs/>
                <w:color w:val="000000"/>
                <w:sz w:val="20"/>
                <w:szCs w:val="20"/>
                <w:highlight w:val="darkGray"/>
              </w:rPr>
            </w:pPr>
            <w:r>
              <w:rPr>
                <w:rFonts w:ascii="Arial Narrow" w:eastAsiaTheme="majorEastAsia" w:hAnsi="Arial Narrow" w:cstheme="majorBidi"/>
                <w:bCs/>
                <w:sz w:val="20"/>
                <w:szCs w:val="20"/>
              </w:rPr>
              <w:t xml:space="preserve"> </w:t>
            </w:r>
            <w:r w:rsidRPr="004E53B2">
              <w:rPr>
                <w:rFonts w:ascii="Arial Narrow" w:eastAsiaTheme="majorEastAsia" w:hAnsi="Arial Narrow" w:cstheme="majorBidi" w:hint="eastAsia"/>
                <w:bCs/>
                <w:color w:val="000000"/>
                <w:w w:val="15"/>
                <w:sz w:val="20"/>
                <w:szCs w:val="20"/>
                <w:shd w:val="solid" w:color="000000" w:fill="000000"/>
                <w:fitText w:val="70" w:id="-1032066547"/>
                <w14:textFill>
                  <w14:solidFill>
                    <w14:srgbClr w14:val="000000">
                      <w14:alpha w14:val="100000"/>
                    </w14:srgbClr>
                  </w14:solidFill>
                </w14:textFill>
              </w:rPr>
              <w:t xml:space="preserve">　</w:t>
            </w:r>
            <w:r w:rsidRPr="004E53B2">
              <w:rPr>
                <w:rFonts w:ascii="Arial Narrow" w:eastAsiaTheme="majorEastAsia" w:hAnsi="Arial Narrow" w:cstheme="majorBidi"/>
                <w:bCs/>
                <w:color w:val="000000"/>
                <w:w w:val="15"/>
                <w:sz w:val="20"/>
                <w:szCs w:val="20"/>
                <w:shd w:val="solid" w:color="000000" w:fill="000000"/>
                <w:fitText w:val="70" w:id="-1032066547"/>
                <w14:textFill>
                  <w14:solidFill>
                    <w14:srgbClr w14:val="000000">
                      <w14:alpha w14:val="100000"/>
                    </w14:srgbClr>
                  </w14:solidFill>
                </w14:textFill>
              </w:rPr>
              <w:t>|</w:t>
            </w:r>
            <w:r w:rsidRPr="004E53B2">
              <w:rPr>
                <w:rFonts w:ascii="Arial Narrow" w:eastAsiaTheme="majorEastAsia" w:hAnsi="Arial Narrow" w:cstheme="majorBidi" w:hint="eastAsia"/>
                <w:bCs/>
                <w:color w:val="000000"/>
                <w:spacing w:val="4"/>
                <w:w w:val="15"/>
                <w:sz w:val="20"/>
                <w:szCs w:val="20"/>
                <w:shd w:val="solid" w:color="000000" w:fill="000000"/>
                <w:fitText w:val="70" w:id="-1032066547"/>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hideMark/>
          </w:tcPr>
          <w:p w14:paraId="501FC664" w14:textId="59DA3E66" w:rsidR="00034A31" w:rsidRPr="00EA49F0" w:rsidRDefault="004E53B2" w:rsidP="00CE6EE8">
            <w:pPr>
              <w:keepNext/>
              <w:jc w:val="center"/>
              <w:rPr>
                <w:rFonts w:ascii="Arial Narrow" w:eastAsiaTheme="majorEastAsia" w:hAnsi="Arial Narrow" w:cstheme="majorBidi"/>
                <w:bCs/>
                <w:color w:val="000000"/>
                <w:sz w:val="20"/>
                <w:szCs w:val="20"/>
                <w:highlight w:val="darkGray"/>
              </w:rPr>
            </w:pPr>
            <w:r>
              <w:rPr>
                <w:rFonts w:ascii="Arial Narrow" w:eastAsiaTheme="majorEastAsia" w:hAnsi="Arial Narrow" w:cstheme="majorBidi"/>
                <w:bCs/>
                <w:sz w:val="20"/>
                <w:szCs w:val="20"/>
              </w:rPr>
              <w:t xml:space="preserve"> </w:t>
            </w:r>
            <w:r w:rsidRPr="004E53B2">
              <w:rPr>
                <w:rFonts w:ascii="Arial Narrow" w:eastAsiaTheme="majorEastAsia" w:hAnsi="Arial Narrow" w:cstheme="majorBidi" w:hint="eastAsia"/>
                <w:bCs/>
                <w:color w:val="000000"/>
                <w:w w:val="15"/>
                <w:sz w:val="20"/>
                <w:szCs w:val="20"/>
                <w:shd w:val="solid" w:color="000000" w:fill="000000"/>
                <w:fitText w:val="70" w:id="-1032066546"/>
                <w14:textFill>
                  <w14:solidFill>
                    <w14:srgbClr w14:val="000000">
                      <w14:alpha w14:val="100000"/>
                    </w14:srgbClr>
                  </w14:solidFill>
                </w14:textFill>
              </w:rPr>
              <w:t xml:space="preserve">　</w:t>
            </w:r>
            <w:r w:rsidRPr="004E53B2">
              <w:rPr>
                <w:rFonts w:ascii="Arial Narrow" w:eastAsiaTheme="majorEastAsia" w:hAnsi="Arial Narrow" w:cstheme="majorBidi"/>
                <w:bCs/>
                <w:color w:val="000000"/>
                <w:w w:val="15"/>
                <w:sz w:val="20"/>
                <w:szCs w:val="20"/>
                <w:shd w:val="solid" w:color="000000" w:fill="000000"/>
                <w:fitText w:val="70" w:id="-1032066546"/>
                <w14:textFill>
                  <w14:solidFill>
                    <w14:srgbClr w14:val="000000">
                      <w14:alpha w14:val="100000"/>
                    </w14:srgbClr>
                  </w14:solidFill>
                </w14:textFill>
              </w:rPr>
              <w:t>|</w:t>
            </w:r>
            <w:r w:rsidRPr="004E53B2">
              <w:rPr>
                <w:rFonts w:ascii="Arial Narrow" w:eastAsiaTheme="majorEastAsia" w:hAnsi="Arial Narrow" w:cstheme="majorBidi" w:hint="eastAsia"/>
                <w:bCs/>
                <w:color w:val="000000"/>
                <w:spacing w:val="4"/>
                <w:w w:val="15"/>
                <w:sz w:val="20"/>
                <w:szCs w:val="20"/>
                <w:shd w:val="solid" w:color="000000" w:fill="000000"/>
                <w:fitText w:val="70" w:id="-1032066546"/>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hideMark/>
          </w:tcPr>
          <w:p w14:paraId="6E0ABC39" w14:textId="66927F94" w:rsidR="00034A31" w:rsidRPr="00EA49F0" w:rsidRDefault="004E53B2" w:rsidP="00CE6EE8">
            <w:pPr>
              <w:keepNext/>
              <w:jc w:val="center"/>
              <w:rPr>
                <w:rFonts w:ascii="Arial Narrow" w:eastAsiaTheme="majorEastAsia" w:hAnsi="Arial Narrow" w:cstheme="majorBidi"/>
                <w:bCs/>
                <w:color w:val="000000"/>
                <w:sz w:val="20"/>
                <w:szCs w:val="20"/>
                <w:highlight w:val="darkGray"/>
              </w:rPr>
            </w:pPr>
            <w:r>
              <w:rPr>
                <w:rFonts w:ascii="Arial Narrow" w:eastAsiaTheme="majorEastAsia" w:hAnsi="Arial Narrow" w:cstheme="majorBidi"/>
                <w:bCs/>
                <w:sz w:val="20"/>
                <w:szCs w:val="20"/>
              </w:rPr>
              <w:t xml:space="preserve"> </w:t>
            </w:r>
            <w:r w:rsidRPr="004E53B2">
              <w:rPr>
                <w:rFonts w:ascii="Arial Narrow" w:eastAsiaTheme="majorEastAsia" w:hAnsi="Arial Narrow" w:cstheme="majorBidi" w:hint="eastAsia"/>
                <w:bCs/>
                <w:color w:val="000000"/>
                <w:w w:val="15"/>
                <w:sz w:val="20"/>
                <w:szCs w:val="20"/>
                <w:shd w:val="solid" w:color="000000" w:fill="000000"/>
                <w:fitText w:val="70" w:id="-1032066545"/>
                <w14:textFill>
                  <w14:solidFill>
                    <w14:srgbClr w14:val="000000">
                      <w14:alpha w14:val="100000"/>
                    </w14:srgbClr>
                  </w14:solidFill>
                </w14:textFill>
              </w:rPr>
              <w:t xml:space="preserve">　</w:t>
            </w:r>
            <w:r w:rsidRPr="004E53B2">
              <w:rPr>
                <w:rFonts w:ascii="Arial Narrow" w:eastAsiaTheme="majorEastAsia" w:hAnsi="Arial Narrow" w:cstheme="majorBidi"/>
                <w:bCs/>
                <w:color w:val="000000"/>
                <w:w w:val="15"/>
                <w:sz w:val="20"/>
                <w:szCs w:val="20"/>
                <w:shd w:val="solid" w:color="000000" w:fill="000000"/>
                <w:fitText w:val="70" w:id="-1032066545"/>
                <w14:textFill>
                  <w14:solidFill>
                    <w14:srgbClr w14:val="000000">
                      <w14:alpha w14:val="100000"/>
                    </w14:srgbClr>
                  </w14:solidFill>
                </w14:textFill>
              </w:rPr>
              <w:t>|</w:t>
            </w:r>
            <w:r w:rsidRPr="004E53B2">
              <w:rPr>
                <w:rFonts w:ascii="Arial Narrow" w:eastAsiaTheme="majorEastAsia" w:hAnsi="Arial Narrow" w:cstheme="majorBidi" w:hint="eastAsia"/>
                <w:bCs/>
                <w:color w:val="000000"/>
                <w:spacing w:val="4"/>
                <w:w w:val="15"/>
                <w:sz w:val="20"/>
                <w:szCs w:val="20"/>
                <w:shd w:val="solid" w:color="000000" w:fill="000000"/>
                <w:fitText w:val="70" w:id="-1032066545"/>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hideMark/>
          </w:tcPr>
          <w:p w14:paraId="2CE3C501" w14:textId="2854919C" w:rsidR="00034A31" w:rsidRPr="00EA49F0" w:rsidRDefault="004E53B2" w:rsidP="00CE6EE8">
            <w:pPr>
              <w:keepNext/>
              <w:jc w:val="center"/>
              <w:rPr>
                <w:rFonts w:ascii="Arial Narrow" w:eastAsiaTheme="majorEastAsia" w:hAnsi="Arial Narrow" w:cstheme="majorBidi"/>
                <w:bCs/>
                <w:color w:val="000000"/>
                <w:sz w:val="20"/>
                <w:szCs w:val="20"/>
                <w:highlight w:val="darkGray"/>
              </w:rPr>
            </w:pPr>
            <w:r>
              <w:rPr>
                <w:rFonts w:ascii="Arial Narrow" w:eastAsiaTheme="majorEastAsia" w:hAnsi="Arial Narrow" w:cstheme="majorBidi"/>
                <w:bCs/>
                <w:sz w:val="20"/>
                <w:szCs w:val="20"/>
              </w:rPr>
              <w:t xml:space="preserve"> </w:t>
            </w:r>
            <w:r w:rsidRPr="004E53B2">
              <w:rPr>
                <w:rFonts w:ascii="Arial Narrow" w:eastAsiaTheme="majorEastAsia" w:hAnsi="Arial Narrow" w:cstheme="majorBidi" w:hint="eastAsia"/>
                <w:bCs/>
                <w:color w:val="000000"/>
                <w:w w:val="15"/>
                <w:sz w:val="20"/>
                <w:szCs w:val="20"/>
                <w:shd w:val="solid" w:color="000000" w:fill="000000"/>
                <w:fitText w:val="70" w:id="-1032066544"/>
                <w14:textFill>
                  <w14:solidFill>
                    <w14:srgbClr w14:val="000000">
                      <w14:alpha w14:val="100000"/>
                    </w14:srgbClr>
                  </w14:solidFill>
                </w14:textFill>
              </w:rPr>
              <w:t xml:space="preserve">　</w:t>
            </w:r>
            <w:r w:rsidRPr="004E53B2">
              <w:rPr>
                <w:rFonts w:ascii="Arial Narrow" w:eastAsiaTheme="majorEastAsia" w:hAnsi="Arial Narrow" w:cstheme="majorBidi"/>
                <w:bCs/>
                <w:color w:val="000000"/>
                <w:w w:val="15"/>
                <w:sz w:val="20"/>
                <w:szCs w:val="20"/>
                <w:shd w:val="solid" w:color="000000" w:fill="000000"/>
                <w:fitText w:val="70" w:id="-1032066544"/>
                <w14:textFill>
                  <w14:solidFill>
                    <w14:srgbClr w14:val="000000">
                      <w14:alpha w14:val="100000"/>
                    </w14:srgbClr>
                  </w14:solidFill>
                </w14:textFill>
              </w:rPr>
              <w:t>|</w:t>
            </w:r>
            <w:r w:rsidRPr="004E53B2">
              <w:rPr>
                <w:rFonts w:ascii="Arial Narrow" w:eastAsiaTheme="majorEastAsia" w:hAnsi="Arial Narrow" w:cstheme="majorBidi" w:hint="eastAsia"/>
                <w:bCs/>
                <w:color w:val="000000"/>
                <w:spacing w:val="4"/>
                <w:w w:val="15"/>
                <w:sz w:val="20"/>
                <w:szCs w:val="20"/>
                <w:shd w:val="solid" w:color="000000" w:fill="000000"/>
                <w:fitText w:val="70" w:id="-1032066544"/>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2" w:type="pct"/>
            <w:tcBorders>
              <w:top w:val="single" w:sz="4" w:space="0" w:color="auto"/>
              <w:left w:val="single" w:sz="4" w:space="0" w:color="auto"/>
              <w:bottom w:val="single" w:sz="4" w:space="0" w:color="auto"/>
              <w:right w:val="single" w:sz="4" w:space="0" w:color="auto"/>
            </w:tcBorders>
            <w:hideMark/>
          </w:tcPr>
          <w:p w14:paraId="3909793A" w14:textId="14225960" w:rsidR="00034A31" w:rsidRPr="00EA49F0" w:rsidRDefault="004E53B2" w:rsidP="00CE6EE8">
            <w:pPr>
              <w:keepNext/>
              <w:jc w:val="center"/>
              <w:rPr>
                <w:rFonts w:ascii="Arial Narrow" w:eastAsiaTheme="majorEastAsia" w:hAnsi="Arial Narrow" w:cstheme="majorBidi"/>
                <w:bCs/>
                <w:color w:val="000000"/>
                <w:sz w:val="20"/>
                <w:szCs w:val="20"/>
                <w:highlight w:val="darkGray"/>
              </w:rPr>
            </w:pPr>
            <w:r>
              <w:rPr>
                <w:rFonts w:ascii="Arial Narrow" w:eastAsiaTheme="majorEastAsia" w:hAnsi="Arial Narrow" w:cstheme="majorBidi"/>
                <w:bCs/>
                <w:sz w:val="20"/>
                <w:szCs w:val="20"/>
              </w:rPr>
              <w:t xml:space="preserve"> </w:t>
            </w:r>
            <w:r w:rsidRPr="004E53B2">
              <w:rPr>
                <w:rFonts w:ascii="Arial Narrow" w:eastAsiaTheme="majorEastAsia" w:hAnsi="Arial Narrow" w:cstheme="majorBidi" w:hint="eastAsia"/>
                <w:bCs/>
                <w:color w:val="000000"/>
                <w:w w:val="18"/>
                <w:sz w:val="20"/>
                <w:szCs w:val="20"/>
                <w:shd w:val="solid" w:color="000000" w:fill="000000"/>
                <w:fitText w:val="80" w:id="-1032066560"/>
                <w14:textFill>
                  <w14:solidFill>
                    <w14:srgbClr w14:val="000000">
                      <w14:alpha w14:val="100000"/>
                    </w14:srgbClr>
                  </w14:solidFill>
                </w14:textFill>
              </w:rPr>
              <w:t xml:space="preserve">　</w:t>
            </w:r>
            <w:r w:rsidRPr="004E53B2">
              <w:rPr>
                <w:rFonts w:ascii="Arial Narrow" w:eastAsiaTheme="majorEastAsia" w:hAnsi="Arial Narrow" w:cstheme="majorBidi"/>
                <w:bCs/>
                <w:color w:val="000000"/>
                <w:w w:val="18"/>
                <w:sz w:val="20"/>
                <w:szCs w:val="20"/>
                <w:shd w:val="solid" w:color="000000" w:fill="000000"/>
                <w:fitText w:val="80" w:id="-1032066560"/>
                <w14:textFill>
                  <w14:solidFill>
                    <w14:srgbClr w14:val="000000">
                      <w14:alpha w14:val="100000"/>
                    </w14:srgbClr>
                  </w14:solidFill>
                </w14:textFill>
              </w:rPr>
              <w:t>|</w:t>
            </w:r>
            <w:r w:rsidRPr="004E53B2">
              <w:rPr>
                <w:rFonts w:ascii="Arial Narrow" w:eastAsiaTheme="majorEastAsia" w:hAnsi="Arial Narrow" w:cstheme="majorBidi" w:hint="eastAsia"/>
                <w:bCs/>
                <w:color w:val="000000"/>
                <w:w w:val="18"/>
                <w:sz w:val="20"/>
                <w:szCs w:val="20"/>
                <w:shd w:val="solid" w:color="000000" w:fill="000000"/>
                <w:fitText w:val="80" w:id="-1032066560"/>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r>
      <w:tr w:rsidR="00CE6EE8" w:rsidRPr="00F91CC3" w14:paraId="221E5A4E" w14:textId="77777777" w:rsidTr="00CE6EE8">
        <w:tc>
          <w:tcPr>
            <w:tcW w:w="1333" w:type="pct"/>
            <w:tcBorders>
              <w:top w:val="single" w:sz="4" w:space="0" w:color="auto"/>
              <w:left w:val="single" w:sz="4" w:space="0" w:color="auto"/>
              <w:bottom w:val="single" w:sz="4" w:space="0" w:color="auto"/>
              <w:right w:val="single" w:sz="4" w:space="0" w:color="auto"/>
            </w:tcBorders>
            <w:vAlign w:val="center"/>
            <w:hideMark/>
          </w:tcPr>
          <w:p w14:paraId="305295B1" w14:textId="77777777" w:rsidR="00034A31" w:rsidRPr="00F91CC3" w:rsidRDefault="00034A31" w:rsidP="00CE6EE8">
            <w:pPr>
              <w:keepNext/>
              <w:jc w:val="left"/>
              <w:rPr>
                <w:rFonts w:ascii="Times" w:eastAsiaTheme="majorEastAsia" w:hAnsi="Times" w:cstheme="majorBidi"/>
                <w:bCs/>
                <w:sz w:val="20"/>
                <w:vertAlign w:val="superscript"/>
              </w:rPr>
            </w:pPr>
            <w:r w:rsidRPr="00F91CC3">
              <w:rPr>
                <w:rFonts w:ascii="Arial Narrow" w:eastAsiaTheme="majorEastAsia" w:hAnsi="Arial Narrow" w:cstheme="majorBidi"/>
                <w:bCs/>
                <w:sz w:val="20"/>
              </w:rPr>
              <w:t xml:space="preserve">Number of scripts dispensed </w:t>
            </w:r>
            <w:r w:rsidRPr="00F91CC3">
              <w:rPr>
                <w:rFonts w:ascii="Arial Narrow" w:eastAsiaTheme="majorEastAsia" w:hAnsi="Arial Narrow" w:cstheme="majorBidi"/>
                <w:bCs/>
                <w:sz w:val="20"/>
                <w:vertAlign w:val="superscript"/>
              </w:rPr>
              <w:t>b</w:t>
            </w:r>
          </w:p>
        </w:tc>
        <w:tc>
          <w:tcPr>
            <w:tcW w:w="611" w:type="pct"/>
            <w:tcBorders>
              <w:top w:val="single" w:sz="4" w:space="0" w:color="auto"/>
              <w:left w:val="single" w:sz="4" w:space="0" w:color="auto"/>
              <w:bottom w:val="single" w:sz="4" w:space="0" w:color="auto"/>
              <w:right w:val="single" w:sz="4" w:space="0" w:color="auto"/>
            </w:tcBorders>
            <w:hideMark/>
          </w:tcPr>
          <w:p w14:paraId="6B4570BA" w14:textId="08BBC307" w:rsidR="00034A31" w:rsidRPr="00EA49F0" w:rsidRDefault="004E53B2" w:rsidP="00CE6EE8">
            <w:pPr>
              <w:keepNext/>
              <w:jc w:val="center"/>
              <w:rPr>
                <w:rFonts w:ascii="Arial Narrow" w:eastAsiaTheme="majorEastAsia" w:hAnsi="Arial Narrow" w:cstheme="majorBidi"/>
                <w:bCs/>
                <w:color w:val="000000"/>
                <w:sz w:val="20"/>
                <w:szCs w:val="20"/>
                <w:highlight w:val="darkGray"/>
              </w:rPr>
            </w:pPr>
            <w:r>
              <w:rPr>
                <w:rFonts w:ascii="Arial Narrow" w:eastAsiaTheme="majorEastAsia" w:hAnsi="Arial Narrow" w:cstheme="majorBidi"/>
                <w:bCs/>
                <w:sz w:val="20"/>
                <w:szCs w:val="20"/>
              </w:rPr>
              <w:t xml:space="preserve"> </w:t>
            </w:r>
            <w:r w:rsidRPr="004E53B2">
              <w:rPr>
                <w:rFonts w:ascii="Arial Narrow" w:eastAsiaTheme="majorEastAsia" w:hAnsi="Arial Narrow" w:cstheme="majorBidi" w:hint="eastAsia"/>
                <w:bCs/>
                <w:color w:val="000000"/>
                <w:w w:val="15"/>
                <w:sz w:val="20"/>
                <w:szCs w:val="20"/>
                <w:shd w:val="solid" w:color="000000" w:fill="000000"/>
                <w:fitText w:val="70" w:id="-1032066559"/>
                <w14:textFill>
                  <w14:solidFill>
                    <w14:srgbClr w14:val="000000">
                      <w14:alpha w14:val="100000"/>
                    </w14:srgbClr>
                  </w14:solidFill>
                </w14:textFill>
              </w:rPr>
              <w:t xml:space="preserve">　</w:t>
            </w:r>
            <w:r w:rsidRPr="004E53B2">
              <w:rPr>
                <w:rFonts w:ascii="Arial Narrow" w:eastAsiaTheme="majorEastAsia" w:hAnsi="Arial Narrow" w:cstheme="majorBidi"/>
                <w:bCs/>
                <w:color w:val="000000"/>
                <w:w w:val="15"/>
                <w:sz w:val="20"/>
                <w:szCs w:val="20"/>
                <w:shd w:val="solid" w:color="000000" w:fill="000000"/>
                <w:fitText w:val="70" w:id="-1032066559"/>
                <w14:textFill>
                  <w14:solidFill>
                    <w14:srgbClr w14:val="000000">
                      <w14:alpha w14:val="100000"/>
                    </w14:srgbClr>
                  </w14:solidFill>
                </w14:textFill>
              </w:rPr>
              <w:t>|</w:t>
            </w:r>
            <w:r w:rsidRPr="004E53B2">
              <w:rPr>
                <w:rFonts w:ascii="Arial Narrow" w:eastAsiaTheme="majorEastAsia" w:hAnsi="Arial Narrow" w:cstheme="majorBidi" w:hint="eastAsia"/>
                <w:bCs/>
                <w:color w:val="000000"/>
                <w:spacing w:val="4"/>
                <w:w w:val="15"/>
                <w:sz w:val="20"/>
                <w:szCs w:val="20"/>
                <w:shd w:val="solid" w:color="000000" w:fill="000000"/>
                <w:fitText w:val="70" w:id="-1032066559"/>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hideMark/>
          </w:tcPr>
          <w:p w14:paraId="62029012" w14:textId="036F2996" w:rsidR="00034A31" w:rsidRPr="00EA49F0" w:rsidRDefault="004E53B2" w:rsidP="00CE6EE8">
            <w:pPr>
              <w:keepNext/>
              <w:jc w:val="center"/>
              <w:rPr>
                <w:rFonts w:ascii="Arial Narrow" w:eastAsiaTheme="majorEastAsia" w:hAnsi="Arial Narrow" w:cstheme="majorBidi"/>
                <w:bCs/>
                <w:color w:val="000000"/>
                <w:sz w:val="20"/>
                <w:szCs w:val="20"/>
                <w:highlight w:val="darkGray"/>
              </w:rPr>
            </w:pPr>
            <w:r>
              <w:rPr>
                <w:rFonts w:ascii="Arial Narrow" w:eastAsiaTheme="majorEastAsia" w:hAnsi="Arial Narrow" w:cstheme="majorBidi"/>
                <w:bCs/>
                <w:sz w:val="20"/>
                <w:szCs w:val="20"/>
              </w:rPr>
              <w:t xml:space="preserve"> </w:t>
            </w:r>
            <w:r w:rsidRPr="004E53B2">
              <w:rPr>
                <w:rFonts w:ascii="Arial Narrow" w:eastAsiaTheme="majorEastAsia" w:hAnsi="Arial Narrow" w:cstheme="majorBidi" w:hint="eastAsia"/>
                <w:bCs/>
                <w:color w:val="000000"/>
                <w:w w:val="15"/>
                <w:sz w:val="20"/>
                <w:szCs w:val="20"/>
                <w:shd w:val="solid" w:color="000000" w:fill="000000"/>
                <w:fitText w:val="70" w:id="-1032066558"/>
                <w14:textFill>
                  <w14:solidFill>
                    <w14:srgbClr w14:val="000000">
                      <w14:alpha w14:val="100000"/>
                    </w14:srgbClr>
                  </w14:solidFill>
                </w14:textFill>
              </w:rPr>
              <w:t xml:space="preserve">　</w:t>
            </w:r>
            <w:r w:rsidRPr="004E53B2">
              <w:rPr>
                <w:rFonts w:ascii="Arial Narrow" w:eastAsiaTheme="majorEastAsia" w:hAnsi="Arial Narrow" w:cstheme="majorBidi"/>
                <w:bCs/>
                <w:color w:val="000000"/>
                <w:w w:val="15"/>
                <w:sz w:val="20"/>
                <w:szCs w:val="20"/>
                <w:shd w:val="solid" w:color="000000" w:fill="000000"/>
                <w:fitText w:val="70" w:id="-1032066558"/>
                <w14:textFill>
                  <w14:solidFill>
                    <w14:srgbClr w14:val="000000">
                      <w14:alpha w14:val="100000"/>
                    </w14:srgbClr>
                  </w14:solidFill>
                </w14:textFill>
              </w:rPr>
              <w:t>|</w:t>
            </w:r>
            <w:r w:rsidRPr="004E53B2">
              <w:rPr>
                <w:rFonts w:ascii="Arial Narrow" w:eastAsiaTheme="majorEastAsia" w:hAnsi="Arial Narrow" w:cstheme="majorBidi" w:hint="eastAsia"/>
                <w:bCs/>
                <w:color w:val="000000"/>
                <w:spacing w:val="4"/>
                <w:w w:val="15"/>
                <w:sz w:val="20"/>
                <w:szCs w:val="20"/>
                <w:shd w:val="solid" w:color="000000" w:fill="000000"/>
                <w:fitText w:val="70" w:id="-1032066558"/>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hideMark/>
          </w:tcPr>
          <w:p w14:paraId="175DF029" w14:textId="12BCDF73" w:rsidR="00034A31" w:rsidRPr="00EA49F0" w:rsidRDefault="004E53B2" w:rsidP="00CE6EE8">
            <w:pPr>
              <w:keepNext/>
              <w:jc w:val="center"/>
              <w:rPr>
                <w:rFonts w:ascii="Arial Narrow" w:eastAsiaTheme="majorEastAsia" w:hAnsi="Arial Narrow" w:cstheme="majorBidi"/>
                <w:bCs/>
                <w:color w:val="000000"/>
                <w:sz w:val="20"/>
                <w:szCs w:val="20"/>
                <w:highlight w:val="darkGray"/>
              </w:rPr>
            </w:pPr>
            <w:r>
              <w:rPr>
                <w:rFonts w:ascii="Arial Narrow" w:eastAsiaTheme="majorEastAsia" w:hAnsi="Arial Narrow" w:cstheme="majorBidi"/>
                <w:bCs/>
                <w:sz w:val="20"/>
                <w:szCs w:val="20"/>
              </w:rPr>
              <w:t xml:space="preserve"> </w:t>
            </w:r>
            <w:r w:rsidRPr="004E53B2">
              <w:rPr>
                <w:rFonts w:ascii="Arial Narrow" w:eastAsiaTheme="majorEastAsia" w:hAnsi="Arial Narrow" w:cstheme="majorBidi" w:hint="eastAsia"/>
                <w:bCs/>
                <w:color w:val="000000"/>
                <w:w w:val="15"/>
                <w:sz w:val="20"/>
                <w:szCs w:val="20"/>
                <w:shd w:val="solid" w:color="000000" w:fill="000000"/>
                <w:fitText w:val="70" w:id="-1032066557"/>
                <w14:textFill>
                  <w14:solidFill>
                    <w14:srgbClr w14:val="000000">
                      <w14:alpha w14:val="100000"/>
                    </w14:srgbClr>
                  </w14:solidFill>
                </w14:textFill>
              </w:rPr>
              <w:t xml:space="preserve">　</w:t>
            </w:r>
            <w:r w:rsidRPr="004E53B2">
              <w:rPr>
                <w:rFonts w:ascii="Arial Narrow" w:eastAsiaTheme="majorEastAsia" w:hAnsi="Arial Narrow" w:cstheme="majorBidi"/>
                <w:bCs/>
                <w:color w:val="000000"/>
                <w:w w:val="15"/>
                <w:sz w:val="20"/>
                <w:szCs w:val="20"/>
                <w:shd w:val="solid" w:color="000000" w:fill="000000"/>
                <w:fitText w:val="70" w:id="-1032066557"/>
                <w14:textFill>
                  <w14:solidFill>
                    <w14:srgbClr w14:val="000000">
                      <w14:alpha w14:val="100000"/>
                    </w14:srgbClr>
                  </w14:solidFill>
                </w14:textFill>
              </w:rPr>
              <w:t>|</w:t>
            </w:r>
            <w:r w:rsidRPr="004E53B2">
              <w:rPr>
                <w:rFonts w:ascii="Arial Narrow" w:eastAsiaTheme="majorEastAsia" w:hAnsi="Arial Narrow" w:cstheme="majorBidi" w:hint="eastAsia"/>
                <w:bCs/>
                <w:color w:val="000000"/>
                <w:spacing w:val="4"/>
                <w:w w:val="15"/>
                <w:sz w:val="20"/>
                <w:szCs w:val="20"/>
                <w:shd w:val="solid" w:color="000000" w:fill="000000"/>
                <w:fitText w:val="70" w:id="-1032066557"/>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hideMark/>
          </w:tcPr>
          <w:p w14:paraId="09D324C6" w14:textId="602B5097" w:rsidR="00034A31" w:rsidRPr="00EA49F0" w:rsidRDefault="004E53B2" w:rsidP="00CE6EE8">
            <w:pPr>
              <w:keepNext/>
              <w:jc w:val="center"/>
              <w:rPr>
                <w:rFonts w:ascii="Arial Narrow" w:eastAsiaTheme="majorEastAsia" w:hAnsi="Arial Narrow" w:cstheme="majorBidi"/>
                <w:bCs/>
                <w:color w:val="000000"/>
                <w:sz w:val="20"/>
                <w:szCs w:val="20"/>
                <w:highlight w:val="darkGray"/>
              </w:rPr>
            </w:pPr>
            <w:r>
              <w:rPr>
                <w:rFonts w:ascii="Arial Narrow" w:eastAsiaTheme="majorEastAsia" w:hAnsi="Arial Narrow" w:cstheme="majorBidi"/>
                <w:bCs/>
                <w:sz w:val="20"/>
                <w:szCs w:val="20"/>
              </w:rPr>
              <w:t xml:space="preserve"> </w:t>
            </w:r>
            <w:r w:rsidRPr="004E53B2">
              <w:rPr>
                <w:rFonts w:ascii="Arial Narrow" w:eastAsiaTheme="majorEastAsia" w:hAnsi="Arial Narrow" w:cstheme="majorBidi" w:hint="eastAsia"/>
                <w:bCs/>
                <w:color w:val="000000"/>
                <w:w w:val="15"/>
                <w:sz w:val="20"/>
                <w:szCs w:val="20"/>
                <w:shd w:val="solid" w:color="000000" w:fill="000000"/>
                <w:fitText w:val="70" w:id="-1032066556"/>
                <w14:textFill>
                  <w14:solidFill>
                    <w14:srgbClr w14:val="000000">
                      <w14:alpha w14:val="100000"/>
                    </w14:srgbClr>
                  </w14:solidFill>
                </w14:textFill>
              </w:rPr>
              <w:t xml:space="preserve">　</w:t>
            </w:r>
            <w:r w:rsidRPr="004E53B2">
              <w:rPr>
                <w:rFonts w:ascii="Arial Narrow" w:eastAsiaTheme="majorEastAsia" w:hAnsi="Arial Narrow" w:cstheme="majorBidi"/>
                <w:bCs/>
                <w:color w:val="000000"/>
                <w:w w:val="15"/>
                <w:sz w:val="20"/>
                <w:szCs w:val="20"/>
                <w:shd w:val="solid" w:color="000000" w:fill="000000"/>
                <w:fitText w:val="70" w:id="-1032066556"/>
                <w14:textFill>
                  <w14:solidFill>
                    <w14:srgbClr w14:val="000000">
                      <w14:alpha w14:val="100000"/>
                    </w14:srgbClr>
                  </w14:solidFill>
                </w14:textFill>
              </w:rPr>
              <w:t>|</w:t>
            </w:r>
            <w:r w:rsidRPr="004E53B2">
              <w:rPr>
                <w:rFonts w:ascii="Arial Narrow" w:eastAsiaTheme="majorEastAsia" w:hAnsi="Arial Narrow" w:cstheme="majorBidi" w:hint="eastAsia"/>
                <w:bCs/>
                <w:color w:val="000000"/>
                <w:spacing w:val="4"/>
                <w:w w:val="15"/>
                <w:sz w:val="20"/>
                <w:szCs w:val="20"/>
                <w:shd w:val="solid" w:color="000000" w:fill="000000"/>
                <w:fitText w:val="70" w:id="-1032066556"/>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hideMark/>
          </w:tcPr>
          <w:p w14:paraId="0436652C" w14:textId="14DA5F71" w:rsidR="00034A31" w:rsidRPr="00EA49F0" w:rsidRDefault="004E53B2" w:rsidP="00CE6EE8">
            <w:pPr>
              <w:keepNext/>
              <w:jc w:val="center"/>
              <w:rPr>
                <w:rFonts w:ascii="Arial Narrow" w:eastAsiaTheme="majorEastAsia" w:hAnsi="Arial Narrow" w:cstheme="majorBidi"/>
                <w:bCs/>
                <w:color w:val="000000"/>
                <w:sz w:val="20"/>
                <w:szCs w:val="20"/>
                <w:highlight w:val="darkGray"/>
              </w:rPr>
            </w:pPr>
            <w:r>
              <w:rPr>
                <w:rFonts w:ascii="Arial Narrow" w:eastAsiaTheme="majorEastAsia" w:hAnsi="Arial Narrow" w:cstheme="majorBidi"/>
                <w:bCs/>
                <w:sz w:val="20"/>
                <w:szCs w:val="20"/>
              </w:rPr>
              <w:t xml:space="preserve"> </w:t>
            </w:r>
            <w:r w:rsidRPr="004E53B2">
              <w:rPr>
                <w:rFonts w:ascii="Arial Narrow" w:eastAsiaTheme="majorEastAsia" w:hAnsi="Arial Narrow" w:cstheme="majorBidi" w:hint="eastAsia"/>
                <w:bCs/>
                <w:color w:val="000000"/>
                <w:w w:val="15"/>
                <w:sz w:val="20"/>
                <w:szCs w:val="20"/>
                <w:shd w:val="solid" w:color="000000" w:fill="000000"/>
                <w:fitText w:val="70" w:id="-1032066555"/>
                <w14:textFill>
                  <w14:solidFill>
                    <w14:srgbClr w14:val="000000">
                      <w14:alpha w14:val="100000"/>
                    </w14:srgbClr>
                  </w14:solidFill>
                </w14:textFill>
              </w:rPr>
              <w:t xml:space="preserve">　</w:t>
            </w:r>
            <w:r w:rsidRPr="004E53B2">
              <w:rPr>
                <w:rFonts w:ascii="Arial Narrow" w:eastAsiaTheme="majorEastAsia" w:hAnsi="Arial Narrow" w:cstheme="majorBidi"/>
                <w:bCs/>
                <w:color w:val="000000"/>
                <w:w w:val="15"/>
                <w:sz w:val="20"/>
                <w:szCs w:val="20"/>
                <w:shd w:val="solid" w:color="000000" w:fill="000000"/>
                <w:fitText w:val="70" w:id="-1032066555"/>
                <w14:textFill>
                  <w14:solidFill>
                    <w14:srgbClr w14:val="000000">
                      <w14:alpha w14:val="100000"/>
                    </w14:srgbClr>
                  </w14:solidFill>
                </w14:textFill>
              </w:rPr>
              <w:t>|</w:t>
            </w:r>
            <w:r w:rsidRPr="004E53B2">
              <w:rPr>
                <w:rFonts w:ascii="Arial Narrow" w:eastAsiaTheme="majorEastAsia" w:hAnsi="Arial Narrow" w:cstheme="majorBidi" w:hint="eastAsia"/>
                <w:bCs/>
                <w:color w:val="000000"/>
                <w:spacing w:val="4"/>
                <w:w w:val="15"/>
                <w:sz w:val="20"/>
                <w:szCs w:val="20"/>
                <w:shd w:val="solid" w:color="000000" w:fill="000000"/>
                <w:fitText w:val="70" w:id="-1032066555"/>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2" w:type="pct"/>
            <w:tcBorders>
              <w:top w:val="single" w:sz="4" w:space="0" w:color="auto"/>
              <w:left w:val="single" w:sz="4" w:space="0" w:color="auto"/>
              <w:bottom w:val="single" w:sz="4" w:space="0" w:color="auto"/>
              <w:right w:val="single" w:sz="4" w:space="0" w:color="auto"/>
            </w:tcBorders>
            <w:hideMark/>
          </w:tcPr>
          <w:p w14:paraId="35D40707" w14:textId="67FBC756" w:rsidR="00034A31" w:rsidRPr="00EA49F0" w:rsidRDefault="004E53B2" w:rsidP="00CE6EE8">
            <w:pPr>
              <w:keepNext/>
              <w:jc w:val="center"/>
              <w:rPr>
                <w:rFonts w:ascii="Arial Narrow" w:eastAsiaTheme="majorEastAsia" w:hAnsi="Arial Narrow" w:cstheme="majorBidi"/>
                <w:bCs/>
                <w:color w:val="000000"/>
                <w:sz w:val="20"/>
                <w:szCs w:val="20"/>
                <w:highlight w:val="darkGray"/>
              </w:rPr>
            </w:pPr>
            <w:r>
              <w:rPr>
                <w:rFonts w:ascii="Arial Narrow" w:eastAsiaTheme="majorEastAsia" w:hAnsi="Arial Narrow" w:cstheme="majorBidi"/>
                <w:bCs/>
                <w:sz w:val="20"/>
                <w:szCs w:val="20"/>
              </w:rPr>
              <w:t xml:space="preserve"> </w:t>
            </w:r>
            <w:r w:rsidRPr="004E53B2">
              <w:rPr>
                <w:rFonts w:ascii="Arial Narrow" w:eastAsiaTheme="majorEastAsia" w:hAnsi="Arial Narrow" w:cstheme="majorBidi" w:hint="eastAsia"/>
                <w:bCs/>
                <w:color w:val="000000"/>
                <w:w w:val="18"/>
                <w:sz w:val="20"/>
                <w:szCs w:val="20"/>
                <w:shd w:val="solid" w:color="000000" w:fill="000000"/>
                <w:fitText w:val="80" w:id="-1032066554"/>
                <w14:textFill>
                  <w14:solidFill>
                    <w14:srgbClr w14:val="000000">
                      <w14:alpha w14:val="100000"/>
                    </w14:srgbClr>
                  </w14:solidFill>
                </w14:textFill>
              </w:rPr>
              <w:t xml:space="preserve">　</w:t>
            </w:r>
            <w:r w:rsidRPr="004E53B2">
              <w:rPr>
                <w:rFonts w:ascii="Arial Narrow" w:eastAsiaTheme="majorEastAsia" w:hAnsi="Arial Narrow" w:cstheme="majorBidi"/>
                <w:bCs/>
                <w:color w:val="000000"/>
                <w:w w:val="18"/>
                <w:sz w:val="20"/>
                <w:szCs w:val="20"/>
                <w:shd w:val="solid" w:color="000000" w:fill="000000"/>
                <w:fitText w:val="80" w:id="-1032066554"/>
                <w14:textFill>
                  <w14:solidFill>
                    <w14:srgbClr w14:val="000000">
                      <w14:alpha w14:val="100000"/>
                    </w14:srgbClr>
                  </w14:solidFill>
                </w14:textFill>
              </w:rPr>
              <w:t>|</w:t>
            </w:r>
            <w:r w:rsidRPr="004E53B2">
              <w:rPr>
                <w:rFonts w:ascii="Arial Narrow" w:eastAsiaTheme="majorEastAsia" w:hAnsi="Arial Narrow" w:cstheme="majorBidi" w:hint="eastAsia"/>
                <w:bCs/>
                <w:color w:val="000000"/>
                <w:w w:val="18"/>
                <w:sz w:val="20"/>
                <w:szCs w:val="20"/>
                <w:shd w:val="solid" w:color="000000" w:fill="000000"/>
                <w:fitText w:val="80" w:id="-1032066554"/>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r>
      <w:tr w:rsidR="00034A31" w:rsidRPr="00F91CC3" w14:paraId="6ED7867E" w14:textId="77777777" w:rsidTr="00CE6EE8">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017B361C" w14:textId="77777777" w:rsidR="00034A31" w:rsidRPr="00F91CC3" w:rsidRDefault="00034A31" w:rsidP="00CE6EE8">
            <w:pPr>
              <w:keepNext/>
              <w:jc w:val="left"/>
              <w:rPr>
                <w:rFonts w:ascii="Arial Narrow" w:eastAsiaTheme="majorEastAsia" w:hAnsi="Arial Narrow" w:cs="Times New Roman"/>
                <w:b/>
                <w:sz w:val="20"/>
              </w:rPr>
            </w:pPr>
            <w:r w:rsidRPr="00F91CC3">
              <w:rPr>
                <w:rFonts w:ascii="Arial Narrow" w:eastAsiaTheme="majorEastAsia" w:hAnsi="Arial Narrow" w:cs="Times New Roman"/>
                <w:b/>
                <w:sz w:val="20"/>
              </w:rPr>
              <w:t>Estimated financial implications of ivacaftor</w:t>
            </w:r>
          </w:p>
        </w:tc>
      </w:tr>
      <w:tr w:rsidR="00CE6EE8" w:rsidRPr="00F91CC3" w14:paraId="5E3127B5" w14:textId="77777777" w:rsidTr="00CE6EE8">
        <w:tc>
          <w:tcPr>
            <w:tcW w:w="1333" w:type="pct"/>
            <w:tcBorders>
              <w:top w:val="single" w:sz="4" w:space="0" w:color="auto"/>
              <w:left w:val="single" w:sz="4" w:space="0" w:color="auto"/>
              <w:bottom w:val="single" w:sz="4" w:space="0" w:color="auto"/>
              <w:right w:val="single" w:sz="4" w:space="0" w:color="auto"/>
            </w:tcBorders>
            <w:vAlign w:val="center"/>
            <w:hideMark/>
          </w:tcPr>
          <w:p w14:paraId="10531D6C" w14:textId="0908C349" w:rsidR="004A1A67" w:rsidRPr="00F91CC3" w:rsidRDefault="00034A31" w:rsidP="00CE6EE8">
            <w:pPr>
              <w:keepNext/>
              <w:jc w:val="left"/>
              <w:rPr>
                <w:rFonts w:ascii="Arial Narrow" w:eastAsiaTheme="majorEastAsia" w:hAnsi="Arial Narrow" w:cstheme="majorBidi"/>
                <w:bCs/>
                <w:sz w:val="19"/>
                <w:szCs w:val="19"/>
              </w:rPr>
            </w:pPr>
            <w:r w:rsidRPr="00F91CC3">
              <w:rPr>
                <w:rFonts w:ascii="Arial Narrow" w:eastAsiaTheme="majorEastAsia" w:hAnsi="Arial Narrow" w:cstheme="majorBidi"/>
                <w:bCs/>
                <w:sz w:val="19"/>
                <w:szCs w:val="19"/>
              </w:rPr>
              <w:t xml:space="preserve">Cost to PBS/RPBS less </w:t>
            </w:r>
            <w:r w:rsidR="00D07430" w:rsidRPr="00F91CC3">
              <w:rPr>
                <w:rFonts w:ascii="Arial Narrow" w:eastAsiaTheme="majorEastAsia" w:hAnsi="Arial Narrow" w:cstheme="majorBidi"/>
                <w:bCs/>
                <w:sz w:val="19"/>
                <w:szCs w:val="19"/>
              </w:rPr>
              <w:t>co-payments</w:t>
            </w:r>
            <w:r w:rsidR="004A1A67" w:rsidRPr="00F91CC3">
              <w:rPr>
                <w:rFonts w:ascii="Arial Narrow" w:eastAsiaTheme="majorEastAsia" w:hAnsi="Arial Narrow" w:cstheme="majorBidi"/>
                <w:bCs/>
                <w:sz w:val="19"/>
                <w:szCs w:val="19"/>
              </w:rPr>
              <w:t xml:space="preserve"> </w:t>
            </w:r>
          </w:p>
          <w:p w14:paraId="5D4F8410" w14:textId="1B094475" w:rsidR="00034A31" w:rsidRPr="00F91CC3" w:rsidRDefault="004A1A67" w:rsidP="00CE6EE8">
            <w:pPr>
              <w:keepNext/>
              <w:jc w:val="left"/>
              <w:rPr>
                <w:rFonts w:ascii="Arial Narrow" w:eastAsiaTheme="majorEastAsia" w:hAnsi="Arial Narrow" w:cstheme="majorBidi"/>
                <w:bCs/>
                <w:sz w:val="19"/>
                <w:szCs w:val="19"/>
              </w:rPr>
            </w:pPr>
            <w:r w:rsidRPr="00F91CC3">
              <w:rPr>
                <w:rFonts w:ascii="Arial Narrow" w:eastAsiaTheme="majorEastAsia" w:hAnsi="Arial Narrow" w:cstheme="majorBidi"/>
                <w:bCs/>
                <w:sz w:val="19"/>
                <w:szCs w:val="19"/>
              </w:rPr>
              <w:t>(% net cost to PBS/RPBS)</w:t>
            </w:r>
          </w:p>
        </w:tc>
        <w:tc>
          <w:tcPr>
            <w:tcW w:w="611" w:type="pct"/>
            <w:tcBorders>
              <w:top w:val="single" w:sz="4" w:space="0" w:color="auto"/>
              <w:left w:val="single" w:sz="4" w:space="0" w:color="auto"/>
              <w:bottom w:val="single" w:sz="4" w:space="0" w:color="auto"/>
              <w:right w:val="single" w:sz="4" w:space="0" w:color="auto"/>
            </w:tcBorders>
            <w:hideMark/>
          </w:tcPr>
          <w:p w14:paraId="0C41419A" w14:textId="74B9484A" w:rsidR="00034A31" w:rsidRPr="00F91CC3" w:rsidRDefault="00034A31" w:rsidP="00CE6EE8">
            <w:pPr>
              <w:keepNext/>
              <w:jc w:val="center"/>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w:t>
            </w:r>
            <w:r w:rsidR="004E53B2">
              <w:rPr>
                <w:rFonts w:ascii="Arial Narrow" w:eastAsiaTheme="majorEastAsia" w:hAnsi="Arial Narrow" w:cstheme="majorBidi"/>
                <w:bCs/>
                <w:sz w:val="20"/>
                <w:szCs w:val="20"/>
              </w:rPr>
              <w:t xml:space="preserve"> </w:t>
            </w:r>
            <w:r w:rsidR="004E53B2" w:rsidRPr="004E53B2">
              <w:rPr>
                <w:rFonts w:ascii="Arial Narrow" w:eastAsiaTheme="majorEastAsia" w:hAnsi="Arial Narrow" w:cstheme="majorBidi" w:hint="eastAsia"/>
                <w:bCs/>
                <w:color w:val="000000"/>
                <w:w w:val="27"/>
                <w:sz w:val="20"/>
                <w:szCs w:val="20"/>
                <w:shd w:val="solid" w:color="000000" w:fill="000000"/>
                <w:fitText w:val="120" w:id="-1032066553"/>
                <w14:textFill>
                  <w14:solidFill>
                    <w14:srgbClr w14:val="000000">
                      <w14:alpha w14:val="100000"/>
                    </w14:srgbClr>
                  </w14:solidFill>
                </w14:textFill>
              </w:rPr>
              <w:t xml:space="preserve">　</w:t>
            </w:r>
            <w:r w:rsidR="004E53B2" w:rsidRPr="004E53B2">
              <w:rPr>
                <w:rFonts w:ascii="Arial Narrow" w:eastAsiaTheme="majorEastAsia" w:hAnsi="Arial Narrow" w:cstheme="majorBidi"/>
                <w:bCs/>
                <w:color w:val="000000"/>
                <w:w w:val="27"/>
                <w:sz w:val="20"/>
                <w:szCs w:val="20"/>
                <w:shd w:val="solid" w:color="000000" w:fill="000000"/>
                <w:fitText w:val="120" w:id="-1032066553"/>
                <w14:textFill>
                  <w14:solidFill>
                    <w14:srgbClr w14:val="000000">
                      <w14:alpha w14:val="100000"/>
                    </w14:srgbClr>
                  </w14:solidFill>
                </w14:textFill>
              </w:rPr>
              <w:t>|</w:t>
            </w:r>
            <w:r w:rsidR="004E53B2" w:rsidRPr="004E53B2">
              <w:rPr>
                <w:rFonts w:ascii="Arial Narrow" w:eastAsiaTheme="majorEastAsia" w:hAnsi="Arial Narrow" w:cstheme="majorBidi" w:hint="eastAsia"/>
                <w:bCs/>
                <w:color w:val="000000"/>
                <w:spacing w:val="2"/>
                <w:w w:val="27"/>
                <w:sz w:val="20"/>
                <w:szCs w:val="20"/>
                <w:shd w:val="solid" w:color="000000" w:fill="000000"/>
                <w:fitText w:val="120" w:id="-1032066553"/>
                <w14:textFill>
                  <w14:solidFill>
                    <w14:srgbClr w14:val="000000">
                      <w14:alpha w14:val="100000"/>
                    </w14:srgbClr>
                  </w14:solidFill>
                </w14:textFill>
              </w:rPr>
              <w:t xml:space="preserve">　</w:t>
            </w:r>
            <w:r w:rsidR="00EA49F0">
              <w:rPr>
                <w:rFonts w:ascii="Arial Narrow" w:eastAsiaTheme="majorEastAsia" w:hAnsi="Arial Narrow" w:cstheme="majorBidi"/>
                <w:bCs/>
                <w:sz w:val="20"/>
                <w:szCs w:val="20"/>
                <w:vertAlign w:val="superscript"/>
              </w:rPr>
              <w:t>2</w:t>
            </w:r>
          </w:p>
          <w:p w14:paraId="4E8A3B98" w14:textId="10EA7A44" w:rsidR="004A1A67" w:rsidRPr="00F91CC3" w:rsidRDefault="004A1A67" w:rsidP="001D5E98">
            <w:pPr>
              <w:keepNext/>
              <w:jc w:val="center"/>
              <w:rPr>
                <w:rFonts w:ascii="Arial Narrow" w:eastAsiaTheme="majorEastAsia" w:hAnsi="Arial Narrow" w:cstheme="majorBidi"/>
                <w:bCs/>
                <w:sz w:val="20"/>
                <w:szCs w:val="20"/>
              </w:rPr>
            </w:pPr>
            <w:r w:rsidRPr="00EC0695">
              <w:rPr>
                <w:rFonts w:ascii="Arial Narrow" w:eastAsiaTheme="majorEastAsia" w:hAnsi="Arial Narrow" w:cstheme="majorBidi"/>
                <w:bCs/>
                <w:sz w:val="20"/>
                <w:szCs w:val="20"/>
              </w:rPr>
              <w:t>(3</w:t>
            </w:r>
            <w:r w:rsidRPr="00F91CC3">
              <w:rPr>
                <w:rFonts w:ascii="Arial Narrow" w:eastAsiaTheme="majorEastAsia" w:hAnsi="Arial Narrow" w:cstheme="majorBidi"/>
                <w:bCs/>
                <w:sz w:val="20"/>
                <w:szCs w:val="20"/>
              </w:rPr>
              <w:t>%)</w:t>
            </w:r>
          </w:p>
        </w:tc>
        <w:tc>
          <w:tcPr>
            <w:tcW w:w="611" w:type="pct"/>
            <w:tcBorders>
              <w:top w:val="single" w:sz="4" w:space="0" w:color="auto"/>
              <w:left w:val="single" w:sz="4" w:space="0" w:color="auto"/>
              <w:bottom w:val="single" w:sz="4" w:space="0" w:color="auto"/>
              <w:right w:val="single" w:sz="4" w:space="0" w:color="auto"/>
            </w:tcBorders>
            <w:hideMark/>
          </w:tcPr>
          <w:p w14:paraId="4B0A8E34" w14:textId="40127490" w:rsidR="00034A31" w:rsidRPr="00F91CC3" w:rsidRDefault="00034A31" w:rsidP="00CE6EE8">
            <w:pPr>
              <w:keepNext/>
              <w:jc w:val="center"/>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w:t>
            </w:r>
            <w:r w:rsidR="004E53B2">
              <w:rPr>
                <w:rFonts w:ascii="Arial Narrow" w:eastAsiaTheme="majorEastAsia" w:hAnsi="Arial Narrow" w:cstheme="majorBidi"/>
                <w:bCs/>
                <w:sz w:val="20"/>
                <w:szCs w:val="20"/>
              </w:rPr>
              <w:t xml:space="preserve"> </w:t>
            </w:r>
            <w:r w:rsidR="004E53B2" w:rsidRPr="004E53B2">
              <w:rPr>
                <w:rFonts w:ascii="Arial Narrow" w:eastAsiaTheme="majorEastAsia" w:hAnsi="Arial Narrow" w:cstheme="majorBidi" w:hint="eastAsia"/>
                <w:bCs/>
                <w:color w:val="000000"/>
                <w:w w:val="27"/>
                <w:sz w:val="20"/>
                <w:szCs w:val="20"/>
                <w:shd w:val="solid" w:color="000000" w:fill="000000"/>
                <w:fitText w:val="120" w:id="-1032066552"/>
                <w14:textFill>
                  <w14:solidFill>
                    <w14:srgbClr w14:val="000000">
                      <w14:alpha w14:val="100000"/>
                    </w14:srgbClr>
                  </w14:solidFill>
                </w14:textFill>
              </w:rPr>
              <w:t xml:space="preserve">　</w:t>
            </w:r>
            <w:r w:rsidR="004E53B2" w:rsidRPr="004E53B2">
              <w:rPr>
                <w:rFonts w:ascii="Arial Narrow" w:eastAsiaTheme="majorEastAsia" w:hAnsi="Arial Narrow" w:cstheme="majorBidi"/>
                <w:bCs/>
                <w:color w:val="000000"/>
                <w:w w:val="27"/>
                <w:sz w:val="20"/>
                <w:szCs w:val="20"/>
                <w:shd w:val="solid" w:color="000000" w:fill="000000"/>
                <w:fitText w:val="120" w:id="-1032066552"/>
                <w14:textFill>
                  <w14:solidFill>
                    <w14:srgbClr w14:val="000000">
                      <w14:alpha w14:val="100000"/>
                    </w14:srgbClr>
                  </w14:solidFill>
                </w14:textFill>
              </w:rPr>
              <w:t>|</w:t>
            </w:r>
            <w:r w:rsidR="004E53B2" w:rsidRPr="004E53B2">
              <w:rPr>
                <w:rFonts w:ascii="Arial Narrow" w:eastAsiaTheme="majorEastAsia" w:hAnsi="Arial Narrow" w:cstheme="majorBidi" w:hint="eastAsia"/>
                <w:bCs/>
                <w:color w:val="000000"/>
                <w:spacing w:val="2"/>
                <w:w w:val="27"/>
                <w:sz w:val="20"/>
                <w:szCs w:val="20"/>
                <w:shd w:val="solid" w:color="000000" w:fill="000000"/>
                <w:fitText w:val="120" w:id="-1032066552"/>
                <w14:textFill>
                  <w14:solidFill>
                    <w14:srgbClr w14:val="000000">
                      <w14:alpha w14:val="100000"/>
                    </w14:srgbClr>
                  </w14:solidFill>
                </w14:textFill>
              </w:rPr>
              <w:t xml:space="preserve">　</w:t>
            </w:r>
            <w:r w:rsidR="00EA49F0">
              <w:rPr>
                <w:rFonts w:ascii="Arial Narrow" w:eastAsiaTheme="majorEastAsia" w:hAnsi="Arial Narrow" w:cstheme="majorBidi"/>
                <w:bCs/>
                <w:sz w:val="20"/>
                <w:szCs w:val="20"/>
                <w:vertAlign w:val="superscript"/>
              </w:rPr>
              <w:t>2</w:t>
            </w:r>
          </w:p>
          <w:p w14:paraId="281D11A2" w14:textId="407796D7" w:rsidR="00947BF0" w:rsidRPr="00F91CC3" w:rsidRDefault="00947BF0" w:rsidP="00CE6EE8">
            <w:pPr>
              <w:keepNext/>
              <w:jc w:val="center"/>
              <w:rPr>
                <w:rFonts w:ascii="Arial Narrow" w:eastAsiaTheme="majorEastAsia" w:hAnsi="Arial Narrow" w:cstheme="majorBidi"/>
                <w:bCs/>
                <w:sz w:val="20"/>
                <w:szCs w:val="20"/>
              </w:rPr>
            </w:pPr>
            <w:r w:rsidRPr="00EC0695">
              <w:rPr>
                <w:rFonts w:ascii="Arial Narrow" w:eastAsiaTheme="majorEastAsia" w:hAnsi="Arial Narrow" w:cstheme="majorBidi"/>
                <w:bCs/>
                <w:sz w:val="20"/>
                <w:szCs w:val="20"/>
              </w:rPr>
              <w:t>(3</w:t>
            </w:r>
            <w:r w:rsidRPr="00F91CC3">
              <w:rPr>
                <w:rFonts w:ascii="Arial Narrow" w:eastAsiaTheme="majorEastAsia" w:hAnsi="Arial Narrow" w:cstheme="majorBidi"/>
                <w:bCs/>
                <w:sz w:val="20"/>
                <w:szCs w:val="20"/>
              </w:rPr>
              <w:t>%)</w:t>
            </w:r>
          </w:p>
        </w:tc>
        <w:tc>
          <w:tcPr>
            <w:tcW w:w="611" w:type="pct"/>
            <w:tcBorders>
              <w:top w:val="single" w:sz="4" w:space="0" w:color="auto"/>
              <w:left w:val="single" w:sz="4" w:space="0" w:color="auto"/>
              <w:bottom w:val="single" w:sz="4" w:space="0" w:color="auto"/>
              <w:right w:val="single" w:sz="4" w:space="0" w:color="auto"/>
            </w:tcBorders>
            <w:hideMark/>
          </w:tcPr>
          <w:p w14:paraId="61FD3E46" w14:textId="5372D1C1" w:rsidR="00034A31" w:rsidRPr="00F91CC3" w:rsidRDefault="00034A31" w:rsidP="00CE6EE8">
            <w:pPr>
              <w:keepNext/>
              <w:jc w:val="center"/>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w:t>
            </w:r>
            <w:r w:rsidR="004E53B2">
              <w:rPr>
                <w:rFonts w:ascii="Arial Narrow" w:eastAsiaTheme="majorEastAsia" w:hAnsi="Arial Narrow" w:cstheme="majorBidi"/>
                <w:bCs/>
                <w:sz w:val="20"/>
                <w:szCs w:val="20"/>
              </w:rPr>
              <w:t xml:space="preserve"> </w:t>
            </w:r>
            <w:r w:rsidR="004E53B2" w:rsidRPr="004E53B2">
              <w:rPr>
                <w:rFonts w:ascii="Arial Narrow" w:eastAsiaTheme="majorEastAsia" w:hAnsi="Arial Narrow" w:cstheme="majorBidi" w:hint="eastAsia"/>
                <w:bCs/>
                <w:color w:val="000000"/>
                <w:w w:val="27"/>
                <w:sz w:val="20"/>
                <w:szCs w:val="20"/>
                <w:shd w:val="solid" w:color="000000" w:fill="000000"/>
                <w:fitText w:val="120" w:id="-1032066551"/>
                <w14:textFill>
                  <w14:solidFill>
                    <w14:srgbClr w14:val="000000">
                      <w14:alpha w14:val="100000"/>
                    </w14:srgbClr>
                  </w14:solidFill>
                </w14:textFill>
              </w:rPr>
              <w:t xml:space="preserve">　</w:t>
            </w:r>
            <w:r w:rsidR="004E53B2" w:rsidRPr="004E53B2">
              <w:rPr>
                <w:rFonts w:ascii="Arial Narrow" w:eastAsiaTheme="majorEastAsia" w:hAnsi="Arial Narrow" w:cstheme="majorBidi"/>
                <w:bCs/>
                <w:color w:val="000000"/>
                <w:w w:val="27"/>
                <w:sz w:val="20"/>
                <w:szCs w:val="20"/>
                <w:shd w:val="solid" w:color="000000" w:fill="000000"/>
                <w:fitText w:val="120" w:id="-1032066551"/>
                <w14:textFill>
                  <w14:solidFill>
                    <w14:srgbClr w14:val="000000">
                      <w14:alpha w14:val="100000"/>
                    </w14:srgbClr>
                  </w14:solidFill>
                </w14:textFill>
              </w:rPr>
              <w:t>|</w:t>
            </w:r>
            <w:r w:rsidR="004E53B2" w:rsidRPr="004E53B2">
              <w:rPr>
                <w:rFonts w:ascii="Arial Narrow" w:eastAsiaTheme="majorEastAsia" w:hAnsi="Arial Narrow" w:cstheme="majorBidi" w:hint="eastAsia"/>
                <w:bCs/>
                <w:color w:val="000000"/>
                <w:spacing w:val="2"/>
                <w:w w:val="27"/>
                <w:sz w:val="20"/>
                <w:szCs w:val="20"/>
                <w:shd w:val="solid" w:color="000000" w:fill="000000"/>
                <w:fitText w:val="120" w:id="-1032066551"/>
                <w14:textFill>
                  <w14:solidFill>
                    <w14:srgbClr w14:val="000000">
                      <w14:alpha w14:val="100000"/>
                    </w14:srgbClr>
                  </w14:solidFill>
                </w14:textFill>
              </w:rPr>
              <w:t xml:space="preserve">　</w:t>
            </w:r>
            <w:r w:rsidR="00EA49F0">
              <w:rPr>
                <w:rFonts w:ascii="Arial Narrow" w:eastAsiaTheme="majorEastAsia" w:hAnsi="Arial Narrow" w:cstheme="majorBidi"/>
                <w:bCs/>
                <w:sz w:val="20"/>
                <w:szCs w:val="20"/>
                <w:vertAlign w:val="superscript"/>
              </w:rPr>
              <w:t>2</w:t>
            </w:r>
          </w:p>
          <w:p w14:paraId="7E3A3E67" w14:textId="04F9FAD7" w:rsidR="00947BF0" w:rsidRPr="00F91CC3" w:rsidRDefault="00947BF0" w:rsidP="00CE6EE8">
            <w:pPr>
              <w:keepNext/>
              <w:jc w:val="center"/>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w:t>
            </w:r>
            <w:r w:rsidRPr="00EC0695">
              <w:rPr>
                <w:rFonts w:ascii="Arial Narrow" w:eastAsiaTheme="majorEastAsia" w:hAnsi="Arial Narrow" w:cstheme="majorBidi"/>
                <w:bCs/>
                <w:sz w:val="20"/>
                <w:szCs w:val="20"/>
              </w:rPr>
              <w:t>3%)</w:t>
            </w:r>
          </w:p>
        </w:tc>
        <w:tc>
          <w:tcPr>
            <w:tcW w:w="611" w:type="pct"/>
            <w:tcBorders>
              <w:top w:val="single" w:sz="4" w:space="0" w:color="auto"/>
              <w:left w:val="single" w:sz="4" w:space="0" w:color="auto"/>
              <w:bottom w:val="single" w:sz="4" w:space="0" w:color="auto"/>
              <w:right w:val="single" w:sz="4" w:space="0" w:color="auto"/>
            </w:tcBorders>
            <w:hideMark/>
          </w:tcPr>
          <w:p w14:paraId="3F468822" w14:textId="7D294042" w:rsidR="00034A31" w:rsidRPr="00F91CC3" w:rsidRDefault="00034A31" w:rsidP="00CE6EE8">
            <w:pPr>
              <w:keepNext/>
              <w:jc w:val="center"/>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w:t>
            </w:r>
            <w:r w:rsidR="004E53B2">
              <w:rPr>
                <w:rFonts w:ascii="Arial Narrow" w:eastAsiaTheme="majorEastAsia" w:hAnsi="Arial Narrow" w:cstheme="majorBidi"/>
                <w:bCs/>
                <w:sz w:val="20"/>
                <w:szCs w:val="20"/>
              </w:rPr>
              <w:t xml:space="preserve"> </w:t>
            </w:r>
            <w:r w:rsidR="004E53B2" w:rsidRPr="004E53B2">
              <w:rPr>
                <w:rFonts w:ascii="Arial Narrow" w:eastAsiaTheme="majorEastAsia" w:hAnsi="Arial Narrow" w:cstheme="majorBidi" w:hint="eastAsia"/>
                <w:bCs/>
                <w:color w:val="000000"/>
                <w:w w:val="27"/>
                <w:sz w:val="20"/>
                <w:szCs w:val="20"/>
                <w:shd w:val="solid" w:color="000000" w:fill="000000"/>
                <w:fitText w:val="120" w:id="-1032066550"/>
                <w14:textFill>
                  <w14:solidFill>
                    <w14:srgbClr w14:val="000000">
                      <w14:alpha w14:val="100000"/>
                    </w14:srgbClr>
                  </w14:solidFill>
                </w14:textFill>
              </w:rPr>
              <w:t xml:space="preserve">　</w:t>
            </w:r>
            <w:r w:rsidR="004E53B2" w:rsidRPr="004E53B2">
              <w:rPr>
                <w:rFonts w:ascii="Arial Narrow" w:eastAsiaTheme="majorEastAsia" w:hAnsi="Arial Narrow" w:cstheme="majorBidi"/>
                <w:bCs/>
                <w:color w:val="000000"/>
                <w:w w:val="27"/>
                <w:sz w:val="20"/>
                <w:szCs w:val="20"/>
                <w:shd w:val="solid" w:color="000000" w:fill="000000"/>
                <w:fitText w:val="120" w:id="-1032066550"/>
                <w14:textFill>
                  <w14:solidFill>
                    <w14:srgbClr w14:val="000000">
                      <w14:alpha w14:val="100000"/>
                    </w14:srgbClr>
                  </w14:solidFill>
                </w14:textFill>
              </w:rPr>
              <w:t>|</w:t>
            </w:r>
            <w:r w:rsidR="004E53B2" w:rsidRPr="004E53B2">
              <w:rPr>
                <w:rFonts w:ascii="Arial Narrow" w:eastAsiaTheme="majorEastAsia" w:hAnsi="Arial Narrow" w:cstheme="majorBidi" w:hint="eastAsia"/>
                <w:bCs/>
                <w:color w:val="000000"/>
                <w:spacing w:val="2"/>
                <w:w w:val="27"/>
                <w:sz w:val="20"/>
                <w:szCs w:val="20"/>
                <w:shd w:val="solid" w:color="000000" w:fill="000000"/>
                <w:fitText w:val="120" w:id="-1032066550"/>
                <w14:textFill>
                  <w14:solidFill>
                    <w14:srgbClr w14:val="000000">
                      <w14:alpha w14:val="100000"/>
                    </w14:srgbClr>
                  </w14:solidFill>
                </w14:textFill>
              </w:rPr>
              <w:t xml:space="preserve">　</w:t>
            </w:r>
            <w:r w:rsidR="00EA49F0">
              <w:rPr>
                <w:rFonts w:ascii="Arial Narrow" w:eastAsiaTheme="majorEastAsia" w:hAnsi="Arial Narrow" w:cstheme="majorBidi"/>
                <w:bCs/>
                <w:sz w:val="20"/>
                <w:szCs w:val="20"/>
                <w:vertAlign w:val="superscript"/>
              </w:rPr>
              <w:t>2</w:t>
            </w:r>
          </w:p>
          <w:p w14:paraId="1B78EB5C" w14:textId="197044EC" w:rsidR="00947BF0" w:rsidRPr="00F91CC3" w:rsidRDefault="00947BF0" w:rsidP="00CE6EE8">
            <w:pPr>
              <w:keepNext/>
              <w:jc w:val="center"/>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w:t>
            </w:r>
            <w:r w:rsidRPr="00EC0695">
              <w:rPr>
                <w:rFonts w:ascii="Arial Narrow" w:eastAsiaTheme="majorEastAsia" w:hAnsi="Arial Narrow" w:cstheme="majorBidi"/>
                <w:bCs/>
                <w:sz w:val="20"/>
                <w:szCs w:val="20"/>
              </w:rPr>
              <w:t>3</w:t>
            </w:r>
            <w:r w:rsidRPr="00F91CC3">
              <w:rPr>
                <w:rFonts w:ascii="Arial Narrow" w:eastAsiaTheme="majorEastAsia" w:hAnsi="Arial Narrow" w:cstheme="majorBidi"/>
                <w:bCs/>
                <w:sz w:val="20"/>
                <w:szCs w:val="20"/>
              </w:rPr>
              <w:t>%)</w:t>
            </w:r>
          </w:p>
        </w:tc>
        <w:tc>
          <w:tcPr>
            <w:tcW w:w="611" w:type="pct"/>
            <w:tcBorders>
              <w:top w:val="single" w:sz="4" w:space="0" w:color="auto"/>
              <w:left w:val="single" w:sz="4" w:space="0" w:color="auto"/>
              <w:bottom w:val="single" w:sz="4" w:space="0" w:color="auto"/>
              <w:right w:val="single" w:sz="4" w:space="0" w:color="auto"/>
            </w:tcBorders>
            <w:hideMark/>
          </w:tcPr>
          <w:p w14:paraId="6398AE39" w14:textId="5116A5A2" w:rsidR="00034A31" w:rsidRPr="00F91CC3" w:rsidRDefault="00034A31" w:rsidP="00CE6EE8">
            <w:pPr>
              <w:keepNext/>
              <w:jc w:val="center"/>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w:t>
            </w:r>
            <w:r w:rsidR="004E53B2">
              <w:rPr>
                <w:rFonts w:ascii="Arial Narrow" w:eastAsiaTheme="majorEastAsia" w:hAnsi="Arial Narrow" w:cstheme="majorBidi"/>
                <w:bCs/>
                <w:sz w:val="20"/>
                <w:szCs w:val="20"/>
              </w:rPr>
              <w:t xml:space="preserve"> </w:t>
            </w:r>
            <w:r w:rsidR="004E53B2" w:rsidRPr="004E53B2">
              <w:rPr>
                <w:rFonts w:ascii="Arial Narrow" w:eastAsiaTheme="majorEastAsia" w:hAnsi="Arial Narrow" w:cstheme="majorBidi" w:hint="eastAsia"/>
                <w:bCs/>
                <w:color w:val="000000"/>
                <w:w w:val="27"/>
                <w:sz w:val="20"/>
                <w:szCs w:val="20"/>
                <w:shd w:val="solid" w:color="000000" w:fill="000000"/>
                <w:fitText w:val="120" w:id="-1032066549"/>
                <w14:textFill>
                  <w14:solidFill>
                    <w14:srgbClr w14:val="000000">
                      <w14:alpha w14:val="100000"/>
                    </w14:srgbClr>
                  </w14:solidFill>
                </w14:textFill>
              </w:rPr>
              <w:t xml:space="preserve">　</w:t>
            </w:r>
            <w:r w:rsidR="004E53B2" w:rsidRPr="004E53B2">
              <w:rPr>
                <w:rFonts w:ascii="Arial Narrow" w:eastAsiaTheme="majorEastAsia" w:hAnsi="Arial Narrow" w:cstheme="majorBidi"/>
                <w:bCs/>
                <w:color w:val="000000"/>
                <w:w w:val="27"/>
                <w:sz w:val="20"/>
                <w:szCs w:val="20"/>
                <w:shd w:val="solid" w:color="000000" w:fill="000000"/>
                <w:fitText w:val="120" w:id="-1032066549"/>
                <w14:textFill>
                  <w14:solidFill>
                    <w14:srgbClr w14:val="000000">
                      <w14:alpha w14:val="100000"/>
                    </w14:srgbClr>
                  </w14:solidFill>
                </w14:textFill>
              </w:rPr>
              <w:t>|</w:t>
            </w:r>
            <w:r w:rsidR="004E53B2" w:rsidRPr="004E53B2">
              <w:rPr>
                <w:rFonts w:ascii="Arial Narrow" w:eastAsiaTheme="majorEastAsia" w:hAnsi="Arial Narrow" w:cstheme="majorBidi" w:hint="eastAsia"/>
                <w:bCs/>
                <w:color w:val="000000"/>
                <w:spacing w:val="2"/>
                <w:w w:val="27"/>
                <w:sz w:val="20"/>
                <w:szCs w:val="20"/>
                <w:shd w:val="solid" w:color="000000" w:fill="000000"/>
                <w:fitText w:val="120" w:id="-1032066549"/>
                <w14:textFill>
                  <w14:solidFill>
                    <w14:srgbClr w14:val="000000">
                      <w14:alpha w14:val="100000"/>
                    </w14:srgbClr>
                  </w14:solidFill>
                </w14:textFill>
              </w:rPr>
              <w:t xml:space="preserve">　</w:t>
            </w:r>
            <w:r w:rsidR="00EA49F0">
              <w:rPr>
                <w:rFonts w:ascii="Arial Narrow" w:eastAsiaTheme="majorEastAsia" w:hAnsi="Arial Narrow" w:cstheme="majorBidi"/>
                <w:bCs/>
                <w:sz w:val="20"/>
                <w:szCs w:val="20"/>
                <w:vertAlign w:val="superscript"/>
              </w:rPr>
              <w:t>2</w:t>
            </w:r>
          </w:p>
          <w:p w14:paraId="08E9D84E" w14:textId="5C988166" w:rsidR="00947BF0" w:rsidRPr="00F91CC3" w:rsidRDefault="00947BF0" w:rsidP="00CE6EE8">
            <w:pPr>
              <w:keepNext/>
              <w:jc w:val="center"/>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w:t>
            </w:r>
            <w:r w:rsidRPr="00EC0695">
              <w:rPr>
                <w:rFonts w:ascii="Arial Narrow" w:eastAsiaTheme="majorEastAsia" w:hAnsi="Arial Narrow" w:cstheme="majorBidi"/>
                <w:bCs/>
                <w:sz w:val="20"/>
                <w:szCs w:val="20"/>
              </w:rPr>
              <w:t>3</w:t>
            </w:r>
            <w:r w:rsidRPr="00F91CC3">
              <w:rPr>
                <w:rFonts w:ascii="Arial Narrow" w:eastAsiaTheme="majorEastAsia" w:hAnsi="Arial Narrow" w:cstheme="majorBidi"/>
                <w:bCs/>
                <w:sz w:val="20"/>
                <w:szCs w:val="20"/>
              </w:rPr>
              <w:t>%)</w:t>
            </w:r>
          </w:p>
        </w:tc>
        <w:tc>
          <w:tcPr>
            <w:tcW w:w="612" w:type="pct"/>
            <w:tcBorders>
              <w:top w:val="single" w:sz="4" w:space="0" w:color="auto"/>
              <w:left w:val="single" w:sz="4" w:space="0" w:color="auto"/>
              <w:bottom w:val="single" w:sz="4" w:space="0" w:color="auto"/>
              <w:right w:val="single" w:sz="4" w:space="0" w:color="auto"/>
            </w:tcBorders>
            <w:hideMark/>
          </w:tcPr>
          <w:p w14:paraId="0E1BDE70" w14:textId="3ECE2964" w:rsidR="00947BF0" w:rsidRPr="00F91CC3" w:rsidRDefault="00034A31" w:rsidP="00CE6EE8">
            <w:pPr>
              <w:keepNext/>
              <w:jc w:val="center"/>
              <w:rPr>
                <w:rFonts w:ascii="Arial Narrow" w:eastAsiaTheme="majorEastAsia" w:hAnsi="Arial Narrow" w:cstheme="majorBidi"/>
                <w:bCs/>
                <w:sz w:val="20"/>
                <w:szCs w:val="20"/>
              </w:rPr>
            </w:pPr>
            <w:r w:rsidRPr="00F91CC3">
              <w:rPr>
                <w:rFonts w:ascii="Arial Narrow" w:eastAsiaTheme="majorEastAsia" w:hAnsi="Arial Narrow" w:cstheme="majorBidi"/>
                <w:bCs/>
                <w:sz w:val="20"/>
                <w:szCs w:val="20"/>
              </w:rPr>
              <w:t>$</w:t>
            </w:r>
            <w:r w:rsidR="004E53B2">
              <w:rPr>
                <w:rFonts w:ascii="Arial Narrow" w:eastAsiaTheme="majorEastAsia" w:hAnsi="Arial Narrow" w:cstheme="majorBidi"/>
                <w:bCs/>
                <w:sz w:val="20"/>
                <w:szCs w:val="20"/>
              </w:rPr>
              <w:t xml:space="preserve"> </w:t>
            </w:r>
            <w:r w:rsidR="004E53B2" w:rsidRPr="004E53B2">
              <w:rPr>
                <w:rFonts w:ascii="Arial Narrow" w:eastAsiaTheme="majorEastAsia" w:hAnsi="Arial Narrow" w:cstheme="majorBidi"/>
                <w:bCs/>
                <w:color w:val="000000"/>
                <w:spacing w:val="214"/>
                <w:sz w:val="20"/>
                <w:szCs w:val="20"/>
                <w:shd w:val="solid" w:color="000000" w:fill="000000"/>
                <w:fitText w:val="300" w:id="-1032066548"/>
                <w14:textFill>
                  <w14:solidFill>
                    <w14:srgbClr w14:val="000000">
                      <w14:alpha w14:val="100000"/>
                    </w14:srgbClr>
                  </w14:solidFill>
                </w14:textFill>
              </w:rPr>
              <w:t>|</w:t>
            </w:r>
            <w:r w:rsidR="004E53B2" w:rsidRPr="004E53B2">
              <w:rPr>
                <w:rFonts w:ascii="Arial Narrow" w:eastAsiaTheme="majorEastAsia" w:hAnsi="Arial Narrow" w:cstheme="majorBidi"/>
                <w:bCs/>
                <w:color w:val="000000"/>
                <w:spacing w:val="1"/>
                <w:sz w:val="20"/>
                <w:szCs w:val="20"/>
                <w:shd w:val="solid" w:color="000000" w:fill="000000"/>
                <w:fitText w:val="300" w:id="-1032066548"/>
                <w14:textFill>
                  <w14:solidFill>
                    <w14:srgbClr w14:val="000000">
                      <w14:alpha w14:val="100000"/>
                    </w14:srgbClr>
                  </w14:solidFill>
                </w14:textFill>
              </w:rPr>
              <w:t>|</w:t>
            </w:r>
            <w:r w:rsidR="00EA49F0">
              <w:rPr>
                <w:rFonts w:ascii="Arial Narrow" w:eastAsiaTheme="majorEastAsia" w:hAnsi="Arial Narrow" w:cstheme="majorBidi"/>
                <w:bCs/>
                <w:sz w:val="20"/>
                <w:szCs w:val="20"/>
                <w:vertAlign w:val="superscript"/>
              </w:rPr>
              <w:t>2</w:t>
            </w:r>
            <w:r w:rsidR="00EC0695">
              <w:rPr>
                <w:rFonts w:ascii="Arial Narrow" w:eastAsiaTheme="majorEastAsia" w:hAnsi="Arial Narrow" w:cstheme="majorBidi"/>
                <w:bCs/>
                <w:sz w:val="20"/>
                <w:szCs w:val="20"/>
                <w:vertAlign w:val="superscript"/>
              </w:rPr>
              <w:t xml:space="preserve"> </w:t>
            </w:r>
            <w:r w:rsidR="00947BF0" w:rsidRPr="00F91CC3">
              <w:rPr>
                <w:rFonts w:ascii="Arial Narrow" w:eastAsiaTheme="majorEastAsia" w:hAnsi="Arial Narrow" w:cstheme="majorBidi"/>
                <w:bCs/>
                <w:sz w:val="20"/>
                <w:szCs w:val="20"/>
              </w:rPr>
              <w:t>(</w:t>
            </w:r>
            <w:r w:rsidR="00947BF0" w:rsidRPr="00EC0695">
              <w:rPr>
                <w:rFonts w:ascii="Arial Narrow" w:eastAsiaTheme="majorEastAsia" w:hAnsi="Arial Narrow" w:cstheme="majorBidi"/>
                <w:bCs/>
                <w:sz w:val="20"/>
                <w:szCs w:val="20"/>
              </w:rPr>
              <w:t>3%)</w:t>
            </w:r>
          </w:p>
        </w:tc>
      </w:tr>
      <w:tr w:rsidR="00034A31" w:rsidRPr="00F91CC3" w14:paraId="4051FDC3" w14:textId="77777777" w:rsidTr="00CE6EE8">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1ECD2D5D" w14:textId="49BE9EA1" w:rsidR="00034A31" w:rsidRPr="00F91CC3" w:rsidRDefault="00A3411F" w:rsidP="003A3172">
            <w:pPr>
              <w:keepNext/>
              <w:jc w:val="left"/>
              <w:rPr>
                <w:rFonts w:ascii="Arial Narrow" w:eastAsiaTheme="majorEastAsia" w:hAnsi="Arial Narrow" w:cstheme="majorBidi"/>
                <w:bCs/>
                <w:sz w:val="20"/>
              </w:rPr>
            </w:pPr>
            <w:r w:rsidRPr="00F91CC3">
              <w:rPr>
                <w:rFonts w:ascii="Arial Narrow" w:eastAsiaTheme="majorEastAsia" w:hAnsi="Arial Narrow" w:cstheme="majorBidi"/>
                <w:b/>
                <w:sz w:val="20"/>
                <w:szCs w:val="20"/>
              </w:rPr>
              <w:t>F/(R117H or RF)</w:t>
            </w:r>
            <w:r w:rsidR="00034A31" w:rsidRPr="00F91CC3">
              <w:rPr>
                <w:rFonts w:ascii="Arial Narrow" w:eastAsiaTheme="majorEastAsia" w:hAnsi="Arial Narrow" w:cstheme="majorBidi"/>
                <w:b/>
                <w:sz w:val="20"/>
                <w:szCs w:val="20"/>
              </w:rPr>
              <w:t xml:space="preserve"> patients aged 4 months </w:t>
            </w:r>
            <w:r w:rsidRPr="00F91CC3">
              <w:rPr>
                <w:rFonts w:ascii="Arial Narrow" w:eastAsiaTheme="majorEastAsia" w:hAnsi="Arial Narrow" w:cstheme="majorBidi"/>
                <w:b/>
                <w:sz w:val="20"/>
                <w:szCs w:val="20"/>
              </w:rPr>
              <w:t>and</w:t>
            </w:r>
            <w:r w:rsidR="00034A31" w:rsidRPr="00F91CC3">
              <w:rPr>
                <w:rFonts w:ascii="Arial Narrow" w:eastAsiaTheme="majorEastAsia" w:hAnsi="Arial Narrow" w:cstheme="majorBidi"/>
                <w:b/>
                <w:sz w:val="20"/>
                <w:szCs w:val="20"/>
              </w:rPr>
              <w:t xml:space="preserve"> older</w:t>
            </w:r>
          </w:p>
        </w:tc>
      </w:tr>
      <w:tr w:rsidR="00034A31" w:rsidRPr="00F91CC3" w14:paraId="7FEE5A4A" w14:textId="77777777" w:rsidTr="00CE6EE8">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2480E56D" w14:textId="77777777" w:rsidR="00034A31" w:rsidRPr="00F91CC3" w:rsidRDefault="00034A31" w:rsidP="00CE6EE8">
            <w:pPr>
              <w:keepNext/>
              <w:jc w:val="left"/>
              <w:rPr>
                <w:rFonts w:ascii="Arial Narrow" w:eastAsiaTheme="majorEastAsia" w:hAnsi="Arial Narrow" w:cstheme="majorBidi"/>
                <w:bCs/>
                <w:sz w:val="20"/>
              </w:rPr>
            </w:pPr>
            <w:r w:rsidRPr="00F91CC3">
              <w:rPr>
                <w:rFonts w:ascii="Arial Narrow" w:eastAsiaTheme="majorEastAsia" w:hAnsi="Arial Narrow" w:cstheme="majorBidi"/>
                <w:b/>
                <w:color w:val="000000"/>
                <w:sz w:val="20"/>
              </w:rPr>
              <w:t>Estimated extent of use</w:t>
            </w:r>
          </w:p>
        </w:tc>
      </w:tr>
      <w:tr w:rsidR="00CE6EE8" w:rsidRPr="00F91CC3" w14:paraId="15E89259" w14:textId="77777777" w:rsidTr="00CE6EE8">
        <w:tc>
          <w:tcPr>
            <w:tcW w:w="1333" w:type="pct"/>
            <w:tcBorders>
              <w:top w:val="single" w:sz="4" w:space="0" w:color="auto"/>
              <w:left w:val="single" w:sz="4" w:space="0" w:color="auto"/>
              <w:bottom w:val="single" w:sz="4" w:space="0" w:color="auto"/>
              <w:right w:val="single" w:sz="4" w:space="0" w:color="auto"/>
            </w:tcBorders>
            <w:vAlign w:val="center"/>
            <w:hideMark/>
          </w:tcPr>
          <w:p w14:paraId="760AC4F6" w14:textId="77777777" w:rsidR="004A1A67" w:rsidRPr="00F91CC3" w:rsidRDefault="004A1A67" w:rsidP="00CE6EE8">
            <w:pPr>
              <w:keepNext/>
              <w:jc w:val="left"/>
              <w:rPr>
                <w:rFonts w:ascii="Arial Narrow" w:eastAsiaTheme="majorEastAsia" w:hAnsi="Arial Narrow" w:cstheme="majorBidi"/>
                <w:bCs/>
                <w:sz w:val="19"/>
                <w:szCs w:val="19"/>
                <w:vertAlign w:val="superscript"/>
              </w:rPr>
            </w:pPr>
            <w:r w:rsidRPr="00F91CC3">
              <w:rPr>
                <w:rFonts w:ascii="Arial Narrow" w:eastAsiaTheme="majorEastAsia" w:hAnsi="Arial Narrow" w:cstheme="majorBidi"/>
                <w:bCs/>
                <w:sz w:val="20"/>
              </w:rPr>
              <w:t xml:space="preserve">Number of patients treated (FTE) </w:t>
            </w:r>
            <w:r w:rsidRPr="00F91CC3">
              <w:rPr>
                <w:rFonts w:ascii="Arial Narrow" w:eastAsiaTheme="majorEastAsia" w:hAnsi="Arial Narrow" w:cstheme="majorBidi"/>
                <w:bCs/>
                <w:sz w:val="20"/>
                <w:vertAlign w:val="superscript"/>
              </w:rPr>
              <w:t>c</w:t>
            </w:r>
          </w:p>
        </w:tc>
        <w:tc>
          <w:tcPr>
            <w:tcW w:w="611" w:type="pct"/>
            <w:tcBorders>
              <w:top w:val="single" w:sz="4" w:space="0" w:color="auto"/>
              <w:left w:val="single" w:sz="4" w:space="0" w:color="auto"/>
              <w:bottom w:val="single" w:sz="4" w:space="0" w:color="auto"/>
              <w:right w:val="single" w:sz="4" w:space="0" w:color="auto"/>
            </w:tcBorders>
            <w:hideMark/>
          </w:tcPr>
          <w:p w14:paraId="163309C8" w14:textId="5A8A2320" w:rsidR="004A1A67"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sz w:val="20"/>
                <w:szCs w:val="20"/>
              </w:rPr>
              <w:t xml:space="preserve"> </w:t>
            </w:r>
            <w:r w:rsidRPr="004E53B2">
              <w:rPr>
                <w:rFonts w:ascii="Arial Narrow" w:hAnsi="Arial Narrow" w:hint="eastAsia"/>
                <w:color w:val="000000"/>
                <w:w w:val="15"/>
                <w:sz w:val="20"/>
                <w:szCs w:val="20"/>
                <w:shd w:val="solid" w:color="000000" w:fill="000000"/>
                <w:fitText w:val="70" w:id="-1032066547"/>
                <w14:textFill>
                  <w14:solidFill>
                    <w14:srgbClr w14:val="000000">
                      <w14:alpha w14:val="100000"/>
                    </w14:srgbClr>
                  </w14:solidFill>
                </w14:textFill>
              </w:rPr>
              <w:t xml:space="preserve">　</w:t>
            </w:r>
            <w:r w:rsidRPr="004E53B2">
              <w:rPr>
                <w:rFonts w:ascii="Arial Narrow" w:hAnsi="Arial Narrow"/>
                <w:color w:val="000000"/>
                <w:w w:val="15"/>
                <w:sz w:val="20"/>
                <w:szCs w:val="20"/>
                <w:shd w:val="solid" w:color="000000" w:fill="000000"/>
                <w:fitText w:val="70" w:id="-1032066547"/>
                <w14:textFill>
                  <w14:solidFill>
                    <w14:srgbClr w14:val="000000">
                      <w14:alpha w14:val="100000"/>
                    </w14:srgbClr>
                  </w14:solidFill>
                </w14:textFill>
              </w:rPr>
              <w:t>|</w:t>
            </w:r>
            <w:r w:rsidRPr="004E53B2">
              <w:rPr>
                <w:rFonts w:ascii="Arial Narrow" w:hAnsi="Arial Narrow" w:hint="eastAsia"/>
                <w:color w:val="000000"/>
                <w:spacing w:val="4"/>
                <w:w w:val="15"/>
                <w:sz w:val="20"/>
                <w:szCs w:val="20"/>
                <w:shd w:val="solid" w:color="000000" w:fill="000000"/>
                <w:fitText w:val="70" w:id="-1032066547"/>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hideMark/>
          </w:tcPr>
          <w:p w14:paraId="3F0AED3C" w14:textId="2FE9857B" w:rsidR="004A1A67"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sz w:val="20"/>
                <w:szCs w:val="20"/>
              </w:rPr>
              <w:t xml:space="preserve"> </w:t>
            </w:r>
            <w:r w:rsidRPr="004E53B2">
              <w:rPr>
                <w:rFonts w:ascii="Arial Narrow" w:hAnsi="Arial Narrow" w:hint="eastAsia"/>
                <w:color w:val="000000"/>
                <w:w w:val="15"/>
                <w:sz w:val="20"/>
                <w:szCs w:val="20"/>
                <w:shd w:val="solid" w:color="000000" w:fill="000000"/>
                <w:fitText w:val="70" w:id="-1032066546"/>
                <w14:textFill>
                  <w14:solidFill>
                    <w14:srgbClr w14:val="000000">
                      <w14:alpha w14:val="100000"/>
                    </w14:srgbClr>
                  </w14:solidFill>
                </w14:textFill>
              </w:rPr>
              <w:t xml:space="preserve">　</w:t>
            </w:r>
            <w:r w:rsidRPr="004E53B2">
              <w:rPr>
                <w:rFonts w:ascii="Arial Narrow" w:hAnsi="Arial Narrow"/>
                <w:color w:val="000000"/>
                <w:w w:val="15"/>
                <w:sz w:val="20"/>
                <w:szCs w:val="20"/>
                <w:shd w:val="solid" w:color="000000" w:fill="000000"/>
                <w:fitText w:val="70" w:id="-1032066546"/>
                <w14:textFill>
                  <w14:solidFill>
                    <w14:srgbClr w14:val="000000">
                      <w14:alpha w14:val="100000"/>
                    </w14:srgbClr>
                  </w14:solidFill>
                </w14:textFill>
              </w:rPr>
              <w:t>|</w:t>
            </w:r>
            <w:r w:rsidRPr="004E53B2">
              <w:rPr>
                <w:rFonts w:ascii="Arial Narrow" w:hAnsi="Arial Narrow" w:hint="eastAsia"/>
                <w:color w:val="000000"/>
                <w:spacing w:val="4"/>
                <w:w w:val="15"/>
                <w:sz w:val="20"/>
                <w:szCs w:val="20"/>
                <w:shd w:val="solid" w:color="000000" w:fill="000000"/>
                <w:fitText w:val="70" w:id="-1032066546"/>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hideMark/>
          </w:tcPr>
          <w:p w14:paraId="213BFDC0" w14:textId="4500EA77" w:rsidR="004A1A67"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sz w:val="20"/>
                <w:szCs w:val="20"/>
              </w:rPr>
              <w:t xml:space="preserve"> </w:t>
            </w:r>
            <w:r w:rsidRPr="004E53B2">
              <w:rPr>
                <w:rFonts w:ascii="Arial Narrow" w:hAnsi="Arial Narrow" w:hint="eastAsia"/>
                <w:color w:val="000000"/>
                <w:w w:val="15"/>
                <w:sz w:val="20"/>
                <w:szCs w:val="20"/>
                <w:shd w:val="solid" w:color="000000" w:fill="000000"/>
                <w:fitText w:val="70" w:id="-1032066545"/>
                <w14:textFill>
                  <w14:solidFill>
                    <w14:srgbClr w14:val="000000">
                      <w14:alpha w14:val="100000"/>
                    </w14:srgbClr>
                  </w14:solidFill>
                </w14:textFill>
              </w:rPr>
              <w:t xml:space="preserve">　</w:t>
            </w:r>
            <w:r w:rsidRPr="004E53B2">
              <w:rPr>
                <w:rFonts w:ascii="Arial Narrow" w:hAnsi="Arial Narrow"/>
                <w:color w:val="000000"/>
                <w:w w:val="15"/>
                <w:sz w:val="20"/>
                <w:szCs w:val="20"/>
                <w:shd w:val="solid" w:color="000000" w:fill="000000"/>
                <w:fitText w:val="70" w:id="-1032066545"/>
                <w14:textFill>
                  <w14:solidFill>
                    <w14:srgbClr w14:val="000000">
                      <w14:alpha w14:val="100000"/>
                    </w14:srgbClr>
                  </w14:solidFill>
                </w14:textFill>
              </w:rPr>
              <w:t>|</w:t>
            </w:r>
            <w:r w:rsidRPr="004E53B2">
              <w:rPr>
                <w:rFonts w:ascii="Arial Narrow" w:hAnsi="Arial Narrow" w:hint="eastAsia"/>
                <w:color w:val="000000"/>
                <w:spacing w:val="4"/>
                <w:w w:val="15"/>
                <w:sz w:val="20"/>
                <w:szCs w:val="20"/>
                <w:shd w:val="solid" w:color="000000" w:fill="000000"/>
                <w:fitText w:val="70" w:id="-1032066545"/>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hideMark/>
          </w:tcPr>
          <w:p w14:paraId="15827842" w14:textId="7A1F7E54" w:rsidR="004A1A67"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sz w:val="20"/>
                <w:szCs w:val="20"/>
              </w:rPr>
              <w:t xml:space="preserve"> </w:t>
            </w:r>
            <w:r w:rsidRPr="004E53B2">
              <w:rPr>
                <w:rFonts w:ascii="Arial Narrow" w:hAnsi="Arial Narrow" w:hint="eastAsia"/>
                <w:color w:val="000000"/>
                <w:w w:val="15"/>
                <w:sz w:val="20"/>
                <w:szCs w:val="20"/>
                <w:shd w:val="solid" w:color="000000" w:fill="000000"/>
                <w:fitText w:val="70" w:id="-1032066544"/>
                <w14:textFill>
                  <w14:solidFill>
                    <w14:srgbClr w14:val="000000">
                      <w14:alpha w14:val="100000"/>
                    </w14:srgbClr>
                  </w14:solidFill>
                </w14:textFill>
              </w:rPr>
              <w:t xml:space="preserve">　</w:t>
            </w:r>
            <w:r w:rsidRPr="004E53B2">
              <w:rPr>
                <w:rFonts w:ascii="Arial Narrow" w:hAnsi="Arial Narrow"/>
                <w:color w:val="000000"/>
                <w:w w:val="15"/>
                <w:sz w:val="20"/>
                <w:szCs w:val="20"/>
                <w:shd w:val="solid" w:color="000000" w:fill="000000"/>
                <w:fitText w:val="70" w:id="-1032066544"/>
                <w14:textFill>
                  <w14:solidFill>
                    <w14:srgbClr w14:val="000000">
                      <w14:alpha w14:val="100000"/>
                    </w14:srgbClr>
                  </w14:solidFill>
                </w14:textFill>
              </w:rPr>
              <w:t>|</w:t>
            </w:r>
            <w:r w:rsidRPr="004E53B2">
              <w:rPr>
                <w:rFonts w:ascii="Arial Narrow" w:hAnsi="Arial Narrow" w:hint="eastAsia"/>
                <w:color w:val="000000"/>
                <w:spacing w:val="4"/>
                <w:w w:val="15"/>
                <w:sz w:val="20"/>
                <w:szCs w:val="20"/>
                <w:shd w:val="solid" w:color="000000" w:fill="000000"/>
                <w:fitText w:val="70" w:id="-1032066544"/>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hideMark/>
          </w:tcPr>
          <w:p w14:paraId="494C36B8" w14:textId="50BC719E" w:rsidR="004A1A67"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sz w:val="20"/>
                <w:szCs w:val="20"/>
              </w:rPr>
              <w:t xml:space="preserve"> </w:t>
            </w:r>
            <w:r w:rsidRPr="004E53B2">
              <w:rPr>
                <w:rFonts w:ascii="Arial Narrow" w:hAnsi="Arial Narrow" w:hint="eastAsia"/>
                <w:color w:val="000000"/>
                <w:w w:val="15"/>
                <w:sz w:val="20"/>
                <w:szCs w:val="20"/>
                <w:shd w:val="solid" w:color="000000" w:fill="000000"/>
                <w:fitText w:val="70" w:id="-1032066560"/>
                <w14:textFill>
                  <w14:solidFill>
                    <w14:srgbClr w14:val="000000">
                      <w14:alpha w14:val="100000"/>
                    </w14:srgbClr>
                  </w14:solidFill>
                </w14:textFill>
              </w:rPr>
              <w:t xml:space="preserve">　</w:t>
            </w:r>
            <w:r w:rsidRPr="004E53B2">
              <w:rPr>
                <w:rFonts w:ascii="Arial Narrow" w:hAnsi="Arial Narrow"/>
                <w:color w:val="000000"/>
                <w:w w:val="15"/>
                <w:sz w:val="20"/>
                <w:szCs w:val="20"/>
                <w:shd w:val="solid" w:color="000000" w:fill="000000"/>
                <w:fitText w:val="70" w:id="-1032066560"/>
                <w14:textFill>
                  <w14:solidFill>
                    <w14:srgbClr w14:val="000000">
                      <w14:alpha w14:val="100000"/>
                    </w14:srgbClr>
                  </w14:solidFill>
                </w14:textFill>
              </w:rPr>
              <w:t>|</w:t>
            </w:r>
            <w:r w:rsidRPr="004E53B2">
              <w:rPr>
                <w:rFonts w:ascii="Arial Narrow" w:hAnsi="Arial Narrow" w:hint="eastAsia"/>
                <w:color w:val="000000"/>
                <w:spacing w:val="4"/>
                <w:w w:val="15"/>
                <w:sz w:val="20"/>
                <w:szCs w:val="20"/>
                <w:shd w:val="solid" w:color="000000" w:fill="000000"/>
                <w:fitText w:val="70" w:id="-1032066560"/>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2" w:type="pct"/>
            <w:tcBorders>
              <w:top w:val="single" w:sz="4" w:space="0" w:color="auto"/>
              <w:left w:val="single" w:sz="4" w:space="0" w:color="auto"/>
              <w:bottom w:val="single" w:sz="4" w:space="0" w:color="auto"/>
              <w:right w:val="single" w:sz="4" w:space="0" w:color="auto"/>
            </w:tcBorders>
            <w:hideMark/>
          </w:tcPr>
          <w:p w14:paraId="0BDC1A45" w14:textId="034A40CD" w:rsidR="004A1A67"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sz w:val="20"/>
                <w:szCs w:val="20"/>
              </w:rPr>
              <w:t xml:space="preserve"> </w:t>
            </w:r>
            <w:r w:rsidRPr="004E53B2">
              <w:rPr>
                <w:rFonts w:ascii="Arial Narrow" w:hAnsi="Arial Narrow" w:hint="eastAsia"/>
                <w:color w:val="000000"/>
                <w:w w:val="18"/>
                <w:sz w:val="20"/>
                <w:szCs w:val="20"/>
                <w:shd w:val="solid" w:color="000000" w:fill="000000"/>
                <w:fitText w:val="80" w:id="-1032066559"/>
                <w14:textFill>
                  <w14:solidFill>
                    <w14:srgbClr w14:val="000000">
                      <w14:alpha w14:val="100000"/>
                    </w14:srgbClr>
                  </w14:solidFill>
                </w14:textFill>
              </w:rPr>
              <w:t xml:space="preserve">　</w:t>
            </w:r>
            <w:r w:rsidRPr="004E53B2">
              <w:rPr>
                <w:rFonts w:ascii="Arial Narrow" w:hAnsi="Arial Narrow"/>
                <w:color w:val="000000"/>
                <w:w w:val="18"/>
                <w:sz w:val="20"/>
                <w:szCs w:val="20"/>
                <w:shd w:val="solid" w:color="000000" w:fill="000000"/>
                <w:fitText w:val="80" w:id="-1032066559"/>
                <w14:textFill>
                  <w14:solidFill>
                    <w14:srgbClr w14:val="000000">
                      <w14:alpha w14:val="100000"/>
                    </w14:srgbClr>
                  </w14:solidFill>
                </w14:textFill>
              </w:rPr>
              <w:t>|</w:t>
            </w:r>
            <w:r w:rsidRPr="004E53B2">
              <w:rPr>
                <w:rFonts w:ascii="Arial Narrow" w:hAnsi="Arial Narrow" w:hint="eastAsia"/>
                <w:color w:val="000000"/>
                <w:w w:val="18"/>
                <w:sz w:val="20"/>
                <w:szCs w:val="20"/>
                <w:shd w:val="solid" w:color="000000" w:fill="000000"/>
                <w:fitText w:val="80" w:id="-1032066559"/>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r>
      <w:tr w:rsidR="00CE6EE8" w:rsidRPr="00F91CC3" w14:paraId="1F8900E7" w14:textId="77777777" w:rsidTr="00CE6EE8">
        <w:tc>
          <w:tcPr>
            <w:tcW w:w="1333" w:type="pct"/>
            <w:tcBorders>
              <w:top w:val="single" w:sz="4" w:space="0" w:color="auto"/>
              <w:left w:val="single" w:sz="4" w:space="0" w:color="auto"/>
              <w:bottom w:val="single" w:sz="4" w:space="0" w:color="auto"/>
              <w:right w:val="single" w:sz="4" w:space="0" w:color="auto"/>
            </w:tcBorders>
            <w:vAlign w:val="center"/>
            <w:hideMark/>
          </w:tcPr>
          <w:p w14:paraId="16432C89" w14:textId="77777777" w:rsidR="00A45F07" w:rsidRPr="00F91CC3" w:rsidRDefault="00A45F07" w:rsidP="00CE6EE8">
            <w:pPr>
              <w:keepNext/>
              <w:jc w:val="left"/>
              <w:rPr>
                <w:rFonts w:ascii="Arial Narrow" w:eastAsiaTheme="majorEastAsia" w:hAnsi="Arial Narrow" w:cstheme="majorBidi"/>
                <w:bCs/>
                <w:sz w:val="19"/>
                <w:szCs w:val="19"/>
                <w:vertAlign w:val="superscript"/>
              </w:rPr>
            </w:pPr>
            <w:r w:rsidRPr="00F91CC3">
              <w:rPr>
                <w:rFonts w:ascii="Arial Narrow" w:eastAsiaTheme="majorEastAsia" w:hAnsi="Arial Narrow" w:cstheme="majorBidi"/>
                <w:bCs/>
                <w:sz w:val="20"/>
              </w:rPr>
              <w:t xml:space="preserve">Number of scripts dispensed </w:t>
            </w:r>
            <w:r w:rsidRPr="00F91CC3">
              <w:rPr>
                <w:rFonts w:ascii="Arial Narrow" w:eastAsiaTheme="majorEastAsia" w:hAnsi="Arial Narrow" w:cstheme="majorBidi"/>
                <w:bCs/>
                <w:sz w:val="20"/>
                <w:vertAlign w:val="superscript"/>
              </w:rPr>
              <w:t>d</w:t>
            </w:r>
          </w:p>
        </w:tc>
        <w:tc>
          <w:tcPr>
            <w:tcW w:w="611" w:type="pct"/>
            <w:tcBorders>
              <w:top w:val="single" w:sz="4" w:space="0" w:color="auto"/>
              <w:left w:val="single" w:sz="4" w:space="0" w:color="auto"/>
              <w:bottom w:val="single" w:sz="4" w:space="0" w:color="auto"/>
              <w:right w:val="single" w:sz="4" w:space="0" w:color="auto"/>
            </w:tcBorders>
            <w:vAlign w:val="bottom"/>
            <w:hideMark/>
          </w:tcPr>
          <w:p w14:paraId="2A105332" w14:textId="47AEE414" w:rsidR="00A45F07"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cs="Calibri"/>
                <w:color w:val="000000"/>
                <w:sz w:val="20"/>
                <w:szCs w:val="20"/>
              </w:rPr>
              <w:t xml:space="preserve"> </w:t>
            </w:r>
            <w:r w:rsidRPr="004E53B2">
              <w:rPr>
                <w:rFonts w:ascii="Arial Narrow" w:hAnsi="Arial Narrow" w:cs="Calibri" w:hint="eastAsia"/>
                <w:color w:val="000000"/>
                <w:w w:val="15"/>
                <w:sz w:val="20"/>
                <w:szCs w:val="20"/>
                <w:shd w:val="solid" w:color="000000" w:fill="000000"/>
                <w:fitText w:val="70" w:id="-1032066558"/>
                <w14:textFill>
                  <w14:solidFill>
                    <w14:srgbClr w14:val="000000">
                      <w14:alpha w14:val="100000"/>
                    </w14:srgbClr>
                  </w14:solidFill>
                </w14:textFill>
              </w:rPr>
              <w:t xml:space="preserve">　</w:t>
            </w:r>
            <w:r w:rsidRPr="004E53B2">
              <w:rPr>
                <w:rFonts w:ascii="Arial Narrow" w:hAnsi="Arial Narrow" w:cs="Calibri"/>
                <w:color w:val="000000"/>
                <w:w w:val="15"/>
                <w:sz w:val="20"/>
                <w:szCs w:val="20"/>
                <w:shd w:val="solid" w:color="000000" w:fill="000000"/>
                <w:fitText w:val="70" w:id="-1032066558"/>
                <w14:textFill>
                  <w14:solidFill>
                    <w14:srgbClr w14:val="000000">
                      <w14:alpha w14:val="100000"/>
                    </w14:srgbClr>
                  </w14:solidFill>
                </w14:textFill>
              </w:rPr>
              <w:t>|</w:t>
            </w:r>
            <w:r w:rsidRPr="004E53B2">
              <w:rPr>
                <w:rFonts w:ascii="Arial Narrow" w:hAnsi="Arial Narrow" w:cs="Calibri" w:hint="eastAsia"/>
                <w:color w:val="000000"/>
                <w:spacing w:val="4"/>
                <w:w w:val="15"/>
                <w:sz w:val="20"/>
                <w:szCs w:val="20"/>
                <w:shd w:val="solid" w:color="000000" w:fill="000000"/>
                <w:fitText w:val="70" w:id="-1032066558"/>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vAlign w:val="bottom"/>
            <w:hideMark/>
          </w:tcPr>
          <w:p w14:paraId="4F546D52" w14:textId="7B67E3C5" w:rsidR="00A45F07"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cs="Calibri"/>
                <w:color w:val="000000"/>
                <w:sz w:val="20"/>
                <w:szCs w:val="20"/>
              </w:rPr>
              <w:t xml:space="preserve"> </w:t>
            </w:r>
            <w:r w:rsidRPr="004E53B2">
              <w:rPr>
                <w:rFonts w:ascii="Arial Narrow" w:hAnsi="Arial Narrow" w:cs="Calibri" w:hint="eastAsia"/>
                <w:color w:val="000000"/>
                <w:w w:val="15"/>
                <w:sz w:val="20"/>
                <w:szCs w:val="20"/>
                <w:shd w:val="solid" w:color="000000" w:fill="000000"/>
                <w:fitText w:val="70" w:id="-1032066557"/>
                <w14:textFill>
                  <w14:solidFill>
                    <w14:srgbClr w14:val="000000">
                      <w14:alpha w14:val="100000"/>
                    </w14:srgbClr>
                  </w14:solidFill>
                </w14:textFill>
              </w:rPr>
              <w:t xml:space="preserve">　</w:t>
            </w:r>
            <w:r w:rsidRPr="004E53B2">
              <w:rPr>
                <w:rFonts w:ascii="Arial Narrow" w:hAnsi="Arial Narrow" w:cs="Calibri"/>
                <w:color w:val="000000"/>
                <w:w w:val="15"/>
                <w:sz w:val="20"/>
                <w:szCs w:val="20"/>
                <w:shd w:val="solid" w:color="000000" w:fill="000000"/>
                <w:fitText w:val="70" w:id="-1032066557"/>
                <w14:textFill>
                  <w14:solidFill>
                    <w14:srgbClr w14:val="000000">
                      <w14:alpha w14:val="100000"/>
                    </w14:srgbClr>
                  </w14:solidFill>
                </w14:textFill>
              </w:rPr>
              <w:t>|</w:t>
            </w:r>
            <w:r w:rsidRPr="004E53B2">
              <w:rPr>
                <w:rFonts w:ascii="Arial Narrow" w:hAnsi="Arial Narrow" w:cs="Calibri" w:hint="eastAsia"/>
                <w:color w:val="000000"/>
                <w:spacing w:val="4"/>
                <w:w w:val="15"/>
                <w:sz w:val="20"/>
                <w:szCs w:val="20"/>
                <w:shd w:val="solid" w:color="000000" w:fill="000000"/>
                <w:fitText w:val="70" w:id="-1032066557"/>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vAlign w:val="bottom"/>
            <w:hideMark/>
          </w:tcPr>
          <w:p w14:paraId="74F2B98E" w14:textId="3626F1F2" w:rsidR="00A45F07"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cs="Calibri"/>
                <w:color w:val="000000"/>
                <w:sz w:val="20"/>
                <w:szCs w:val="20"/>
              </w:rPr>
              <w:t xml:space="preserve"> </w:t>
            </w:r>
            <w:r w:rsidRPr="004E53B2">
              <w:rPr>
                <w:rFonts w:ascii="Arial Narrow" w:hAnsi="Arial Narrow" w:cs="Calibri" w:hint="eastAsia"/>
                <w:color w:val="000000"/>
                <w:w w:val="15"/>
                <w:sz w:val="20"/>
                <w:szCs w:val="20"/>
                <w:shd w:val="solid" w:color="000000" w:fill="000000"/>
                <w:fitText w:val="70" w:id="-1032066556"/>
                <w14:textFill>
                  <w14:solidFill>
                    <w14:srgbClr w14:val="000000">
                      <w14:alpha w14:val="100000"/>
                    </w14:srgbClr>
                  </w14:solidFill>
                </w14:textFill>
              </w:rPr>
              <w:t xml:space="preserve">　</w:t>
            </w:r>
            <w:r w:rsidRPr="004E53B2">
              <w:rPr>
                <w:rFonts w:ascii="Arial Narrow" w:hAnsi="Arial Narrow" w:cs="Calibri"/>
                <w:color w:val="000000"/>
                <w:w w:val="15"/>
                <w:sz w:val="20"/>
                <w:szCs w:val="20"/>
                <w:shd w:val="solid" w:color="000000" w:fill="000000"/>
                <w:fitText w:val="70" w:id="-1032066556"/>
                <w14:textFill>
                  <w14:solidFill>
                    <w14:srgbClr w14:val="000000">
                      <w14:alpha w14:val="100000"/>
                    </w14:srgbClr>
                  </w14:solidFill>
                </w14:textFill>
              </w:rPr>
              <w:t>|</w:t>
            </w:r>
            <w:r w:rsidRPr="004E53B2">
              <w:rPr>
                <w:rFonts w:ascii="Arial Narrow" w:hAnsi="Arial Narrow" w:cs="Calibri" w:hint="eastAsia"/>
                <w:color w:val="000000"/>
                <w:spacing w:val="4"/>
                <w:w w:val="15"/>
                <w:sz w:val="20"/>
                <w:szCs w:val="20"/>
                <w:shd w:val="solid" w:color="000000" w:fill="000000"/>
                <w:fitText w:val="70" w:id="-1032066556"/>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vAlign w:val="bottom"/>
            <w:hideMark/>
          </w:tcPr>
          <w:p w14:paraId="1EC56377" w14:textId="00D8F403" w:rsidR="00A45F07"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cs="Calibri"/>
                <w:color w:val="000000"/>
                <w:sz w:val="20"/>
                <w:szCs w:val="20"/>
              </w:rPr>
              <w:t xml:space="preserve"> </w:t>
            </w:r>
            <w:r w:rsidRPr="004E53B2">
              <w:rPr>
                <w:rFonts w:ascii="Arial Narrow" w:hAnsi="Arial Narrow" w:cs="Calibri" w:hint="eastAsia"/>
                <w:color w:val="000000"/>
                <w:w w:val="15"/>
                <w:sz w:val="20"/>
                <w:szCs w:val="20"/>
                <w:shd w:val="solid" w:color="000000" w:fill="000000"/>
                <w:fitText w:val="70" w:id="-1032066555"/>
                <w14:textFill>
                  <w14:solidFill>
                    <w14:srgbClr w14:val="000000">
                      <w14:alpha w14:val="100000"/>
                    </w14:srgbClr>
                  </w14:solidFill>
                </w14:textFill>
              </w:rPr>
              <w:t xml:space="preserve">　</w:t>
            </w:r>
            <w:r w:rsidRPr="004E53B2">
              <w:rPr>
                <w:rFonts w:ascii="Arial Narrow" w:hAnsi="Arial Narrow" w:cs="Calibri"/>
                <w:color w:val="000000"/>
                <w:w w:val="15"/>
                <w:sz w:val="20"/>
                <w:szCs w:val="20"/>
                <w:shd w:val="solid" w:color="000000" w:fill="000000"/>
                <w:fitText w:val="70" w:id="-1032066555"/>
                <w14:textFill>
                  <w14:solidFill>
                    <w14:srgbClr w14:val="000000">
                      <w14:alpha w14:val="100000"/>
                    </w14:srgbClr>
                  </w14:solidFill>
                </w14:textFill>
              </w:rPr>
              <w:t>|</w:t>
            </w:r>
            <w:r w:rsidRPr="004E53B2">
              <w:rPr>
                <w:rFonts w:ascii="Arial Narrow" w:hAnsi="Arial Narrow" w:cs="Calibri" w:hint="eastAsia"/>
                <w:color w:val="000000"/>
                <w:spacing w:val="4"/>
                <w:w w:val="15"/>
                <w:sz w:val="20"/>
                <w:szCs w:val="20"/>
                <w:shd w:val="solid" w:color="000000" w:fill="000000"/>
                <w:fitText w:val="70" w:id="-1032066555"/>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vAlign w:val="bottom"/>
            <w:hideMark/>
          </w:tcPr>
          <w:p w14:paraId="15858ED8" w14:textId="7E477255" w:rsidR="00A45F07"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cs="Calibri"/>
                <w:color w:val="000000"/>
                <w:sz w:val="20"/>
                <w:szCs w:val="20"/>
              </w:rPr>
              <w:t xml:space="preserve"> </w:t>
            </w:r>
            <w:r w:rsidRPr="004E53B2">
              <w:rPr>
                <w:rFonts w:ascii="Arial Narrow" w:hAnsi="Arial Narrow" w:cs="Calibri" w:hint="eastAsia"/>
                <w:color w:val="000000"/>
                <w:w w:val="15"/>
                <w:sz w:val="20"/>
                <w:szCs w:val="20"/>
                <w:shd w:val="solid" w:color="000000" w:fill="000000"/>
                <w:fitText w:val="70" w:id="-1032066304"/>
                <w14:textFill>
                  <w14:solidFill>
                    <w14:srgbClr w14:val="000000">
                      <w14:alpha w14:val="100000"/>
                    </w14:srgbClr>
                  </w14:solidFill>
                </w14:textFill>
              </w:rPr>
              <w:t xml:space="preserve">　</w:t>
            </w:r>
            <w:r w:rsidRPr="004E53B2">
              <w:rPr>
                <w:rFonts w:ascii="Arial Narrow" w:hAnsi="Arial Narrow" w:cs="Calibri"/>
                <w:color w:val="000000"/>
                <w:w w:val="15"/>
                <w:sz w:val="20"/>
                <w:szCs w:val="20"/>
                <w:shd w:val="solid" w:color="000000" w:fill="000000"/>
                <w:fitText w:val="70" w:id="-1032066304"/>
                <w14:textFill>
                  <w14:solidFill>
                    <w14:srgbClr w14:val="000000">
                      <w14:alpha w14:val="100000"/>
                    </w14:srgbClr>
                  </w14:solidFill>
                </w14:textFill>
              </w:rPr>
              <w:t>|</w:t>
            </w:r>
            <w:r w:rsidRPr="004E53B2">
              <w:rPr>
                <w:rFonts w:ascii="Arial Narrow" w:hAnsi="Arial Narrow" w:cs="Calibri" w:hint="eastAsia"/>
                <w:color w:val="000000"/>
                <w:spacing w:val="4"/>
                <w:w w:val="15"/>
                <w:sz w:val="20"/>
                <w:szCs w:val="20"/>
                <w:shd w:val="solid" w:color="000000" w:fill="000000"/>
                <w:fitText w:val="70" w:id="-1032066304"/>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2" w:type="pct"/>
            <w:tcBorders>
              <w:top w:val="single" w:sz="4" w:space="0" w:color="auto"/>
              <w:left w:val="single" w:sz="4" w:space="0" w:color="auto"/>
              <w:bottom w:val="single" w:sz="4" w:space="0" w:color="auto"/>
              <w:right w:val="single" w:sz="4" w:space="0" w:color="auto"/>
            </w:tcBorders>
            <w:vAlign w:val="bottom"/>
            <w:hideMark/>
          </w:tcPr>
          <w:p w14:paraId="3FC5BA4D" w14:textId="639C35E5" w:rsidR="00A45F07"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cs="Calibri"/>
                <w:color w:val="000000"/>
                <w:sz w:val="20"/>
                <w:szCs w:val="20"/>
              </w:rPr>
              <w:t xml:space="preserve"> </w:t>
            </w:r>
            <w:r w:rsidRPr="004E53B2">
              <w:rPr>
                <w:rFonts w:ascii="Arial Narrow" w:hAnsi="Arial Narrow" w:cs="Calibri" w:hint="eastAsia"/>
                <w:color w:val="000000"/>
                <w:w w:val="18"/>
                <w:sz w:val="20"/>
                <w:szCs w:val="20"/>
                <w:shd w:val="solid" w:color="000000" w:fill="000000"/>
                <w:fitText w:val="80" w:id="-1032066303"/>
                <w14:textFill>
                  <w14:solidFill>
                    <w14:srgbClr w14:val="000000">
                      <w14:alpha w14:val="100000"/>
                    </w14:srgbClr>
                  </w14:solidFill>
                </w14:textFill>
              </w:rPr>
              <w:t xml:space="preserve">　</w:t>
            </w:r>
            <w:r w:rsidRPr="004E53B2">
              <w:rPr>
                <w:rFonts w:ascii="Arial Narrow" w:hAnsi="Arial Narrow" w:cs="Calibri"/>
                <w:color w:val="000000"/>
                <w:w w:val="18"/>
                <w:sz w:val="20"/>
                <w:szCs w:val="20"/>
                <w:shd w:val="solid" w:color="000000" w:fill="000000"/>
                <w:fitText w:val="80" w:id="-1032066303"/>
                <w14:textFill>
                  <w14:solidFill>
                    <w14:srgbClr w14:val="000000">
                      <w14:alpha w14:val="100000"/>
                    </w14:srgbClr>
                  </w14:solidFill>
                </w14:textFill>
              </w:rPr>
              <w:t>|</w:t>
            </w:r>
            <w:r w:rsidRPr="004E53B2">
              <w:rPr>
                <w:rFonts w:ascii="Arial Narrow" w:hAnsi="Arial Narrow" w:cs="Calibri" w:hint="eastAsia"/>
                <w:color w:val="000000"/>
                <w:w w:val="18"/>
                <w:sz w:val="20"/>
                <w:szCs w:val="20"/>
                <w:shd w:val="solid" w:color="000000" w:fill="000000"/>
                <w:fitText w:val="80" w:id="-1032066303"/>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r>
      <w:tr w:rsidR="00807566" w:rsidRPr="00F91CC3" w14:paraId="6B5ED0B1" w14:textId="77777777" w:rsidTr="00CE6EE8">
        <w:tc>
          <w:tcPr>
            <w:tcW w:w="5000" w:type="pct"/>
            <w:gridSpan w:val="7"/>
            <w:tcBorders>
              <w:top w:val="single" w:sz="4" w:space="0" w:color="auto"/>
              <w:left w:val="single" w:sz="4" w:space="0" w:color="auto"/>
              <w:bottom w:val="single" w:sz="4" w:space="0" w:color="auto"/>
              <w:right w:val="single" w:sz="4" w:space="0" w:color="auto"/>
            </w:tcBorders>
            <w:vAlign w:val="center"/>
          </w:tcPr>
          <w:p w14:paraId="2BD37C93" w14:textId="12A084FB" w:rsidR="00807566" w:rsidRPr="00F91CC3" w:rsidRDefault="00807566" w:rsidP="002676CB">
            <w:pPr>
              <w:keepNext/>
              <w:jc w:val="left"/>
              <w:rPr>
                <w:rFonts w:ascii="Arial Narrow" w:hAnsi="Arial Narrow" w:cs="Calibri"/>
                <w:color w:val="000000"/>
                <w:sz w:val="20"/>
                <w:szCs w:val="20"/>
              </w:rPr>
            </w:pPr>
            <w:r w:rsidRPr="00F91CC3">
              <w:rPr>
                <w:rFonts w:ascii="Arial Narrow" w:eastAsiaTheme="majorEastAsia" w:hAnsi="Arial Narrow" w:cstheme="majorBidi"/>
                <w:b/>
                <w:sz w:val="20"/>
              </w:rPr>
              <w:t>Estimated financial implications of ivacaftor</w:t>
            </w:r>
          </w:p>
        </w:tc>
      </w:tr>
      <w:tr w:rsidR="00063D90" w:rsidRPr="00F91CC3" w14:paraId="5EF34564" w14:textId="77777777" w:rsidTr="00752600">
        <w:tc>
          <w:tcPr>
            <w:tcW w:w="1333" w:type="pct"/>
            <w:tcBorders>
              <w:top w:val="single" w:sz="4" w:space="0" w:color="auto"/>
              <w:left w:val="single" w:sz="4" w:space="0" w:color="auto"/>
              <w:bottom w:val="single" w:sz="4" w:space="0" w:color="auto"/>
              <w:right w:val="single" w:sz="4" w:space="0" w:color="auto"/>
            </w:tcBorders>
            <w:vAlign w:val="center"/>
          </w:tcPr>
          <w:p w14:paraId="4B7092F6" w14:textId="6C18A898" w:rsidR="00063D90" w:rsidRPr="00F91CC3" w:rsidRDefault="00063D90" w:rsidP="00CE6EE8">
            <w:pPr>
              <w:keepNext/>
              <w:jc w:val="left"/>
              <w:rPr>
                <w:rFonts w:ascii="Arial Narrow" w:eastAsiaTheme="majorEastAsia" w:hAnsi="Arial Narrow" w:cstheme="majorBidi"/>
                <w:bCs/>
                <w:sz w:val="19"/>
                <w:szCs w:val="19"/>
              </w:rPr>
            </w:pPr>
            <w:r w:rsidRPr="00F91CC3">
              <w:rPr>
                <w:rFonts w:ascii="Arial Narrow" w:eastAsiaTheme="majorEastAsia" w:hAnsi="Arial Narrow" w:cstheme="majorBidi"/>
                <w:bCs/>
                <w:sz w:val="19"/>
                <w:szCs w:val="19"/>
              </w:rPr>
              <w:t xml:space="preserve">Cost to PBS/RPBS less </w:t>
            </w:r>
            <w:r w:rsidR="00D07430" w:rsidRPr="00F91CC3">
              <w:rPr>
                <w:rFonts w:ascii="Arial Narrow" w:eastAsiaTheme="majorEastAsia" w:hAnsi="Arial Narrow" w:cstheme="majorBidi"/>
                <w:bCs/>
                <w:sz w:val="19"/>
                <w:szCs w:val="19"/>
              </w:rPr>
              <w:t>co-payments</w:t>
            </w:r>
            <w:r w:rsidRPr="00F91CC3">
              <w:rPr>
                <w:rFonts w:ascii="Arial Narrow" w:eastAsiaTheme="majorEastAsia" w:hAnsi="Arial Narrow" w:cstheme="majorBidi"/>
                <w:bCs/>
                <w:sz w:val="19"/>
                <w:szCs w:val="19"/>
              </w:rPr>
              <w:t xml:space="preserve"> </w:t>
            </w:r>
          </w:p>
          <w:p w14:paraId="49167BE5" w14:textId="72FBE38A" w:rsidR="00063D90" w:rsidRPr="00F91CC3" w:rsidRDefault="00063D90" w:rsidP="00CE6EE8">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19"/>
                <w:szCs w:val="19"/>
              </w:rPr>
              <w:t>(% net cost to PBS/RPBS)</w:t>
            </w:r>
          </w:p>
        </w:tc>
        <w:tc>
          <w:tcPr>
            <w:tcW w:w="611" w:type="pct"/>
            <w:tcBorders>
              <w:top w:val="single" w:sz="4" w:space="0" w:color="auto"/>
              <w:left w:val="single" w:sz="4" w:space="0" w:color="auto"/>
              <w:bottom w:val="single" w:sz="4" w:space="0" w:color="auto"/>
              <w:right w:val="single" w:sz="4" w:space="0" w:color="auto"/>
            </w:tcBorders>
            <w:vAlign w:val="center"/>
          </w:tcPr>
          <w:p w14:paraId="0136DE47" w14:textId="20C7F20E" w:rsidR="00063D90" w:rsidRPr="00F91CC3" w:rsidRDefault="00063D90" w:rsidP="00CE6EE8">
            <w:pPr>
              <w:keepNext/>
              <w:jc w:val="center"/>
              <w:rPr>
                <w:rFonts w:ascii="Arial Narrow" w:hAnsi="Arial Narrow" w:cs="Calibri"/>
                <w:color w:val="000000"/>
                <w:sz w:val="20"/>
                <w:szCs w:val="20"/>
              </w:rPr>
            </w:pPr>
            <w:r w:rsidRPr="00F91CC3">
              <w:rPr>
                <w:rFonts w:ascii="Arial Narrow" w:hAnsi="Arial Narrow" w:cs="Calibri"/>
                <w:color w:val="000000"/>
                <w:sz w:val="20"/>
                <w:szCs w:val="20"/>
              </w:rPr>
              <w:t>$</w:t>
            </w:r>
            <w:r w:rsidR="004E53B2">
              <w:rPr>
                <w:rFonts w:ascii="Arial Narrow" w:hAnsi="Arial Narrow" w:cs="Calibri"/>
                <w:color w:val="000000"/>
                <w:sz w:val="20"/>
                <w:szCs w:val="20"/>
              </w:rPr>
              <w:t xml:space="preserve"> </w:t>
            </w:r>
            <w:r w:rsidR="004E53B2" w:rsidRPr="004E53B2">
              <w:rPr>
                <w:rFonts w:ascii="Arial Narrow" w:hAnsi="Arial Narrow" w:cs="Calibri" w:hint="eastAsia"/>
                <w:color w:val="000000"/>
                <w:w w:val="27"/>
                <w:sz w:val="20"/>
                <w:szCs w:val="20"/>
                <w:shd w:val="solid" w:color="000000" w:fill="000000"/>
                <w:fitText w:val="120" w:id="-1032066302"/>
                <w14:textFill>
                  <w14:solidFill>
                    <w14:srgbClr w14:val="000000">
                      <w14:alpha w14:val="100000"/>
                    </w14:srgbClr>
                  </w14:solidFill>
                </w14:textFill>
              </w:rPr>
              <w:t xml:space="preserve">　</w:t>
            </w:r>
            <w:r w:rsidR="004E53B2" w:rsidRPr="004E53B2">
              <w:rPr>
                <w:rFonts w:ascii="Arial Narrow" w:hAnsi="Arial Narrow" w:cs="Calibri"/>
                <w:color w:val="000000"/>
                <w:w w:val="27"/>
                <w:sz w:val="20"/>
                <w:szCs w:val="20"/>
                <w:shd w:val="solid" w:color="000000" w:fill="000000"/>
                <w:fitText w:val="120" w:id="-1032066302"/>
                <w14:textFill>
                  <w14:solidFill>
                    <w14:srgbClr w14:val="000000">
                      <w14:alpha w14:val="100000"/>
                    </w14:srgbClr>
                  </w14:solidFill>
                </w14:textFill>
              </w:rPr>
              <w:t>|</w:t>
            </w:r>
            <w:r w:rsidR="004E53B2" w:rsidRPr="004E53B2">
              <w:rPr>
                <w:rFonts w:ascii="Arial Narrow" w:hAnsi="Arial Narrow" w:cs="Calibri" w:hint="eastAsia"/>
                <w:color w:val="000000"/>
                <w:spacing w:val="2"/>
                <w:w w:val="27"/>
                <w:sz w:val="20"/>
                <w:szCs w:val="20"/>
                <w:shd w:val="solid" w:color="000000" w:fill="000000"/>
                <w:fitText w:val="120" w:id="-1032066302"/>
                <w14:textFill>
                  <w14:solidFill>
                    <w14:srgbClr w14:val="000000">
                      <w14:alpha w14:val="100000"/>
                    </w14:srgbClr>
                  </w14:solidFill>
                </w14:textFill>
              </w:rPr>
              <w:t xml:space="preserve">　</w:t>
            </w:r>
            <w:r w:rsidR="00EA49F0">
              <w:rPr>
                <w:rFonts w:ascii="Arial Narrow" w:eastAsiaTheme="majorEastAsia" w:hAnsi="Arial Narrow" w:cstheme="majorBidi"/>
                <w:bCs/>
                <w:sz w:val="20"/>
                <w:szCs w:val="20"/>
                <w:vertAlign w:val="superscript"/>
              </w:rPr>
              <w:t>2</w:t>
            </w:r>
          </w:p>
          <w:p w14:paraId="7E9BE8DD" w14:textId="0258618C" w:rsidR="00063D90" w:rsidRPr="00F91CC3" w:rsidRDefault="00063D90" w:rsidP="00CE6EE8">
            <w:pPr>
              <w:keepNext/>
              <w:jc w:val="center"/>
              <w:rPr>
                <w:rFonts w:ascii="Arial Narrow" w:hAnsi="Arial Narrow" w:cs="Calibri"/>
                <w:color w:val="000000"/>
                <w:sz w:val="20"/>
                <w:szCs w:val="20"/>
              </w:rPr>
            </w:pPr>
            <w:r w:rsidRPr="00EC0695">
              <w:rPr>
                <w:rFonts w:ascii="Arial Narrow" w:hAnsi="Arial Narrow" w:cs="Calibri"/>
                <w:color w:val="000000"/>
                <w:sz w:val="20"/>
                <w:szCs w:val="20"/>
              </w:rPr>
              <w:t>(4</w:t>
            </w:r>
            <w:r w:rsidR="00E666F5" w:rsidRPr="00EC0695">
              <w:rPr>
                <w:rFonts w:ascii="Arial Narrow" w:hAnsi="Arial Narrow" w:cs="Calibri"/>
                <w:color w:val="000000"/>
                <w:sz w:val="20"/>
                <w:szCs w:val="20"/>
              </w:rPr>
              <w:t>4</w:t>
            </w:r>
            <w:r w:rsidRPr="00F91CC3">
              <w:rPr>
                <w:rFonts w:ascii="Arial Narrow" w:hAnsi="Arial Narrow" w:cs="Calibri"/>
                <w:color w:val="000000"/>
                <w:sz w:val="20"/>
                <w:szCs w:val="20"/>
              </w:rPr>
              <w:t>%)</w:t>
            </w:r>
          </w:p>
        </w:tc>
        <w:tc>
          <w:tcPr>
            <w:tcW w:w="611" w:type="pct"/>
            <w:tcBorders>
              <w:top w:val="single" w:sz="4" w:space="0" w:color="auto"/>
              <w:left w:val="single" w:sz="4" w:space="0" w:color="auto"/>
              <w:bottom w:val="single" w:sz="4" w:space="0" w:color="auto"/>
              <w:right w:val="single" w:sz="4" w:space="0" w:color="auto"/>
            </w:tcBorders>
            <w:vAlign w:val="center"/>
          </w:tcPr>
          <w:p w14:paraId="51C700E3" w14:textId="5DD35873" w:rsidR="00063D90" w:rsidRPr="00F91CC3" w:rsidRDefault="00063D90" w:rsidP="00CE6EE8">
            <w:pPr>
              <w:keepNext/>
              <w:jc w:val="center"/>
              <w:rPr>
                <w:rFonts w:ascii="Arial Narrow" w:hAnsi="Arial Narrow" w:cs="Calibri"/>
                <w:color w:val="000000"/>
                <w:sz w:val="20"/>
                <w:szCs w:val="20"/>
              </w:rPr>
            </w:pPr>
            <w:r w:rsidRPr="00F91CC3">
              <w:rPr>
                <w:rFonts w:ascii="Arial Narrow" w:hAnsi="Arial Narrow" w:cs="Calibri"/>
                <w:color w:val="000000"/>
                <w:sz w:val="20"/>
                <w:szCs w:val="20"/>
              </w:rPr>
              <w:t>$</w:t>
            </w:r>
            <w:r w:rsidR="004E53B2">
              <w:rPr>
                <w:rFonts w:ascii="Arial Narrow" w:hAnsi="Arial Narrow" w:cs="Calibri"/>
                <w:color w:val="000000"/>
                <w:sz w:val="20"/>
                <w:szCs w:val="20"/>
              </w:rPr>
              <w:t xml:space="preserve"> </w:t>
            </w:r>
            <w:r w:rsidR="004E53B2" w:rsidRPr="004E53B2">
              <w:rPr>
                <w:rFonts w:ascii="Arial Narrow" w:hAnsi="Arial Narrow" w:cs="Calibri" w:hint="eastAsia"/>
                <w:color w:val="000000"/>
                <w:w w:val="27"/>
                <w:sz w:val="20"/>
                <w:szCs w:val="20"/>
                <w:shd w:val="solid" w:color="000000" w:fill="000000"/>
                <w:fitText w:val="120" w:id="-1032066301"/>
                <w14:textFill>
                  <w14:solidFill>
                    <w14:srgbClr w14:val="000000">
                      <w14:alpha w14:val="100000"/>
                    </w14:srgbClr>
                  </w14:solidFill>
                </w14:textFill>
              </w:rPr>
              <w:t xml:space="preserve">　</w:t>
            </w:r>
            <w:r w:rsidR="004E53B2" w:rsidRPr="004E53B2">
              <w:rPr>
                <w:rFonts w:ascii="Arial Narrow" w:hAnsi="Arial Narrow" w:cs="Calibri"/>
                <w:color w:val="000000"/>
                <w:w w:val="27"/>
                <w:sz w:val="20"/>
                <w:szCs w:val="20"/>
                <w:shd w:val="solid" w:color="000000" w:fill="000000"/>
                <w:fitText w:val="120" w:id="-1032066301"/>
                <w14:textFill>
                  <w14:solidFill>
                    <w14:srgbClr w14:val="000000">
                      <w14:alpha w14:val="100000"/>
                    </w14:srgbClr>
                  </w14:solidFill>
                </w14:textFill>
              </w:rPr>
              <w:t>|</w:t>
            </w:r>
            <w:r w:rsidR="004E53B2" w:rsidRPr="004E53B2">
              <w:rPr>
                <w:rFonts w:ascii="Arial Narrow" w:hAnsi="Arial Narrow" w:cs="Calibri" w:hint="eastAsia"/>
                <w:color w:val="000000"/>
                <w:spacing w:val="2"/>
                <w:w w:val="27"/>
                <w:sz w:val="20"/>
                <w:szCs w:val="20"/>
                <w:shd w:val="solid" w:color="000000" w:fill="000000"/>
                <w:fitText w:val="120" w:id="-1032066301"/>
                <w14:textFill>
                  <w14:solidFill>
                    <w14:srgbClr w14:val="000000">
                      <w14:alpha w14:val="100000"/>
                    </w14:srgbClr>
                  </w14:solidFill>
                </w14:textFill>
              </w:rPr>
              <w:t xml:space="preserve">　</w:t>
            </w:r>
            <w:r w:rsidR="00EA49F0">
              <w:rPr>
                <w:rFonts w:ascii="Arial Narrow" w:eastAsiaTheme="majorEastAsia" w:hAnsi="Arial Narrow" w:cstheme="majorBidi"/>
                <w:bCs/>
                <w:sz w:val="20"/>
                <w:szCs w:val="20"/>
                <w:vertAlign w:val="superscript"/>
              </w:rPr>
              <w:t>2</w:t>
            </w:r>
          </w:p>
          <w:p w14:paraId="3E415CF9" w14:textId="3ADC783C" w:rsidR="00063D90" w:rsidRPr="00F91CC3" w:rsidRDefault="00063D90" w:rsidP="00CE6EE8">
            <w:pPr>
              <w:keepNext/>
              <w:jc w:val="center"/>
              <w:rPr>
                <w:rFonts w:ascii="Arial Narrow" w:hAnsi="Arial Narrow" w:cs="Calibri"/>
                <w:color w:val="000000"/>
                <w:sz w:val="20"/>
                <w:szCs w:val="20"/>
              </w:rPr>
            </w:pPr>
            <w:r w:rsidRPr="00F91CC3">
              <w:rPr>
                <w:rFonts w:ascii="Arial Narrow" w:hAnsi="Arial Narrow" w:cs="Calibri"/>
                <w:color w:val="000000"/>
                <w:sz w:val="20"/>
                <w:szCs w:val="20"/>
              </w:rPr>
              <w:t>(</w:t>
            </w:r>
            <w:r w:rsidRPr="00EC0695">
              <w:rPr>
                <w:rFonts w:ascii="Arial Narrow" w:hAnsi="Arial Narrow" w:cs="Calibri"/>
                <w:color w:val="000000"/>
                <w:sz w:val="20"/>
                <w:szCs w:val="20"/>
              </w:rPr>
              <w:t>44%)</w:t>
            </w:r>
          </w:p>
        </w:tc>
        <w:tc>
          <w:tcPr>
            <w:tcW w:w="611" w:type="pct"/>
            <w:tcBorders>
              <w:top w:val="single" w:sz="4" w:space="0" w:color="auto"/>
              <w:left w:val="single" w:sz="4" w:space="0" w:color="auto"/>
              <w:bottom w:val="single" w:sz="4" w:space="0" w:color="auto"/>
              <w:right w:val="single" w:sz="4" w:space="0" w:color="auto"/>
            </w:tcBorders>
            <w:vAlign w:val="center"/>
          </w:tcPr>
          <w:p w14:paraId="3E2A7286" w14:textId="1A9E9FE0" w:rsidR="00063D90" w:rsidRPr="00F91CC3" w:rsidRDefault="00063D90" w:rsidP="00CE6EE8">
            <w:pPr>
              <w:keepNext/>
              <w:jc w:val="center"/>
              <w:rPr>
                <w:rFonts w:ascii="Arial Narrow" w:hAnsi="Arial Narrow" w:cs="Calibri"/>
                <w:color w:val="000000"/>
                <w:sz w:val="20"/>
                <w:szCs w:val="20"/>
              </w:rPr>
            </w:pPr>
            <w:r w:rsidRPr="00F91CC3">
              <w:rPr>
                <w:rFonts w:ascii="Arial Narrow" w:hAnsi="Arial Narrow" w:cs="Calibri"/>
                <w:color w:val="000000"/>
                <w:sz w:val="20"/>
                <w:szCs w:val="20"/>
              </w:rPr>
              <w:t>$</w:t>
            </w:r>
            <w:r w:rsidR="004E53B2">
              <w:rPr>
                <w:rFonts w:ascii="Arial Narrow" w:hAnsi="Arial Narrow" w:cs="Calibri"/>
                <w:color w:val="000000"/>
                <w:sz w:val="20"/>
                <w:szCs w:val="20"/>
              </w:rPr>
              <w:t xml:space="preserve"> </w:t>
            </w:r>
            <w:r w:rsidR="004E53B2" w:rsidRPr="004E53B2">
              <w:rPr>
                <w:rFonts w:ascii="Arial Narrow" w:hAnsi="Arial Narrow" w:cs="Calibri" w:hint="eastAsia"/>
                <w:color w:val="000000"/>
                <w:w w:val="27"/>
                <w:sz w:val="20"/>
                <w:szCs w:val="20"/>
                <w:shd w:val="solid" w:color="000000" w:fill="000000"/>
                <w:fitText w:val="120" w:id="-1032066300"/>
                <w14:textFill>
                  <w14:solidFill>
                    <w14:srgbClr w14:val="000000">
                      <w14:alpha w14:val="100000"/>
                    </w14:srgbClr>
                  </w14:solidFill>
                </w14:textFill>
              </w:rPr>
              <w:t xml:space="preserve">　</w:t>
            </w:r>
            <w:r w:rsidR="004E53B2" w:rsidRPr="004E53B2">
              <w:rPr>
                <w:rFonts w:ascii="Arial Narrow" w:hAnsi="Arial Narrow" w:cs="Calibri"/>
                <w:color w:val="000000"/>
                <w:w w:val="27"/>
                <w:sz w:val="20"/>
                <w:szCs w:val="20"/>
                <w:shd w:val="solid" w:color="000000" w:fill="000000"/>
                <w:fitText w:val="120" w:id="-1032066300"/>
                <w14:textFill>
                  <w14:solidFill>
                    <w14:srgbClr w14:val="000000">
                      <w14:alpha w14:val="100000"/>
                    </w14:srgbClr>
                  </w14:solidFill>
                </w14:textFill>
              </w:rPr>
              <w:t>|</w:t>
            </w:r>
            <w:r w:rsidR="004E53B2" w:rsidRPr="004E53B2">
              <w:rPr>
                <w:rFonts w:ascii="Arial Narrow" w:hAnsi="Arial Narrow" w:cs="Calibri" w:hint="eastAsia"/>
                <w:color w:val="000000"/>
                <w:spacing w:val="2"/>
                <w:w w:val="27"/>
                <w:sz w:val="20"/>
                <w:szCs w:val="20"/>
                <w:shd w:val="solid" w:color="000000" w:fill="000000"/>
                <w:fitText w:val="120" w:id="-1032066300"/>
                <w14:textFill>
                  <w14:solidFill>
                    <w14:srgbClr w14:val="000000">
                      <w14:alpha w14:val="100000"/>
                    </w14:srgbClr>
                  </w14:solidFill>
                </w14:textFill>
              </w:rPr>
              <w:t xml:space="preserve">　</w:t>
            </w:r>
            <w:r w:rsidR="00EA49F0">
              <w:rPr>
                <w:rFonts w:ascii="Arial Narrow" w:eastAsiaTheme="majorEastAsia" w:hAnsi="Arial Narrow" w:cstheme="majorBidi"/>
                <w:bCs/>
                <w:sz w:val="20"/>
                <w:szCs w:val="20"/>
                <w:vertAlign w:val="superscript"/>
              </w:rPr>
              <w:t>2</w:t>
            </w:r>
          </w:p>
          <w:p w14:paraId="6C988B81" w14:textId="5B6B82D8" w:rsidR="00063D90" w:rsidRPr="00F91CC3" w:rsidRDefault="00063D90" w:rsidP="00CE6EE8">
            <w:pPr>
              <w:keepNext/>
              <w:jc w:val="center"/>
              <w:rPr>
                <w:rFonts w:ascii="Arial Narrow" w:hAnsi="Arial Narrow" w:cs="Calibri"/>
                <w:color w:val="000000"/>
                <w:sz w:val="20"/>
                <w:szCs w:val="20"/>
              </w:rPr>
            </w:pPr>
            <w:r w:rsidRPr="00EC0695">
              <w:rPr>
                <w:rFonts w:ascii="Arial Narrow" w:hAnsi="Arial Narrow" w:cs="Calibri"/>
                <w:color w:val="000000"/>
                <w:sz w:val="20"/>
                <w:szCs w:val="20"/>
              </w:rPr>
              <w:t>(44</w:t>
            </w:r>
            <w:r w:rsidRPr="00F91CC3">
              <w:rPr>
                <w:rFonts w:ascii="Arial Narrow" w:hAnsi="Arial Narrow" w:cs="Calibri"/>
                <w:color w:val="000000"/>
                <w:sz w:val="20"/>
                <w:szCs w:val="20"/>
              </w:rPr>
              <w:t>%)</w:t>
            </w:r>
          </w:p>
        </w:tc>
        <w:tc>
          <w:tcPr>
            <w:tcW w:w="611" w:type="pct"/>
            <w:tcBorders>
              <w:top w:val="single" w:sz="4" w:space="0" w:color="auto"/>
              <w:left w:val="single" w:sz="4" w:space="0" w:color="auto"/>
              <w:bottom w:val="single" w:sz="4" w:space="0" w:color="auto"/>
              <w:right w:val="single" w:sz="4" w:space="0" w:color="auto"/>
            </w:tcBorders>
            <w:vAlign w:val="center"/>
          </w:tcPr>
          <w:p w14:paraId="54E40796" w14:textId="06287984" w:rsidR="00063D90" w:rsidRPr="00F91CC3" w:rsidRDefault="00063D90" w:rsidP="00CE6EE8">
            <w:pPr>
              <w:keepNext/>
              <w:jc w:val="center"/>
              <w:rPr>
                <w:rFonts w:ascii="Arial Narrow" w:hAnsi="Arial Narrow" w:cs="Calibri"/>
                <w:color w:val="000000"/>
                <w:sz w:val="20"/>
                <w:szCs w:val="20"/>
              </w:rPr>
            </w:pPr>
            <w:r w:rsidRPr="00F91CC3">
              <w:rPr>
                <w:rFonts w:ascii="Arial Narrow" w:hAnsi="Arial Narrow" w:cs="Calibri"/>
                <w:color w:val="000000"/>
                <w:sz w:val="20"/>
                <w:szCs w:val="20"/>
              </w:rPr>
              <w:t>$</w:t>
            </w:r>
            <w:r w:rsidR="004E53B2">
              <w:rPr>
                <w:rFonts w:ascii="Arial Narrow" w:hAnsi="Arial Narrow" w:cs="Calibri"/>
                <w:color w:val="000000"/>
                <w:sz w:val="20"/>
                <w:szCs w:val="20"/>
              </w:rPr>
              <w:t xml:space="preserve"> </w:t>
            </w:r>
            <w:r w:rsidR="004E53B2" w:rsidRPr="004E53B2">
              <w:rPr>
                <w:rFonts w:ascii="Arial Narrow" w:hAnsi="Arial Narrow" w:cs="Calibri" w:hint="eastAsia"/>
                <w:color w:val="000000"/>
                <w:w w:val="27"/>
                <w:sz w:val="20"/>
                <w:szCs w:val="20"/>
                <w:shd w:val="solid" w:color="000000" w:fill="000000"/>
                <w:fitText w:val="120" w:id="-1032066299"/>
                <w14:textFill>
                  <w14:solidFill>
                    <w14:srgbClr w14:val="000000">
                      <w14:alpha w14:val="100000"/>
                    </w14:srgbClr>
                  </w14:solidFill>
                </w14:textFill>
              </w:rPr>
              <w:t xml:space="preserve">　</w:t>
            </w:r>
            <w:r w:rsidR="004E53B2" w:rsidRPr="004E53B2">
              <w:rPr>
                <w:rFonts w:ascii="Arial Narrow" w:hAnsi="Arial Narrow" w:cs="Calibri"/>
                <w:color w:val="000000"/>
                <w:w w:val="27"/>
                <w:sz w:val="20"/>
                <w:szCs w:val="20"/>
                <w:shd w:val="solid" w:color="000000" w:fill="000000"/>
                <w:fitText w:val="120" w:id="-1032066299"/>
                <w14:textFill>
                  <w14:solidFill>
                    <w14:srgbClr w14:val="000000">
                      <w14:alpha w14:val="100000"/>
                    </w14:srgbClr>
                  </w14:solidFill>
                </w14:textFill>
              </w:rPr>
              <w:t>|</w:t>
            </w:r>
            <w:r w:rsidR="004E53B2" w:rsidRPr="004E53B2">
              <w:rPr>
                <w:rFonts w:ascii="Arial Narrow" w:hAnsi="Arial Narrow" w:cs="Calibri" w:hint="eastAsia"/>
                <w:color w:val="000000"/>
                <w:spacing w:val="2"/>
                <w:w w:val="27"/>
                <w:sz w:val="20"/>
                <w:szCs w:val="20"/>
                <w:shd w:val="solid" w:color="000000" w:fill="000000"/>
                <w:fitText w:val="120" w:id="-1032066299"/>
                <w14:textFill>
                  <w14:solidFill>
                    <w14:srgbClr w14:val="000000">
                      <w14:alpha w14:val="100000"/>
                    </w14:srgbClr>
                  </w14:solidFill>
                </w14:textFill>
              </w:rPr>
              <w:t xml:space="preserve">　</w:t>
            </w:r>
            <w:r w:rsidR="00EA49F0">
              <w:rPr>
                <w:rFonts w:ascii="Arial Narrow" w:eastAsiaTheme="majorEastAsia" w:hAnsi="Arial Narrow" w:cstheme="majorBidi"/>
                <w:bCs/>
                <w:sz w:val="20"/>
                <w:szCs w:val="20"/>
                <w:vertAlign w:val="superscript"/>
              </w:rPr>
              <w:t>2</w:t>
            </w:r>
          </w:p>
          <w:p w14:paraId="332CC5E8" w14:textId="10900F7B" w:rsidR="00063D90" w:rsidRPr="00F91CC3" w:rsidRDefault="00063D90" w:rsidP="00CE6EE8">
            <w:pPr>
              <w:keepNext/>
              <w:jc w:val="center"/>
              <w:rPr>
                <w:rFonts w:ascii="Arial Narrow" w:hAnsi="Arial Narrow" w:cs="Calibri"/>
                <w:color w:val="000000"/>
                <w:sz w:val="20"/>
                <w:szCs w:val="20"/>
              </w:rPr>
            </w:pPr>
            <w:r w:rsidRPr="00F91CC3">
              <w:rPr>
                <w:rFonts w:ascii="Arial Narrow" w:hAnsi="Arial Narrow" w:cs="Calibri"/>
                <w:color w:val="000000"/>
                <w:sz w:val="20"/>
                <w:szCs w:val="20"/>
              </w:rPr>
              <w:t>(</w:t>
            </w:r>
            <w:r w:rsidRPr="00EC0695">
              <w:rPr>
                <w:rFonts w:ascii="Arial Narrow" w:hAnsi="Arial Narrow" w:cs="Calibri"/>
                <w:color w:val="000000"/>
                <w:sz w:val="20"/>
                <w:szCs w:val="20"/>
              </w:rPr>
              <w:t>44%)</w:t>
            </w:r>
          </w:p>
        </w:tc>
        <w:tc>
          <w:tcPr>
            <w:tcW w:w="611" w:type="pct"/>
            <w:tcBorders>
              <w:top w:val="single" w:sz="4" w:space="0" w:color="auto"/>
              <w:left w:val="single" w:sz="4" w:space="0" w:color="auto"/>
              <w:bottom w:val="single" w:sz="4" w:space="0" w:color="auto"/>
              <w:right w:val="single" w:sz="4" w:space="0" w:color="auto"/>
            </w:tcBorders>
            <w:vAlign w:val="center"/>
          </w:tcPr>
          <w:p w14:paraId="56E88E49" w14:textId="699B4CBC" w:rsidR="00063D90" w:rsidRPr="00F91CC3" w:rsidRDefault="00063D90" w:rsidP="00CE6EE8">
            <w:pPr>
              <w:keepNext/>
              <w:jc w:val="center"/>
              <w:rPr>
                <w:rFonts w:ascii="Arial Narrow" w:hAnsi="Arial Narrow" w:cs="Calibri"/>
                <w:color w:val="000000"/>
                <w:sz w:val="20"/>
                <w:szCs w:val="20"/>
              </w:rPr>
            </w:pPr>
            <w:r w:rsidRPr="00F91CC3">
              <w:rPr>
                <w:rFonts w:ascii="Arial Narrow" w:hAnsi="Arial Narrow" w:cs="Calibri"/>
                <w:color w:val="000000"/>
                <w:sz w:val="20"/>
                <w:szCs w:val="20"/>
              </w:rPr>
              <w:t>$</w:t>
            </w:r>
            <w:r w:rsidR="004E53B2">
              <w:rPr>
                <w:rFonts w:ascii="Arial Narrow" w:hAnsi="Arial Narrow" w:cs="Calibri"/>
                <w:color w:val="000000"/>
                <w:sz w:val="20"/>
                <w:szCs w:val="20"/>
              </w:rPr>
              <w:t xml:space="preserve"> </w:t>
            </w:r>
            <w:r w:rsidR="004E53B2" w:rsidRPr="004E53B2">
              <w:rPr>
                <w:rFonts w:ascii="Arial Narrow" w:hAnsi="Arial Narrow" w:cs="Calibri" w:hint="eastAsia"/>
                <w:color w:val="000000"/>
                <w:w w:val="27"/>
                <w:sz w:val="20"/>
                <w:szCs w:val="20"/>
                <w:shd w:val="solid" w:color="000000" w:fill="000000"/>
                <w:fitText w:val="120" w:id="-1032066298"/>
                <w14:textFill>
                  <w14:solidFill>
                    <w14:srgbClr w14:val="000000">
                      <w14:alpha w14:val="100000"/>
                    </w14:srgbClr>
                  </w14:solidFill>
                </w14:textFill>
              </w:rPr>
              <w:t xml:space="preserve">　</w:t>
            </w:r>
            <w:r w:rsidR="004E53B2" w:rsidRPr="004E53B2">
              <w:rPr>
                <w:rFonts w:ascii="Arial Narrow" w:hAnsi="Arial Narrow" w:cs="Calibri"/>
                <w:color w:val="000000"/>
                <w:w w:val="27"/>
                <w:sz w:val="20"/>
                <w:szCs w:val="20"/>
                <w:shd w:val="solid" w:color="000000" w:fill="000000"/>
                <w:fitText w:val="120" w:id="-1032066298"/>
                <w14:textFill>
                  <w14:solidFill>
                    <w14:srgbClr w14:val="000000">
                      <w14:alpha w14:val="100000"/>
                    </w14:srgbClr>
                  </w14:solidFill>
                </w14:textFill>
              </w:rPr>
              <w:t>|</w:t>
            </w:r>
            <w:r w:rsidR="004E53B2" w:rsidRPr="004E53B2">
              <w:rPr>
                <w:rFonts w:ascii="Arial Narrow" w:hAnsi="Arial Narrow" w:cs="Calibri" w:hint="eastAsia"/>
                <w:color w:val="000000"/>
                <w:spacing w:val="2"/>
                <w:w w:val="27"/>
                <w:sz w:val="20"/>
                <w:szCs w:val="20"/>
                <w:shd w:val="solid" w:color="000000" w:fill="000000"/>
                <w:fitText w:val="120" w:id="-1032066298"/>
                <w14:textFill>
                  <w14:solidFill>
                    <w14:srgbClr w14:val="000000">
                      <w14:alpha w14:val="100000"/>
                    </w14:srgbClr>
                  </w14:solidFill>
                </w14:textFill>
              </w:rPr>
              <w:t xml:space="preserve">　</w:t>
            </w:r>
            <w:r w:rsidR="00EA49F0">
              <w:rPr>
                <w:rFonts w:ascii="Arial Narrow" w:eastAsiaTheme="majorEastAsia" w:hAnsi="Arial Narrow" w:cstheme="majorBidi"/>
                <w:bCs/>
                <w:sz w:val="20"/>
                <w:szCs w:val="20"/>
                <w:vertAlign w:val="superscript"/>
              </w:rPr>
              <w:t>2</w:t>
            </w:r>
          </w:p>
          <w:p w14:paraId="57B11A70" w14:textId="2A1CB3D2" w:rsidR="00063D90" w:rsidRPr="00F91CC3" w:rsidRDefault="00063D90" w:rsidP="00CE6EE8">
            <w:pPr>
              <w:keepNext/>
              <w:jc w:val="center"/>
              <w:rPr>
                <w:rFonts w:ascii="Arial Narrow" w:hAnsi="Arial Narrow" w:cs="Calibri"/>
                <w:color w:val="000000"/>
                <w:sz w:val="20"/>
                <w:szCs w:val="20"/>
              </w:rPr>
            </w:pPr>
            <w:r w:rsidRPr="00EC0695">
              <w:rPr>
                <w:rFonts w:ascii="Arial Narrow" w:hAnsi="Arial Narrow" w:cs="Calibri"/>
                <w:color w:val="000000"/>
                <w:sz w:val="20"/>
                <w:szCs w:val="20"/>
              </w:rPr>
              <w:t>(44</w:t>
            </w:r>
            <w:r w:rsidRPr="00F91CC3">
              <w:rPr>
                <w:rFonts w:ascii="Arial Narrow" w:hAnsi="Arial Narrow" w:cs="Calibri"/>
                <w:color w:val="000000"/>
                <w:sz w:val="20"/>
                <w:szCs w:val="20"/>
              </w:rPr>
              <w:t>%)</w:t>
            </w:r>
          </w:p>
        </w:tc>
        <w:tc>
          <w:tcPr>
            <w:tcW w:w="612" w:type="pct"/>
            <w:tcBorders>
              <w:top w:val="single" w:sz="4" w:space="0" w:color="auto"/>
              <w:left w:val="single" w:sz="4" w:space="0" w:color="auto"/>
              <w:bottom w:val="single" w:sz="4" w:space="0" w:color="auto"/>
              <w:right w:val="single" w:sz="4" w:space="0" w:color="auto"/>
            </w:tcBorders>
            <w:vAlign w:val="center"/>
          </w:tcPr>
          <w:p w14:paraId="14ABB4F6" w14:textId="330FF1BF" w:rsidR="00063D90" w:rsidRPr="00F91CC3" w:rsidRDefault="00063D90" w:rsidP="00CE6EE8">
            <w:pPr>
              <w:keepNext/>
              <w:jc w:val="center"/>
              <w:rPr>
                <w:rFonts w:ascii="Arial Narrow" w:hAnsi="Arial Narrow" w:cs="Calibri"/>
                <w:color w:val="000000"/>
                <w:sz w:val="20"/>
                <w:szCs w:val="20"/>
              </w:rPr>
            </w:pPr>
            <w:r w:rsidRPr="00F91CC3">
              <w:rPr>
                <w:rFonts w:ascii="Arial Narrow" w:hAnsi="Arial Narrow" w:cs="Calibri"/>
                <w:color w:val="000000"/>
                <w:sz w:val="20"/>
                <w:szCs w:val="20"/>
              </w:rPr>
              <w:t>$</w:t>
            </w:r>
            <w:r w:rsidR="004E53B2">
              <w:rPr>
                <w:rFonts w:ascii="Arial Narrow" w:hAnsi="Arial Narrow" w:cs="Calibri"/>
                <w:color w:val="000000"/>
                <w:sz w:val="20"/>
                <w:szCs w:val="20"/>
              </w:rPr>
              <w:t xml:space="preserve"> </w:t>
            </w:r>
            <w:r w:rsidR="004E53B2" w:rsidRPr="004E53B2">
              <w:rPr>
                <w:rFonts w:ascii="Arial Narrow" w:hAnsi="Arial Narrow" w:cs="Calibri" w:hint="eastAsia"/>
                <w:color w:val="000000"/>
                <w:w w:val="27"/>
                <w:sz w:val="20"/>
                <w:szCs w:val="20"/>
                <w:shd w:val="solid" w:color="000000" w:fill="000000"/>
                <w:fitText w:val="120" w:id="-1032066297"/>
                <w14:textFill>
                  <w14:solidFill>
                    <w14:srgbClr w14:val="000000">
                      <w14:alpha w14:val="100000"/>
                    </w14:srgbClr>
                  </w14:solidFill>
                </w14:textFill>
              </w:rPr>
              <w:t xml:space="preserve">　</w:t>
            </w:r>
            <w:r w:rsidR="004E53B2" w:rsidRPr="004E53B2">
              <w:rPr>
                <w:rFonts w:ascii="Arial Narrow" w:hAnsi="Arial Narrow" w:cs="Calibri"/>
                <w:color w:val="000000"/>
                <w:w w:val="27"/>
                <w:sz w:val="20"/>
                <w:szCs w:val="20"/>
                <w:shd w:val="solid" w:color="000000" w:fill="000000"/>
                <w:fitText w:val="120" w:id="-1032066297"/>
                <w14:textFill>
                  <w14:solidFill>
                    <w14:srgbClr w14:val="000000">
                      <w14:alpha w14:val="100000"/>
                    </w14:srgbClr>
                  </w14:solidFill>
                </w14:textFill>
              </w:rPr>
              <w:t>|</w:t>
            </w:r>
            <w:r w:rsidR="004E53B2" w:rsidRPr="004E53B2">
              <w:rPr>
                <w:rFonts w:ascii="Arial Narrow" w:hAnsi="Arial Narrow" w:cs="Calibri" w:hint="eastAsia"/>
                <w:color w:val="000000"/>
                <w:spacing w:val="2"/>
                <w:w w:val="27"/>
                <w:sz w:val="20"/>
                <w:szCs w:val="20"/>
                <w:shd w:val="solid" w:color="000000" w:fill="000000"/>
                <w:fitText w:val="120" w:id="-1032066297"/>
                <w14:textFill>
                  <w14:solidFill>
                    <w14:srgbClr w14:val="000000">
                      <w14:alpha w14:val="100000"/>
                    </w14:srgbClr>
                  </w14:solidFill>
                </w14:textFill>
              </w:rPr>
              <w:t xml:space="preserve">　</w:t>
            </w:r>
            <w:r w:rsidR="00EA49F0">
              <w:rPr>
                <w:rFonts w:ascii="Arial Narrow" w:eastAsiaTheme="majorEastAsia" w:hAnsi="Arial Narrow" w:cstheme="majorBidi"/>
                <w:bCs/>
                <w:sz w:val="20"/>
                <w:szCs w:val="20"/>
                <w:vertAlign w:val="superscript"/>
              </w:rPr>
              <w:t>2</w:t>
            </w:r>
          </w:p>
          <w:p w14:paraId="40502DA1" w14:textId="2D6862CD" w:rsidR="00063D90" w:rsidRPr="00F91CC3" w:rsidRDefault="00063D90" w:rsidP="00CE6EE8">
            <w:pPr>
              <w:keepNext/>
              <w:jc w:val="center"/>
              <w:rPr>
                <w:rFonts w:ascii="Arial Narrow" w:hAnsi="Arial Narrow" w:cs="Calibri"/>
                <w:color w:val="000000"/>
                <w:sz w:val="20"/>
                <w:szCs w:val="20"/>
              </w:rPr>
            </w:pPr>
            <w:r w:rsidRPr="00F91CC3">
              <w:rPr>
                <w:rFonts w:ascii="Arial Narrow" w:hAnsi="Arial Narrow" w:cs="Calibri"/>
                <w:color w:val="000000"/>
                <w:sz w:val="20"/>
                <w:szCs w:val="20"/>
              </w:rPr>
              <w:t>(</w:t>
            </w:r>
            <w:r w:rsidRPr="00EC0695">
              <w:rPr>
                <w:rFonts w:ascii="Arial Narrow" w:hAnsi="Arial Narrow" w:cs="Calibri"/>
                <w:color w:val="000000"/>
                <w:sz w:val="20"/>
                <w:szCs w:val="20"/>
              </w:rPr>
              <w:t>44</w:t>
            </w:r>
            <w:r w:rsidRPr="00F91CC3">
              <w:rPr>
                <w:rFonts w:ascii="Arial Narrow" w:hAnsi="Arial Narrow" w:cs="Calibri"/>
                <w:color w:val="000000"/>
                <w:sz w:val="20"/>
                <w:szCs w:val="20"/>
              </w:rPr>
              <w:t>%)</w:t>
            </w:r>
          </w:p>
        </w:tc>
      </w:tr>
      <w:tr w:rsidR="00807566" w:rsidRPr="00F91CC3" w14:paraId="748D97D4" w14:textId="77777777" w:rsidTr="00CE6EE8">
        <w:tc>
          <w:tcPr>
            <w:tcW w:w="5000" w:type="pct"/>
            <w:gridSpan w:val="7"/>
            <w:tcBorders>
              <w:top w:val="single" w:sz="4" w:space="0" w:color="auto"/>
              <w:left w:val="single" w:sz="4" w:space="0" w:color="auto"/>
              <w:bottom w:val="single" w:sz="4" w:space="0" w:color="auto"/>
              <w:right w:val="single" w:sz="4" w:space="0" w:color="auto"/>
            </w:tcBorders>
            <w:vAlign w:val="center"/>
          </w:tcPr>
          <w:p w14:paraId="38E2EC3C" w14:textId="300A989C" w:rsidR="00807566" w:rsidRPr="00F91CC3" w:rsidRDefault="00807566" w:rsidP="003A3172">
            <w:pPr>
              <w:keepNext/>
              <w:jc w:val="left"/>
              <w:rPr>
                <w:rFonts w:ascii="Arial Narrow" w:eastAsiaTheme="majorEastAsia" w:hAnsi="Arial Narrow" w:cstheme="majorBidi"/>
                <w:b/>
                <w:sz w:val="20"/>
                <w:szCs w:val="20"/>
              </w:rPr>
            </w:pPr>
            <w:r w:rsidRPr="00F91CC3">
              <w:rPr>
                <w:rFonts w:ascii="Arial Narrow" w:eastAsiaTheme="majorEastAsia" w:hAnsi="Arial Narrow" w:cstheme="majorBidi"/>
                <w:b/>
                <w:sz w:val="20"/>
                <w:szCs w:val="20"/>
              </w:rPr>
              <w:t>Non-F/R117H patients aged 4 months and older</w:t>
            </w:r>
          </w:p>
        </w:tc>
      </w:tr>
      <w:tr w:rsidR="00807566" w:rsidRPr="00F91CC3" w14:paraId="022EBF7C" w14:textId="77777777" w:rsidTr="00CE6EE8">
        <w:tc>
          <w:tcPr>
            <w:tcW w:w="5000" w:type="pct"/>
            <w:gridSpan w:val="7"/>
            <w:tcBorders>
              <w:top w:val="single" w:sz="4" w:space="0" w:color="auto"/>
              <w:left w:val="single" w:sz="4" w:space="0" w:color="auto"/>
              <w:bottom w:val="single" w:sz="4" w:space="0" w:color="auto"/>
              <w:right w:val="single" w:sz="4" w:space="0" w:color="auto"/>
            </w:tcBorders>
            <w:vAlign w:val="center"/>
          </w:tcPr>
          <w:p w14:paraId="6DCA3A62" w14:textId="30A5E2D4" w:rsidR="00807566" w:rsidRPr="00F91CC3" w:rsidRDefault="00807566" w:rsidP="00CE6EE8">
            <w:pPr>
              <w:keepNext/>
              <w:jc w:val="left"/>
              <w:rPr>
                <w:rFonts w:ascii="Arial Narrow" w:eastAsiaTheme="majorEastAsia" w:hAnsi="Arial Narrow" w:cstheme="majorBidi"/>
                <w:bCs/>
                <w:sz w:val="20"/>
                <w:szCs w:val="20"/>
              </w:rPr>
            </w:pPr>
            <w:r w:rsidRPr="00F91CC3">
              <w:rPr>
                <w:rFonts w:ascii="Arial Narrow" w:eastAsiaTheme="majorEastAsia" w:hAnsi="Arial Narrow" w:cstheme="majorBidi"/>
                <w:b/>
                <w:color w:val="000000"/>
                <w:sz w:val="20"/>
              </w:rPr>
              <w:t>Estimated extent of use</w:t>
            </w:r>
          </w:p>
        </w:tc>
      </w:tr>
      <w:tr w:rsidR="00CE6EE8" w:rsidRPr="00F91CC3" w14:paraId="4167CF9F" w14:textId="77777777" w:rsidTr="00CE6EE8">
        <w:tc>
          <w:tcPr>
            <w:tcW w:w="1333" w:type="pct"/>
            <w:tcBorders>
              <w:top w:val="single" w:sz="4" w:space="0" w:color="auto"/>
              <w:left w:val="single" w:sz="4" w:space="0" w:color="auto"/>
              <w:bottom w:val="single" w:sz="4" w:space="0" w:color="auto"/>
              <w:right w:val="single" w:sz="4" w:space="0" w:color="auto"/>
            </w:tcBorders>
            <w:vAlign w:val="center"/>
          </w:tcPr>
          <w:p w14:paraId="4A1171DF" w14:textId="6E3F6F03" w:rsidR="004A1A67" w:rsidRPr="00F91CC3" w:rsidRDefault="004A1A67" w:rsidP="00CE6EE8">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 xml:space="preserve">Number of patients treated (FTE) </w:t>
            </w:r>
            <w:r w:rsidRPr="00F91CC3">
              <w:rPr>
                <w:rFonts w:ascii="Arial Narrow" w:eastAsiaTheme="majorEastAsia" w:hAnsi="Arial Narrow" w:cstheme="majorBidi"/>
                <w:bCs/>
                <w:sz w:val="20"/>
                <w:vertAlign w:val="superscript"/>
              </w:rPr>
              <w:t>c</w:t>
            </w:r>
          </w:p>
        </w:tc>
        <w:tc>
          <w:tcPr>
            <w:tcW w:w="611" w:type="pct"/>
            <w:tcBorders>
              <w:top w:val="single" w:sz="4" w:space="0" w:color="auto"/>
              <w:left w:val="single" w:sz="4" w:space="0" w:color="auto"/>
              <w:bottom w:val="single" w:sz="4" w:space="0" w:color="auto"/>
              <w:right w:val="single" w:sz="4" w:space="0" w:color="auto"/>
            </w:tcBorders>
          </w:tcPr>
          <w:p w14:paraId="1A4A65C9" w14:textId="662B820C" w:rsidR="004A1A67"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sz w:val="20"/>
                <w:szCs w:val="20"/>
              </w:rPr>
              <w:t xml:space="preserve"> </w:t>
            </w:r>
            <w:r w:rsidRPr="004E53B2">
              <w:rPr>
                <w:rFonts w:ascii="Arial Narrow" w:hAnsi="Arial Narrow" w:hint="eastAsia"/>
                <w:color w:val="000000"/>
                <w:w w:val="15"/>
                <w:sz w:val="20"/>
                <w:szCs w:val="20"/>
                <w:shd w:val="solid" w:color="000000" w:fill="000000"/>
                <w:fitText w:val="70" w:id="-1032066296"/>
                <w14:textFill>
                  <w14:solidFill>
                    <w14:srgbClr w14:val="000000">
                      <w14:alpha w14:val="100000"/>
                    </w14:srgbClr>
                  </w14:solidFill>
                </w14:textFill>
              </w:rPr>
              <w:t xml:space="preserve">　</w:t>
            </w:r>
            <w:r w:rsidRPr="004E53B2">
              <w:rPr>
                <w:rFonts w:ascii="Arial Narrow" w:hAnsi="Arial Narrow"/>
                <w:color w:val="000000"/>
                <w:w w:val="15"/>
                <w:sz w:val="20"/>
                <w:szCs w:val="20"/>
                <w:shd w:val="solid" w:color="000000" w:fill="000000"/>
                <w:fitText w:val="70" w:id="-1032066296"/>
                <w14:textFill>
                  <w14:solidFill>
                    <w14:srgbClr w14:val="000000">
                      <w14:alpha w14:val="100000"/>
                    </w14:srgbClr>
                  </w14:solidFill>
                </w14:textFill>
              </w:rPr>
              <w:t>|</w:t>
            </w:r>
            <w:r w:rsidRPr="004E53B2">
              <w:rPr>
                <w:rFonts w:ascii="Arial Narrow" w:hAnsi="Arial Narrow" w:hint="eastAsia"/>
                <w:color w:val="000000"/>
                <w:spacing w:val="4"/>
                <w:w w:val="15"/>
                <w:sz w:val="20"/>
                <w:szCs w:val="20"/>
                <w:shd w:val="solid" w:color="000000" w:fill="000000"/>
                <w:fitText w:val="70" w:id="-1032066296"/>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tcPr>
          <w:p w14:paraId="332F8778" w14:textId="4128EB0A" w:rsidR="004A1A67"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sz w:val="20"/>
                <w:szCs w:val="20"/>
              </w:rPr>
              <w:t xml:space="preserve"> </w:t>
            </w:r>
            <w:r w:rsidRPr="004E53B2">
              <w:rPr>
                <w:rFonts w:ascii="Arial Narrow" w:hAnsi="Arial Narrow" w:hint="eastAsia"/>
                <w:color w:val="000000"/>
                <w:w w:val="15"/>
                <w:sz w:val="20"/>
                <w:szCs w:val="20"/>
                <w:shd w:val="solid" w:color="000000" w:fill="000000"/>
                <w:fitText w:val="70" w:id="-1032066295"/>
                <w14:textFill>
                  <w14:solidFill>
                    <w14:srgbClr w14:val="000000">
                      <w14:alpha w14:val="100000"/>
                    </w14:srgbClr>
                  </w14:solidFill>
                </w14:textFill>
              </w:rPr>
              <w:t xml:space="preserve">　</w:t>
            </w:r>
            <w:r w:rsidRPr="004E53B2">
              <w:rPr>
                <w:rFonts w:ascii="Arial Narrow" w:hAnsi="Arial Narrow"/>
                <w:color w:val="000000"/>
                <w:w w:val="15"/>
                <w:sz w:val="20"/>
                <w:szCs w:val="20"/>
                <w:shd w:val="solid" w:color="000000" w:fill="000000"/>
                <w:fitText w:val="70" w:id="-1032066295"/>
                <w14:textFill>
                  <w14:solidFill>
                    <w14:srgbClr w14:val="000000">
                      <w14:alpha w14:val="100000"/>
                    </w14:srgbClr>
                  </w14:solidFill>
                </w14:textFill>
              </w:rPr>
              <w:t>|</w:t>
            </w:r>
            <w:r w:rsidRPr="004E53B2">
              <w:rPr>
                <w:rFonts w:ascii="Arial Narrow" w:hAnsi="Arial Narrow" w:hint="eastAsia"/>
                <w:color w:val="000000"/>
                <w:spacing w:val="4"/>
                <w:w w:val="15"/>
                <w:sz w:val="20"/>
                <w:szCs w:val="20"/>
                <w:shd w:val="solid" w:color="000000" w:fill="000000"/>
                <w:fitText w:val="70" w:id="-1032066295"/>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tcPr>
          <w:p w14:paraId="416CC9F4" w14:textId="02EA796B" w:rsidR="004A1A67"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sz w:val="20"/>
                <w:szCs w:val="20"/>
              </w:rPr>
              <w:t xml:space="preserve"> </w:t>
            </w:r>
            <w:r w:rsidRPr="004E53B2">
              <w:rPr>
                <w:rFonts w:ascii="Arial Narrow" w:hAnsi="Arial Narrow" w:hint="eastAsia"/>
                <w:color w:val="000000"/>
                <w:w w:val="15"/>
                <w:sz w:val="20"/>
                <w:szCs w:val="20"/>
                <w:shd w:val="solid" w:color="000000" w:fill="000000"/>
                <w:fitText w:val="70" w:id="-1032066294"/>
                <w14:textFill>
                  <w14:solidFill>
                    <w14:srgbClr w14:val="000000">
                      <w14:alpha w14:val="100000"/>
                    </w14:srgbClr>
                  </w14:solidFill>
                </w14:textFill>
              </w:rPr>
              <w:t xml:space="preserve">　</w:t>
            </w:r>
            <w:r w:rsidRPr="004E53B2">
              <w:rPr>
                <w:rFonts w:ascii="Arial Narrow" w:hAnsi="Arial Narrow"/>
                <w:color w:val="000000"/>
                <w:w w:val="15"/>
                <w:sz w:val="20"/>
                <w:szCs w:val="20"/>
                <w:shd w:val="solid" w:color="000000" w:fill="000000"/>
                <w:fitText w:val="70" w:id="-1032066294"/>
                <w14:textFill>
                  <w14:solidFill>
                    <w14:srgbClr w14:val="000000">
                      <w14:alpha w14:val="100000"/>
                    </w14:srgbClr>
                  </w14:solidFill>
                </w14:textFill>
              </w:rPr>
              <w:t>|</w:t>
            </w:r>
            <w:r w:rsidRPr="004E53B2">
              <w:rPr>
                <w:rFonts w:ascii="Arial Narrow" w:hAnsi="Arial Narrow" w:hint="eastAsia"/>
                <w:color w:val="000000"/>
                <w:spacing w:val="4"/>
                <w:w w:val="15"/>
                <w:sz w:val="20"/>
                <w:szCs w:val="20"/>
                <w:shd w:val="solid" w:color="000000" w:fill="000000"/>
                <w:fitText w:val="70" w:id="-1032066294"/>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tcPr>
          <w:p w14:paraId="058C7ACC" w14:textId="38D4C291" w:rsidR="004A1A67"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sz w:val="20"/>
                <w:szCs w:val="20"/>
              </w:rPr>
              <w:t xml:space="preserve"> </w:t>
            </w:r>
            <w:r w:rsidRPr="004E53B2">
              <w:rPr>
                <w:rFonts w:ascii="Arial Narrow" w:hAnsi="Arial Narrow" w:hint="eastAsia"/>
                <w:color w:val="000000"/>
                <w:w w:val="15"/>
                <w:sz w:val="20"/>
                <w:szCs w:val="20"/>
                <w:shd w:val="solid" w:color="000000" w:fill="000000"/>
                <w:fitText w:val="70" w:id="-1032066293"/>
                <w14:textFill>
                  <w14:solidFill>
                    <w14:srgbClr w14:val="000000">
                      <w14:alpha w14:val="100000"/>
                    </w14:srgbClr>
                  </w14:solidFill>
                </w14:textFill>
              </w:rPr>
              <w:t xml:space="preserve">　</w:t>
            </w:r>
            <w:r w:rsidRPr="004E53B2">
              <w:rPr>
                <w:rFonts w:ascii="Arial Narrow" w:hAnsi="Arial Narrow"/>
                <w:color w:val="000000"/>
                <w:w w:val="15"/>
                <w:sz w:val="20"/>
                <w:szCs w:val="20"/>
                <w:shd w:val="solid" w:color="000000" w:fill="000000"/>
                <w:fitText w:val="70" w:id="-1032066293"/>
                <w14:textFill>
                  <w14:solidFill>
                    <w14:srgbClr w14:val="000000">
                      <w14:alpha w14:val="100000"/>
                    </w14:srgbClr>
                  </w14:solidFill>
                </w14:textFill>
              </w:rPr>
              <w:t>|</w:t>
            </w:r>
            <w:r w:rsidRPr="004E53B2">
              <w:rPr>
                <w:rFonts w:ascii="Arial Narrow" w:hAnsi="Arial Narrow" w:hint="eastAsia"/>
                <w:color w:val="000000"/>
                <w:spacing w:val="4"/>
                <w:w w:val="15"/>
                <w:sz w:val="20"/>
                <w:szCs w:val="20"/>
                <w:shd w:val="solid" w:color="000000" w:fill="000000"/>
                <w:fitText w:val="70" w:id="-1032066293"/>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tcPr>
          <w:p w14:paraId="794F9FD3" w14:textId="6FFF0AD9" w:rsidR="004A1A67"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sz w:val="20"/>
                <w:szCs w:val="20"/>
              </w:rPr>
              <w:t xml:space="preserve"> </w:t>
            </w:r>
            <w:r w:rsidRPr="004E53B2">
              <w:rPr>
                <w:rFonts w:ascii="Arial Narrow" w:hAnsi="Arial Narrow" w:hint="eastAsia"/>
                <w:color w:val="000000"/>
                <w:w w:val="15"/>
                <w:sz w:val="20"/>
                <w:szCs w:val="20"/>
                <w:shd w:val="solid" w:color="000000" w:fill="000000"/>
                <w:fitText w:val="70" w:id="-1032066292"/>
                <w14:textFill>
                  <w14:solidFill>
                    <w14:srgbClr w14:val="000000">
                      <w14:alpha w14:val="100000"/>
                    </w14:srgbClr>
                  </w14:solidFill>
                </w14:textFill>
              </w:rPr>
              <w:t xml:space="preserve">　</w:t>
            </w:r>
            <w:r w:rsidRPr="004E53B2">
              <w:rPr>
                <w:rFonts w:ascii="Arial Narrow" w:hAnsi="Arial Narrow"/>
                <w:color w:val="000000"/>
                <w:w w:val="15"/>
                <w:sz w:val="20"/>
                <w:szCs w:val="20"/>
                <w:shd w:val="solid" w:color="000000" w:fill="000000"/>
                <w:fitText w:val="70" w:id="-1032066292"/>
                <w14:textFill>
                  <w14:solidFill>
                    <w14:srgbClr w14:val="000000">
                      <w14:alpha w14:val="100000"/>
                    </w14:srgbClr>
                  </w14:solidFill>
                </w14:textFill>
              </w:rPr>
              <w:t>|</w:t>
            </w:r>
            <w:r w:rsidRPr="004E53B2">
              <w:rPr>
                <w:rFonts w:ascii="Arial Narrow" w:hAnsi="Arial Narrow" w:hint="eastAsia"/>
                <w:color w:val="000000"/>
                <w:spacing w:val="4"/>
                <w:w w:val="15"/>
                <w:sz w:val="20"/>
                <w:szCs w:val="20"/>
                <w:shd w:val="solid" w:color="000000" w:fill="000000"/>
                <w:fitText w:val="70" w:id="-1032066292"/>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2" w:type="pct"/>
            <w:tcBorders>
              <w:top w:val="single" w:sz="4" w:space="0" w:color="auto"/>
              <w:left w:val="single" w:sz="4" w:space="0" w:color="auto"/>
              <w:bottom w:val="single" w:sz="4" w:space="0" w:color="auto"/>
              <w:right w:val="single" w:sz="4" w:space="0" w:color="auto"/>
            </w:tcBorders>
          </w:tcPr>
          <w:p w14:paraId="7EB358EF" w14:textId="37DF9E73" w:rsidR="004A1A67"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sz w:val="20"/>
                <w:szCs w:val="20"/>
              </w:rPr>
              <w:t xml:space="preserve"> </w:t>
            </w:r>
            <w:r w:rsidRPr="004E53B2">
              <w:rPr>
                <w:rFonts w:ascii="Arial Narrow" w:hAnsi="Arial Narrow" w:hint="eastAsia"/>
                <w:color w:val="000000"/>
                <w:w w:val="18"/>
                <w:sz w:val="20"/>
                <w:szCs w:val="20"/>
                <w:shd w:val="solid" w:color="000000" w:fill="000000"/>
                <w:fitText w:val="80" w:id="-1032066291"/>
                <w14:textFill>
                  <w14:solidFill>
                    <w14:srgbClr w14:val="000000">
                      <w14:alpha w14:val="100000"/>
                    </w14:srgbClr>
                  </w14:solidFill>
                </w14:textFill>
              </w:rPr>
              <w:t xml:space="preserve">　</w:t>
            </w:r>
            <w:r w:rsidRPr="004E53B2">
              <w:rPr>
                <w:rFonts w:ascii="Arial Narrow" w:hAnsi="Arial Narrow"/>
                <w:color w:val="000000"/>
                <w:w w:val="18"/>
                <w:sz w:val="20"/>
                <w:szCs w:val="20"/>
                <w:shd w:val="solid" w:color="000000" w:fill="000000"/>
                <w:fitText w:val="80" w:id="-1032066291"/>
                <w14:textFill>
                  <w14:solidFill>
                    <w14:srgbClr w14:val="000000">
                      <w14:alpha w14:val="100000"/>
                    </w14:srgbClr>
                  </w14:solidFill>
                </w14:textFill>
              </w:rPr>
              <w:t>|</w:t>
            </w:r>
            <w:r w:rsidRPr="004E53B2">
              <w:rPr>
                <w:rFonts w:ascii="Arial Narrow" w:hAnsi="Arial Narrow" w:hint="eastAsia"/>
                <w:color w:val="000000"/>
                <w:w w:val="18"/>
                <w:sz w:val="20"/>
                <w:szCs w:val="20"/>
                <w:shd w:val="solid" w:color="000000" w:fill="000000"/>
                <w:fitText w:val="80" w:id="-1032066291"/>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r>
      <w:tr w:rsidR="00CE6EE8" w:rsidRPr="00F91CC3" w14:paraId="19AED1B0" w14:textId="77777777" w:rsidTr="00CE6EE8">
        <w:tc>
          <w:tcPr>
            <w:tcW w:w="1333" w:type="pct"/>
            <w:tcBorders>
              <w:top w:val="single" w:sz="4" w:space="0" w:color="auto"/>
              <w:left w:val="single" w:sz="4" w:space="0" w:color="auto"/>
              <w:bottom w:val="single" w:sz="4" w:space="0" w:color="auto"/>
              <w:right w:val="single" w:sz="4" w:space="0" w:color="auto"/>
            </w:tcBorders>
            <w:vAlign w:val="center"/>
          </w:tcPr>
          <w:p w14:paraId="39692DF3" w14:textId="5F2C8E79" w:rsidR="00807566" w:rsidRPr="00F91CC3" w:rsidRDefault="00807566" w:rsidP="00CE6EE8">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 xml:space="preserve">Number of scripts dispensed </w:t>
            </w:r>
            <w:r w:rsidR="00EA2BA1" w:rsidRPr="00F91CC3">
              <w:rPr>
                <w:rFonts w:ascii="Arial Narrow" w:eastAsiaTheme="majorEastAsia" w:hAnsi="Arial Narrow" w:cstheme="majorBidi"/>
                <w:bCs/>
                <w:sz w:val="20"/>
                <w:vertAlign w:val="superscript"/>
              </w:rPr>
              <w:t>e</w:t>
            </w:r>
          </w:p>
        </w:tc>
        <w:tc>
          <w:tcPr>
            <w:tcW w:w="611" w:type="pct"/>
            <w:tcBorders>
              <w:top w:val="single" w:sz="4" w:space="0" w:color="auto"/>
              <w:left w:val="single" w:sz="4" w:space="0" w:color="auto"/>
              <w:bottom w:val="single" w:sz="4" w:space="0" w:color="auto"/>
              <w:right w:val="single" w:sz="4" w:space="0" w:color="auto"/>
            </w:tcBorders>
            <w:vAlign w:val="bottom"/>
          </w:tcPr>
          <w:p w14:paraId="13148691" w14:textId="5DFB7E84" w:rsidR="00807566"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cs="Calibri"/>
                <w:color w:val="000000"/>
                <w:sz w:val="20"/>
                <w:szCs w:val="20"/>
              </w:rPr>
              <w:t xml:space="preserve"> </w:t>
            </w:r>
            <w:r w:rsidRPr="004E53B2">
              <w:rPr>
                <w:rFonts w:ascii="Arial Narrow" w:hAnsi="Arial Narrow" w:cs="Calibri" w:hint="eastAsia"/>
                <w:color w:val="000000"/>
                <w:w w:val="15"/>
                <w:sz w:val="20"/>
                <w:szCs w:val="20"/>
                <w:shd w:val="solid" w:color="000000" w:fill="000000"/>
                <w:fitText w:val="70" w:id="-1032066290"/>
                <w14:textFill>
                  <w14:solidFill>
                    <w14:srgbClr w14:val="000000">
                      <w14:alpha w14:val="100000"/>
                    </w14:srgbClr>
                  </w14:solidFill>
                </w14:textFill>
              </w:rPr>
              <w:t xml:space="preserve">　</w:t>
            </w:r>
            <w:r w:rsidRPr="004E53B2">
              <w:rPr>
                <w:rFonts w:ascii="Arial Narrow" w:hAnsi="Arial Narrow" w:cs="Calibri"/>
                <w:color w:val="000000"/>
                <w:w w:val="15"/>
                <w:sz w:val="20"/>
                <w:szCs w:val="20"/>
                <w:shd w:val="solid" w:color="000000" w:fill="000000"/>
                <w:fitText w:val="70" w:id="-1032066290"/>
                <w14:textFill>
                  <w14:solidFill>
                    <w14:srgbClr w14:val="000000">
                      <w14:alpha w14:val="100000"/>
                    </w14:srgbClr>
                  </w14:solidFill>
                </w14:textFill>
              </w:rPr>
              <w:t>|</w:t>
            </w:r>
            <w:r w:rsidRPr="004E53B2">
              <w:rPr>
                <w:rFonts w:ascii="Arial Narrow" w:hAnsi="Arial Narrow" w:cs="Calibri" w:hint="eastAsia"/>
                <w:color w:val="000000"/>
                <w:spacing w:val="4"/>
                <w:w w:val="15"/>
                <w:sz w:val="20"/>
                <w:szCs w:val="20"/>
                <w:shd w:val="solid" w:color="000000" w:fill="000000"/>
                <w:fitText w:val="70" w:id="-1032066290"/>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vAlign w:val="bottom"/>
          </w:tcPr>
          <w:p w14:paraId="157B2080" w14:textId="510D444E" w:rsidR="00807566"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cs="Calibri"/>
                <w:color w:val="000000"/>
                <w:sz w:val="20"/>
                <w:szCs w:val="20"/>
              </w:rPr>
              <w:t xml:space="preserve"> </w:t>
            </w:r>
            <w:r w:rsidRPr="004E53B2">
              <w:rPr>
                <w:rFonts w:ascii="Arial Narrow" w:hAnsi="Arial Narrow" w:cs="Calibri" w:hint="eastAsia"/>
                <w:color w:val="000000"/>
                <w:w w:val="15"/>
                <w:sz w:val="20"/>
                <w:szCs w:val="20"/>
                <w:shd w:val="solid" w:color="000000" w:fill="000000"/>
                <w:fitText w:val="70" w:id="-1032066289"/>
                <w14:textFill>
                  <w14:solidFill>
                    <w14:srgbClr w14:val="000000">
                      <w14:alpha w14:val="100000"/>
                    </w14:srgbClr>
                  </w14:solidFill>
                </w14:textFill>
              </w:rPr>
              <w:t xml:space="preserve">　</w:t>
            </w:r>
            <w:r w:rsidRPr="004E53B2">
              <w:rPr>
                <w:rFonts w:ascii="Arial Narrow" w:hAnsi="Arial Narrow" w:cs="Calibri"/>
                <w:color w:val="000000"/>
                <w:w w:val="15"/>
                <w:sz w:val="20"/>
                <w:szCs w:val="20"/>
                <w:shd w:val="solid" w:color="000000" w:fill="000000"/>
                <w:fitText w:val="70" w:id="-1032066289"/>
                <w14:textFill>
                  <w14:solidFill>
                    <w14:srgbClr w14:val="000000">
                      <w14:alpha w14:val="100000"/>
                    </w14:srgbClr>
                  </w14:solidFill>
                </w14:textFill>
              </w:rPr>
              <w:t>|</w:t>
            </w:r>
            <w:r w:rsidRPr="004E53B2">
              <w:rPr>
                <w:rFonts w:ascii="Arial Narrow" w:hAnsi="Arial Narrow" w:cs="Calibri" w:hint="eastAsia"/>
                <w:color w:val="000000"/>
                <w:spacing w:val="4"/>
                <w:w w:val="15"/>
                <w:sz w:val="20"/>
                <w:szCs w:val="20"/>
                <w:shd w:val="solid" w:color="000000" w:fill="000000"/>
                <w:fitText w:val="70" w:id="-1032066289"/>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vAlign w:val="bottom"/>
          </w:tcPr>
          <w:p w14:paraId="2F9A8E57" w14:textId="2C039490" w:rsidR="00807566"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cs="Calibri"/>
                <w:color w:val="000000"/>
                <w:sz w:val="20"/>
                <w:szCs w:val="20"/>
              </w:rPr>
              <w:t xml:space="preserve"> </w:t>
            </w:r>
            <w:r w:rsidRPr="004E53B2">
              <w:rPr>
                <w:rFonts w:ascii="Arial Narrow" w:hAnsi="Arial Narrow" w:cs="Calibri" w:hint="eastAsia"/>
                <w:color w:val="000000"/>
                <w:w w:val="15"/>
                <w:sz w:val="20"/>
                <w:szCs w:val="20"/>
                <w:shd w:val="solid" w:color="000000" w:fill="000000"/>
                <w:fitText w:val="70" w:id="-1032066288"/>
                <w14:textFill>
                  <w14:solidFill>
                    <w14:srgbClr w14:val="000000">
                      <w14:alpha w14:val="100000"/>
                    </w14:srgbClr>
                  </w14:solidFill>
                </w14:textFill>
              </w:rPr>
              <w:t xml:space="preserve">　</w:t>
            </w:r>
            <w:r w:rsidRPr="004E53B2">
              <w:rPr>
                <w:rFonts w:ascii="Arial Narrow" w:hAnsi="Arial Narrow" w:cs="Calibri"/>
                <w:color w:val="000000"/>
                <w:w w:val="15"/>
                <w:sz w:val="20"/>
                <w:szCs w:val="20"/>
                <w:shd w:val="solid" w:color="000000" w:fill="000000"/>
                <w:fitText w:val="70" w:id="-1032066288"/>
                <w14:textFill>
                  <w14:solidFill>
                    <w14:srgbClr w14:val="000000">
                      <w14:alpha w14:val="100000"/>
                    </w14:srgbClr>
                  </w14:solidFill>
                </w14:textFill>
              </w:rPr>
              <w:t>|</w:t>
            </w:r>
            <w:r w:rsidRPr="004E53B2">
              <w:rPr>
                <w:rFonts w:ascii="Arial Narrow" w:hAnsi="Arial Narrow" w:cs="Calibri" w:hint="eastAsia"/>
                <w:color w:val="000000"/>
                <w:spacing w:val="4"/>
                <w:w w:val="15"/>
                <w:sz w:val="20"/>
                <w:szCs w:val="20"/>
                <w:shd w:val="solid" w:color="000000" w:fill="000000"/>
                <w:fitText w:val="70" w:id="-1032066288"/>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vAlign w:val="bottom"/>
          </w:tcPr>
          <w:p w14:paraId="57537027" w14:textId="08998BFE" w:rsidR="00807566"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cs="Calibri"/>
                <w:color w:val="000000"/>
                <w:sz w:val="20"/>
                <w:szCs w:val="20"/>
              </w:rPr>
              <w:t xml:space="preserve"> </w:t>
            </w:r>
            <w:r w:rsidRPr="004E53B2">
              <w:rPr>
                <w:rFonts w:ascii="Arial Narrow" w:hAnsi="Arial Narrow" w:cs="Calibri" w:hint="eastAsia"/>
                <w:color w:val="000000"/>
                <w:w w:val="15"/>
                <w:sz w:val="20"/>
                <w:szCs w:val="20"/>
                <w:shd w:val="solid" w:color="000000" w:fill="000000"/>
                <w:fitText w:val="70" w:id="-1032066304"/>
                <w14:textFill>
                  <w14:solidFill>
                    <w14:srgbClr w14:val="000000">
                      <w14:alpha w14:val="100000"/>
                    </w14:srgbClr>
                  </w14:solidFill>
                </w14:textFill>
              </w:rPr>
              <w:t xml:space="preserve">　</w:t>
            </w:r>
            <w:r w:rsidRPr="004E53B2">
              <w:rPr>
                <w:rFonts w:ascii="Arial Narrow" w:hAnsi="Arial Narrow" w:cs="Calibri"/>
                <w:color w:val="000000"/>
                <w:w w:val="15"/>
                <w:sz w:val="20"/>
                <w:szCs w:val="20"/>
                <w:shd w:val="solid" w:color="000000" w:fill="000000"/>
                <w:fitText w:val="70" w:id="-1032066304"/>
                <w14:textFill>
                  <w14:solidFill>
                    <w14:srgbClr w14:val="000000">
                      <w14:alpha w14:val="100000"/>
                    </w14:srgbClr>
                  </w14:solidFill>
                </w14:textFill>
              </w:rPr>
              <w:t>|</w:t>
            </w:r>
            <w:r w:rsidRPr="004E53B2">
              <w:rPr>
                <w:rFonts w:ascii="Arial Narrow" w:hAnsi="Arial Narrow" w:cs="Calibri" w:hint="eastAsia"/>
                <w:color w:val="000000"/>
                <w:spacing w:val="4"/>
                <w:w w:val="15"/>
                <w:sz w:val="20"/>
                <w:szCs w:val="20"/>
                <w:shd w:val="solid" w:color="000000" w:fill="000000"/>
                <w:fitText w:val="70" w:id="-1032066304"/>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vAlign w:val="bottom"/>
          </w:tcPr>
          <w:p w14:paraId="37026C20" w14:textId="7B6A2F26" w:rsidR="00807566"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cs="Calibri"/>
                <w:color w:val="000000"/>
                <w:sz w:val="20"/>
                <w:szCs w:val="20"/>
              </w:rPr>
              <w:t xml:space="preserve"> </w:t>
            </w:r>
            <w:r w:rsidRPr="004E53B2">
              <w:rPr>
                <w:rFonts w:ascii="Arial Narrow" w:hAnsi="Arial Narrow" w:cs="Calibri" w:hint="eastAsia"/>
                <w:color w:val="000000"/>
                <w:w w:val="15"/>
                <w:sz w:val="20"/>
                <w:szCs w:val="20"/>
                <w:shd w:val="solid" w:color="000000" w:fill="000000"/>
                <w:fitText w:val="70" w:id="-1032066303"/>
                <w14:textFill>
                  <w14:solidFill>
                    <w14:srgbClr w14:val="000000">
                      <w14:alpha w14:val="100000"/>
                    </w14:srgbClr>
                  </w14:solidFill>
                </w14:textFill>
              </w:rPr>
              <w:t xml:space="preserve">　</w:t>
            </w:r>
            <w:r w:rsidRPr="004E53B2">
              <w:rPr>
                <w:rFonts w:ascii="Arial Narrow" w:hAnsi="Arial Narrow" w:cs="Calibri"/>
                <w:color w:val="000000"/>
                <w:w w:val="15"/>
                <w:sz w:val="20"/>
                <w:szCs w:val="20"/>
                <w:shd w:val="solid" w:color="000000" w:fill="000000"/>
                <w:fitText w:val="70" w:id="-1032066303"/>
                <w14:textFill>
                  <w14:solidFill>
                    <w14:srgbClr w14:val="000000">
                      <w14:alpha w14:val="100000"/>
                    </w14:srgbClr>
                  </w14:solidFill>
                </w14:textFill>
              </w:rPr>
              <w:t>|</w:t>
            </w:r>
            <w:r w:rsidRPr="004E53B2">
              <w:rPr>
                <w:rFonts w:ascii="Arial Narrow" w:hAnsi="Arial Narrow" w:cs="Calibri" w:hint="eastAsia"/>
                <w:color w:val="000000"/>
                <w:spacing w:val="4"/>
                <w:w w:val="15"/>
                <w:sz w:val="20"/>
                <w:szCs w:val="20"/>
                <w:shd w:val="solid" w:color="000000" w:fill="000000"/>
                <w:fitText w:val="70" w:id="-1032066303"/>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2" w:type="pct"/>
            <w:tcBorders>
              <w:top w:val="single" w:sz="4" w:space="0" w:color="auto"/>
              <w:left w:val="single" w:sz="4" w:space="0" w:color="auto"/>
              <w:bottom w:val="single" w:sz="4" w:space="0" w:color="auto"/>
              <w:right w:val="single" w:sz="4" w:space="0" w:color="auto"/>
            </w:tcBorders>
            <w:vAlign w:val="bottom"/>
          </w:tcPr>
          <w:p w14:paraId="72FAC6F0" w14:textId="3EDF02EB" w:rsidR="00807566"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cs="Calibri"/>
                <w:color w:val="000000"/>
                <w:sz w:val="20"/>
                <w:szCs w:val="20"/>
              </w:rPr>
              <w:t xml:space="preserve"> </w:t>
            </w:r>
            <w:r w:rsidRPr="004E53B2">
              <w:rPr>
                <w:rFonts w:ascii="Arial Narrow" w:hAnsi="Arial Narrow" w:cs="Calibri" w:hint="eastAsia"/>
                <w:color w:val="000000"/>
                <w:w w:val="18"/>
                <w:sz w:val="20"/>
                <w:szCs w:val="20"/>
                <w:shd w:val="solid" w:color="000000" w:fill="000000"/>
                <w:fitText w:val="80" w:id="-1032066302"/>
                <w14:textFill>
                  <w14:solidFill>
                    <w14:srgbClr w14:val="000000">
                      <w14:alpha w14:val="100000"/>
                    </w14:srgbClr>
                  </w14:solidFill>
                </w14:textFill>
              </w:rPr>
              <w:t xml:space="preserve">　</w:t>
            </w:r>
            <w:r w:rsidRPr="004E53B2">
              <w:rPr>
                <w:rFonts w:ascii="Arial Narrow" w:hAnsi="Arial Narrow" w:cs="Calibri"/>
                <w:color w:val="000000"/>
                <w:w w:val="18"/>
                <w:sz w:val="20"/>
                <w:szCs w:val="20"/>
                <w:shd w:val="solid" w:color="000000" w:fill="000000"/>
                <w:fitText w:val="80" w:id="-1032066302"/>
                <w14:textFill>
                  <w14:solidFill>
                    <w14:srgbClr w14:val="000000">
                      <w14:alpha w14:val="100000"/>
                    </w14:srgbClr>
                  </w14:solidFill>
                </w14:textFill>
              </w:rPr>
              <w:t>|</w:t>
            </w:r>
            <w:r w:rsidRPr="004E53B2">
              <w:rPr>
                <w:rFonts w:ascii="Arial Narrow" w:hAnsi="Arial Narrow" w:cs="Calibri" w:hint="eastAsia"/>
                <w:color w:val="000000"/>
                <w:w w:val="18"/>
                <w:sz w:val="20"/>
                <w:szCs w:val="20"/>
                <w:shd w:val="solid" w:color="000000" w:fill="000000"/>
                <w:fitText w:val="80" w:id="-1032066302"/>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r>
      <w:tr w:rsidR="00807566" w:rsidRPr="00F91CC3" w14:paraId="753798B5" w14:textId="77777777" w:rsidTr="00CE6EE8">
        <w:tc>
          <w:tcPr>
            <w:tcW w:w="5000" w:type="pct"/>
            <w:gridSpan w:val="7"/>
            <w:tcBorders>
              <w:top w:val="single" w:sz="4" w:space="0" w:color="auto"/>
              <w:left w:val="single" w:sz="4" w:space="0" w:color="auto"/>
              <w:bottom w:val="single" w:sz="4" w:space="0" w:color="auto"/>
              <w:right w:val="single" w:sz="4" w:space="0" w:color="auto"/>
            </w:tcBorders>
            <w:vAlign w:val="center"/>
          </w:tcPr>
          <w:p w14:paraId="192D2D82" w14:textId="41461A98" w:rsidR="00807566" w:rsidRPr="00F91CC3" w:rsidRDefault="00807566" w:rsidP="00CE6EE8">
            <w:pPr>
              <w:keepNext/>
              <w:jc w:val="left"/>
              <w:rPr>
                <w:rFonts w:ascii="Arial Narrow" w:hAnsi="Arial Narrow" w:cs="Calibri"/>
                <w:color w:val="000000"/>
                <w:sz w:val="20"/>
                <w:szCs w:val="20"/>
              </w:rPr>
            </w:pPr>
            <w:r w:rsidRPr="00F91CC3">
              <w:rPr>
                <w:rFonts w:ascii="Arial Narrow" w:eastAsiaTheme="majorEastAsia" w:hAnsi="Arial Narrow" w:cstheme="majorBidi"/>
                <w:b/>
                <w:sz w:val="20"/>
              </w:rPr>
              <w:t>Estimated financial implications of ivacaftor</w:t>
            </w:r>
          </w:p>
        </w:tc>
      </w:tr>
      <w:tr w:rsidR="00063D90" w:rsidRPr="00F91CC3" w14:paraId="24ED169E" w14:textId="77777777" w:rsidTr="00752600">
        <w:tc>
          <w:tcPr>
            <w:tcW w:w="1333" w:type="pct"/>
            <w:tcBorders>
              <w:top w:val="single" w:sz="4" w:space="0" w:color="auto"/>
              <w:left w:val="single" w:sz="4" w:space="0" w:color="auto"/>
              <w:bottom w:val="single" w:sz="4" w:space="0" w:color="auto"/>
              <w:right w:val="single" w:sz="4" w:space="0" w:color="auto"/>
            </w:tcBorders>
            <w:vAlign w:val="center"/>
          </w:tcPr>
          <w:p w14:paraId="160D9F37" w14:textId="1882E43E" w:rsidR="00063D90" w:rsidRPr="00F91CC3" w:rsidRDefault="00063D90" w:rsidP="00CE6EE8">
            <w:pPr>
              <w:keepNext/>
              <w:jc w:val="left"/>
              <w:rPr>
                <w:rFonts w:ascii="Arial Narrow" w:eastAsiaTheme="majorEastAsia" w:hAnsi="Arial Narrow" w:cstheme="majorBidi"/>
                <w:bCs/>
                <w:sz w:val="19"/>
                <w:szCs w:val="19"/>
              </w:rPr>
            </w:pPr>
            <w:r w:rsidRPr="00F91CC3">
              <w:rPr>
                <w:rFonts w:ascii="Arial Narrow" w:eastAsiaTheme="majorEastAsia" w:hAnsi="Arial Narrow" w:cstheme="majorBidi"/>
                <w:bCs/>
                <w:sz w:val="19"/>
                <w:szCs w:val="19"/>
              </w:rPr>
              <w:t xml:space="preserve">Cost to PBS/RPBS less </w:t>
            </w:r>
            <w:r w:rsidR="00D07430" w:rsidRPr="00F91CC3">
              <w:rPr>
                <w:rFonts w:ascii="Arial Narrow" w:eastAsiaTheme="majorEastAsia" w:hAnsi="Arial Narrow" w:cstheme="majorBidi"/>
                <w:bCs/>
                <w:sz w:val="19"/>
                <w:szCs w:val="19"/>
              </w:rPr>
              <w:t>co-payments</w:t>
            </w:r>
          </w:p>
          <w:p w14:paraId="368F3C5E" w14:textId="6F4B24DA" w:rsidR="00063D90" w:rsidRPr="00F91CC3" w:rsidRDefault="00063D90" w:rsidP="00CE6EE8">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19"/>
                <w:szCs w:val="19"/>
              </w:rPr>
              <w:t>(% net cost to PBS/RPBS)</w:t>
            </w:r>
          </w:p>
        </w:tc>
        <w:tc>
          <w:tcPr>
            <w:tcW w:w="611" w:type="pct"/>
            <w:tcBorders>
              <w:top w:val="single" w:sz="4" w:space="0" w:color="auto"/>
              <w:left w:val="single" w:sz="4" w:space="0" w:color="auto"/>
              <w:bottom w:val="single" w:sz="4" w:space="0" w:color="auto"/>
              <w:right w:val="single" w:sz="4" w:space="0" w:color="auto"/>
            </w:tcBorders>
            <w:vAlign w:val="center"/>
          </w:tcPr>
          <w:p w14:paraId="4D8D9426" w14:textId="5A8F6FC3" w:rsidR="00063D90" w:rsidRPr="00F91CC3" w:rsidRDefault="00063D90" w:rsidP="00CE6EE8">
            <w:pPr>
              <w:keepNext/>
              <w:jc w:val="center"/>
              <w:rPr>
                <w:rFonts w:ascii="Arial Narrow" w:hAnsi="Arial Narrow" w:cs="Calibri"/>
                <w:color w:val="000000"/>
                <w:sz w:val="20"/>
                <w:szCs w:val="20"/>
              </w:rPr>
            </w:pPr>
            <w:r w:rsidRPr="00F91CC3">
              <w:rPr>
                <w:rFonts w:ascii="Arial Narrow" w:hAnsi="Arial Narrow" w:cs="Calibri"/>
                <w:color w:val="000000"/>
                <w:sz w:val="20"/>
                <w:szCs w:val="20"/>
              </w:rPr>
              <w:t>$</w:t>
            </w:r>
            <w:r w:rsidR="004E53B2">
              <w:rPr>
                <w:rFonts w:ascii="Arial Narrow" w:hAnsi="Arial Narrow" w:cs="Calibri"/>
                <w:color w:val="000000"/>
                <w:sz w:val="20"/>
                <w:szCs w:val="20"/>
              </w:rPr>
              <w:t xml:space="preserve"> </w:t>
            </w:r>
            <w:r w:rsidR="004E53B2" w:rsidRPr="004E53B2">
              <w:rPr>
                <w:rFonts w:ascii="Arial Narrow" w:hAnsi="Arial Narrow" w:cs="Calibri" w:hint="eastAsia"/>
                <w:color w:val="000000"/>
                <w:w w:val="27"/>
                <w:sz w:val="20"/>
                <w:szCs w:val="20"/>
                <w:shd w:val="solid" w:color="000000" w:fill="000000"/>
                <w:fitText w:val="120" w:id="-1032066301"/>
                <w14:textFill>
                  <w14:solidFill>
                    <w14:srgbClr w14:val="000000">
                      <w14:alpha w14:val="100000"/>
                    </w14:srgbClr>
                  </w14:solidFill>
                </w14:textFill>
              </w:rPr>
              <w:t xml:space="preserve">　</w:t>
            </w:r>
            <w:r w:rsidR="004E53B2" w:rsidRPr="004E53B2">
              <w:rPr>
                <w:rFonts w:ascii="Arial Narrow" w:hAnsi="Arial Narrow" w:cs="Calibri"/>
                <w:color w:val="000000"/>
                <w:w w:val="27"/>
                <w:sz w:val="20"/>
                <w:szCs w:val="20"/>
                <w:shd w:val="solid" w:color="000000" w:fill="000000"/>
                <w:fitText w:val="120" w:id="-1032066301"/>
                <w14:textFill>
                  <w14:solidFill>
                    <w14:srgbClr w14:val="000000">
                      <w14:alpha w14:val="100000"/>
                    </w14:srgbClr>
                  </w14:solidFill>
                </w14:textFill>
              </w:rPr>
              <w:t>|</w:t>
            </w:r>
            <w:r w:rsidR="004E53B2" w:rsidRPr="004E53B2">
              <w:rPr>
                <w:rFonts w:ascii="Arial Narrow" w:hAnsi="Arial Narrow" w:cs="Calibri" w:hint="eastAsia"/>
                <w:color w:val="000000"/>
                <w:spacing w:val="2"/>
                <w:w w:val="27"/>
                <w:sz w:val="20"/>
                <w:szCs w:val="20"/>
                <w:shd w:val="solid" w:color="000000" w:fill="000000"/>
                <w:fitText w:val="120" w:id="-1032066301"/>
                <w14:textFill>
                  <w14:solidFill>
                    <w14:srgbClr w14:val="000000">
                      <w14:alpha w14:val="100000"/>
                    </w14:srgbClr>
                  </w14:solidFill>
                </w14:textFill>
              </w:rPr>
              <w:t xml:space="preserve">　</w:t>
            </w:r>
            <w:r w:rsidR="00D71A55">
              <w:rPr>
                <w:rFonts w:ascii="Arial Narrow" w:eastAsiaTheme="majorEastAsia" w:hAnsi="Arial Narrow" w:cstheme="majorBidi"/>
                <w:bCs/>
                <w:sz w:val="20"/>
                <w:szCs w:val="20"/>
                <w:vertAlign w:val="superscript"/>
              </w:rPr>
              <w:t>2</w:t>
            </w:r>
          </w:p>
          <w:p w14:paraId="300BA429" w14:textId="7C95636B" w:rsidR="00063D90" w:rsidRPr="00F91CC3" w:rsidRDefault="00063D90" w:rsidP="00CE6EE8">
            <w:pPr>
              <w:keepNext/>
              <w:jc w:val="center"/>
              <w:rPr>
                <w:rFonts w:ascii="Arial Narrow" w:hAnsi="Arial Narrow" w:cs="Calibri"/>
                <w:color w:val="000000"/>
                <w:sz w:val="20"/>
                <w:szCs w:val="20"/>
              </w:rPr>
            </w:pPr>
            <w:r w:rsidRPr="00F91CC3">
              <w:rPr>
                <w:rFonts w:ascii="Arial Narrow" w:hAnsi="Arial Narrow" w:cs="Calibri"/>
                <w:color w:val="000000"/>
                <w:sz w:val="20"/>
                <w:szCs w:val="20"/>
              </w:rPr>
              <w:t>(</w:t>
            </w:r>
            <w:r w:rsidRPr="00EC0695">
              <w:rPr>
                <w:rFonts w:ascii="Arial Narrow" w:hAnsi="Arial Narrow" w:cs="Calibri"/>
                <w:color w:val="000000"/>
                <w:sz w:val="20"/>
                <w:szCs w:val="20"/>
              </w:rPr>
              <w:t>33</w:t>
            </w:r>
            <w:r w:rsidRPr="00F91CC3">
              <w:rPr>
                <w:rFonts w:ascii="Arial Narrow" w:hAnsi="Arial Narrow" w:cs="Calibri"/>
                <w:color w:val="000000"/>
                <w:sz w:val="20"/>
                <w:szCs w:val="20"/>
              </w:rPr>
              <w:t>%)</w:t>
            </w:r>
          </w:p>
        </w:tc>
        <w:tc>
          <w:tcPr>
            <w:tcW w:w="611" w:type="pct"/>
            <w:tcBorders>
              <w:top w:val="single" w:sz="4" w:space="0" w:color="auto"/>
              <w:left w:val="single" w:sz="4" w:space="0" w:color="auto"/>
              <w:bottom w:val="single" w:sz="4" w:space="0" w:color="auto"/>
              <w:right w:val="single" w:sz="4" w:space="0" w:color="auto"/>
            </w:tcBorders>
            <w:vAlign w:val="center"/>
          </w:tcPr>
          <w:p w14:paraId="04622EA3" w14:textId="0E23774C" w:rsidR="00063D90" w:rsidRPr="00F91CC3" w:rsidRDefault="00063D90" w:rsidP="00CE6EE8">
            <w:pPr>
              <w:keepNext/>
              <w:jc w:val="center"/>
              <w:rPr>
                <w:rFonts w:ascii="Arial Narrow" w:hAnsi="Arial Narrow" w:cs="Calibri"/>
                <w:color w:val="000000"/>
                <w:sz w:val="20"/>
                <w:szCs w:val="20"/>
              </w:rPr>
            </w:pPr>
            <w:r w:rsidRPr="00F91CC3">
              <w:rPr>
                <w:rFonts w:ascii="Arial Narrow" w:hAnsi="Arial Narrow" w:cs="Calibri"/>
                <w:color w:val="000000"/>
                <w:sz w:val="20"/>
                <w:szCs w:val="20"/>
              </w:rPr>
              <w:t>$</w:t>
            </w:r>
            <w:r w:rsidR="004E53B2">
              <w:rPr>
                <w:rFonts w:ascii="Arial Narrow" w:hAnsi="Arial Narrow" w:cs="Calibri"/>
                <w:color w:val="000000"/>
                <w:sz w:val="20"/>
                <w:szCs w:val="20"/>
              </w:rPr>
              <w:t xml:space="preserve"> </w:t>
            </w:r>
            <w:r w:rsidR="004E53B2" w:rsidRPr="004E53B2">
              <w:rPr>
                <w:rFonts w:ascii="Arial Narrow" w:hAnsi="Arial Narrow" w:cs="Calibri" w:hint="eastAsia"/>
                <w:color w:val="000000"/>
                <w:w w:val="27"/>
                <w:sz w:val="20"/>
                <w:szCs w:val="20"/>
                <w:shd w:val="solid" w:color="000000" w:fill="000000"/>
                <w:fitText w:val="120" w:id="-1032066300"/>
                <w14:textFill>
                  <w14:solidFill>
                    <w14:srgbClr w14:val="000000">
                      <w14:alpha w14:val="100000"/>
                    </w14:srgbClr>
                  </w14:solidFill>
                </w14:textFill>
              </w:rPr>
              <w:t xml:space="preserve">　</w:t>
            </w:r>
            <w:r w:rsidR="004E53B2" w:rsidRPr="004E53B2">
              <w:rPr>
                <w:rFonts w:ascii="Arial Narrow" w:hAnsi="Arial Narrow" w:cs="Calibri"/>
                <w:color w:val="000000"/>
                <w:w w:val="27"/>
                <w:sz w:val="20"/>
                <w:szCs w:val="20"/>
                <w:shd w:val="solid" w:color="000000" w:fill="000000"/>
                <w:fitText w:val="120" w:id="-1032066300"/>
                <w14:textFill>
                  <w14:solidFill>
                    <w14:srgbClr w14:val="000000">
                      <w14:alpha w14:val="100000"/>
                    </w14:srgbClr>
                  </w14:solidFill>
                </w14:textFill>
              </w:rPr>
              <w:t>|</w:t>
            </w:r>
            <w:r w:rsidR="004E53B2" w:rsidRPr="004E53B2">
              <w:rPr>
                <w:rFonts w:ascii="Arial Narrow" w:hAnsi="Arial Narrow" w:cs="Calibri" w:hint="eastAsia"/>
                <w:color w:val="000000"/>
                <w:spacing w:val="2"/>
                <w:w w:val="27"/>
                <w:sz w:val="20"/>
                <w:szCs w:val="20"/>
                <w:shd w:val="solid" w:color="000000" w:fill="000000"/>
                <w:fitText w:val="120" w:id="-1032066300"/>
                <w14:textFill>
                  <w14:solidFill>
                    <w14:srgbClr w14:val="000000">
                      <w14:alpha w14:val="100000"/>
                    </w14:srgbClr>
                  </w14:solidFill>
                </w14:textFill>
              </w:rPr>
              <w:t xml:space="preserve">　</w:t>
            </w:r>
            <w:r w:rsidR="00D71A55">
              <w:rPr>
                <w:rFonts w:ascii="Arial Narrow" w:eastAsiaTheme="majorEastAsia" w:hAnsi="Arial Narrow" w:cstheme="majorBidi"/>
                <w:bCs/>
                <w:sz w:val="20"/>
                <w:szCs w:val="20"/>
                <w:vertAlign w:val="superscript"/>
              </w:rPr>
              <w:t>2</w:t>
            </w:r>
          </w:p>
          <w:p w14:paraId="49A593B5" w14:textId="4C059AD8" w:rsidR="00063D90" w:rsidRPr="00F91CC3" w:rsidRDefault="00063D90" w:rsidP="00CE6EE8">
            <w:pPr>
              <w:keepNext/>
              <w:jc w:val="center"/>
              <w:rPr>
                <w:rFonts w:ascii="Arial Narrow" w:hAnsi="Arial Narrow" w:cs="Calibri"/>
                <w:color w:val="000000"/>
                <w:sz w:val="20"/>
                <w:szCs w:val="20"/>
              </w:rPr>
            </w:pPr>
            <w:r w:rsidRPr="00EC0695">
              <w:rPr>
                <w:rFonts w:ascii="Arial Narrow" w:hAnsi="Arial Narrow" w:cs="Calibri"/>
                <w:color w:val="000000"/>
                <w:sz w:val="20"/>
                <w:szCs w:val="20"/>
              </w:rPr>
              <w:t>(33</w:t>
            </w:r>
            <w:r w:rsidRPr="00F91CC3">
              <w:rPr>
                <w:rFonts w:ascii="Arial Narrow" w:hAnsi="Arial Narrow" w:cs="Calibri"/>
                <w:color w:val="000000"/>
                <w:sz w:val="20"/>
                <w:szCs w:val="20"/>
              </w:rPr>
              <w:t>%)</w:t>
            </w:r>
          </w:p>
        </w:tc>
        <w:tc>
          <w:tcPr>
            <w:tcW w:w="611" w:type="pct"/>
            <w:tcBorders>
              <w:top w:val="single" w:sz="4" w:space="0" w:color="auto"/>
              <w:left w:val="single" w:sz="4" w:space="0" w:color="auto"/>
              <w:bottom w:val="single" w:sz="4" w:space="0" w:color="auto"/>
              <w:right w:val="single" w:sz="4" w:space="0" w:color="auto"/>
            </w:tcBorders>
            <w:vAlign w:val="center"/>
          </w:tcPr>
          <w:p w14:paraId="38792F9A" w14:textId="3DBF73E7" w:rsidR="00063D90" w:rsidRPr="00F91CC3" w:rsidRDefault="00063D90" w:rsidP="00CE6EE8">
            <w:pPr>
              <w:keepNext/>
              <w:jc w:val="center"/>
              <w:rPr>
                <w:rFonts w:ascii="Arial Narrow" w:hAnsi="Arial Narrow" w:cs="Calibri"/>
                <w:color w:val="000000"/>
                <w:sz w:val="20"/>
                <w:szCs w:val="20"/>
              </w:rPr>
            </w:pPr>
            <w:r w:rsidRPr="00F91CC3">
              <w:rPr>
                <w:rFonts w:ascii="Arial Narrow" w:hAnsi="Arial Narrow" w:cs="Calibri"/>
                <w:color w:val="000000"/>
                <w:sz w:val="20"/>
                <w:szCs w:val="20"/>
              </w:rPr>
              <w:t>$</w:t>
            </w:r>
            <w:r w:rsidR="004E53B2">
              <w:rPr>
                <w:rFonts w:ascii="Arial Narrow" w:hAnsi="Arial Narrow" w:cs="Calibri"/>
                <w:color w:val="000000"/>
                <w:sz w:val="20"/>
                <w:szCs w:val="20"/>
              </w:rPr>
              <w:t xml:space="preserve"> </w:t>
            </w:r>
            <w:r w:rsidR="004E53B2" w:rsidRPr="004E53B2">
              <w:rPr>
                <w:rFonts w:ascii="Arial Narrow" w:hAnsi="Arial Narrow" w:cs="Calibri" w:hint="eastAsia"/>
                <w:color w:val="000000"/>
                <w:w w:val="27"/>
                <w:sz w:val="20"/>
                <w:szCs w:val="20"/>
                <w:shd w:val="solid" w:color="000000" w:fill="000000"/>
                <w:fitText w:val="120" w:id="-1032066299"/>
                <w14:textFill>
                  <w14:solidFill>
                    <w14:srgbClr w14:val="000000">
                      <w14:alpha w14:val="100000"/>
                    </w14:srgbClr>
                  </w14:solidFill>
                </w14:textFill>
              </w:rPr>
              <w:t xml:space="preserve">　</w:t>
            </w:r>
            <w:r w:rsidR="004E53B2" w:rsidRPr="004E53B2">
              <w:rPr>
                <w:rFonts w:ascii="Arial Narrow" w:hAnsi="Arial Narrow" w:cs="Calibri"/>
                <w:color w:val="000000"/>
                <w:w w:val="27"/>
                <w:sz w:val="20"/>
                <w:szCs w:val="20"/>
                <w:shd w:val="solid" w:color="000000" w:fill="000000"/>
                <w:fitText w:val="120" w:id="-1032066299"/>
                <w14:textFill>
                  <w14:solidFill>
                    <w14:srgbClr w14:val="000000">
                      <w14:alpha w14:val="100000"/>
                    </w14:srgbClr>
                  </w14:solidFill>
                </w14:textFill>
              </w:rPr>
              <w:t>|</w:t>
            </w:r>
            <w:r w:rsidR="004E53B2" w:rsidRPr="004E53B2">
              <w:rPr>
                <w:rFonts w:ascii="Arial Narrow" w:hAnsi="Arial Narrow" w:cs="Calibri" w:hint="eastAsia"/>
                <w:color w:val="000000"/>
                <w:spacing w:val="2"/>
                <w:w w:val="27"/>
                <w:sz w:val="20"/>
                <w:szCs w:val="20"/>
                <w:shd w:val="solid" w:color="000000" w:fill="000000"/>
                <w:fitText w:val="120" w:id="-1032066299"/>
                <w14:textFill>
                  <w14:solidFill>
                    <w14:srgbClr w14:val="000000">
                      <w14:alpha w14:val="100000"/>
                    </w14:srgbClr>
                  </w14:solidFill>
                </w14:textFill>
              </w:rPr>
              <w:t xml:space="preserve">　</w:t>
            </w:r>
            <w:r w:rsidR="00D71A55">
              <w:rPr>
                <w:rFonts w:ascii="Arial Narrow" w:eastAsiaTheme="majorEastAsia" w:hAnsi="Arial Narrow" w:cstheme="majorBidi"/>
                <w:bCs/>
                <w:sz w:val="20"/>
                <w:szCs w:val="20"/>
                <w:vertAlign w:val="superscript"/>
              </w:rPr>
              <w:t>2</w:t>
            </w:r>
          </w:p>
          <w:p w14:paraId="70206649" w14:textId="517BDA0B" w:rsidR="00063D90" w:rsidRPr="00F91CC3" w:rsidRDefault="00063D90" w:rsidP="00CE6EE8">
            <w:pPr>
              <w:keepNext/>
              <w:jc w:val="center"/>
              <w:rPr>
                <w:rFonts w:ascii="Arial Narrow" w:hAnsi="Arial Narrow" w:cs="Calibri"/>
                <w:color w:val="000000"/>
                <w:sz w:val="20"/>
                <w:szCs w:val="20"/>
              </w:rPr>
            </w:pPr>
            <w:r w:rsidRPr="00F91CC3">
              <w:rPr>
                <w:rFonts w:ascii="Arial Narrow" w:hAnsi="Arial Narrow" w:cs="Calibri"/>
                <w:color w:val="000000"/>
                <w:sz w:val="20"/>
                <w:szCs w:val="20"/>
              </w:rPr>
              <w:t>(</w:t>
            </w:r>
            <w:r w:rsidRPr="00EC0695">
              <w:rPr>
                <w:rFonts w:ascii="Arial Narrow" w:hAnsi="Arial Narrow" w:cs="Calibri"/>
                <w:color w:val="000000"/>
                <w:sz w:val="20"/>
                <w:szCs w:val="20"/>
              </w:rPr>
              <w:t>3</w:t>
            </w:r>
            <w:r w:rsidR="00E666F5" w:rsidRPr="00EC0695">
              <w:rPr>
                <w:rFonts w:ascii="Arial Narrow" w:hAnsi="Arial Narrow" w:cs="Calibri"/>
                <w:color w:val="000000"/>
                <w:sz w:val="20"/>
                <w:szCs w:val="20"/>
              </w:rPr>
              <w:t>3</w:t>
            </w:r>
            <w:r w:rsidRPr="00F91CC3">
              <w:rPr>
                <w:rFonts w:ascii="Arial Narrow" w:hAnsi="Arial Narrow" w:cs="Calibri"/>
                <w:color w:val="000000"/>
                <w:sz w:val="20"/>
                <w:szCs w:val="20"/>
              </w:rPr>
              <w:t>%)</w:t>
            </w:r>
          </w:p>
        </w:tc>
        <w:tc>
          <w:tcPr>
            <w:tcW w:w="611" w:type="pct"/>
            <w:tcBorders>
              <w:top w:val="single" w:sz="4" w:space="0" w:color="auto"/>
              <w:left w:val="single" w:sz="4" w:space="0" w:color="auto"/>
              <w:bottom w:val="single" w:sz="4" w:space="0" w:color="auto"/>
              <w:right w:val="single" w:sz="4" w:space="0" w:color="auto"/>
            </w:tcBorders>
            <w:vAlign w:val="center"/>
          </w:tcPr>
          <w:p w14:paraId="142E1B4A" w14:textId="5EAEEEC2" w:rsidR="00063D90" w:rsidRPr="00F91CC3" w:rsidRDefault="00063D90" w:rsidP="00CE6EE8">
            <w:pPr>
              <w:keepNext/>
              <w:jc w:val="center"/>
              <w:rPr>
                <w:rFonts w:ascii="Arial Narrow" w:hAnsi="Arial Narrow" w:cs="Calibri"/>
                <w:color w:val="000000"/>
                <w:sz w:val="20"/>
                <w:szCs w:val="20"/>
              </w:rPr>
            </w:pPr>
            <w:r w:rsidRPr="00F91CC3">
              <w:rPr>
                <w:rFonts w:ascii="Arial Narrow" w:hAnsi="Arial Narrow" w:cs="Calibri"/>
                <w:color w:val="000000"/>
                <w:sz w:val="20"/>
                <w:szCs w:val="20"/>
              </w:rPr>
              <w:t>$</w:t>
            </w:r>
            <w:r w:rsidR="004E53B2">
              <w:rPr>
                <w:rFonts w:ascii="Arial Narrow" w:hAnsi="Arial Narrow" w:cs="Calibri"/>
                <w:color w:val="000000"/>
                <w:sz w:val="20"/>
                <w:szCs w:val="20"/>
              </w:rPr>
              <w:t xml:space="preserve"> </w:t>
            </w:r>
            <w:r w:rsidR="004E53B2" w:rsidRPr="004E53B2">
              <w:rPr>
                <w:rFonts w:ascii="Arial Narrow" w:hAnsi="Arial Narrow" w:cs="Calibri" w:hint="eastAsia"/>
                <w:color w:val="000000"/>
                <w:w w:val="27"/>
                <w:sz w:val="20"/>
                <w:szCs w:val="20"/>
                <w:shd w:val="solid" w:color="000000" w:fill="000000"/>
                <w:fitText w:val="120" w:id="-1032066298"/>
                <w14:textFill>
                  <w14:solidFill>
                    <w14:srgbClr w14:val="000000">
                      <w14:alpha w14:val="100000"/>
                    </w14:srgbClr>
                  </w14:solidFill>
                </w14:textFill>
              </w:rPr>
              <w:t xml:space="preserve">　</w:t>
            </w:r>
            <w:r w:rsidR="004E53B2" w:rsidRPr="004E53B2">
              <w:rPr>
                <w:rFonts w:ascii="Arial Narrow" w:hAnsi="Arial Narrow" w:cs="Calibri"/>
                <w:color w:val="000000"/>
                <w:w w:val="27"/>
                <w:sz w:val="20"/>
                <w:szCs w:val="20"/>
                <w:shd w:val="solid" w:color="000000" w:fill="000000"/>
                <w:fitText w:val="120" w:id="-1032066298"/>
                <w14:textFill>
                  <w14:solidFill>
                    <w14:srgbClr w14:val="000000">
                      <w14:alpha w14:val="100000"/>
                    </w14:srgbClr>
                  </w14:solidFill>
                </w14:textFill>
              </w:rPr>
              <w:t>|</w:t>
            </w:r>
            <w:r w:rsidR="004E53B2" w:rsidRPr="004E53B2">
              <w:rPr>
                <w:rFonts w:ascii="Arial Narrow" w:hAnsi="Arial Narrow" w:cs="Calibri" w:hint="eastAsia"/>
                <w:color w:val="000000"/>
                <w:spacing w:val="2"/>
                <w:w w:val="27"/>
                <w:sz w:val="20"/>
                <w:szCs w:val="20"/>
                <w:shd w:val="solid" w:color="000000" w:fill="000000"/>
                <w:fitText w:val="120" w:id="-1032066298"/>
                <w14:textFill>
                  <w14:solidFill>
                    <w14:srgbClr w14:val="000000">
                      <w14:alpha w14:val="100000"/>
                    </w14:srgbClr>
                  </w14:solidFill>
                </w14:textFill>
              </w:rPr>
              <w:t xml:space="preserve">　</w:t>
            </w:r>
            <w:r w:rsidR="00D71A55">
              <w:rPr>
                <w:rFonts w:ascii="Arial Narrow" w:eastAsiaTheme="majorEastAsia" w:hAnsi="Arial Narrow" w:cstheme="majorBidi"/>
                <w:bCs/>
                <w:sz w:val="20"/>
                <w:szCs w:val="20"/>
                <w:vertAlign w:val="superscript"/>
              </w:rPr>
              <w:t>2</w:t>
            </w:r>
          </w:p>
          <w:p w14:paraId="2600EF10" w14:textId="34A2E141" w:rsidR="00063D90" w:rsidRPr="00F91CC3" w:rsidRDefault="00063D90" w:rsidP="00CE6EE8">
            <w:pPr>
              <w:keepNext/>
              <w:jc w:val="center"/>
              <w:rPr>
                <w:rFonts w:ascii="Arial Narrow" w:hAnsi="Arial Narrow" w:cs="Calibri"/>
                <w:color w:val="000000"/>
                <w:sz w:val="20"/>
                <w:szCs w:val="20"/>
              </w:rPr>
            </w:pPr>
            <w:r w:rsidRPr="00EC0695">
              <w:rPr>
                <w:rFonts w:ascii="Arial Narrow" w:hAnsi="Arial Narrow" w:cs="Calibri"/>
                <w:color w:val="000000"/>
                <w:sz w:val="20"/>
                <w:szCs w:val="20"/>
              </w:rPr>
              <w:t>(3</w:t>
            </w:r>
            <w:r w:rsidR="00E666F5" w:rsidRPr="00EC0695">
              <w:rPr>
                <w:rFonts w:ascii="Arial Narrow" w:hAnsi="Arial Narrow" w:cs="Calibri"/>
                <w:color w:val="000000"/>
                <w:sz w:val="20"/>
                <w:szCs w:val="20"/>
              </w:rPr>
              <w:t>3</w:t>
            </w:r>
            <w:r w:rsidRPr="00F91CC3">
              <w:rPr>
                <w:rFonts w:ascii="Arial Narrow" w:hAnsi="Arial Narrow" w:cs="Calibri"/>
                <w:color w:val="000000"/>
                <w:sz w:val="20"/>
                <w:szCs w:val="20"/>
              </w:rPr>
              <w:t>%)</w:t>
            </w:r>
          </w:p>
        </w:tc>
        <w:tc>
          <w:tcPr>
            <w:tcW w:w="611" w:type="pct"/>
            <w:tcBorders>
              <w:top w:val="single" w:sz="4" w:space="0" w:color="auto"/>
              <w:left w:val="single" w:sz="4" w:space="0" w:color="auto"/>
              <w:bottom w:val="single" w:sz="4" w:space="0" w:color="auto"/>
              <w:right w:val="single" w:sz="4" w:space="0" w:color="auto"/>
            </w:tcBorders>
            <w:vAlign w:val="center"/>
          </w:tcPr>
          <w:p w14:paraId="661499BF" w14:textId="4370A095" w:rsidR="00063D90" w:rsidRPr="00F91CC3" w:rsidRDefault="00063D90" w:rsidP="00CE6EE8">
            <w:pPr>
              <w:keepNext/>
              <w:jc w:val="center"/>
              <w:rPr>
                <w:rFonts w:ascii="Arial Narrow" w:hAnsi="Arial Narrow" w:cs="Calibri"/>
                <w:color w:val="000000"/>
                <w:sz w:val="20"/>
                <w:szCs w:val="20"/>
              </w:rPr>
            </w:pPr>
            <w:r w:rsidRPr="00F91CC3">
              <w:rPr>
                <w:rFonts w:ascii="Arial Narrow" w:hAnsi="Arial Narrow" w:cs="Calibri"/>
                <w:color w:val="000000"/>
                <w:sz w:val="20"/>
                <w:szCs w:val="20"/>
              </w:rPr>
              <w:t>$</w:t>
            </w:r>
            <w:r w:rsidR="004E53B2">
              <w:rPr>
                <w:rFonts w:ascii="Arial Narrow" w:hAnsi="Arial Narrow" w:cs="Calibri"/>
                <w:color w:val="000000"/>
                <w:sz w:val="20"/>
                <w:szCs w:val="20"/>
              </w:rPr>
              <w:t xml:space="preserve"> </w:t>
            </w:r>
            <w:r w:rsidR="004E53B2" w:rsidRPr="004E53B2">
              <w:rPr>
                <w:rFonts w:ascii="Arial Narrow" w:hAnsi="Arial Narrow" w:cs="Calibri" w:hint="eastAsia"/>
                <w:color w:val="000000"/>
                <w:w w:val="27"/>
                <w:sz w:val="20"/>
                <w:szCs w:val="20"/>
                <w:shd w:val="solid" w:color="000000" w:fill="000000"/>
                <w:fitText w:val="120" w:id="-1032066297"/>
                <w14:textFill>
                  <w14:solidFill>
                    <w14:srgbClr w14:val="000000">
                      <w14:alpha w14:val="100000"/>
                    </w14:srgbClr>
                  </w14:solidFill>
                </w14:textFill>
              </w:rPr>
              <w:t xml:space="preserve">　</w:t>
            </w:r>
            <w:r w:rsidR="004E53B2" w:rsidRPr="004E53B2">
              <w:rPr>
                <w:rFonts w:ascii="Arial Narrow" w:hAnsi="Arial Narrow" w:cs="Calibri"/>
                <w:color w:val="000000"/>
                <w:w w:val="27"/>
                <w:sz w:val="20"/>
                <w:szCs w:val="20"/>
                <w:shd w:val="solid" w:color="000000" w:fill="000000"/>
                <w:fitText w:val="120" w:id="-1032066297"/>
                <w14:textFill>
                  <w14:solidFill>
                    <w14:srgbClr w14:val="000000">
                      <w14:alpha w14:val="100000"/>
                    </w14:srgbClr>
                  </w14:solidFill>
                </w14:textFill>
              </w:rPr>
              <w:t>|</w:t>
            </w:r>
            <w:r w:rsidR="004E53B2" w:rsidRPr="004E53B2">
              <w:rPr>
                <w:rFonts w:ascii="Arial Narrow" w:hAnsi="Arial Narrow" w:cs="Calibri" w:hint="eastAsia"/>
                <w:color w:val="000000"/>
                <w:spacing w:val="2"/>
                <w:w w:val="27"/>
                <w:sz w:val="20"/>
                <w:szCs w:val="20"/>
                <w:shd w:val="solid" w:color="000000" w:fill="000000"/>
                <w:fitText w:val="120" w:id="-1032066297"/>
                <w14:textFill>
                  <w14:solidFill>
                    <w14:srgbClr w14:val="000000">
                      <w14:alpha w14:val="100000"/>
                    </w14:srgbClr>
                  </w14:solidFill>
                </w14:textFill>
              </w:rPr>
              <w:t xml:space="preserve">　</w:t>
            </w:r>
            <w:r w:rsidR="00D71A55">
              <w:rPr>
                <w:rFonts w:ascii="Arial Narrow" w:eastAsiaTheme="majorEastAsia" w:hAnsi="Arial Narrow" w:cstheme="majorBidi"/>
                <w:bCs/>
                <w:sz w:val="20"/>
                <w:szCs w:val="20"/>
                <w:vertAlign w:val="superscript"/>
              </w:rPr>
              <w:t>2</w:t>
            </w:r>
          </w:p>
          <w:p w14:paraId="0CE00C10" w14:textId="33E99AC3" w:rsidR="00063D90" w:rsidRPr="00F91CC3" w:rsidRDefault="00063D90" w:rsidP="00CE6EE8">
            <w:pPr>
              <w:keepNext/>
              <w:jc w:val="center"/>
              <w:rPr>
                <w:rFonts w:ascii="Arial Narrow" w:hAnsi="Arial Narrow" w:cs="Calibri"/>
                <w:color w:val="000000"/>
                <w:sz w:val="20"/>
                <w:szCs w:val="20"/>
              </w:rPr>
            </w:pPr>
            <w:r w:rsidRPr="00F91CC3">
              <w:rPr>
                <w:rFonts w:ascii="Arial Narrow" w:hAnsi="Arial Narrow" w:cs="Calibri"/>
                <w:color w:val="000000"/>
                <w:sz w:val="20"/>
                <w:szCs w:val="20"/>
              </w:rPr>
              <w:t>(</w:t>
            </w:r>
            <w:r w:rsidRPr="00EC0695">
              <w:rPr>
                <w:rFonts w:ascii="Arial Narrow" w:hAnsi="Arial Narrow" w:cs="Calibri"/>
                <w:color w:val="000000"/>
                <w:sz w:val="20"/>
                <w:szCs w:val="20"/>
              </w:rPr>
              <w:t>3</w:t>
            </w:r>
            <w:r w:rsidR="00E666F5" w:rsidRPr="00EC0695">
              <w:rPr>
                <w:rFonts w:ascii="Arial Narrow" w:hAnsi="Arial Narrow" w:cs="Calibri"/>
                <w:color w:val="000000"/>
                <w:sz w:val="20"/>
                <w:szCs w:val="20"/>
              </w:rPr>
              <w:t>3</w:t>
            </w:r>
            <w:r w:rsidRPr="00F91CC3">
              <w:rPr>
                <w:rFonts w:ascii="Arial Narrow" w:hAnsi="Arial Narrow" w:cs="Calibri"/>
                <w:color w:val="000000"/>
                <w:sz w:val="20"/>
                <w:szCs w:val="20"/>
              </w:rPr>
              <w:t>%)</w:t>
            </w:r>
          </w:p>
        </w:tc>
        <w:tc>
          <w:tcPr>
            <w:tcW w:w="612" w:type="pct"/>
            <w:tcBorders>
              <w:top w:val="single" w:sz="4" w:space="0" w:color="auto"/>
              <w:left w:val="single" w:sz="4" w:space="0" w:color="auto"/>
              <w:bottom w:val="single" w:sz="4" w:space="0" w:color="auto"/>
              <w:right w:val="single" w:sz="4" w:space="0" w:color="auto"/>
            </w:tcBorders>
            <w:vAlign w:val="center"/>
          </w:tcPr>
          <w:p w14:paraId="4CA16D48" w14:textId="51F60FAB" w:rsidR="00063D90" w:rsidRPr="00F91CC3" w:rsidRDefault="00063D90" w:rsidP="00CE6EE8">
            <w:pPr>
              <w:keepNext/>
              <w:jc w:val="center"/>
              <w:rPr>
                <w:rFonts w:ascii="Arial Narrow" w:hAnsi="Arial Narrow" w:cs="Calibri"/>
                <w:color w:val="000000"/>
                <w:sz w:val="20"/>
                <w:szCs w:val="20"/>
              </w:rPr>
            </w:pPr>
            <w:r w:rsidRPr="00F91CC3">
              <w:rPr>
                <w:rFonts w:ascii="Arial Narrow" w:hAnsi="Arial Narrow" w:cs="Calibri"/>
                <w:color w:val="000000"/>
                <w:sz w:val="20"/>
                <w:szCs w:val="20"/>
              </w:rPr>
              <w:t>$</w:t>
            </w:r>
            <w:r w:rsidR="004E53B2">
              <w:rPr>
                <w:rFonts w:ascii="Arial Narrow" w:hAnsi="Arial Narrow" w:cs="Calibri"/>
                <w:color w:val="000000"/>
                <w:sz w:val="20"/>
                <w:szCs w:val="20"/>
              </w:rPr>
              <w:t xml:space="preserve"> </w:t>
            </w:r>
            <w:r w:rsidR="004E53B2" w:rsidRPr="004E53B2">
              <w:rPr>
                <w:rFonts w:ascii="Arial Narrow" w:hAnsi="Arial Narrow" w:cs="Calibri" w:hint="eastAsia"/>
                <w:color w:val="000000"/>
                <w:w w:val="27"/>
                <w:sz w:val="20"/>
                <w:szCs w:val="20"/>
                <w:shd w:val="solid" w:color="000000" w:fill="000000"/>
                <w:fitText w:val="120" w:id="-1032066296"/>
                <w14:textFill>
                  <w14:solidFill>
                    <w14:srgbClr w14:val="000000">
                      <w14:alpha w14:val="100000"/>
                    </w14:srgbClr>
                  </w14:solidFill>
                </w14:textFill>
              </w:rPr>
              <w:t xml:space="preserve">　</w:t>
            </w:r>
            <w:r w:rsidR="004E53B2" w:rsidRPr="004E53B2">
              <w:rPr>
                <w:rFonts w:ascii="Arial Narrow" w:hAnsi="Arial Narrow" w:cs="Calibri"/>
                <w:color w:val="000000"/>
                <w:w w:val="27"/>
                <w:sz w:val="20"/>
                <w:szCs w:val="20"/>
                <w:shd w:val="solid" w:color="000000" w:fill="000000"/>
                <w:fitText w:val="120" w:id="-1032066296"/>
                <w14:textFill>
                  <w14:solidFill>
                    <w14:srgbClr w14:val="000000">
                      <w14:alpha w14:val="100000"/>
                    </w14:srgbClr>
                  </w14:solidFill>
                </w14:textFill>
              </w:rPr>
              <w:t>|</w:t>
            </w:r>
            <w:r w:rsidR="004E53B2" w:rsidRPr="004E53B2">
              <w:rPr>
                <w:rFonts w:ascii="Arial Narrow" w:hAnsi="Arial Narrow" w:cs="Calibri" w:hint="eastAsia"/>
                <w:color w:val="000000"/>
                <w:spacing w:val="2"/>
                <w:w w:val="27"/>
                <w:sz w:val="20"/>
                <w:szCs w:val="20"/>
                <w:shd w:val="solid" w:color="000000" w:fill="000000"/>
                <w:fitText w:val="120" w:id="-1032066296"/>
                <w14:textFill>
                  <w14:solidFill>
                    <w14:srgbClr w14:val="000000">
                      <w14:alpha w14:val="100000"/>
                    </w14:srgbClr>
                  </w14:solidFill>
                </w14:textFill>
              </w:rPr>
              <w:t xml:space="preserve">　</w:t>
            </w:r>
            <w:r w:rsidR="00D71A55">
              <w:rPr>
                <w:rFonts w:ascii="Arial Narrow" w:eastAsiaTheme="majorEastAsia" w:hAnsi="Arial Narrow" w:cstheme="majorBidi"/>
                <w:bCs/>
                <w:sz w:val="20"/>
                <w:szCs w:val="20"/>
                <w:vertAlign w:val="superscript"/>
              </w:rPr>
              <w:t>2</w:t>
            </w:r>
          </w:p>
          <w:p w14:paraId="0A3B6DB9" w14:textId="46A52108" w:rsidR="00063D90" w:rsidRPr="00F91CC3" w:rsidRDefault="00063D90" w:rsidP="00CE6EE8">
            <w:pPr>
              <w:keepNext/>
              <w:jc w:val="center"/>
              <w:rPr>
                <w:rFonts w:ascii="Arial Narrow" w:hAnsi="Arial Narrow" w:cs="Calibri"/>
                <w:color w:val="000000"/>
                <w:sz w:val="20"/>
                <w:szCs w:val="20"/>
              </w:rPr>
            </w:pPr>
            <w:r w:rsidRPr="00EC0695">
              <w:rPr>
                <w:rFonts w:ascii="Arial Narrow" w:hAnsi="Arial Narrow" w:cs="Calibri"/>
                <w:color w:val="000000"/>
                <w:sz w:val="20"/>
                <w:szCs w:val="20"/>
              </w:rPr>
              <w:t>(3</w:t>
            </w:r>
            <w:r w:rsidR="00E666F5" w:rsidRPr="00EC0695">
              <w:rPr>
                <w:rFonts w:ascii="Arial Narrow" w:hAnsi="Arial Narrow" w:cs="Calibri"/>
                <w:color w:val="000000"/>
                <w:sz w:val="20"/>
                <w:szCs w:val="20"/>
              </w:rPr>
              <w:t>3</w:t>
            </w:r>
            <w:r w:rsidRPr="00F91CC3">
              <w:rPr>
                <w:rFonts w:ascii="Arial Narrow" w:hAnsi="Arial Narrow" w:cs="Calibri"/>
                <w:color w:val="000000"/>
                <w:sz w:val="20"/>
                <w:szCs w:val="20"/>
              </w:rPr>
              <w:t>%)</w:t>
            </w:r>
          </w:p>
        </w:tc>
      </w:tr>
      <w:tr w:rsidR="00807566" w:rsidRPr="00F91CC3" w14:paraId="42098A1C" w14:textId="77777777" w:rsidTr="00CE6EE8">
        <w:tc>
          <w:tcPr>
            <w:tcW w:w="5000" w:type="pct"/>
            <w:gridSpan w:val="7"/>
            <w:tcBorders>
              <w:top w:val="single" w:sz="4" w:space="0" w:color="auto"/>
              <w:left w:val="single" w:sz="4" w:space="0" w:color="auto"/>
              <w:bottom w:val="single" w:sz="4" w:space="0" w:color="auto"/>
              <w:right w:val="single" w:sz="4" w:space="0" w:color="auto"/>
            </w:tcBorders>
            <w:vAlign w:val="center"/>
          </w:tcPr>
          <w:p w14:paraId="12B843B1" w14:textId="1B1847B3" w:rsidR="00807566" w:rsidRPr="00F91CC3" w:rsidRDefault="00807566" w:rsidP="003A3172">
            <w:pPr>
              <w:keepNext/>
              <w:jc w:val="left"/>
              <w:rPr>
                <w:rFonts w:ascii="Arial Narrow" w:eastAsiaTheme="majorEastAsia" w:hAnsi="Arial Narrow" w:cstheme="majorBidi"/>
                <w:b/>
                <w:sz w:val="20"/>
                <w:szCs w:val="20"/>
              </w:rPr>
            </w:pPr>
            <w:r w:rsidRPr="00F91CC3">
              <w:rPr>
                <w:rFonts w:ascii="Arial Narrow" w:eastAsiaTheme="majorEastAsia" w:hAnsi="Arial Narrow" w:cstheme="majorBidi"/>
                <w:b/>
                <w:sz w:val="20"/>
                <w:szCs w:val="20"/>
              </w:rPr>
              <w:t>Non-F/RF patients aged 4 months and older</w:t>
            </w:r>
          </w:p>
        </w:tc>
      </w:tr>
      <w:tr w:rsidR="00807566" w:rsidRPr="00F91CC3" w14:paraId="0574BF1D" w14:textId="77777777" w:rsidTr="00CE6EE8">
        <w:tc>
          <w:tcPr>
            <w:tcW w:w="5000" w:type="pct"/>
            <w:gridSpan w:val="7"/>
            <w:tcBorders>
              <w:top w:val="single" w:sz="4" w:space="0" w:color="auto"/>
              <w:left w:val="single" w:sz="4" w:space="0" w:color="auto"/>
              <w:bottom w:val="single" w:sz="4" w:space="0" w:color="auto"/>
              <w:right w:val="single" w:sz="4" w:space="0" w:color="auto"/>
            </w:tcBorders>
            <w:vAlign w:val="center"/>
          </w:tcPr>
          <w:p w14:paraId="5A6F935A" w14:textId="1119B919" w:rsidR="00807566" w:rsidRPr="00F91CC3" w:rsidRDefault="00807566" w:rsidP="00CE6EE8">
            <w:pPr>
              <w:keepNext/>
              <w:jc w:val="left"/>
              <w:rPr>
                <w:rFonts w:ascii="Arial Narrow" w:eastAsiaTheme="majorEastAsia" w:hAnsi="Arial Narrow" w:cstheme="majorBidi"/>
                <w:bCs/>
                <w:sz w:val="20"/>
                <w:szCs w:val="20"/>
              </w:rPr>
            </w:pPr>
            <w:r w:rsidRPr="00F91CC3">
              <w:rPr>
                <w:rFonts w:ascii="Arial Narrow" w:eastAsiaTheme="majorEastAsia" w:hAnsi="Arial Narrow" w:cstheme="majorBidi"/>
                <w:b/>
                <w:color w:val="000000"/>
                <w:sz w:val="20"/>
              </w:rPr>
              <w:t>Estimated extent of use</w:t>
            </w:r>
          </w:p>
        </w:tc>
      </w:tr>
      <w:tr w:rsidR="00CE6EE8" w:rsidRPr="00F91CC3" w14:paraId="5FE8E8BB" w14:textId="77777777" w:rsidTr="00CE6EE8">
        <w:tc>
          <w:tcPr>
            <w:tcW w:w="1333" w:type="pct"/>
            <w:tcBorders>
              <w:top w:val="single" w:sz="4" w:space="0" w:color="auto"/>
              <w:left w:val="single" w:sz="4" w:space="0" w:color="auto"/>
              <w:bottom w:val="single" w:sz="4" w:space="0" w:color="auto"/>
              <w:right w:val="single" w:sz="4" w:space="0" w:color="auto"/>
            </w:tcBorders>
            <w:vAlign w:val="center"/>
          </w:tcPr>
          <w:p w14:paraId="06303729" w14:textId="77ECC901" w:rsidR="004A1A67" w:rsidRPr="00F91CC3" w:rsidRDefault="004A1A67" w:rsidP="00CE6EE8">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 xml:space="preserve">Number of patients treated (FTE) </w:t>
            </w:r>
            <w:r w:rsidRPr="00F91CC3">
              <w:rPr>
                <w:rFonts w:ascii="Arial Narrow" w:eastAsiaTheme="majorEastAsia" w:hAnsi="Arial Narrow" w:cstheme="majorBidi"/>
                <w:bCs/>
                <w:sz w:val="20"/>
                <w:vertAlign w:val="superscript"/>
              </w:rPr>
              <w:t>c</w:t>
            </w:r>
          </w:p>
        </w:tc>
        <w:tc>
          <w:tcPr>
            <w:tcW w:w="611" w:type="pct"/>
            <w:tcBorders>
              <w:top w:val="single" w:sz="4" w:space="0" w:color="auto"/>
              <w:left w:val="single" w:sz="4" w:space="0" w:color="auto"/>
              <w:bottom w:val="single" w:sz="4" w:space="0" w:color="auto"/>
              <w:right w:val="single" w:sz="4" w:space="0" w:color="auto"/>
            </w:tcBorders>
          </w:tcPr>
          <w:p w14:paraId="02C0E1D6" w14:textId="48B4B3F7" w:rsidR="004A1A67"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sz w:val="20"/>
                <w:szCs w:val="20"/>
              </w:rPr>
              <w:t xml:space="preserve"> </w:t>
            </w:r>
            <w:r w:rsidRPr="004E53B2">
              <w:rPr>
                <w:rFonts w:ascii="Arial Narrow" w:hAnsi="Arial Narrow" w:hint="eastAsia"/>
                <w:color w:val="000000"/>
                <w:w w:val="15"/>
                <w:sz w:val="20"/>
                <w:szCs w:val="20"/>
                <w:shd w:val="solid" w:color="000000" w:fill="000000"/>
                <w:fitText w:val="70" w:id="-1032066295"/>
                <w14:textFill>
                  <w14:solidFill>
                    <w14:srgbClr w14:val="000000">
                      <w14:alpha w14:val="100000"/>
                    </w14:srgbClr>
                  </w14:solidFill>
                </w14:textFill>
              </w:rPr>
              <w:t xml:space="preserve">　</w:t>
            </w:r>
            <w:r w:rsidRPr="004E53B2">
              <w:rPr>
                <w:rFonts w:ascii="Arial Narrow" w:hAnsi="Arial Narrow"/>
                <w:color w:val="000000"/>
                <w:w w:val="15"/>
                <w:sz w:val="20"/>
                <w:szCs w:val="20"/>
                <w:shd w:val="solid" w:color="000000" w:fill="000000"/>
                <w:fitText w:val="70" w:id="-1032066295"/>
                <w14:textFill>
                  <w14:solidFill>
                    <w14:srgbClr w14:val="000000">
                      <w14:alpha w14:val="100000"/>
                    </w14:srgbClr>
                  </w14:solidFill>
                </w14:textFill>
              </w:rPr>
              <w:t>|</w:t>
            </w:r>
            <w:r w:rsidRPr="004E53B2">
              <w:rPr>
                <w:rFonts w:ascii="Arial Narrow" w:hAnsi="Arial Narrow" w:hint="eastAsia"/>
                <w:color w:val="000000"/>
                <w:spacing w:val="4"/>
                <w:w w:val="15"/>
                <w:sz w:val="20"/>
                <w:szCs w:val="20"/>
                <w:shd w:val="solid" w:color="000000" w:fill="000000"/>
                <w:fitText w:val="70" w:id="-1032066295"/>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tcPr>
          <w:p w14:paraId="3CA47C39" w14:textId="19D8C0E6" w:rsidR="004A1A67"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sz w:val="20"/>
                <w:szCs w:val="20"/>
              </w:rPr>
              <w:t xml:space="preserve"> </w:t>
            </w:r>
            <w:r w:rsidRPr="004E53B2">
              <w:rPr>
                <w:rFonts w:ascii="Arial Narrow" w:hAnsi="Arial Narrow" w:hint="eastAsia"/>
                <w:color w:val="000000"/>
                <w:w w:val="15"/>
                <w:sz w:val="20"/>
                <w:szCs w:val="20"/>
                <w:shd w:val="solid" w:color="000000" w:fill="000000"/>
                <w:fitText w:val="70" w:id="-1032066294"/>
                <w14:textFill>
                  <w14:solidFill>
                    <w14:srgbClr w14:val="000000">
                      <w14:alpha w14:val="100000"/>
                    </w14:srgbClr>
                  </w14:solidFill>
                </w14:textFill>
              </w:rPr>
              <w:t xml:space="preserve">　</w:t>
            </w:r>
            <w:r w:rsidRPr="004E53B2">
              <w:rPr>
                <w:rFonts w:ascii="Arial Narrow" w:hAnsi="Arial Narrow"/>
                <w:color w:val="000000"/>
                <w:w w:val="15"/>
                <w:sz w:val="20"/>
                <w:szCs w:val="20"/>
                <w:shd w:val="solid" w:color="000000" w:fill="000000"/>
                <w:fitText w:val="70" w:id="-1032066294"/>
                <w14:textFill>
                  <w14:solidFill>
                    <w14:srgbClr w14:val="000000">
                      <w14:alpha w14:val="100000"/>
                    </w14:srgbClr>
                  </w14:solidFill>
                </w14:textFill>
              </w:rPr>
              <w:t>|</w:t>
            </w:r>
            <w:r w:rsidRPr="004E53B2">
              <w:rPr>
                <w:rFonts w:ascii="Arial Narrow" w:hAnsi="Arial Narrow" w:hint="eastAsia"/>
                <w:color w:val="000000"/>
                <w:spacing w:val="4"/>
                <w:w w:val="15"/>
                <w:sz w:val="20"/>
                <w:szCs w:val="20"/>
                <w:shd w:val="solid" w:color="000000" w:fill="000000"/>
                <w:fitText w:val="70" w:id="-1032066294"/>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tcPr>
          <w:p w14:paraId="0D3E7A5E" w14:textId="6D2DCF87" w:rsidR="004A1A67"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sz w:val="20"/>
                <w:szCs w:val="20"/>
              </w:rPr>
              <w:t xml:space="preserve"> </w:t>
            </w:r>
            <w:r w:rsidRPr="004E53B2">
              <w:rPr>
                <w:rFonts w:ascii="Arial Narrow" w:hAnsi="Arial Narrow" w:hint="eastAsia"/>
                <w:color w:val="000000"/>
                <w:w w:val="15"/>
                <w:sz w:val="20"/>
                <w:szCs w:val="20"/>
                <w:shd w:val="solid" w:color="000000" w:fill="000000"/>
                <w:fitText w:val="70" w:id="-1032066293"/>
                <w14:textFill>
                  <w14:solidFill>
                    <w14:srgbClr w14:val="000000">
                      <w14:alpha w14:val="100000"/>
                    </w14:srgbClr>
                  </w14:solidFill>
                </w14:textFill>
              </w:rPr>
              <w:t xml:space="preserve">　</w:t>
            </w:r>
            <w:r w:rsidRPr="004E53B2">
              <w:rPr>
                <w:rFonts w:ascii="Arial Narrow" w:hAnsi="Arial Narrow"/>
                <w:color w:val="000000"/>
                <w:w w:val="15"/>
                <w:sz w:val="20"/>
                <w:szCs w:val="20"/>
                <w:shd w:val="solid" w:color="000000" w:fill="000000"/>
                <w:fitText w:val="70" w:id="-1032066293"/>
                <w14:textFill>
                  <w14:solidFill>
                    <w14:srgbClr w14:val="000000">
                      <w14:alpha w14:val="100000"/>
                    </w14:srgbClr>
                  </w14:solidFill>
                </w14:textFill>
              </w:rPr>
              <w:t>|</w:t>
            </w:r>
            <w:r w:rsidRPr="004E53B2">
              <w:rPr>
                <w:rFonts w:ascii="Arial Narrow" w:hAnsi="Arial Narrow" w:hint="eastAsia"/>
                <w:color w:val="000000"/>
                <w:spacing w:val="4"/>
                <w:w w:val="15"/>
                <w:sz w:val="20"/>
                <w:szCs w:val="20"/>
                <w:shd w:val="solid" w:color="000000" w:fill="000000"/>
                <w:fitText w:val="70" w:id="-1032066293"/>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tcPr>
          <w:p w14:paraId="30E92298" w14:textId="7CCB4F22" w:rsidR="004A1A67"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sz w:val="20"/>
                <w:szCs w:val="20"/>
              </w:rPr>
              <w:t xml:space="preserve"> </w:t>
            </w:r>
            <w:r w:rsidRPr="004E53B2">
              <w:rPr>
                <w:rFonts w:ascii="Arial Narrow" w:hAnsi="Arial Narrow" w:hint="eastAsia"/>
                <w:color w:val="000000"/>
                <w:w w:val="15"/>
                <w:sz w:val="20"/>
                <w:szCs w:val="20"/>
                <w:shd w:val="solid" w:color="000000" w:fill="000000"/>
                <w:fitText w:val="70" w:id="-1032066292"/>
                <w14:textFill>
                  <w14:solidFill>
                    <w14:srgbClr w14:val="000000">
                      <w14:alpha w14:val="100000"/>
                    </w14:srgbClr>
                  </w14:solidFill>
                </w14:textFill>
              </w:rPr>
              <w:t xml:space="preserve">　</w:t>
            </w:r>
            <w:r w:rsidRPr="004E53B2">
              <w:rPr>
                <w:rFonts w:ascii="Arial Narrow" w:hAnsi="Arial Narrow"/>
                <w:color w:val="000000"/>
                <w:w w:val="15"/>
                <w:sz w:val="20"/>
                <w:szCs w:val="20"/>
                <w:shd w:val="solid" w:color="000000" w:fill="000000"/>
                <w:fitText w:val="70" w:id="-1032066292"/>
                <w14:textFill>
                  <w14:solidFill>
                    <w14:srgbClr w14:val="000000">
                      <w14:alpha w14:val="100000"/>
                    </w14:srgbClr>
                  </w14:solidFill>
                </w14:textFill>
              </w:rPr>
              <w:t>|</w:t>
            </w:r>
            <w:r w:rsidRPr="004E53B2">
              <w:rPr>
                <w:rFonts w:ascii="Arial Narrow" w:hAnsi="Arial Narrow" w:hint="eastAsia"/>
                <w:color w:val="000000"/>
                <w:spacing w:val="4"/>
                <w:w w:val="15"/>
                <w:sz w:val="20"/>
                <w:szCs w:val="20"/>
                <w:shd w:val="solid" w:color="000000" w:fill="000000"/>
                <w:fitText w:val="70" w:id="-1032066292"/>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tcPr>
          <w:p w14:paraId="7AE0EEC4" w14:textId="0E62DA8E" w:rsidR="004A1A67"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sz w:val="20"/>
                <w:szCs w:val="20"/>
              </w:rPr>
              <w:t xml:space="preserve"> </w:t>
            </w:r>
            <w:r w:rsidRPr="004E53B2">
              <w:rPr>
                <w:rFonts w:ascii="Arial Narrow" w:hAnsi="Arial Narrow" w:hint="eastAsia"/>
                <w:color w:val="000000"/>
                <w:w w:val="15"/>
                <w:sz w:val="20"/>
                <w:szCs w:val="20"/>
                <w:shd w:val="solid" w:color="000000" w:fill="000000"/>
                <w:fitText w:val="70" w:id="-1032066291"/>
                <w14:textFill>
                  <w14:solidFill>
                    <w14:srgbClr w14:val="000000">
                      <w14:alpha w14:val="100000"/>
                    </w14:srgbClr>
                  </w14:solidFill>
                </w14:textFill>
              </w:rPr>
              <w:t xml:space="preserve">　</w:t>
            </w:r>
            <w:r w:rsidRPr="004E53B2">
              <w:rPr>
                <w:rFonts w:ascii="Arial Narrow" w:hAnsi="Arial Narrow"/>
                <w:color w:val="000000"/>
                <w:w w:val="15"/>
                <w:sz w:val="20"/>
                <w:szCs w:val="20"/>
                <w:shd w:val="solid" w:color="000000" w:fill="000000"/>
                <w:fitText w:val="70" w:id="-1032066291"/>
                <w14:textFill>
                  <w14:solidFill>
                    <w14:srgbClr w14:val="000000">
                      <w14:alpha w14:val="100000"/>
                    </w14:srgbClr>
                  </w14:solidFill>
                </w14:textFill>
              </w:rPr>
              <w:t>|</w:t>
            </w:r>
            <w:r w:rsidRPr="004E53B2">
              <w:rPr>
                <w:rFonts w:ascii="Arial Narrow" w:hAnsi="Arial Narrow" w:hint="eastAsia"/>
                <w:color w:val="000000"/>
                <w:spacing w:val="4"/>
                <w:w w:val="15"/>
                <w:sz w:val="20"/>
                <w:szCs w:val="20"/>
                <w:shd w:val="solid" w:color="000000" w:fill="000000"/>
                <w:fitText w:val="70" w:id="-1032066291"/>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2" w:type="pct"/>
            <w:tcBorders>
              <w:top w:val="single" w:sz="4" w:space="0" w:color="auto"/>
              <w:left w:val="single" w:sz="4" w:space="0" w:color="auto"/>
              <w:bottom w:val="single" w:sz="4" w:space="0" w:color="auto"/>
              <w:right w:val="single" w:sz="4" w:space="0" w:color="auto"/>
            </w:tcBorders>
          </w:tcPr>
          <w:p w14:paraId="2234D555" w14:textId="50EF5936" w:rsidR="004A1A67"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sz w:val="20"/>
                <w:szCs w:val="20"/>
              </w:rPr>
              <w:t xml:space="preserve"> </w:t>
            </w:r>
            <w:r w:rsidRPr="004E53B2">
              <w:rPr>
                <w:rFonts w:ascii="Arial Narrow" w:hAnsi="Arial Narrow" w:hint="eastAsia"/>
                <w:color w:val="000000"/>
                <w:w w:val="18"/>
                <w:sz w:val="20"/>
                <w:szCs w:val="20"/>
                <w:shd w:val="solid" w:color="000000" w:fill="000000"/>
                <w:fitText w:val="80" w:id="-1032066290"/>
                <w14:textFill>
                  <w14:solidFill>
                    <w14:srgbClr w14:val="000000">
                      <w14:alpha w14:val="100000"/>
                    </w14:srgbClr>
                  </w14:solidFill>
                </w14:textFill>
              </w:rPr>
              <w:t xml:space="preserve">　</w:t>
            </w:r>
            <w:r w:rsidRPr="004E53B2">
              <w:rPr>
                <w:rFonts w:ascii="Arial Narrow" w:hAnsi="Arial Narrow"/>
                <w:color w:val="000000"/>
                <w:w w:val="18"/>
                <w:sz w:val="20"/>
                <w:szCs w:val="20"/>
                <w:shd w:val="solid" w:color="000000" w:fill="000000"/>
                <w:fitText w:val="80" w:id="-1032066290"/>
                <w14:textFill>
                  <w14:solidFill>
                    <w14:srgbClr w14:val="000000">
                      <w14:alpha w14:val="100000"/>
                    </w14:srgbClr>
                  </w14:solidFill>
                </w14:textFill>
              </w:rPr>
              <w:t>|</w:t>
            </w:r>
            <w:r w:rsidRPr="004E53B2">
              <w:rPr>
                <w:rFonts w:ascii="Arial Narrow" w:hAnsi="Arial Narrow" w:hint="eastAsia"/>
                <w:color w:val="000000"/>
                <w:w w:val="18"/>
                <w:sz w:val="20"/>
                <w:szCs w:val="20"/>
                <w:shd w:val="solid" w:color="000000" w:fill="000000"/>
                <w:fitText w:val="80" w:id="-1032066290"/>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r>
      <w:tr w:rsidR="00CE6EE8" w:rsidRPr="00F91CC3" w14:paraId="703B8CA4" w14:textId="77777777" w:rsidTr="00CE6EE8">
        <w:tc>
          <w:tcPr>
            <w:tcW w:w="1333" w:type="pct"/>
            <w:tcBorders>
              <w:top w:val="single" w:sz="4" w:space="0" w:color="auto"/>
              <w:left w:val="single" w:sz="4" w:space="0" w:color="auto"/>
              <w:bottom w:val="single" w:sz="4" w:space="0" w:color="auto"/>
              <w:right w:val="single" w:sz="4" w:space="0" w:color="auto"/>
            </w:tcBorders>
            <w:vAlign w:val="center"/>
          </w:tcPr>
          <w:p w14:paraId="6137A68B" w14:textId="51E81683" w:rsidR="00807566" w:rsidRPr="00F91CC3" w:rsidRDefault="00807566" w:rsidP="00CE6EE8">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 xml:space="preserve">Number of scripts dispensed </w:t>
            </w:r>
            <w:r w:rsidRPr="00F91CC3">
              <w:rPr>
                <w:rFonts w:ascii="Arial Narrow" w:eastAsiaTheme="majorEastAsia" w:hAnsi="Arial Narrow" w:cstheme="majorBidi"/>
                <w:bCs/>
                <w:sz w:val="20"/>
                <w:vertAlign w:val="superscript"/>
              </w:rPr>
              <w:t>d</w:t>
            </w:r>
          </w:p>
        </w:tc>
        <w:tc>
          <w:tcPr>
            <w:tcW w:w="611" w:type="pct"/>
            <w:tcBorders>
              <w:top w:val="single" w:sz="4" w:space="0" w:color="auto"/>
              <w:left w:val="single" w:sz="4" w:space="0" w:color="auto"/>
              <w:bottom w:val="single" w:sz="4" w:space="0" w:color="auto"/>
              <w:right w:val="single" w:sz="4" w:space="0" w:color="auto"/>
            </w:tcBorders>
            <w:vAlign w:val="bottom"/>
          </w:tcPr>
          <w:p w14:paraId="2EFCFC56" w14:textId="337463B4" w:rsidR="00807566"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cs="Calibri"/>
                <w:color w:val="000000"/>
                <w:sz w:val="20"/>
                <w:szCs w:val="20"/>
              </w:rPr>
              <w:t xml:space="preserve"> </w:t>
            </w:r>
            <w:r w:rsidRPr="004E53B2">
              <w:rPr>
                <w:rFonts w:ascii="Arial Narrow" w:hAnsi="Arial Narrow" w:cs="Calibri" w:hint="eastAsia"/>
                <w:color w:val="000000"/>
                <w:w w:val="15"/>
                <w:sz w:val="20"/>
                <w:szCs w:val="20"/>
                <w:shd w:val="solid" w:color="000000" w:fill="000000"/>
                <w:fitText w:val="70" w:id="-1032066289"/>
                <w14:textFill>
                  <w14:solidFill>
                    <w14:srgbClr w14:val="000000">
                      <w14:alpha w14:val="100000"/>
                    </w14:srgbClr>
                  </w14:solidFill>
                </w14:textFill>
              </w:rPr>
              <w:t xml:space="preserve">　</w:t>
            </w:r>
            <w:r w:rsidRPr="004E53B2">
              <w:rPr>
                <w:rFonts w:ascii="Arial Narrow" w:hAnsi="Arial Narrow" w:cs="Calibri"/>
                <w:color w:val="000000"/>
                <w:w w:val="15"/>
                <w:sz w:val="20"/>
                <w:szCs w:val="20"/>
                <w:shd w:val="solid" w:color="000000" w:fill="000000"/>
                <w:fitText w:val="70" w:id="-1032066289"/>
                <w14:textFill>
                  <w14:solidFill>
                    <w14:srgbClr w14:val="000000">
                      <w14:alpha w14:val="100000"/>
                    </w14:srgbClr>
                  </w14:solidFill>
                </w14:textFill>
              </w:rPr>
              <w:t>|</w:t>
            </w:r>
            <w:r w:rsidRPr="004E53B2">
              <w:rPr>
                <w:rFonts w:ascii="Arial Narrow" w:hAnsi="Arial Narrow" w:cs="Calibri" w:hint="eastAsia"/>
                <w:color w:val="000000"/>
                <w:spacing w:val="4"/>
                <w:w w:val="15"/>
                <w:sz w:val="20"/>
                <w:szCs w:val="20"/>
                <w:shd w:val="solid" w:color="000000" w:fill="000000"/>
                <w:fitText w:val="70" w:id="-1032066289"/>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vAlign w:val="bottom"/>
          </w:tcPr>
          <w:p w14:paraId="3A6940EA" w14:textId="44F3F6D4" w:rsidR="00807566"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cs="Calibri"/>
                <w:color w:val="000000"/>
                <w:sz w:val="20"/>
                <w:szCs w:val="20"/>
              </w:rPr>
              <w:t xml:space="preserve"> </w:t>
            </w:r>
            <w:r w:rsidRPr="004E53B2">
              <w:rPr>
                <w:rFonts w:ascii="Arial Narrow" w:hAnsi="Arial Narrow" w:cs="Calibri" w:hint="eastAsia"/>
                <w:color w:val="000000"/>
                <w:w w:val="15"/>
                <w:sz w:val="20"/>
                <w:szCs w:val="20"/>
                <w:shd w:val="solid" w:color="000000" w:fill="000000"/>
                <w:fitText w:val="70" w:id="-1032066288"/>
                <w14:textFill>
                  <w14:solidFill>
                    <w14:srgbClr w14:val="000000">
                      <w14:alpha w14:val="100000"/>
                    </w14:srgbClr>
                  </w14:solidFill>
                </w14:textFill>
              </w:rPr>
              <w:t xml:space="preserve">　</w:t>
            </w:r>
            <w:r w:rsidRPr="004E53B2">
              <w:rPr>
                <w:rFonts w:ascii="Arial Narrow" w:hAnsi="Arial Narrow" w:cs="Calibri"/>
                <w:color w:val="000000"/>
                <w:w w:val="15"/>
                <w:sz w:val="20"/>
                <w:szCs w:val="20"/>
                <w:shd w:val="solid" w:color="000000" w:fill="000000"/>
                <w:fitText w:val="70" w:id="-1032066288"/>
                <w14:textFill>
                  <w14:solidFill>
                    <w14:srgbClr w14:val="000000">
                      <w14:alpha w14:val="100000"/>
                    </w14:srgbClr>
                  </w14:solidFill>
                </w14:textFill>
              </w:rPr>
              <w:t>|</w:t>
            </w:r>
            <w:r w:rsidRPr="004E53B2">
              <w:rPr>
                <w:rFonts w:ascii="Arial Narrow" w:hAnsi="Arial Narrow" w:cs="Calibri" w:hint="eastAsia"/>
                <w:color w:val="000000"/>
                <w:spacing w:val="4"/>
                <w:w w:val="15"/>
                <w:sz w:val="20"/>
                <w:szCs w:val="20"/>
                <w:shd w:val="solid" w:color="000000" w:fill="000000"/>
                <w:fitText w:val="70" w:id="-1032066288"/>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vAlign w:val="bottom"/>
          </w:tcPr>
          <w:p w14:paraId="72EC2A65" w14:textId="591C4DE8" w:rsidR="00807566"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cs="Calibri"/>
                <w:color w:val="000000"/>
                <w:sz w:val="20"/>
                <w:szCs w:val="20"/>
              </w:rPr>
              <w:t xml:space="preserve"> </w:t>
            </w:r>
            <w:r w:rsidRPr="004E53B2">
              <w:rPr>
                <w:rFonts w:ascii="Arial Narrow" w:hAnsi="Arial Narrow" w:cs="Calibri" w:hint="eastAsia"/>
                <w:color w:val="000000"/>
                <w:w w:val="15"/>
                <w:sz w:val="20"/>
                <w:szCs w:val="20"/>
                <w:shd w:val="solid" w:color="000000" w:fill="000000"/>
                <w:fitText w:val="70" w:id="-1032066304"/>
                <w14:textFill>
                  <w14:solidFill>
                    <w14:srgbClr w14:val="000000">
                      <w14:alpha w14:val="100000"/>
                    </w14:srgbClr>
                  </w14:solidFill>
                </w14:textFill>
              </w:rPr>
              <w:t xml:space="preserve">　</w:t>
            </w:r>
            <w:r w:rsidRPr="004E53B2">
              <w:rPr>
                <w:rFonts w:ascii="Arial Narrow" w:hAnsi="Arial Narrow" w:cs="Calibri"/>
                <w:color w:val="000000"/>
                <w:w w:val="15"/>
                <w:sz w:val="20"/>
                <w:szCs w:val="20"/>
                <w:shd w:val="solid" w:color="000000" w:fill="000000"/>
                <w:fitText w:val="70" w:id="-1032066304"/>
                <w14:textFill>
                  <w14:solidFill>
                    <w14:srgbClr w14:val="000000">
                      <w14:alpha w14:val="100000"/>
                    </w14:srgbClr>
                  </w14:solidFill>
                </w14:textFill>
              </w:rPr>
              <w:t>|</w:t>
            </w:r>
            <w:r w:rsidRPr="004E53B2">
              <w:rPr>
                <w:rFonts w:ascii="Arial Narrow" w:hAnsi="Arial Narrow" w:cs="Calibri" w:hint="eastAsia"/>
                <w:color w:val="000000"/>
                <w:spacing w:val="4"/>
                <w:w w:val="15"/>
                <w:sz w:val="20"/>
                <w:szCs w:val="20"/>
                <w:shd w:val="solid" w:color="000000" w:fill="000000"/>
                <w:fitText w:val="70" w:id="-1032066304"/>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vAlign w:val="bottom"/>
          </w:tcPr>
          <w:p w14:paraId="69235947" w14:textId="385B28E0" w:rsidR="00807566"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cs="Calibri"/>
                <w:color w:val="000000"/>
                <w:sz w:val="20"/>
                <w:szCs w:val="20"/>
              </w:rPr>
              <w:t xml:space="preserve"> </w:t>
            </w:r>
            <w:r w:rsidRPr="004E53B2">
              <w:rPr>
                <w:rFonts w:ascii="Arial Narrow" w:hAnsi="Arial Narrow" w:cs="Calibri" w:hint="eastAsia"/>
                <w:color w:val="000000"/>
                <w:w w:val="15"/>
                <w:sz w:val="20"/>
                <w:szCs w:val="20"/>
                <w:shd w:val="solid" w:color="000000" w:fill="000000"/>
                <w:fitText w:val="70" w:id="-1032066303"/>
                <w14:textFill>
                  <w14:solidFill>
                    <w14:srgbClr w14:val="000000">
                      <w14:alpha w14:val="100000"/>
                    </w14:srgbClr>
                  </w14:solidFill>
                </w14:textFill>
              </w:rPr>
              <w:t xml:space="preserve">　</w:t>
            </w:r>
            <w:r w:rsidRPr="004E53B2">
              <w:rPr>
                <w:rFonts w:ascii="Arial Narrow" w:hAnsi="Arial Narrow" w:cs="Calibri"/>
                <w:color w:val="000000"/>
                <w:w w:val="15"/>
                <w:sz w:val="20"/>
                <w:szCs w:val="20"/>
                <w:shd w:val="solid" w:color="000000" w:fill="000000"/>
                <w:fitText w:val="70" w:id="-1032066303"/>
                <w14:textFill>
                  <w14:solidFill>
                    <w14:srgbClr w14:val="000000">
                      <w14:alpha w14:val="100000"/>
                    </w14:srgbClr>
                  </w14:solidFill>
                </w14:textFill>
              </w:rPr>
              <w:t>|</w:t>
            </w:r>
            <w:r w:rsidRPr="004E53B2">
              <w:rPr>
                <w:rFonts w:ascii="Arial Narrow" w:hAnsi="Arial Narrow" w:cs="Calibri" w:hint="eastAsia"/>
                <w:color w:val="000000"/>
                <w:spacing w:val="4"/>
                <w:w w:val="15"/>
                <w:sz w:val="20"/>
                <w:szCs w:val="20"/>
                <w:shd w:val="solid" w:color="000000" w:fill="000000"/>
                <w:fitText w:val="70" w:id="-1032066303"/>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vAlign w:val="bottom"/>
          </w:tcPr>
          <w:p w14:paraId="0C24EAEA" w14:textId="54C71E93" w:rsidR="00807566"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cs="Calibri"/>
                <w:color w:val="000000"/>
                <w:sz w:val="20"/>
                <w:szCs w:val="20"/>
              </w:rPr>
              <w:t xml:space="preserve"> </w:t>
            </w:r>
            <w:r w:rsidRPr="004E53B2">
              <w:rPr>
                <w:rFonts w:ascii="Arial Narrow" w:hAnsi="Arial Narrow" w:cs="Calibri" w:hint="eastAsia"/>
                <w:color w:val="000000"/>
                <w:w w:val="15"/>
                <w:sz w:val="20"/>
                <w:szCs w:val="20"/>
                <w:shd w:val="solid" w:color="000000" w:fill="000000"/>
                <w:fitText w:val="70" w:id="-1032066302"/>
                <w14:textFill>
                  <w14:solidFill>
                    <w14:srgbClr w14:val="000000">
                      <w14:alpha w14:val="100000"/>
                    </w14:srgbClr>
                  </w14:solidFill>
                </w14:textFill>
              </w:rPr>
              <w:t xml:space="preserve">　</w:t>
            </w:r>
            <w:r w:rsidRPr="004E53B2">
              <w:rPr>
                <w:rFonts w:ascii="Arial Narrow" w:hAnsi="Arial Narrow" w:cs="Calibri"/>
                <w:color w:val="000000"/>
                <w:w w:val="15"/>
                <w:sz w:val="20"/>
                <w:szCs w:val="20"/>
                <w:shd w:val="solid" w:color="000000" w:fill="000000"/>
                <w:fitText w:val="70" w:id="-1032066302"/>
                <w14:textFill>
                  <w14:solidFill>
                    <w14:srgbClr w14:val="000000">
                      <w14:alpha w14:val="100000"/>
                    </w14:srgbClr>
                  </w14:solidFill>
                </w14:textFill>
              </w:rPr>
              <w:t>|</w:t>
            </w:r>
            <w:r w:rsidRPr="004E53B2">
              <w:rPr>
                <w:rFonts w:ascii="Arial Narrow" w:hAnsi="Arial Narrow" w:cs="Calibri" w:hint="eastAsia"/>
                <w:color w:val="000000"/>
                <w:spacing w:val="4"/>
                <w:w w:val="15"/>
                <w:sz w:val="20"/>
                <w:szCs w:val="20"/>
                <w:shd w:val="solid" w:color="000000" w:fill="000000"/>
                <w:fitText w:val="70" w:id="-1032066302"/>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2" w:type="pct"/>
            <w:tcBorders>
              <w:top w:val="single" w:sz="4" w:space="0" w:color="auto"/>
              <w:left w:val="single" w:sz="4" w:space="0" w:color="auto"/>
              <w:bottom w:val="single" w:sz="4" w:space="0" w:color="auto"/>
              <w:right w:val="single" w:sz="4" w:space="0" w:color="auto"/>
            </w:tcBorders>
            <w:vAlign w:val="bottom"/>
          </w:tcPr>
          <w:p w14:paraId="7F54B89E" w14:textId="5DFF03F2" w:rsidR="00807566"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cs="Calibri"/>
                <w:color w:val="000000"/>
                <w:sz w:val="20"/>
                <w:szCs w:val="20"/>
              </w:rPr>
              <w:t xml:space="preserve"> </w:t>
            </w:r>
            <w:r w:rsidRPr="004E53B2">
              <w:rPr>
                <w:rFonts w:ascii="Arial Narrow" w:hAnsi="Arial Narrow" w:cs="Calibri" w:hint="eastAsia"/>
                <w:color w:val="000000"/>
                <w:w w:val="18"/>
                <w:sz w:val="20"/>
                <w:szCs w:val="20"/>
                <w:shd w:val="solid" w:color="000000" w:fill="000000"/>
                <w:fitText w:val="80" w:id="-1032066301"/>
                <w14:textFill>
                  <w14:solidFill>
                    <w14:srgbClr w14:val="000000">
                      <w14:alpha w14:val="100000"/>
                    </w14:srgbClr>
                  </w14:solidFill>
                </w14:textFill>
              </w:rPr>
              <w:t xml:space="preserve">　</w:t>
            </w:r>
            <w:r w:rsidRPr="004E53B2">
              <w:rPr>
                <w:rFonts w:ascii="Arial Narrow" w:hAnsi="Arial Narrow" w:cs="Calibri"/>
                <w:color w:val="000000"/>
                <w:w w:val="18"/>
                <w:sz w:val="20"/>
                <w:szCs w:val="20"/>
                <w:shd w:val="solid" w:color="000000" w:fill="000000"/>
                <w:fitText w:val="80" w:id="-1032066301"/>
                <w14:textFill>
                  <w14:solidFill>
                    <w14:srgbClr w14:val="000000">
                      <w14:alpha w14:val="100000"/>
                    </w14:srgbClr>
                  </w14:solidFill>
                </w14:textFill>
              </w:rPr>
              <w:t>|</w:t>
            </w:r>
            <w:r w:rsidRPr="004E53B2">
              <w:rPr>
                <w:rFonts w:ascii="Arial Narrow" w:hAnsi="Arial Narrow" w:cs="Calibri" w:hint="eastAsia"/>
                <w:color w:val="000000"/>
                <w:w w:val="18"/>
                <w:sz w:val="20"/>
                <w:szCs w:val="20"/>
                <w:shd w:val="solid" w:color="000000" w:fill="000000"/>
                <w:fitText w:val="80" w:id="-1032066301"/>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r>
      <w:tr w:rsidR="00807566" w:rsidRPr="00F91CC3" w14:paraId="44BB591C" w14:textId="77777777" w:rsidTr="00CE6EE8">
        <w:tc>
          <w:tcPr>
            <w:tcW w:w="5000" w:type="pct"/>
            <w:gridSpan w:val="7"/>
            <w:tcBorders>
              <w:top w:val="single" w:sz="4" w:space="0" w:color="auto"/>
              <w:left w:val="single" w:sz="4" w:space="0" w:color="auto"/>
              <w:bottom w:val="single" w:sz="4" w:space="0" w:color="auto"/>
              <w:right w:val="single" w:sz="4" w:space="0" w:color="auto"/>
            </w:tcBorders>
            <w:vAlign w:val="center"/>
          </w:tcPr>
          <w:p w14:paraId="7AEBD79B" w14:textId="4FD6F808" w:rsidR="00807566" w:rsidRPr="00F91CC3" w:rsidRDefault="00807566" w:rsidP="00CE6EE8">
            <w:pPr>
              <w:keepNext/>
              <w:jc w:val="left"/>
              <w:rPr>
                <w:rFonts w:ascii="Arial Narrow" w:hAnsi="Arial Narrow" w:cs="Calibri"/>
                <w:color w:val="000000"/>
                <w:sz w:val="20"/>
                <w:szCs w:val="20"/>
              </w:rPr>
            </w:pPr>
            <w:r w:rsidRPr="00F91CC3">
              <w:rPr>
                <w:rFonts w:ascii="Arial Narrow" w:eastAsiaTheme="majorEastAsia" w:hAnsi="Arial Narrow" w:cstheme="majorBidi"/>
                <w:b/>
                <w:sz w:val="20"/>
              </w:rPr>
              <w:t>Estimated financial implications of ivacaftor</w:t>
            </w:r>
          </w:p>
        </w:tc>
      </w:tr>
      <w:tr w:rsidR="00063D90" w:rsidRPr="00F91CC3" w14:paraId="2B360B9F" w14:textId="77777777" w:rsidTr="006F24B9">
        <w:tc>
          <w:tcPr>
            <w:tcW w:w="1333" w:type="pct"/>
            <w:tcBorders>
              <w:top w:val="single" w:sz="4" w:space="0" w:color="auto"/>
              <w:left w:val="single" w:sz="4" w:space="0" w:color="auto"/>
              <w:bottom w:val="single" w:sz="4" w:space="0" w:color="auto"/>
              <w:right w:val="single" w:sz="4" w:space="0" w:color="auto"/>
            </w:tcBorders>
            <w:vAlign w:val="center"/>
          </w:tcPr>
          <w:p w14:paraId="5DB6DBBE" w14:textId="65756B40" w:rsidR="00063D90" w:rsidRPr="00F91CC3" w:rsidRDefault="00063D90" w:rsidP="00CE6EE8">
            <w:pPr>
              <w:keepNext/>
              <w:jc w:val="left"/>
              <w:rPr>
                <w:rFonts w:ascii="Arial Narrow" w:eastAsiaTheme="majorEastAsia" w:hAnsi="Arial Narrow" w:cstheme="majorBidi"/>
                <w:bCs/>
                <w:sz w:val="19"/>
                <w:szCs w:val="19"/>
              </w:rPr>
            </w:pPr>
            <w:r w:rsidRPr="00F91CC3">
              <w:rPr>
                <w:rFonts w:ascii="Arial Narrow" w:eastAsiaTheme="majorEastAsia" w:hAnsi="Arial Narrow" w:cstheme="majorBidi"/>
                <w:bCs/>
                <w:sz w:val="19"/>
                <w:szCs w:val="19"/>
              </w:rPr>
              <w:t>Cost to PBS/RPBS less</w:t>
            </w:r>
            <w:r w:rsidR="00962A6F">
              <w:rPr>
                <w:rFonts w:ascii="Arial Narrow" w:eastAsiaTheme="majorEastAsia" w:hAnsi="Arial Narrow" w:cstheme="majorBidi"/>
                <w:bCs/>
                <w:sz w:val="19"/>
                <w:szCs w:val="19"/>
              </w:rPr>
              <w:t xml:space="preserve"> </w:t>
            </w:r>
            <w:r w:rsidR="00D07430" w:rsidRPr="00F91CC3">
              <w:rPr>
                <w:rFonts w:ascii="Arial Narrow" w:eastAsiaTheme="majorEastAsia" w:hAnsi="Arial Narrow" w:cstheme="majorBidi"/>
                <w:bCs/>
                <w:sz w:val="19"/>
                <w:szCs w:val="19"/>
              </w:rPr>
              <w:t>co-payments</w:t>
            </w:r>
          </w:p>
          <w:p w14:paraId="11DAFD1E" w14:textId="55E89F3F" w:rsidR="00063D90" w:rsidRPr="00F91CC3" w:rsidRDefault="00063D90" w:rsidP="00CE6EE8">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19"/>
                <w:szCs w:val="19"/>
              </w:rPr>
              <w:t>(% net cost to PBS/RPBS)</w:t>
            </w:r>
          </w:p>
        </w:tc>
        <w:tc>
          <w:tcPr>
            <w:tcW w:w="611" w:type="pct"/>
            <w:tcBorders>
              <w:top w:val="single" w:sz="4" w:space="0" w:color="auto"/>
              <w:left w:val="single" w:sz="4" w:space="0" w:color="auto"/>
              <w:bottom w:val="single" w:sz="4" w:space="0" w:color="auto"/>
              <w:right w:val="single" w:sz="4" w:space="0" w:color="auto"/>
            </w:tcBorders>
            <w:vAlign w:val="center"/>
          </w:tcPr>
          <w:p w14:paraId="371DB686" w14:textId="498FDA18" w:rsidR="00063D90" w:rsidRPr="00F91CC3" w:rsidRDefault="00063D90" w:rsidP="00CE6EE8">
            <w:pPr>
              <w:keepNext/>
              <w:jc w:val="center"/>
              <w:rPr>
                <w:rFonts w:ascii="Arial Narrow" w:hAnsi="Arial Narrow" w:cs="Calibri"/>
                <w:color w:val="000000"/>
                <w:sz w:val="20"/>
                <w:szCs w:val="20"/>
              </w:rPr>
            </w:pPr>
            <w:r w:rsidRPr="00F91CC3">
              <w:rPr>
                <w:rFonts w:ascii="Arial Narrow" w:hAnsi="Arial Narrow" w:cs="Calibri"/>
                <w:color w:val="000000"/>
                <w:sz w:val="20"/>
                <w:szCs w:val="20"/>
              </w:rPr>
              <w:t>$</w:t>
            </w:r>
            <w:r w:rsidR="004E53B2">
              <w:rPr>
                <w:rFonts w:ascii="Arial Narrow" w:hAnsi="Arial Narrow" w:cs="Calibri"/>
                <w:color w:val="000000"/>
                <w:sz w:val="20"/>
                <w:szCs w:val="20"/>
              </w:rPr>
              <w:t xml:space="preserve"> </w:t>
            </w:r>
            <w:r w:rsidR="004E53B2" w:rsidRPr="004E53B2">
              <w:rPr>
                <w:rFonts w:ascii="Arial Narrow" w:hAnsi="Arial Narrow" w:cs="Calibri" w:hint="eastAsia"/>
                <w:color w:val="000000"/>
                <w:w w:val="27"/>
                <w:sz w:val="20"/>
                <w:szCs w:val="20"/>
                <w:shd w:val="solid" w:color="000000" w:fill="000000"/>
                <w:fitText w:val="120" w:id="-1032066300"/>
                <w14:textFill>
                  <w14:solidFill>
                    <w14:srgbClr w14:val="000000">
                      <w14:alpha w14:val="100000"/>
                    </w14:srgbClr>
                  </w14:solidFill>
                </w14:textFill>
              </w:rPr>
              <w:t xml:space="preserve">　</w:t>
            </w:r>
            <w:r w:rsidR="004E53B2" w:rsidRPr="004E53B2">
              <w:rPr>
                <w:rFonts w:ascii="Arial Narrow" w:hAnsi="Arial Narrow" w:cs="Calibri"/>
                <w:color w:val="000000"/>
                <w:w w:val="27"/>
                <w:sz w:val="20"/>
                <w:szCs w:val="20"/>
                <w:shd w:val="solid" w:color="000000" w:fill="000000"/>
                <w:fitText w:val="120" w:id="-1032066300"/>
                <w14:textFill>
                  <w14:solidFill>
                    <w14:srgbClr w14:val="000000">
                      <w14:alpha w14:val="100000"/>
                    </w14:srgbClr>
                  </w14:solidFill>
                </w14:textFill>
              </w:rPr>
              <w:t>|</w:t>
            </w:r>
            <w:r w:rsidR="004E53B2" w:rsidRPr="004E53B2">
              <w:rPr>
                <w:rFonts w:ascii="Arial Narrow" w:hAnsi="Arial Narrow" w:cs="Calibri" w:hint="eastAsia"/>
                <w:color w:val="000000"/>
                <w:spacing w:val="2"/>
                <w:w w:val="27"/>
                <w:sz w:val="20"/>
                <w:szCs w:val="20"/>
                <w:shd w:val="solid" w:color="000000" w:fill="000000"/>
                <w:fitText w:val="120" w:id="-1032066300"/>
                <w14:textFill>
                  <w14:solidFill>
                    <w14:srgbClr w14:val="000000">
                      <w14:alpha w14:val="100000"/>
                    </w14:srgbClr>
                  </w14:solidFill>
                </w14:textFill>
              </w:rPr>
              <w:t xml:space="preserve">　</w:t>
            </w:r>
            <w:r w:rsidR="00D71A55">
              <w:rPr>
                <w:rFonts w:ascii="Arial Narrow" w:eastAsiaTheme="majorEastAsia" w:hAnsi="Arial Narrow" w:cstheme="majorBidi"/>
                <w:bCs/>
                <w:sz w:val="20"/>
                <w:szCs w:val="20"/>
                <w:vertAlign w:val="superscript"/>
              </w:rPr>
              <w:t>2</w:t>
            </w:r>
          </w:p>
          <w:p w14:paraId="192D1EAC" w14:textId="2A8ABA01" w:rsidR="00063D90" w:rsidRPr="00F91CC3" w:rsidRDefault="00063D90" w:rsidP="00CE6EE8">
            <w:pPr>
              <w:keepNext/>
              <w:jc w:val="center"/>
              <w:rPr>
                <w:rFonts w:ascii="Arial Narrow" w:hAnsi="Arial Narrow" w:cs="Calibri"/>
                <w:color w:val="000000"/>
                <w:sz w:val="20"/>
                <w:szCs w:val="20"/>
              </w:rPr>
            </w:pPr>
            <w:r w:rsidRPr="00EC0695">
              <w:rPr>
                <w:rFonts w:ascii="Arial Narrow" w:hAnsi="Arial Narrow" w:cs="Calibri"/>
                <w:color w:val="000000"/>
                <w:sz w:val="20"/>
                <w:szCs w:val="20"/>
              </w:rPr>
              <w:t>(7%)</w:t>
            </w:r>
          </w:p>
        </w:tc>
        <w:tc>
          <w:tcPr>
            <w:tcW w:w="611" w:type="pct"/>
            <w:tcBorders>
              <w:top w:val="single" w:sz="4" w:space="0" w:color="auto"/>
              <w:left w:val="single" w:sz="4" w:space="0" w:color="auto"/>
              <w:bottom w:val="single" w:sz="4" w:space="0" w:color="auto"/>
              <w:right w:val="single" w:sz="4" w:space="0" w:color="auto"/>
            </w:tcBorders>
            <w:vAlign w:val="center"/>
          </w:tcPr>
          <w:p w14:paraId="62481D7D" w14:textId="405EFF8F" w:rsidR="00063D90" w:rsidRPr="00F91CC3" w:rsidRDefault="00063D90" w:rsidP="00CE6EE8">
            <w:pPr>
              <w:keepNext/>
              <w:jc w:val="center"/>
              <w:rPr>
                <w:rFonts w:ascii="Arial Narrow" w:hAnsi="Arial Narrow" w:cs="Calibri"/>
                <w:color w:val="000000"/>
                <w:sz w:val="20"/>
                <w:szCs w:val="20"/>
              </w:rPr>
            </w:pPr>
            <w:r w:rsidRPr="00F91CC3">
              <w:rPr>
                <w:rFonts w:ascii="Arial Narrow" w:hAnsi="Arial Narrow" w:cs="Calibri"/>
                <w:color w:val="000000"/>
                <w:sz w:val="20"/>
                <w:szCs w:val="20"/>
              </w:rPr>
              <w:t>$</w:t>
            </w:r>
            <w:r w:rsidR="004E53B2">
              <w:rPr>
                <w:rFonts w:ascii="Arial Narrow" w:hAnsi="Arial Narrow" w:cs="Calibri"/>
                <w:color w:val="000000"/>
                <w:sz w:val="20"/>
                <w:szCs w:val="20"/>
              </w:rPr>
              <w:t xml:space="preserve"> </w:t>
            </w:r>
            <w:r w:rsidR="004E53B2" w:rsidRPr="004E53B2">
              <w:rPr>
                <w:rFonts w:ascii="Arial Narrow" w:hAnsi="Arial Narrow" w:cs="Calibri" w:hint="eastAsia"/>
                <w:color w:val="000000"/>
                <w:w w:val="27"/>
                <w:sz w:val="20"/>
                <w:szCs w:val="20"/>
                <w:shd w:val="solid" w:color="000000" w:fill="000000"/>
                <w:fitText w:val="120" w:id="-1032066299"/>
                <w14:textFill>
                  <w14:solidFill>
                    <w14:srgbClr w14:val="000000">
                      <w14:alpha w14:val="100000"/>
                    </w14:srgbClr>
                  </w14:solidFill>
                </w14:textFill>
              </w:rPr>
              <w:t xml:space="preserve">　</w:t>
            </w:r>
            <w:r w:rsidR="004E53B2" w:rsidRPr="004E53B2">
              <w:rPr>
                <w:rFonts w:ascii="Arial Narrow" w:hAnsi="Arial Narrow" w:cs="Calibri"/>
                <w:color w:val="000000"/>
                <w:w w:val="27"/>
                <w:sz w:val="20"/>
                <w:szCs w:val="20"/>
                <w:shd w:val="solid" w:color="000000" w:fill="000000"/>
                <w:fitText w:val="120" w:id="-1032066299"/>
                <w14:textFill>
                  <w14:solidFill>
                    <w14:srgbClr w14:val="000000">
                      <w14:alpha w14:val="100000"/>
                    </w14:srgbClr>
                  </w14:solidFill>
                </w14:textFill>
              </w:rPr>
              <w:t>|</w:t>
            </w:r>
            <w:r w:rsidR="004E53B2" w:rsidRPr="004E53B2">
              <w:rPr>
                <w:rFonts w:ascii="Arial Narrow" w:hAnsi="Arial Narrow" w:cs="Calibri" w:hint="eastAsia"/>
                <w:color w:val="000000"/>
                <w:spacing w:val="2"/>
                <w:w w:val="27"/>
                <w:sz w:val="20"/>
                <w:szCs w:val="20"/>
                <w:shd w:val="solid" w:color="000000" w:fill="000000"/>
                <w:fitText w:val="120" w:id="-1032066299"/>
                <w14:textFill>
                  <w14:solidFill>
                    <w14:srgbClr w14:val="000000">
                      <w14:alpha w14:val="100000"/>
                    </w14:srgbClr>
                  </w14:solidFill>
                </w14:textFill>
              </w:rPr>
              <w:t xml:space="preserve">　</w:t>
            </w:r>
            <w:r w:rsidR="00D71A55">
              <w:rPr>
                <w:rFonts w:ascii="Arial Narrow" w:eastAsiaTheme="majorEastAsia" w:hAnsi="Arial Narrow" w:cstheme="majorBidi"/>
                <w:bCs/>
                <w:sz w:val="20"/>
                <w:szCs w:val="20"/>
                <w:vertAlign w:val="superscript"/>
              </w:rPr>
              <w:t>2</w:t>
            </w:r>
          </w:p>
          <w:p w14:paraId="72FE7DDB" w14:textId="490E2196" w:rsidR="00063D90" w:rsidRPr="00F91CC3" w:rsidRDefault="00063D90" w:rsidP="00CE6EE8">
            <w:pPr>
              <w:keepNext/>
              <w:jc w:val="center"/>
              <w:rPr>
                <w:rFonts w:ascii="Arial Narrow" w:hAnsi="Arial Narrow" w:cs="Calibri"/>
                <w:color w:val="000000"/>
                <w:sz w:val="20"/>
                <w:szCs w:val="20"/>
              </w:rPr>
            </w:pPr>
            <w:r w:rsidRPr="00F91CC3">
              <w:rPr>
                <w:rFonts w:ascii="Arial Narrow" w:hAnsi="Arial Narrow" w:cs="Calibri"/>
                <w:color w:val="000000"/>
                <w:sz w:val="20"/>
                <w:szCs w:val="20"/>
              </w:rPr>
              <w:t>(</w:t>
            </w:r>
            <w:r w:rsidRPr="00EC0695">
              <w:rPr>
                <w:rFonts w:ascii="Arial Narrow" w:hAnsi="Arial Narrow" w:cs="Calibri"/>
                <w:color w:val="000000"/>
                <w:sz w:val="20"/>
                <w:szCs w:val="20"/>
              </w:rPr>
              <w:t>7%)</w:t>
            </w:r>
          </w:p>
        </w:tc>
        <w:tc>
          <w:tcPr>
            <w:tcW w:w="611" w:type="pct"/>
            <w:tcBorders>
              <w:top w:val="single" w:sz="4" w:space="0" w:color="auto"/>
              <w:left w:val="single" w:sz="4" w:space="0" w:color="auto"/>
              <w:bottom w:val="single" w:sz="4" w:space="0" w:color="auto"/>
              <w:right w:val="single" w:sz="4" w:space="0" w:color="auto"/>
            </w:tcBorders>
            <w:vAlign w:val="center"/>
          </w:tcPr>
          <w:p w14:paraId="282F1E71" w14:textId="699CB798" w:rsidR="00063D90" w:rsidRPr="00F91CC3" w:rsidRDefault="00063D90" w:rsidP="00CE6EE8">
            <w:pPr>
              <w:keepNext/>
              <w:jc w:val="center"/>
              <w:rPr>
                <w:rFonts w:ascii="Arial Narrow" w:hAnsi="Arial Narrow" w:cs="Calibri"/>
                <w:color w:val="000000"/>
                <w:sz w:val="20"/>
                <w:szCs w:val="20"/>
              </w:rPr>
            </w:pPr>
            <w:r w:rsidRPr="00F91CC3">
              <w:rPr>
                <w:rFonts w:ascii="Arial Narrow" w:hAnsi="Arial Narrow" w:cs="Calibri"/>
                <w:color w:val="000000"/>
                <w:sz w:val="20"/>
                <w:szCs w:val="20"/>
              </w:rPr>
              <w:t>$</w:t>
            </w:r>
            <w:r w:rsidR="004E53B2">
              <w:rPr>
                <w:rFonts w:ascii="Arial Narrow" w:hAnsi="Arial Narrow" w:cs="Calibri"/>
                <w:color w:val="000000"/>
                <w:sz w:val="20"/>
                <w:szCs w:val="20"/>
              </w:rPr>
              <w:t xml:space="preserve"> </w:t>
            </w:r>
            <w:r w:rsidR="004E53B2" w:rsidRPr="004E53B2">
              <w:rPr>
                <w:rFonts w:ascii="Arial Narrow" w:hAnsi="Arial Narrow" w:cs="Calibri"/>
                <w:color w:val="000000"/>
                <w:spacing w:val="46"/>
                <w:sz w:val="20"/>
                <w:szCs w:val="20"/>
                <w:shd w:val="solid" w:color="000000" w:fill="000000"/>
                <w:fitText w:val="310" w:id="-1032066298"/>
                <w14:textFill>
                  <w14:solidFill>
                    <w14:srgbClr w14:val="000000">
                      <w14:alpha w14:val="100000"/>
                    </w14:srgbClr>
                  </w14:solidFill>
                </w14:textFill>
              </w:rPr>
              <w:t>|||</w:t>
            </w:r>
            <w:r w:rsidR="004E53B2" w:rsidRPr="004E53B2">
              <w:rPr>
                <w:rFonts w:ascii="Arial Narrow" w:hAnsi="Arial Narrow" w:cs="Calibri"/>
                <w:color w:val="000000"/>
                <w:spacing w:val="2"/>
                <w:sz w:val="20"/>
                <w:szCs w:val="20"/>
                <w:shd w:val="solid" w:color="000000" w:fill="000000"/>
                <w:fitText w:val="310" w:id="-1032066298"/>
                <w14:textFill>
                  <w14:solidFill>
                    <w14:srgbClr w14:val="000000">
                      <w14:alpha w14:val="100000"/>
                    </w14:srgbClr>
                  </w14:solidFill>
                </w14:textFill>
              </w:rPr>
              <w:t>|</w:t>
            </w:r>
            <w:r w:rsidR="00D71A55">
              <w:rPr>
                <w:rFonts w:ascii="Arial Narrow" w:eastAsiaTheme="majorEastAsia" w:hAnsi="Arial Narrow" w:cstheme="majorBidi"/>
                <w:bCs/>
                <w:sz w:val="20"/>
                <w:szCs w:val="20"/>
                <w:vertAlign w:val="superscript"/>
              </w:rPr>
              <w:t xml:space="preserve">2 </w:t>
            </w:r>
            <w:r w:rsidRPr="00F91CC3">
              <w:rPr>
                <w:rFonts w:ascii="Arial Narrow" w:hAnsi="Arial Narrow" w:cs="Calibri"/>
                <w:color w:val="000000"/>
                <w:sz w:val="20"/>
                <w:szCs w:val="20"/>
              </w:rPr>
              <w:t>(</w:t>
            </w:r>
            <w:r w:rsidRPr="00EC0695">
              <w:rPr>
                <w:rFonts w:ascii="Arial Narrow" w:hAnsi="Arial Narrow" w:cs="Calibri"/>
                <w:color w:val="000000"/>
                <w:sz w:val="20"/>
                <w:szCs w:val="20"/>
              </w:rPr>
              <w:t>7%)</w:t>
            </w:r>
          </w:p>
        </w:tc>
        <w:tc>
          <w:tcPr>
            <w:tcW w:w="611" w:type="pct"/>
            <w:tcBorders>
              <w:top w:val="single" w:sz="4" w:space="0" w:color="auto"/>
              <w:left w:val="single" w:sz="4" w:space="0" w:color="auto"/>
              <w:bottom w:val="single" w:sz="4" w:space="0" w:color="auto"/>
              <w:right w:val="single" w:sz="4" w:space="0" w:color="auto"/>
            </w:tcBorders>
            <w:vAlign w:val="center"/>
          </w:tcPr>
          <w:p w14:paraId="1F071C1A" w14:textId="69886DB1" w:rsidR="00063D90" w:rsidRPr="00F91CC3" w:rsidRDefault="00063D90" w:rsidP="00CE6EE8">
            <w:pPr>
              <w:keepNext/>
              <w:jc w:val="center"/>
              <w:rPr>
                <w:rFonts w:ascii="Arial Narrow" w:hAnsi="Arial Narrow" w:cs="Calibri"/>
                <w:color w:val="000000"/>
                <w:sz w:val="20"/>
                <w:szCs w:val="20"/>
              </w:rPr>
            </w:pPr>
            <w:r w:rsidRPr="00F91CC3">
              <w:rPr>
                <w:rFonts w:ascii="Arial Narrow" w:hAnsi="Arial Narrow" w:cs="Calibri"/>
                <w:color w:val="000000"/>
                <w:sz w:val="20"/>
                <w:szCs w:val="20"/>
              </w:rPr>
              <w:t>$</w:t>
            </w:r>
            <w:r w:rsidR="004E53B2">
              <w:rPr>
                <w:rFonts w:ascii="Arial Narrow" w:hAnsi="Arial Narrow" w:cs="Calibri"/>
                <w:color w:val="000000"/>
                <w:sz w:val="20"/>
                <w:szCs w:val="20"/>
              </w:rPr>
              <w:t xml:space="preserve"> </w:t>
            </w:r>
            <w:r w:rsidR="004E53B2" w:rsidRPr="004E53B2">
              <w:rPr>
                <w:rFonts w:ascii="Arial Narrow" w:hAnsi="Arial Narrow" w:cs="Calibri" w:hint="eastAsia"/>
                <w:color w:val="000000"/>
                <w:w w:val="27"/>
                <w:sz w:val="20"/>
                <w:szCs w:val="20"/>
                <w:shd w:val="solid" w:color="000000" w:fill="000000"/>
                <w:fitText w:val="120" w:id="-1032066297"/>
                <w14:textFill>
                  <w14:solidFill>
                    <w14:srgbClr w14:val="000000">
                      <w14:alpha w14:val="100000"/>
                    </w14:srgbClr>
                  </w14:solidFill>
                </w14:textFill>
              </w:rPr>
              <w:t xml:space="preserve">　</w:t>
            </w:r>
            <w:r w:rsidR="004E53B2" w:rsidRPr="004E53B2">
              <w:rPr>
                <w:rFonts w:ascii="Arial Narrow" w:hAnsi="Arial Narrow" w:cs="Calibri"/>
                <w:color w:val="000000"/>
                <w:w w:val="27"/>
                <w:sz w:val="20"/>
                <w:szCs w:val="20"/>
                <w:shd w:val="solid" w:color="000000" w:fill="000000"/>
                <w:fitText w:val="120" w:id="-1032066297"/>
                <w14:textFill>
                  <w14:solidFill>
                    <w14:srgbClr w14:val="000000">
                      <w14:alpha w14:val="100000"/>
                    </w14:srgbClr>
                  </w14:solidFill>
                </w14:textFill>
              </w:rPr>
              <w:t>|</w:t>
            </w:r>
            <w:r w:rsidR="004E53B2" w:rsidRPr="004E53B2">
              <w:rPr>
                <w:rFonts w:ascii="Arial Narrow" w:hAnsi="Arial Narrow" w:cs="Calibri" w:hint="eastAsia"/>
                <w:color w:val="000000"/>
                <w:spacing w:val="2"/>
                <w:w w:val="27"/>
                <w:sz w:val="20"/>
                <w:szCs w:val="20"/>
                <w:shd w:val="solid" w:color="000000" w:fill="000000"/>
                <w:fitText w:val="120" w:id="-1032066297"/>
                <w14:textFill>
                  <w14:solidFill>
                    <w14:srgbClr w14:val="000000">
                      <w14:alpha w14:val="100000"/>
                    </w14:srgbClr>
                  </w14:solidFill>
                </w14:textFill>
              </w:rPr>
              <w:t xml:space="preserve">　</w:t>
            </w:r>
            <w:r w:rsidR="00D71A55">
              <w:rPr>
                <w:rFonts w:ascii="Arial Narrow" w:eastAsiaTheme="majorEastAsia" w:hAnsi="Arial Narrow" w:cstheme="majorBidi"/>
                <w:bCs/>
                <w:sz w:val="20"/>
                <w:szCs w:val="20"/>
                <w:vertAlign w:val="superscript"/>
              </w:rPr>
              <w:t>2</w:t>
            </w:r>
          </w:p>
          <w:p w14:paraId="32AF8D79" w14:textId="373F7252" w:rsidR="00063D90" w:rsidRPr="00F91CC3" w:rsidRDefault="00063D90" w:rsidP="00CE6EE8">
            <w:pPr>
              <w:keepNext/>
              <w:jc w:val="center"/>
              <w:rPr>
                <w:rFonts w:ascii="Arial Narrow" w:hAnsi="Arial Narrow" w:cs="Calibri"/>
                <w:color w:val="000000"/>
                <w:sz w:val="20"/>
                <w:szCs w:val="20"/>
              </w:rPr>
            </w:pPr>
            <w:r w:rsidRPr="00EC0695">
              <w:rPr>
                <w:rFonts w:ascii="Arial Narrow" w:hAnsi="Arial Narrow" w:cs="Calibri"/>
                <w:color w:val="000000"/>
                <w:sz w:val="20"/>
                <w:szCs w:val="20"/>
              </w:rPr>
              <w:t>(7</w:t>
            </w:r>
            <w:r w:rsidRPr="00F91CC3">
              <w:rPr>
                <w:rFonts w:ascii="Arial Narrow" w:hAnsi="Arial Narrow" w:cs="Calibri"/>
                <w:color w:val="000000"/>
                <w:sz w:val="20"/>
                <w:szCs w:val="20"/>
              </w:rPr>
              <w:t>%)</w:t>
            </w:r>
          </w:p>
        </w:tc>
        <w:tc>
          <w:tcPr>
            <w:tcW w:w="611" w:type="pct"/>
            <w:tcBorders>
              <w:top w:val="single" w:sz="4" w:space="0" w:color="auto"/>
              <w:left w:val="single" w:sz="4" w:space="0" w:color="auto"/>
              <w:bottom w:val="single" w:sz="4" w:space="0" w:color="auto"/>
              <w:right w:val="single" w:sz="4" w:space="0" w:color="auto"/>
            </w:tcBorders>
            <w:vAlign w:val="center"/>
          </w:tcPr>
          <w:p w14:paraId="7BFDF591" w14:textId="0B3876EA" w:rsidR="00063D90" w:rsidRPr="00F91CC3" w:rsidRDefault="00063D90" w:rsidP="00CE6EE8">
            <w:pPr>
              <w:keepNext/>
              <w:jc w:val="center"/>
              <w:rPr>
                <w:rFonts w:ascii="Arial Narrow" w:hAnsi="Arial Narrow" w:cs="Calibri"/>
                <w:color w:val="000000"/>
                <w:sz w:val="20"/>
                <w:szCs w:val="20"/>
              </w:rPr>
            </w:pPr>
            <w:r w:rsidRPr="00F91CC3">
              <w:rPr>
                <w:rFonts w:ascii="Arial Narrow" w:hAnsi="Arial Narrow" w:cs="Calibri"/>
                <w:color w:val="000000"/>
                <w:sz w:val="20"/>
                <w:szCs w:val="20"/>
              </w:rPr>
              <w:t>$</w:t>
            </w:r>
            <w:r w:rsidR="004E53B2">
              <w:rPr>
                <w:rFonts w:ascii="Arial Narrow" w:hAnsi="Arial Narrow" w:cs="Calibri"/>
                <w:color w:val="000000"/>
                <w:sz w:val="20"/>
                <w:szCs w:val="20"/>
              </w:rPr>
              <w:t xml:space="preserve"> </w:t>
            </w:r>
            <w:r w:rsidR="004E53B2" w:rsidRPr="004E53B2">
              <w:rPr>
                <w:rFonts w:ascii="Arial Narrow" w:hAnsi="Arial Narrow" w:cs="Calibri" w:hint="eastAsia"/>
                <w:color w:val="000000"/>
                <w:w w:val="27"/>
                <w:sz w:val="20"/>
                <w:szCs w:val="20"/>
                <w:shd w:val="solid" w:color="000000" w:fill="000000"/>
                <w:fitText w:val="120" w:id="-1032066296"/>
                <w14:textFill>
                  <w14:solidFill>
                    <w14:srgbClr w14:val="000000">
                      <w14:alpha w14:val="100000"/>
                    </w14:srgbClr>
                  </w14:solidFill>
                </w14:textFill>
              </w:rPr>
              <w:t xml:space="preserve">　</w:t>
            </w:r>
            <w:r w:rsidR="004E53B2" w:rsidRPr="004E53B2">
              <w:rPr>
                <w:rFonts w:ascii="Arial Narrow" w:hAnsi="Arial Narrow" w:cs="Calibri"/>
                <w:color w:val="000000"/>
                <w:w w:val="27"/>
                <w:sz w:val="20"/>
                <w:szCs w:val="20"/>
                <w:shd w:val="solid" w:color="000000" w:fill="000000"/>
                <w:fitText w:val="120" w:id="-1032066296"/>
                <w14:textFill>
                  <w14:solidFill>
                    <w14:srgbClr w14:val="000000">
                      <w14:alpha w14:val="100000"/>
                    </w14:srgbClr>
                  </w14:solidFill>
                </w14:textFill>
              </w:rPr>
              <w:t>|</w:t>
            </w:r>
            <w:r w:rsidR="004E53B2" w:rsidRPr="004E53B2">
              <w:rPr>
                <w:rFonts w:ascii="Arial Narrow" w:hAnsi="Arial Narrow" w:cs="Calibri" w:hint="eastAsia"/>
                <w:color w:val="000000"/>
                <w:spacing w:val="2"/>
                <w:w w:val="27"/>
                <w:sz w:val="20"/>
                <w:szCs w:val="20"/>
                <w:shd w:val="solid" w:color="000000" w:fill="000000"/>
                <w:fitText w:val="120" w:id="-1032066296"/>
                <w14:textFill>
                  <w14:solidFill>
                    <w14:srgbClr w14:val="000000">
                      <w14:alpha w14:val="100000"/>
                    </w14:srgbClr>
                  </w14:solidFill>
                </w14:textFill>
              </w:rPr>
              <w:t xml:space="preserve">　</w:t>
            </w:r>
            <w:r w:rsidR="00D71A55">
              <w:rPr>
                <w:rFonts w:ascii="Arial Narrow" w:eastAsiaTheme="majorEastAsia" w:hAnsi="Arial Narrow" w:cstheme="majorBidi"/>
                <w:bCs/>
                <w:sz w:val="20"/>
                <w:szCs w:val="20"/>
                <w:vertAlign w:val="superscript"/>
              </w:rPr>
              <w:t>2</w:t>
            </w:r>
          </w:p>
          <w:p w14:paraId="13D32C2F" w14:textId="3242963E" w:rsidR="00063D90" w:rsidRPr="00F91CC3" w:rsidRDefault="00063D90" w:rsidP="00CE6EE8">
            <w:pPr>
              <w:keepNext/>
              <w:jc w:val="center"/>
              <w:rPr>
                <w:rFonts w:ascii="Arial Narrow" w:hAnsi="Arial Narrow" w:cs="Calibri"/>
                <w:color w:val="000000"/>
                <w:sz w:val="20"/>
                <w:szCs w:val="20"/>
              </w:rPr>
            </w:pPr>
            <w:r w:rsidRPr="00F91CC3">
              <w:rPr>
                <w:rFonts w:ascii="Arial Narrow" w:hAnsi="Arial Narrow" w:cs="Calibri"/>
                <w:color w:val="000000"/>
                <w:sz w:val="20"/>
                <w:szCs w:val="20"/>
              </w:rPr>
              <w:t>(</w:t>
            </w:r>
            <w:r w:rsidRPr="00EC0695">
              <w:rPr>
                <w:rFonts w:ascii="Arial Narrow" w:hAnsi="Arial Narrow" w:cs="Calibri"/>
                <w:color w:val="000000"/>
                <w:sz w:val="20"/>
                <w:szCs w:val="20"/>
              </w:rPr>
              <w:t>7%)</w:t>
            </w:r>
          </w:p>
        </w:tc>
        <w:tc>
          <w:tcPr>
            <w:tcW w:w="612" w:type="pct"/>
            <w:tcBorders>
              <w:top w:val="single" w:sz="4" w:space="0" w:color="auto"/>
              <w:left w:val="single" w:sz="4" w:space="0" w:color="auto"/>
              <w:bottom w:val="single" w:sz="4" w:space="0" w:color="auto"/>
              <w:right w:val="single" w:sz="4" w:space="0" w:color="auto"/>
            </w:tcBorders>
            <w:vAlign w:val="center"/>
          </w:tcPr>
          <w:p w14:paraId="1C9E4407" w14:textId="3C3C4CF7" w:rsidR="00063D90" w:rsidRPr="00F91CC3" w:rsidRDefault="00063D90" w:rsidP="00CE6EE8">
            <w:pPr>
              <w:keepNext/>
              <w:jc w:val="center"/>
              <w:rPr>
                <w:rFonts w:ascii="Arial Narrow" w:hAnsi="Arial Narrow" w:cs="Calibri"/>
                <w:color w:val="000000"/>
                <w:sz w:val="20"/>
                <w:szCs w:val="20"/>
              </w:rPr>
            </w:pPr>
            <w:r w:rsidRPr="00F91CC3">
              <w:rPr>
                <w:rFonts w:ascii="Arial Narrow" w:hAnsi="Arial Narrow" w:cs="Calibri"/>
                <w:color w:val="000000"/>
                <w:sz w:val="20"/>
                <w:szCs w:val="20"/>
              </w:rPr>
              <w:t>$</w:t>
            </w:r>
            <w:r w:rsidR="004E53B2">
              <w:rPr>
                <w:rFonts w:ascii="Arial Narrow" w:hAnsi="Arial Narrow" w:cs="Calibri"/>
                <w:color w:val="000000"/>
                <w:sz w:val="20"/>
                <w:szCs w:val="20"/>
              </w:rPr>
              <w:t xml:space="preserve"> </w:t>
            </w:r>
            <w:r w:rsidR="004E53B2" w:rsidRPr="004E53B2">
              <w:rPr>
                <w:rFonts w:ascii="Arial Narrow" w:hAnsi="Arial Narrow" w:cs="Calibri" w:hint="eastAsia"/>
                <w:color w:val="000000"/>
                <w:w w:val="27"/>
                <w:sz w:val="20"/>
                <w:szCs w:val="20"/>
                <w:shd w:val="solid" w:color="000000" w:fill="000000"/>
                <w:fitText w:val="120" w:id="-1032066295"/>
                <w14:textFill>
                  <w14:solidFill>
                    <w14:srgbClr w14:val="000000">
                      <w14:alpha w14:val="100000"/>
                    </w14:srgbClr>
                  </w14:solidFill>
                </w14:textFill>
              </w:rPr>
              <w:t xml:space="preserve">　</w:t>
            </w:r>
            <w:r w:rsidR="004E53B2" w:rsidRPr="004E53B2">
              <w:rPr>
                <w:rFonts w:ascii="Arial Narrow" w:hAnsi="Arial Narrow" w:cs="Calibri"/>
                <w:color w:val="000000"/>
                <w:w w:val="27"/>
                <w:sz w:val="20"/>
                <w:szCs w:val="20"/>
                <w:shd w:val="solid" w:color="000000" w:fill="000000"/>
                <w:fitText w:val="120" w:id="-1032066295"/>
                <w14:textFill>
                  <w14:solidFill>
                    <w14:srgbClr w14:val="000000">
                      <w14:alpha w14:val="100000"/>
                    </w14:srgbClr>
                  </w14:solidFill>
                </w14:textFill>
              </w:rPr>
              <w:t>|</w:t>
            </w:r>
            <w:r w:rsidR="004E53B2" w:rsidRPr="004E53B2">
              <w:rPr>
                <w:rFonts w:ascii="Arial Narrow" w:hAnsi="Arial Narrow" w:cs="Calibri" w:hint="eastAsia"/>
                <w:color w:val="000000"/>
                <w:spacing w:val="2"/>
                <w:w w:val="27"/>
                <w:sz w:val="20"/>
                <w:szCs w:val="20"/>
                <w:shd w:val="solid" w:color="000000" w:fill="000000"/>
                <w:fitText w:val="120" w:id="-1032066295"/>
                <w14:textFill>
                  <w14:solidFill>
                    <w14:srgbClr w14:val="000000">
                      <w14:alpha w14:val="100000"/>
                    </w14:srgbClr>
                  </w14:solidFill>
                </w14:textFill>
              </w:rPr>
              <w:t xml:space="preserve">　</w:t>
            </w:r>
            <w:r w:rsidR="00D71A55">
              <w:rPr>
                <w:rFonts w:ascii="Arial Narrow" w:eastAsiaTheme="majorEastAsia" w:hAnsi="Arial Narrow" w:cstheme="majorBidi"/>
                <w:bCs/>
                <w:sz w:val="20"/>
                <w:szCs w:val="20"/>
                <w:vertAlign w:val="superscript"/>
              </w:rPr>
              <w:t>2</w:t>
            </w:r>
          </w:p>
          <w:p w14:paraId="2752B6A8" w14:textId="648E99E6" w:rsidR="00063D90" w:rsidRPr="00F91CC3" w:rsidRDefault="00063D90" w:rsidP="00CE6EE8">
            <w:pPr>
              <w:keepNext/>
              <w:jc w:val="center"/>
              <w:rPr>
                <w:rFonts w:ascii="Arial Narrow" w:hAnsi="Arial Narrow" w:cs="Calibri"/>
                <w:color w:val="000000"/>
                <w:sz w:val="20"/>
                <w:szCs w:val="20"/>
              </w:rPr>
            </w:pPr>
            <w:r w:rsidRPr="00EC0695">
              <w:rPr>
                <w:rFonts w:ascii="Arial Narrow" w:hAnsi="Arial Narrow" w:cs="Calibri"/>
                <w:color w:val="000000"/>
                <w:sz w:val="20"/>
                <w:szCs w:val="20"/>
              </w:rPr>
              <w:t>(7%)</w:t>
            </w:r>
          </w:p>
        </w:tc>
      </w:tr>
      <w:tr w:rsidR="00807566" w:rsidRPr="00F91CC3" w14:paraId="3D5FDD1B" w14:textId="77777777" w:rsidTr="00CE6EE8">
        <w:tc>
          <w:tcPr>
            <w:tcW w:w="5000" w:type="pct"/>
            <w:gridSpan w:val="7"/>
            <w:tcBorders>
              <w:top w:val="single" w:sz="4" w:space="0" w:color="auto"/>
              <w:left w:val="single" w:sz="4" w:space="0" w:color="auto"/>
              <w:bottom w:val="single" w:sz="4" w:space="0" w:color="auto"/>
              <w:right w:val="single" w:sz="4" w:space="0" w:color="auto"/>
            </w:tcBorders>
            <w:vAlign w:val="center"/>
          </w:tcPr>
          <w:p w14:paraId="1AC61D54" w14:textId="25258FB0" w:rsidR="00807566" w:rsidRPr="00F91CC3" w:rsidRDefault="00807566" w:rsidP="003A3172">
            <w:pPr>
              <w:keepNext/>
              <w:jc w:val="left"/>
              <w:rPr>
                <w:rFonts w:ascii="Arial Narrow" w:eastAsiaTheme="majorEastAsia" w:hAnsi="Arial Narrow" w:cstheme="majorBidi"/>
                <w:b/>
                <w:sz w:val="20"/>
                <w:szCs w:val="20"/>
              </w:rPr>
            </w:pPr>
            <w:r w:rsidRPr="00F91CC3">
              <w:rPr>
                <w:rFonts w:ascii="Arial Narrow" w:eastAsiaTheme="majorEastAsia" w:hAnsi="Arial Narrow" w:cstheme="majorBidi"/>
                <w:b/>
                <w:sz w:val="20"/>
                <w:szCs w:val="20"/>
              </w:rPr>
              <w:t xml:space="preserve">F/IVA-responsive </w:t>
            </w:r>
            <w:r w:rsidR="002676CB" w:rsidRPr="00F91CC3">
              <w:rPr>
                <w:rFonts w:ascii="Arial Narrow" w:eastAsiaTheme="majorEastAsia" w:hAnsi="Arial Narrow" w:cstheme="majorBidi"/>
                <w:b/>
                <w:sz w:val="20"/>
                <w:szCs w:val="20"/>
              </w:rPr>
              <w:t xml:space="preserve">rare </w:t>
            </w:r>
            <w:r w:rsidRPr="00F91CC3">
              <w:rPr>
                <w:rFonts w:ascii="Arial Narrow" w:eastAsiaTheme="majorEastAsia" w:hAnsi="Arial Narrow" w:cstheme="majorBidi"/>
                <w:b/>
                <w:sz w:val="20"/>
                <w:szCs w:val="20"/>
              </w:rPr>
              <w:t>mutations aged 4 months and older</w:t>
            </w:r>
          </w:p>
        </w:tc>
      </w:tr>
      <w:tr w:rsidR="00807566" w:rsidRPr="00F91CC3" w14:paraId="299CFBE9" w14:textId="77777777" w:rsidTr="00CE6EE8">
        <w:tc>
          <w:tcPr>
            <w:tcW w:w="5000" w:type="pct"/>
            <w:gridSpan w:val="7"/>
            <w:tcBorders>
              <w:top w:val="single" w:sz="4" w:space="0" w:color="auto"/>
              <w:left w:val="single" w:sz="4" w:space="0" w:color="auto"/>
              <w:bottom w:val="single" w:sz="4" w:space="0" w:color="auto"/>
              <w:right w:val="single" w:sz="4" w:space="0" w:color="auto"/>
            </w:tcBorders>
            <w:vAlign w:val="center"/>
          </w:tcPr>
          <w:p w14:paraId="19F6BC28" w14:textId="706083B0" w:rsidR="00807566" w:rsidRPr="00F91CC3" w:rsidRDefault="00807566" w:rsidP="00CE6EE8">
            <w:pPr>
              <w:keepNext/>
              <w:rPr>
                <w:rFonts w:ascii="Arial Narrow" w:eastAsiaTheme="majorEastAsia" w:hAnsi="Arial Narrow" w:cstheme="majorBidi"/>
                <w:bCs/>
                <w:sz w:val="20"/>
                <w:szCs w:val="20"/>
              </w:rPr>
            </w:pPr>
            <w:r w:rsidRPr="00F91CC3">
              <w:rPr>
                <w:rFonts w:ascii="Arial Narrow" w:eastAsiaTheme="majorEastAsia" w:hAnsi="Arial Narrow" w:cstheme="majorBidi"/>
                <w:b/>
                <w:color w:val="000000"/>
                <w:sz w:val="20"/>
              </w:rPr>
              <w:t>Estimated extent of use</w:t>
            </w:r>
          </w:p>
        </w:tc>
      </w:tr>
      <w:tr w:rsidR="004A1A67" w:rsidRPr="00F91CC3" w14:paraId="0FEDB970" w14:textId="77777777" w:rsidTr="00CE6EE8">
        <w:tc>
          <w:tcPr>
            <w:tcW w:w="1333" w:type="pct"/>
            <w:tcBorders>
              <w:top w:val="single" w:sz="4" w:space="0" w:color="auto"/>
              <w:left w:val="single" w:sz="4" w:space="0" w:color="auto"/>
              <w:bottom w:val="single" w:sz="4" w:space="0" w:color="auto"/>
              <w:right w:val="single" w:sz="4" w:space="0" w:color="auto"/>
            </w:tcBorders>
            <w:vAlign w:val="center"/>
          </w:tcPr>
          <w:p w14:paraId="50768B77" w14:textId="7A12E86D" w:rsidR="004A1A67" w:rsidRPr="00F91CC3" w:rsidRDefault="004A1A67" w:rsidP="00CE6EE8">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 xml:space="preserve">Number of patients treated (FTE) </w:t>
            </w:r>
            <w:r w:rsidRPr="00F91CC3">
              <w:rPr>
                <w:rFonts w:ascii="Arial Narrow" w:eastAsiaTheme="majorEastAsia" w:hAnsi="Arial Narrow" w:cstheme="majorBidi"/>
                <w:bCs/>
                <w:sz w:val="20"/>
                <w:vertAlign w:val="superscript"/>
              </w:rPr>
              <w:t>c</w:t>
            </w:r>
          </w:p>
        </w:tc>
        <w:tc>
          <w:tcPr>
            <w:tcW w:w="611" w:type="pct"/>
            <w:tcBorders>
              <w:top w:val="single" w:sz="4" w:space="0" w:color="auto"/>
              <w:left w:val="single" w:sz="4" w:space="0" w:color="auto"/>
              <w:bottom w:val="single" w:sz="4" w:space="0" w:color="auto"/>
              <w:right w:val="single" w:sz="4" w:space="0" w:color="auto"/>
            </w:tcBorders>
          </w:tcPr>
          <w:p w14:paraId="6ED1425F" w14:textId="06A7F7BC" w:rsidR="004A1A67"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sz w:val="20"/>
                <w:szCs w:val="20"/>
              </w:rPr>
              <w:t xml:space="preserve"> </w:t>
            </w:r>
            <w:r w:rsidRPr="004E53B2">
              <w:rPr>
                <w:rFonts w:ascii="Arial Narrow" w:hAnsi="Arial Narrow" w:hint="eastAsia"/>
                <w:color w:val="000000"/>
                <w:w w:val="15"/>
                <w:sz w:val="20"/>
                <w:szCs w:val="20"/>
                <w:shd w:val="solid" w:color="000000" w:fill="000000"/>
                <w:fitText w:val="70" w:id="-1032066294"/>
                <w14:textFill>
                  <w14:solidFill>
                    <w14:srgbClr w14:val="000000">
                      <w14:alpha w14:val="100000"/>
                    </w14:srgbClr>
                  </w14:solidFill>
                </w14:textFill>
              </w:rPr>
              <w:t xml:space="preserve">　</w:t>
            </w:r>
            <w:r w:rsidRPr="004E53B2">
              <w:rPr>
                <w:rFonts w:ascii="Arial Narrow" w:hAnsi="Arial Narrow"/>
                <w:color w:val="000000"/>
                <w:w w:val="15"/>
                <w:sz w:val="20"/>
                <w:szCs w:val="20"/>
                <w:shd w:val="solid" w:color="000000" w:fill="000000"/>
                <w:fitText w:val="70" w:id="-1032066294"/>
                <w14:textFill>
                  <w14:solidFill>
                    <w14:srgbClr w14:val="000000">
                      <w14:alpha w14:val="100000"/>
                    </w14:srgbClr>
                  </w14:solidFill>
                </w14:textFill>
              </w:rPr>
              <w:t>|</w:t>
            </w:r>
            <w:r w:rsidRPr="004E53B2">
              <w:rPr>
                <w:rFonts w:ascii="Arial Narrow" w:hAnsi="Arial Narrow" w:hint="eastAsia"/>
                <w:color w:val="000000"/>
                <w:spacing w:val="4"/>
                <w:w w:val="15"/>
                <w:sz w:val="20"/>
                <w:szCs w:val="20"/>
                <w:shd w:val="solid" w:color="000000" w:fill="000000"/>
                <w:fitText w:val="70" w:id="-1032066294"/>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tcPr>
          <w:p w14:paraId="6CEC3729" w14:textId="7B43B6CD" w:rsidR="004A1A67"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sz w:val="20"/>
                <w:szCs w:val="20"/>
              </w:rPr>
              <w:t xml:space="preserve"> </w:t>
            </w:r>
            <w:r w:rsidRPr="004E53B2">
              <w:rPr>
                <w:rFonts w:ascii="Arial Narrow" w:hAnsi="Arial Narrow" w:hint="eastAsia"/>
                <w:color w:val="000000"/>
                <w:w w:val="15"/>
                <w:sz w:val="20"/>
                <w:szCs w:val="20"/>
                <w:shd w:val="solid" w:color="000000" w:fill="000000"/>
                <w:fitText w:val="70" w:id="-1032066293"/>
                <w14:textFill>
                  <w14:solidFill>
                    <w14:srgbClr w14:val="000000">
                      <w14:alpha w14:val="100000"/>
                    </w14:srgbClr>
                  </w14:solidFill>
                </w14:textFill>
              </w:rPr>
              <w:t xml:space="preserve">　</w:t>
            </w:r>
            <w:r w:rsidRPr="004E53B2">
              <w:rPr>
                <w:rFonts w:ascii="Arial Narrow" w:hAnsi="Arial Narrow"/>
                <w:color w:val="000000"/>
                <w:w w:val="15"/>
                <w:sz w:val="20"/>
                <w:szCs w:val="20"/>
                <w:shd w:val="solid" w:color="000000" w:fill="000000"/>
                <w:fitText w:val="70" w:id="-1032066293"/>
                <w14:textFill>
                  <w14:solidFill>
                    <w14:srgbClr w14:val="000000">
                      <w14:alpha w14:val="100000"/>
                    </w14:srgbClr>
                  </w14:solidFill>
                </w14:textFill>
              </w:rPr>
              <w:t>|</w:t>
            </w:r>
            <w:r w:rsidRPr="004E53B2">
              <w:rPr>
                <w:rFonts w:ascii="Arial Narrow" w:hAnsi="Arial Narrow" w:hint="eastAsia"/>
                <w:color w:val="000000"/>
                <w:spacing w:val="4"/>
                <w:w w:val="15"/>
                <w:sz w:val="20"/>
                <w:szCs w:val="20"/>
                <w:shd w:val="solid" w:color="000000" w:fill="000000"/>
                <w:fitText w:val="70" w:id="-1032066293"/>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tcPr>
          <w:p w14:paraId="3D0D1B74" w14:textId="697FA494" w:rsidR="004A1A67"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sz w:val="20"/>
                <w:szCs w:val="20"/>
              </w:rPr>
              <w:t xml:space="preserve"> </w:t>
            </w:r>
            <w:r w:rsidRPr="004E53B2">
              <w:rPr>
                <w:rFonts w:ascii="Arial Narrow" w:hAnsi="Arial Narrow" w:hint="eastAsia"/>
                <w:color w:val="000000"/>
                <w:w w:val="15"/>
                <w:sz w:val="20"/>
                <w:szCs w:val="20"/>
                <w:shd w:val="solid" w:color="000000" w:fill="000000"/>
                <w:fitText w:val="70" w:id="-1032066292"/>
                <w14:textFill>
                  <w14:solidFill>
                    <w14:srgbClr w14:val="000000">
                      <w14:alpha w14:val="100000"/>
                    </w14:srgbClr>
                  </w14:solidFill>
                </w14:textFill>
              </w:rPr>
              <w:t xml:space="preserve">　</w:t>
            </w:r>
            <w:r w:rsidRPr="004E53B2">
              <w:rPr>
                <w:rFonts w:ascii="Arial Narrow" w:hAnsi="Arial Narrow"/>
                <w:color w:val="000000"/>
                <w:w w:val="15"/>
                <w:sz w:val="20"/>
                <w:szCs w:val="20"/>
                <w:shd w:val="solid" w:color="000000" w:fill="000000"/>
                <w:fitText w:val="70" w:id="-1032066292"/>
                <w14:textFill>
                  <w14:solidFill>
                    <w14:srgbClr w14:val="000000">
                      <w14:alpha w14:val="100000"/>
                    </w14:srgbClr>
                  </w14:solidFill>
                </w14:textFill>
              </w:rPr>
              <w:t>|</w:t>
            </w:r>
            <w:r w:rsidRPr="004E53B2">
              <w:rPr>
                <w:rFonts w:ascii="Arial Narrow" w:hAnsi="Arial Narrow" w:hint="eastAsia"/>
                <w:color w:val="000000"/>
                <w:spacing w:val="4"/>
                <w:w w:val="15"/>
                <w:sz w:val="20"/>
                <w:szCs w:val="20"/>
                <w:shd w:val="solid" w:color="000000" w:fill="000000"/>
                <w:fitText w:val="70" w:id="-1032066292"/>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tcPr>
          <w:p w14:paraId="3AE2F8D9" w14:textId="1AFC175E" w:rsidR="004A1A67"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sz w:val="20"/>
                <w:szCs w:val="20"/>
              </w:rPr>
              <w:t xml:space="preserve"> </w:t>
            </w:r>
            <w:r w:rsidRPr="004E53B2">
              <w:rPr>
                <w:rFonts w:ascii="Arial Narrow" w:hAnsi="Arial Narrow" w:hint="eastAsia"/>
                <w:color w:val="000000"/>
                <w:w w:val="15"/>
                <w:sz w:val="20"/>
                <w:szCs w:val="20"/>
                <w:shd w:val="solid" w:color="000000" w:fill="000000"/>
                <w:fitText w:val="70" w:id="-1032066291"/>
                <w14:textFill>
                  <w14:solidFill>
                    <w14:srgbClr w14:val="000000">
                      <w14:alpha w14:val="100000"/>
                    </w14:srgbClr>
                  </w14:solidFill>
                </w14:textFill>
              </w:rPr>
              <w:t xml:space="preserve">　</w:t>
            </w:r>
            <w:r w:rsidRPr="004E53B2">
              <w:rPr>
                <w:rFonts w:ascii="Arial Narrow" w:hAnsi="Arial Narrow"/>
                <w:color w:val="000000"/>
                <w:w w:val="15"/>
                <w:sz w:val="20"/>
                <w:szCs w:val="20"/>
                <w:shd w:val="solid" w:color="000000" w:fill="000000"/>
                <w:fitText w:val="70" w:id="-1032066291"/>
                <w14:textFill>
                  <w14:solidFill>
                    <w14:srgbClr w14:val="000000">
                      <w14:alpha w14:val="100000"/>
                    </w14:srgbClr>
                  </w14:solidFill>
                </w14:textFill>
              </w:rPr>
              <w:t>|</w:t>
            </w:r>
            <w:r w:rsidRPr="004E53B2">
              <w:rPr>
                <w:rFonts w:ascii="Arial Narrow" w:hAnsi="Arial Narrow" w:hint="eastAsia"/>
                <w:color w:val="000000"/>
                <w:spacing w:val="4"/>
                <w:w w:val="15"/>
                <w:sz w:val="20"/>
                <w:szCs w:val="20"/>
                <w:shd w:val="solid" w:color="000000" w:fill="000000"/>
                <w:fitText w:val="70" w:id="-1032066291"/>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tcPr>
          <w:p w14:paraId="30717027" w14:textId="6550137F" w:rsidR="004A1A67"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sz w:val="20"/>
                <w:szCs w:val="20"/>
              </w:rPr>
              <w:t xml:space="preserve"> </w:t>
            </w:r>
            <w:r w:rsidRPr="004E53B2">
              <w:rPr>
                <w:rFonts w:ascii="Arial Narrow" w:hAnsi="Arial Narrow" w:hint="eastAsia"/>
                <w:color w:val="000000"/>
                <w:w w:val="15"/>
                <w:sz w:val="20"/>
                <w:szCs w:val="20"/>
                <w:shd w:val="solid" w:color="000000" w:fill="000000"/>
                <w:fitText w:val="70" w:id="-1032066290"/>
                <w14:textFill>
                  <w14:solidFill>
                    <w14:srgbClr w14:val="000000">
                      <w14:alpha w14:val="100000"/>
                    </w14:srgbClr>
                  </w14:solidFill>
                </w14:textFill>
              </w:rPr>
              <w:t xml:space="preserve">　</w:t>
            </w:r>
            <w:r w:rsidRPr="004E53B2">
              <w:rPr>
                <w:rFonts w:ascii="Arial Narrow" w:hAnsi="Arial Narrow"/>
                <w:color w:val="000000"/>
                <w:w w:val="15"/>
                <w:sz w:val="20"/>
                <w:szCs w:val="20"/>
                <w:shd w:val="solid" w:color="000000" w:fill="000000"/>
                <w:fitText w:val="70" w:id="-1032066290"/>
                <w14:textFill>
                  <w14:solidFill>
                    <w14:srgbClr w14:val="000000">
                      <w14:alpha w14:val="100000"/>
                    </w14:srgbClr>
                  </w14:solidFill>
                </w14:textFill>
              </w:rPr>
              <w:t>|</w:t>
            </w:r>
            <w:r w:rsidRPr="004E53B2">
              <w:rPr>
                <w:rFonts w:ascii="Arial Narrow" w:hAnsi="Arial Narrow" w:hint="eastAsia"/>
                <w:color w:val="000000"/>
                <w:spacing w:val="4"/>
                <w:w w:val="15"/>
                <w:sz w:val="20"/>
                <w:szCs w:val="20"/>
                <w:shd w:val="solid" w:color="000000" w:fill="000000"/>
                <w:fitText w:val="70" w:id="-1032066290"/>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2" w:type="pct"/>
            <w:tcBorders>
              <w:top w:val="single" w:sz="4" w:space="0" w:color="auto"/>
              <w:left w:val="single" w:sz="4" w:space="0" w:color="auto"/>
              <w:bottom w:val="single" w:sz="4" w:space="0" w:color="auto"/>
              <w:right w:val="single" w:sz="4" w:space="0" w:color="auto"/>
            </w:tcBorders>
          </w:tcPr>
          <w:p w14:paraId="0AE86169" w14:textId="6D60947A" w:rsidR="004A1A67"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sz w:val="20"/>
                <w:szCs w:val="20"/>
              </w:rPr>
              <w:t xml:space="preserve"> </w:t>
            </w:r>
            <w:r w:rsidRPr="004E53B2">
              <w:rPr>
                <w:rFonts w:ascii="Arial Narrow" w:hAnsi="Arial Narrow" w:hint="eastAsia"/>
                <w:color w:val="000000"/>
                <w:w w:val="18"/>
                <w:sz w:val="20"/>
                <w:szCs w:val="20"/>
                <w:shd w:val="solid" w:color="000000" w:fill="000000"/>
                <w:fitText w:val="80" w:id="-1032066289"/>
                <w14:textFill>
                  <w14:solidFill>
                    <w14:srgbClr w14:val="000000">
                      <w14:alpha w14:val="100000"/>
                    </w14:srgbClr>
                  </w14:solidFill>
                </w14:textFill>
              </w:rPr>
              <w:t xml:space="preserve">　</w:t>
            </w:r>
            <w:r w:rsidRPr="004E53B2">
              <w:rPr>
                <w:rFonts w:ascii="Arial Narrow" w:hAnsi="Arial Narrow"/>
                <w:color w:val="000000"/>
                <w:w w:val="18"/>
                <w:sz w:val="20"/>
                <w:szCs w:val="20"/>
                <w:shd w:val="solid" w:color="000000" w:fill="000000"/>
                <w:fitText w:val="80" w:id="-1032066289"/>
                <w14:textFill>
                  <w14:solidFill>
                    <w14:srgbClr w14:val="000000">
                      <w14:alpha w14:val="100000"/>
                    </w14:srgbClr>
                  </w14:solidFill>
                </w14:textFill>
              </w:rPr>
              <w:t>|</w:t>
            </w:r>
            <w:r w:rsidRPr="004E53B2">
              <w:rPr>
                <w:rFonts w:ascii="Arial Narrow" w:hAnsi="Arial Narrow" w:hint="eastAsia"/>
                <w:color w:val="000000"/>
                <w:w w:val="18"/>
                <w:sz w:val="20"/>
                <w:szCs w:val="20"/>
                <w:shd w:val="solid" w:color="000000" w:fill="000000"/>
                <w:fitText w:val="80" w:id="-1032066289"/>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r>
      <w:tr w:rsidR="00807566" w:rsidRPr="00F91CC3" w14:paraId="721DB195" w14:textId="77777777" w:rsidTr="006F24B9">
        <w:tc>
          <w:tcPr>
            <w:tcW w:w="1333" w:type="pct"/>
            <w:tcBorders>
              <w:top w:val="single" w:sz="4" w:space="0" w:color="auto"/>
              <w:left w:val="single" w:sz="4" w:space="0" w:color="auto"/>
              <w:bottom w:val="single" w:sz="4" w:space="0" w:color="auto"/>
              <w:right w:val="single" w:sz="4" w:space="0" w:color="auto"/>
            </w:tcBorders>
            <w:vAlign w:val="center"/>
          </w:tcPr>
          <w:p w14:paraId="7F51E8C6" w14:textId="426BA585" w:rsidR="00807566" w:rsidRPr="00F91CC3" w:rsidRDefault="00807566" w:rsidP="00CE6EE8">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 xml:space="preserve">Number of scripts dispensed </w:t>
            </w:r>
            <w:r w:rsidRPr="00F91CC3">
              <w:rPr>
                <w:rFonts w:ascii="Arial Narrow" w:eastAsiaTheme="majorEastAsia" w:hAnsi="Arial Narrow" w:cstheme="majorBidi"/>
                <w:bCs/>
                <w:sz w:val="20"/>
                <w:vertAlign w:val="superscript"/>
              </w:rPr>
              <w:t>d</w:t>
            </w:r>
          </w:p>
        </w:tc>
        <w:tc>
          <w:tcPr>
            <w:tcW w:w="611" w:type="pct"/>
            <w:tcBorders>
              <w:top w:val="single" w:sz="4" w:space="0" w:color="auto"/>
              <w:left w:val="single" w:sz="4" w:space="0" w:color="auto"/>
              <w:bottom w:val="single" w:sz="4" w:space="0" w:color="auto"/>
              <w:right w:val="single" w:sz="4" w:space="0" w:color="auto"/>
            </w:tcBorders>
            <w:vAlign w:val="bottom"/>
          </w:tcPr>
          <w:p w14:paraId="045BF543" w14:textId="4B8E3577" w:rsidR="00807566"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cs="Calibri"/>
                <w:color w:val="000000"/>
                <w:sz w:val="20"/>
                <w:szCs w:val="20"/>
              </w:rPr>
              <w:t xml:space="preserve"> </w:t>
            </w:r>
            <w:r w:rsidRPr="004E53B2">
              <w:rPr>
                <w:rFonts w:ascii="Arial Narrow" w:hAnsi="Arial Narrow" w:cs="Calibri" w:hint="eastAsia"/>
                <w:color w:val="000000"/>
                <w:w w:val="15"/>
                <w:sz w:val="20"/>
                <w:szCs w:val="20"/>
                <w:shd w:val="solid" w:color="000000" w:fill="000000"/>
                <w:fitText w:val="70" w:id="-1032066288"/>
                <w14:textFill>
                  <w14:solidFill>
                    <w14:srgbClr w14:val="000000">
                      <w14:alpha w14:val="100000"/>
                    </w14:srgbClr>
                  </w14:solidFill>
                </w14:textFill>
              </w:rPr>
              <w:t xml:space="preserve">　</w:t>
            </w:r>
            <w:r w:rsidRPr="004E53B2">
              <w:rPr>
                <w:rFonts w:ascii="Arial Narrow" w:hAnsi="Arial Narrow" w:cs="Calibri"/>
                <w:color w:val="000000"/>
                <w:w w:val="15"/>
                <w:sz w:val="20"/>
                <w:szCs w:val="20"/>
                <w:shd w:val="solid" w:color="000000" w:fill="000000"/>
                <w:fitText w:val="70" w:id="-1032066288"/>
                <w14:textFill>
                  <w14:solidFill>
                    <w14:srgbClr w14:val="000000">
                      <w14:alpha w14:val="100000"/>
                    </w14:srgbClr>
                  </w14:solidFill>
                </w14:textFill>
              </w:rPr>
              <w:t>|</w:t>
            </w:r>
            <w:r w:rsidRPr="004E53B2">
              <w:rPr>
                <w:rFonts w:ascii="Arial Narrow" w:hAnsi="Arial Narrow" w:cs="Calibri" w:hint="eastAsia"/>
                <w:color w:val="000000"/>
                <w:spacing w:val="4"/>
                <w:w w:val="15"/>
                <w:sz w:val="20"/>
                <w:szCs w:val="20"/>
                <w:shd w:val="solid" w:color="000000" w:fill="000000"/>
                <w:fitText w:val="70" w:id="-1032066288"/>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vAlign w:val="bottom"/>
          </w:tcPr>
          <w:p w14:paraId="56DCAC3B" w14:textId="00F67CE5" w:rsidR="00807566"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cs="Calibri"/>
                <w:color w:val="000000"/>
                <w:sz w:val="20"/>
                <w:szCs w:val="20"/>
              </w:rPr>
              <w:t xml:space="preserve"> </w:t>
            </w:r>
            <w:r w:rsidRPr="004E53B2">
              <w:rPr>
                <w:rFonts w:ascii="Arial Narrow" w:hAnsi="Arial Narrow" w:cs="Calibri" w:hint="eastAsia"/>
                <w:color w:val="000000"/>
                <w:w w:val="15"/>
                <w:sz w:val="20"/>
                <w:szCs w:val="20"/>
                <w:shd w:val="solid" w:color="000000" w:fill="000000"/>
                <w:fitText w:val="70" w:id="-1032066304"/>
                <w14:textFill>
                  <w14:solidFill>
                    <w14:srgbClr w14:val="000000">
                      <w14:alpha w14:val="100000"/>
                    </w14:srgbClr>
                  </w14:solidFill>
                </w14:textFill>
              </w:rPr>
              <w:t xml:space="preserve">　</w:t>
            </w:r>
            <w:r w:rsidRPr="004E53B2">
              <w:rPr>
                <w:rFonts w:ascii="Arial Narrow" w:hAnsi="Arial Narrow" w:cs="Calibri"/>
                <w:color w:val="000000"/>
                <w:w w:val="15"/>
                <w:sz w:val="20"/>
                <w:szCs w:val="20"/>
                <w:shd w:val="solid" w:color="000000" w:fill="000000"/>
                <w:fitText w:val="70" w:id="-1032066304"/>
                <w14:textFill>
                  <w14:solidFill>
                    <w14:srgbClr w14:val="000000">
                      <w14:alpha w14:val="100000"/>
                    </w14:srgbClr>
                  </w14:solidFill>
                </w14:textFill>
              </w:rPr>
              <w:t>|</w:t>
            </w:r>
            <w:r w:rsidRPr="004E53B2">
              <w:rPr>
                <w:rFonts w:ascii="Arial Narrow" w:hAnsi="Arial Narrow" w:cs="Calibri" w:hint="eastAsia"/>
                <w:color w:val="000000"/>
                <w:spacing w:val="4"/>
                <w:w w:val="15"/>
                <w:sz w:val="20"/>
                <w:szCs w:val="20"/>
                <w:shd w:val="solid" w:color="000000" w:fill="000000"/>
                <w:fitText w:val="70" w:id="-1032066304"/>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vAlign w:val="bottom"/>
          </w:tcPr>
          <w:p w14:paraId="6AC849AB" w14:textId="6392BA8E" w:rsidR="00807566"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cs="Calibri"/>
                <w:color w:val="000000"/>
                <w:sz w:val="20"/>
                <w:szCs w:val="20"/>
              </w:rPr>
              <w:t xml:space="preserve"> </w:t>
            </w:r>
            <w:r w:rsidRPr="004E53B2">
              <w:rPr>
                <w:rFonts w:ascii="Arial Narrow" w:hAnsi="Arial Narrow" w:cs="Calibri" w:hint="eastAsia"/>
                <w:color w:val="000000"/>
                <w:w w:val="15"/>
                <w:sz w:val="20"/>
                <w:szCs w:val="20"/>
                <w:shd w:val="solid" w:color="000000" w:fill="000000"/>
                <w:fitText w:val="70" w:id="-1032066303"/>
                <w14:textFill>
                  <w14:solidFill>
                    <w14:srgbClr w14:val="000000">
                      <w14:alpha w14:val="100000"/>
                    </w14:srgbClr>
                  </w14:solidFill>
                </w14:textFill>
              </w:rPr>
              <w:t xml:space="preserve">　</w:t>
            </w:r>
            <w:r w:rsidRPr="004E53B2">
              <w:rPr>
                <w:rFonts w:ascii="Arial Narrow" w:hAnsi="Arial Narrow" w:cs="Calibri"/>
                <w:color w:val="000000"/>
                <w:w w:val="15"/>
                <w:sz w:val="20"/>
                <w:szCs w:val="20"/>
                <w:shd w:val="solid" w:color="000000" w:fill="000000"/>
                <w:fitText w:val="70" w:id="-1032066303"/>
                <w14:textFill>
                  <w14:solidFill>
                    <w14:srgbClr w14:val="000000">
                      <w14:alpha w14:val="100000"/>
                    </w14:srgbClr>
                  </w14:solidFill>
                </w14:textFill>
              </w:rPr>
              <w:t>|</w:t>
            </w:r>
            <w:r w:rsidRPr="004E53B2">
              <w:rPr>
                <w:rFonts w:ascii="Arial Narrow" w:hAnsi="Arial Narrow" w:cs="Calibri" w:hint="eastAsia"/>
                <w:color w:val="000000"/>
                <w:spacing w:val="4"/>
                <w:w w:val="15"/>
                <w:sz w:val="20"/>
                <w:szCs w:val="20"/>
                <w:shd w:val="solid" w:color="000000" w:fill="000000"/>
                <w:fitText w:val="70" w:id="-1032066303"/>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vAlign w:val="bottom"/>
          </w:tcPr>
          <w:p w14:paraId="20BF1717" w14:textId="5E796C87" w:rsidR="00807566"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cs="Calibri"/>
                <w:color w:val="000000"/>
                <w:sz w:val="20"/>
                <w:szCs w:val="20"/>
              </w:rPr>
              <w:t xml:space="preserve"> </w:t>
            </w:r>
            <w:r w:rsidRPr="004E53B2">
              <w:rPr>
                <w:rFonts w:ascii="Arial Narrow" w:hAnsi="Arial Narrow" w:cs="Calibri" w:hint="eastAsia"/>
                <w:color w:val="000000"/>
                <w:w w:val="15"/>
                <w:sz w:val="20"/>
                <w:szCs w:val="20"/>
                <w:shd w:val="solid" w:color="000000" w:fill="000000"/>
                <w:fitText w:val="70" w:id="-1032066302"/>
                <w14:textFill>
                  <w14:solidFill>
                    <w14:srgbClr w14:val="000000">
                      <w14:alpha w14:val="100000"/>
                    </w14:srgbClr>
                  </w14:solidFill>
                </w14:textFill>
              </w:rPr>
              <w:t xml:space="preserve">　</w:t>
            </w:r>
            <w:r w:rsidRPr="004E53B2">
              <w:rPr>
                <w:rFonts w:ascii="Arial Narrow" w:hAnsi="Arial Narrow" w:cs="Calibri"/>
                <w:color w:val="000000"/>
                <w:w w:val="15"/>
                <w:sz w:val="20"/>
                <w:szCs w:val="20"/>
                <w:shd w:val="solid" w:color="000000" w:fill="000000"/>
                <w:fitText w:val="70" w:id="-1032066302"/>
                <w14:textFill>
                  <w14:solidFill>
                    <w14:srgbClr w14:val="000000">
                      <w14:alpha w14:val="100000"/>
                    </w14:srgbClr>
                  </w14:solidFill>
                </w14:textFill>
              </w:rPr>
              <w:t>|</w:t>
            </w:r>
            <w:r w:rsidRPr="004E53B2">
              <w:rPr>
                <w:rFonts w:ascii="Arial Narrow" w:hAnsi="Arial Narrow" w:cs="Calibri" w:hint="eastAsia"/>
                <w:color w:val="000000"/>
                <w:spacing w:val="4"/>
                <w:w w:val="15"/>
                <w:sz w:val="20"/>
                <w:szCs w:val="20"/>
                <w:shd w:val="solid" w:color="000000" w:fill="000000"/>
                <w:fitText w:val="70" w:id="-1032066302"/>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vAlign w:val="bottom"/>
          </w:tcPr>
          <w:p w14:paraId="5DE58B78" w14:textId="10D5E28B" w:rsidR="00807566"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cs="Calibri"/>
                <w:color w:val="000000"/>
                <w:sz w:val="20"/>
                <w:szCs w:val="20"/>
              </w:rPr>
              <w:t xml:space="preserve"> </w:t>
            </w:r>
            <w:r w:rsidRPr="004E53B2">
              <w:rPr>
                <w:rFonts w:ascii="Arial Narrow" w:hAnsi="Arial Narrow" w:cs="Calibri" w:hint="eastAsia"/>
                <w:color w:val="000000"/>
                <w:w w:val="15"/>
                <w:sz w:val="20"/>
                <w:szCs w:val="20"/>
                <w:shd w:val="solid" w:color="000000" w:fill="000000"/>
                <w:fitText w:val="70" w:id="-1032066301"/>
                <w14:textFill>
                  <w14:solidFill>
                    <w14:srgbClr w14:val="000000">
                      <w14:alpha w14:val="100000"/>
                    </w14:srgbClr>
                  </w14:solidFill>
                </w14:textFill>
              </w:rPr>
              <w:t xml:space="preserve">　</w:t>
            </w:r>
            <w:r w:rsidRPr="004E53B2">
              <w:rPr>
                <w:rFonts w:ascii="Arial Narrow" w:hAnsi="Arial Narrow" w:cs="Calibri"/>
                <w:color w:val="000000"/>
                <w:w w:val="15"/>
                <w:sz w:val="20"/>
                <w:szCs w:val="20"/>
                <w:shd w:val="solid" w:color="000000" w:fill="000000"/>
                <w:fitText w:val="70" w:id="-1032066301"/>
                <w14:textFill>
                  <w14:solidFill>
                    <w14:srgbClr w14:val="000000">
                      <w14:alpha w14:val="100000"/>
                    </w14:srgbClr>
                  </w14:solidFill>
                </w14:textFill>
              </w:rPr>
              <w:t>|</w:t>
            </w:r>
            <w:r w:rsidRPr="004E53B2">
              <w:rPr>
                <w:rFonts w:ascii="Arial Narrow" w:hAnsi="Arial Narrow" w:cs="Calibri" w:hint="eastAsia"/>
                <w:color w:val="000000"/>
                <w:spacing w:val="4"/>
                <w:w w:val="15"/>
                <w:sz w:val="20"/>
                <w:szCs w:val="20"/>
                <w:shd w:val="solid" w:color="000000" w:fill="000000"/>
                <w:fitText w:val="70" w:id="-1032066301"/>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2" w:type="pct"/>
            <w:tcBorders>
              <w:top w:val="single" w:sz="4" w:space="0" w:color="auto"/>
              <w:left w:val="single" w:sz="4" w:space="0" w:color="auto"/>
              <w:bottom w:val="single" w:sz="4" w:space="0" w:color="auto"/>
              <w:right w:val="single" w:sz="4" w:space="0" w:color="auto"/>
            </w:tcBorders>
            <w:vAlign w:val="bottom"/>
          </w:tcPr>
          <w:p w14:paraId="4A246AB0" w14:textId="32153672" w:rsidR="00807566"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cs="Calibri"/>
                <w:color w:val="000000"/>
                <w:sz w:val="20"/>
                <w:szCs w:val="20"/>
              </w:rPr>
              <w:t xml:space="preserve"> </w:t>
            </w:r>
            <w:r w:rsidRPr="004E53B2">
              <w:rPr>
                <w:rFonts w:ascii="Arial Narrow" w:hAnsi="Arial Narrow" w:cs="Calibri" w:hint="eastAsia"/>
                <w:color w:val="000000"/>
                <w:w w:val="18"/>
                <w:sz w:val="20"/>
                <w:szCs w:val="20"/>
                <w:shd w:val="solid" w:color="000000" w:fill="000000"/>
                <w:fitText w:val="80" w:id="-1032066300"/>
                <w14:textFill>
                  <w14:solidFill>
                    <w14:srgbClr w14:val="000000">
                      <w14:alpha w14:val="100000"/>
                    </w14:srgbClr>
                  </w14:solidFill>
                </w14:textFill>
              </w:rPr>
              <w:t xml:space="preserve">　</w:t>
            </w:r>
            <w:r w:rsidRPr="004E53B2">
              <w:rPr>
                <w:rFonts w:ascii="Arial Narrow" w:hAnsi="Arial Narrow" w:cs="Calibri"/>
                <w:color w:val="000000"/>
                <w:w w:val="18"/>
                <w:sz w:val="20"/>
                <w:szCs w:val="20"/>
                <w:shd w:val="solid" w:color="000000" w:fill="000000"/>
                <w:fitText w:val="80" w:id="-1032066300"/>
                <w14:textFill>
                  <w14:solidFill>
                    <w14:srgbClr w14:val="000000">
                      <w14:alpha w14:val="100000"/>
                    </w14:srgbClr>
                  </w14:solidFill>
                </w14:textFill>
              </w:rPr>
              <w:t>|</w:t>
            </w:r>
            <w:r w:rsidRPr="004E53B2">
              <w:rPr>
                <w:rFonts w:ascii="Arial Narrow" w:hAnsi="Arial Narrow" w:cs="Calibri" w:hint="eastAsia"/>
                <w:color w:val="000000"/>
                <w:w w:val="18"/>
                <w:sz w:val="20"/>
                <w:szCs w:val="20"/>
                <w:shd w:val="solid" w:color="000000" w:fill="000000"/>
                <w:fitText w:val="80" w:id="-1032066300"/>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r>
      <w:tr w:rsidR="00807566" w:rsidRPr="00F91CC3" w14:paraId="41D5A71D" w14:textId="77777777" w:rsidTr="00CE6EE8">
        <w:tc>
          <w:tcPr>
            <w:tcW w:w="5000" w:type="pct"/>
            <w:gridSpan w:val="7"/>
            <w:tcBorders>
              <w:top w:val="single" w:sz="4" w:space="0" w:color="auto"/>
              <w:left w:val="single" w:sz="4" w:space="0" w:color="auto"/>
              <w:bottom w:val="single" w:sz="4" w:space="0" w:color="auto"/>
              <w:right w:val="single" w:sz="4" w:space="0" w:color="auto"/>
            </w:tcBorders>
            <w:vAlign w:val="center"/>
          </w:tcPr>
          <w:p w14:paraId="561369FB" w14:textId="2D7C9A2D" w:rsidR="00807566" w:rsidRPr="00F91CC3" w:rsidRDefault="00807566" w:rsidP="00CE6EE8">
            <w:pPr>
              <w:keepNext/>
              <w:jc w:val="left"/>
              <w:rPr>
                <w:rFonts w:ascii="Arial Narrow" w:hAnsi="Arial Narrow" w:cs="Calibri"/>
                <w:color w:val="000000"/>
                <w:sz w:val="20"/>
                <w:szCs w:val="20"/>
              </w:rPr>
            </w:pPr>
            <w:r w:rsidRPr="00F91CC3">
              <w:rPr>
                <w:rFonts w:ascii="Arial Narrow" w:eastAsiaTheme="majorEastAsia" w:hAnsi="Arial Narrow" w:cstheme="majorBidi"/>
                <w:b/>
                <w:sz w:val="20"/>
              </w:rPr>
              <w:t>Estimated financial implications of ivacaftor</w:t>
            </w:r>
          </w:p>
        </w:tc>
      </w:tr>
      <w:tr w:rsidR="00063D90" w:rsidRPr="00F91CC3" w14:paraId="36A0D317" w14:textId="77777777" w:rsidTr="006F24B9">
        <w:tc>
          <w:tcPr>
            <w:tcW w:w="1333" w:type="pct"/>
            <w:tcBorders>
              <w:top w:val="single" w:sz="4" w:space="0" w:color="auto"/>
              <w:left w:val="single" w:sz="4" w:space="0" w:color="auto"/>
              <w:bottom w:val="single" w:sz="4" w:space="0" w:color="auto"/>
              <w:right w:val="single" w:sz="4" w:space="0" w:color="auto"/>
            </w:tcBorders>
            <w:vAlign w:val="center"/>
          </w:tcPr>
          <w:p w14:paraId="49BDDD52" w14:textId="5246B823" w:rsidR="00063D90" w:rsidRPr="00F91CC3" w:rsidRDefault="00063D90" w:rsidP="00CE6EE8">
            <w:pPr>
              <w:keepNext/>
              <w:jc w:val="left"/>
              <w:rPr>
                <w:rFonts w:ascii="Arial Narrow" w:eastAsiaTheme="majorEastAsia" w:hAnsi="Arial Narrow" w:cstheme="majorBidi"/>
                <w:bCs/>
                <w:sz w:val="19"/>
                <w:szCs w:val="19"/>
              </w:rPr>
            </w:pPr>
            <w:r w:rsidRPr="00F91CC3">
              <w:rPr>
                <w:rFonts w:ascii="Arial Narrow" w:eastAsiaTheme="majorEastAsia" w:hAnsi="Arial Narrow" w:cstheme="majorBidi"/>
                <w:bCs/>
                <w:sz w:val="19"/>
                <w:szCs w:val="19"/>
              </w:rPr>
              <w:t>Cost to PBS/RPBS less</w:t>
            </w:r>
            <w:r w:rsidR="00962A6F">
              <w:rPr>
                <w:rFonts w:ascii="Arial Narrow" w:eastAsiaTheme="majorEastAsia" w:hAnsi="Arial Narrow" w:cstheme="majorBidi"/>
                <w:bCs/>
                <w:sz w:val="19"/>
                <w:szCs w:val="19"/>
              </w:rPr>
              <w:t xml:space="preserve"> </w:t>
            </w:r>
            <w:r w:rsidR="00D07430" w:rsidRPr="00F91CC3">
              <w:rPr>
                <w:rFonts w:ascii="Arial Narrow" w:eastAsiaTheme="majorEastAsia" w:hAnsi="Arial Narrow" w:cstheme="majorBidi"/>
                <w:bCs/>
                <w:sz w:val="19"/>
                <w:szCs w:val="19"/>
              </w:rPr>
              <w:t>co-payments</w:t>
            </w:r>
          </w:p>
          <w:p w14:paraId="25892D55" w14:textId="10B44236" w:rsidR="00063D90" w:rsidRPr="00F91CC3" w:rsidRDefault="00063D90" w:rsidP="00CE6EE8">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19"/>
                <w:szCs w:val="19"/>
              </w:rPr>
              <w:t>(% net cost to PBS/RPBS)</w:t>
            </w:r>
          </w:p>
        </w:tc>
        <w:tc>
          <w:tcPr>
            <w:tcW w:w="611" w:type="pct"/>
            <w:tcBorders>
              <w:top w:val="single" w:sz="4" w:space="0" w:color="auto"/>
              <w:left w:val="single" w:sz="4" w:space="0" w:color="auto"/>
              <w:bottom w:val="single" w:sz="4" w:space="0" w:color="auto"/>
              <w:right w:val="single" w:sz="4" w:space="0" w:color="auto"/>
            </w:tcBorders>
            <w:vAlign w:val="center"/>
          </w:tcPr>
          <w:p w14:paraId="38C788B4" w14:textId="2C72C325" w:rsidR="00063D90" w:rsidRPr="00F91CC3" w:rsidRDefault="00063D90" w:rsidP="00CE6EE8">
            <w:pPr>
              <w:keepNext/>
              <w:jc w:val="center"/>
              <w:rPr>
                <w:rFonts w:ascii="Arial Narrow" w:hAnsi="Arial Narrow" w:cs="Calibri"/>
                <w:color w:val="000000"/>
                <w:sz w:val="20"/>
                <w:szCs w:val="20"/>
              </w:rPr>
            </w:pPr>
            <w:r w:rsidRPr="00F91CC3">
              <w:rPr>
                <w:rFonts w:ascii="Arial Narrow" w:hAnsi="Arial Narrow" w:cs="Calibri"/>
                <w:color w:val="000000"/>
                <w:sz w:val="20"/>
                <w:szCs w:val="20"/>
              </w:rPr>
              <w:t>$</w:t>
            </w:r>
            <w:r w:rsidR="004E53B2">
              <w:rPr>
                <w:rFonts w:ascii="Arial Narrow" w:hAnsi="Arial Narrow" w:cs="Calibri"/>
                <w:color w:val="000000"/>
                <w:sz w:val="20"/>
                <w:szCs w:val="20"/>
              </w:rPr>
              <w:t xml:space="preserve"> </w:t>
            </w:r>
            <w:r w:rsidR="004E53B2" w:rsidRPr="004E53B2">
              <w:rPr>
                <w:rFonts w:ascii="Arial Narrow" w:hAnsi="Arial Narrow" w:cs="Calibri" w:hint="eastAsia"/>
                <w:color w:val="000000"/>
                <w:w w:val="27"/>
                <w:sz w:val="20"/>
                <w:szCs w:val="20"/>
                <w:shd w:val="solid" w:color="000000" w:fill="000000"/>
                <w:fitText w:val="120" w:id="-1032066299"/>
                <w14:textFill>
                  <w14:solidFill>
                    <w14:srgbClr w14:val="000000">
                      <w14:alpha w14:val="100000"/>
                    </w14:srgbClr>
                  </w14:solidFill>
                </w14:textFill>
              </w:rPr>
              <w:t xml:space="preserve">　</w:t>
            </w:r>
            <w:r w:rsidR="004E53B2" w:rsidRPr="004E53B2">
              <w:rPr>
                <w:rFonts w:ascii="Arial Narrow" w:hAnsi="Arial Narrow" w:cs="Calibri"/>
                <w:color w:val="000000"/>
                <w:w w:val="27"/>
                <w:sz w:val="20"/>
                <w:szCs w:val="20"/>
                <w:shd w:val="solid" w:color="000000" w:fill="000000"/>
                <w:fitText w:val="120" w:id="-1032066299"/>
                <w14:textFill>
                  <w14:solidFill>
                    <w14:srgbClr w14:val="000000">
                      <w14:alpha w14:val="100000"/>
                    </w14:srgbClr>
                  </w14:solidFill>
                </w14:textFill>
              </w:rPr>
              <w:t>|</w:t>
            </w:r>
            <w:r w:rsidR="004E53B2" w:rsidRPr="004E53B2">
              <w:rPr>
                <w:rFonts w:ascii="Arial Narrow" w:hAnsi="Arial Narrow" w:cs="Calibri" w:hint="eastAsia"/>
                <w:color w:val="000000"/>
                <w:spacing w:val="2"/>
                <w:w w:val="27"/>
                <w:sz w:val="20"/>
                <w:szCs w:val="20"/>
                <w:shd w:val="solid" w:color="000000" w:fill="000000"/>
                <w:fitText w:val="120" w:id="-1032066299"/>
                <w14:textFill>
                  <w14:solidFill>
                    <w14:srgbClr w14:val="000000">
                      <w14:alpha w14:val="100000"/>
                    </w14:srgbClr>
                  </w14:solidFill>
                </w14:textFill>
              </w:rPr>
              <w:t xml:space="preserve">　</w:t>
            </w:r>
            <w:r w:rsidR="00D71A55">
              <w:rPr>
                <w:rFonts w:ascii="Arial Narrow" w:eastAsiaTheme="majorEastAsia" w:hAnsi="Arial Narrow" w:cstheme="majorBidi"/>
                <w:bCs/>
                <w:sz w:val="20"/>
                <w:szCs w:val="20"/>
                <w:vertAlign w:val="superscript"/>
              </w:rPr>
              <w:t>2</w:t>
            </w:r>
          </w:p>
          <w:p w14:paraId="1A9CE109" w14:textId="020BF6DC" w:rsidR="00063D90" w:rsidRPr="00F91CC3" w:rsidRDefault="00063D90" w:rsidP="00CE6EE8">
            <w:pPr>
              <w:keepNext/>
              <w:jc w:val="center"/>
              <w:rPr>
                <w:rFonts w:ascii="Arial Narrow" w:hAnsi="Arial Narrow" w:cs="Calibri"/>
                <w:color w:val="000000"/>
                <w:sz w:val="20"/>
                <w:szCs w:val="20"/>
              </w:rPr>
            </w:pPr>
            <w:r w:rsidRPr="00F91CC3">
              <w:rPr>
                <w:rFonts w:ascii="Arial Narrow" w:hAnsi="Arial Narrow" w:cs="Calibri"/>
                <w:color w:val="000000"/>
                <w:sz w:val="20"/>
                <w:szCs w:val="20"/>
              </w:rPr>
              <w:t>(</w:t>
            </w:r>
            <w:r w:rsidRPr="00EC0695">
              <w:rPr>
                <w:rFonts w:ascii="Arial Narrow" w:hAnsi="Arial Narrow" w:cs="Calibri"/>
                <w:color w:val="000000"/>
                <w:sz w:val="20"/>
                <w:szCs w:val="20"/>
              </w:rPr>
              <w:t>4</w:t>
            </w:r>
            <w:r w:rsidRPr="00F91CC3">
              <w:rPr>
                <w:rFonts w:ascii="Arial Narrow" w:hAnsi="Arial Narrow" w:cs="Calibri"/>
                <w:color w:val="000000"/>
                <w:sz w:val="20"/>
                <w:szCs w:val="20"/>
              </w:rPr>
              <w:t>%)</w:t>
            </w:r>
          </w:p>
        </w:tc>
        <w:tc>
          <w:tcPr>
            <w:tcW w:w="611" w:type="pct"/>
            <w:tcBorders>
              <w:top w:val="single" w:sz="4" w:space="0" w:color="auto"/>
              <w:left w:val="single" w:sz="4" w:space="0" w:color="auto"/>
              <w:bottom w:val="single" w:sz="4" w:space="0" w:color="auto"/>
              <w:right w:val="single" w:sz="4" w:space="0" w:color="auto"/>
            </w:tcBorders>
            <w:vAlign w:val="center"/>
          </w:tcPr>
          <w:p w14:paraId="1F76F0A2" w14:textId="59B0A39C" w:rsidR="00063D90" w:rsidRPr="00F91CC3" w:rsidRDefault="00063D90" w:rsidP="00CE6EE8">
            <w:pPr>
              <w:keepNext/>
              <w:jc w:val="center"/>
              <w:rPr>
                <w:rFonts w:ascii="Arial Narrow" w:hAnsi="Arial Narrow" w:cs="Calibri"/>
                <w:color w:val="000000"/>
                <w:sz w:val="20"/>
                <w:szCs w:val="20"/>
              </w:rPr>
            </w:pPr>
            <w:r w:rsidRPr="00F91CC3">
              <w:rPr>
                <w:rFonts w:ascii="Arial Narrow" w:hAnsi="Arial Narrow" w:cs="Calibri"/>
                <w:color w:val="000000"/>
                <w:sz w:val="20"/>
                <w:szCs w:val="20"/>
              </w:rPr>
              <w:t>$</w:t>
            </w:r>
            <w:r w:rsidR="004E53B2">
              <w:rPr>
                <w:rFonts w:ascii="Arial Narrow" w:hAnsi="Arial Narrow" w:cs="Calibri"/>
                <w:color w:val="000000"/>
                <w:sz w:val="20"/>
                <w:szCs w:val="20"/>
              </w:rPr>
              <w:t xml:space="preserve"> </w:t>
            </w:r>
            <w:r w:rsidR="004E53B2" w:rsidRPr="004E53B2">
              <w:rPr>
                <w:rFonts w:ascii="Arial Narrow" w:hAnsi="Arial Narrow" w:cs="Calibri" w:hint="eastAsia"/>
                <w:color w:val="000000"/>
                <w:w w:val="27"/>
                <w:sz w:val="20"/>
                <w:szCs w:val="20"/>
                <w:shd w:val="solid" w:color="000000" w:fill="000000"/>
                <w:fitText w:val="120" w:id="-1032066298"/>
                <w14:textFill>
                  <w14:solidFill>
                    <w14:srgbClr w14:val="000000">
                      <w14:alpha w14:val="100000"/>
                    </w14:srgbClr>
                  </w14:solidFill>
                </w14:textFill>
              </w:rPr>
              <w:t xml:space="preserve">　</w:t>
            </w:r>
            <w:r w:rsidR="004E53B2" w:rsidRPr="004E53B2">
              <w:rPr>
                <w:rFonts w:ascii="Arial Narrow" w:hAnsi="Arial Narrow" w:cs="Calibri"/>
                <w:color w:val="000000"/>
                <w:w w:val="27"/>
                <w:sz w:val="20"/>
                <w:szCs w:val="20"/>
                <w:shd w:val="solid" w:color="000000" w:fill="000000"/>
                <w:fitText w:val="120" w:id="-1032066298"/>
                <w14:textFill>
                  <w14:solidFill>
                    <w14:srgbClr w14:val="000000">
                      <w14:alpha w14:val="100000"/>
                    </w14:srgbClr>
                  </w14:solidFill>
                </w14:textFill>
              </w:rPr>
              <w:t>|</w:t>
            </w:r>
            <w:r w:rsidR="004E53B2" w:rsidRPr="004E53B2">
              <w:rPr>
                <w:rFonts w:ascii="Arial Narrow" w:hAnsi="Arial Narrow" w:cs="Calibri" w:hint="eastAsia"/>
                <w:color w:val="000000"/>
                <w:spacing w:val="2"/>
                <w:w w:val="27"/>
                <w:sz w:val="20"/>
                <w:szCs w:val="20"/>
                <w:shd w:val="solid" w:color="000000" w:fill="000000"/>
                <w:fitText w:val="120" w:id="-1032066298"/>
                <w14:textFill>
                  <w14:solidFill>
                    <w14:srgbClr w14:val="000000">
                      <w14:alpha w14:val="100000"/>
                    </w14:srgbClr>
                  </w14:solidFill>
                </w14:textFill>
              </w:rPr>
              <w:t xml:space="preserve">　</w:t>
            </w:r>
            <w:r w:rsidR="00D71A55">
              <w:rPr>
                <w:rFonts w:ascii="Arial Narrow" w:eastAsiaTheme="majorEastAsia" w:hAnsi="Arial Narrow" w:cstheme="majorBidi"/>
                <w:bCs/>
                <w:sz w:val="20"/>
                <w:szCs w:val="20"/>
                <w:vertAlign w:val="superscript"/>
              </w:rPr>
              <w:t>2</w:t>
            </w:r>
          </w:p>
          <w:p w14:paraId="0F71D0DE" w14:textId="2CED5330" w:rsidR="00063D90" w:rsidRPr="00F91CC3" w:rsidRDefault="00063D90" w:rsidP="00CE6EE8">
            <w:pPr>
              <w:keepNext/>
              <w:jc w:val="center"/>
              <w:rPr>
                <w:rFonts w:ascii="Arial Narrow" w:hAnsi="Arial Narrow" w:cs="Calibri"/>
                <w:color w:val="000000"/>
                <w:sz w:val="20"/>
                <w:szCs w:val="20"/>
              </w:rPr>
            </w:pPr>
            <w:r w:rsidRPr="00F91CC3">
              <w:rPr>
                <w:rFonts w:ascii="Arial Narrow" w:hAnsi="Arial Narrow" w:cs="Calibri"/>
                <w:color w:val="000000"/>
                <w:sz w:val="20"/>
                <w:szCs w:val="20"/>
              </w:rPr>
              <w:t>(</w:t>
            </w:r>
            <w:r w:rsidRPr="00EC0695">
              <w:rPr>
                <w:rFonts w:ascii="Arial Narrow" w:hAnsi="Arial Narrow" w:cs="Calibri"/>
                <w:color w:val="000000"/>
                <w:sz w:val="20"/>
                <w:szCs w:val="20"/>
              </w:rPr>
              <w:t>4%)</w:t>
            </w:r>
          </w:p>
        </w:tc>
        <w:tc>
          <w:tcPr>
            <w:tcW w:w="611" w:type="pct"/>
            <w:tcBorders>
              <w:top w:val="single" w:sz="4" w:space="0" w:color="auto"/>
              <w:left w:val="single" w:sz="4" w:space="0" w:color="auto"/>
              <w:bottom w:val="single" w:sz="4" w:space="0" w:color="auto"/>
              <w:right w:val="single" w:sz="4" w:space="0" w:color="auto"/>
            </w:tcBorders>
            <w:vAlign w:val="center"/>
          </w:tcPr>
          <w:p w14:paraId="52D41E4D" w14:textId="2173C53B" w:rsidR="00063D90" w:rsidRPr="00F91CC3" w:rsidRDefault="00063D90" w:rsidP="00CE6EE8">
            <w:pPr>
              <w:keepNext/>
              <w:jc w:val="center"/>
              <w:rPr>
                <w:rFonts w:ascii="Arial Narrow" w:hAnsi="Arial Narrow" w:cs="Calibri"/>
                <w:color w:val="000000"/>
                <w:sz w:val="20"/>
                <w:szCs w:val="20"/>
              </w:rPr>
            </w:pPr>
            <w:r w:rsidRPr="00F91CC3">
              <w:rPr>
                <w:rFonts w:ascii="Arial Narrow" w:hAnsi="Arial Narrow" w:cs="Calibri"/>
                <w:color w:val="000000"/>
                <w:sz w:val="20"/>
                <w:szCs w:val="20"/>
              </w:rPr>
              <w:t>$</w:t>
            </w:r>
            <w:r w:rsidR="004E53B2">
              <w:rPr>
                <w:rFonts w:ascii="Arial Narrow" w:hAnsi="Arial Narrow" w:cs="Calibri"/>
                <w:color w:val="000000"/>
                <w:sz w:val="20"/>
                <w:szCs w:val="20"/>
              </w:rPr>
              <w:t xml:space="preserve"> </w:t>
            </w:r>
            <w:r w:rsidR="004E53B2" w:rsidRPr="004E53B2">
              <w:rPr>
                <w:rFonts w:ascii="Arial Narrow" w:hAnsi="Arial Narrow" w:cs="Calibri" w:hint="eastAsia"/>
                <w:color w:val="000000"/>
                <w:w w:val="27"/>
                <w:sz w:val="20"/>
                <w:szCs w:val="20"/>
                <w:shd w:val="solid" w:color="000000" w:fill="000000"/>
                <w:fitText w:val="120" w:id="-1032066297"/>
                <w14:textFill>
                  <w14:solidFill>
                    <w14:srgbClr w14:val="000000">
                      <w14:alpha w14:val="100000"/>
                    </w14:srgbClr>
                  </w14:solidFill>
                </w14:textFill>
              </w:rPr>
              <w:t xml:space="preserve">　</w:t>
            </w:r>
            <w:r w:rsidR="004E53B2" w:rsidRPr="004E53B2">
              <w:rPr>
                <w:rFonts w:ascii="Arial Narrow" w:hAnsi="Arial Narrow" w:cs="Calibri"/>
                <w:color w:val="000000"/>
                <w:w w:val="27"/>
                <w:sz w:val="20"/>
                <w:szCs w:val="20"/>
                <w:shd w:val="solid" w:color="000000" w:fill="000000"/>
                <w:fitText w:val="120" w:id="-1032066297"/>
                <w14:textFill>
                  <w14:solidFill>
                    <w14:srgbClr w14:val="000000">
                      <w14:alpha w14:val="100000"/>
                    </w14:srgbClr>
                  </w14:solidFill>
                </w14:textFill>
              </w:rPr>
              <w:t>|</w:t>
            </w:r>
            <w:r w:rsidR="004E53B2" w:rsidRPr="004E53B2">
              <w:rPr>
                <w:rFonts w:ascii="Arial Narrow" w:hAnsi="Arial Narrow" w:cs="Calibri" w:hint="eastAsia"/>
                <w:color w:val="000000"/>
                <w:spacing w:val="2"/>
                <w:w w:val="27"/>
                <w:sz w:val="20"/>
                <w:szCs w:val="20"/>
                <w:shd w:val="solid" w:color="000000" w:fill="000000"/>
                <w:fitText w:val="120" w:id="-1032066297"/>
                <w14:textFill>
                  <w14:solidFill>
                    <w14:srgbClr w14:val="000000">
                      <w14:alpha w14:val="100000"/>
                    </w14:srgbClr>
                  </w14:solidFill>
                </w14:textFill>
              </w:rPr>
              <w:t xml:space="preserve">　</w:t>
            </w:r>
            <w:r w:rsidR="00D71A55">
              <w:rPr>
                <w:rFonts w:ascii="Arial Narrow" w:eastAsiaTheme="majorEastAsia" w:hAnsi="Arial Narrow" w:cstheme="majorBidi"/>
                <w:bCs/>
                <w:sz w:val="20"/>
                <w:szCs w:val="20"/>
                <w:vertAlign w:val="superscript"/>
              </w:rPr>
              <w:t>2</w:t>
            </w:r>
          </w:p>
          <w:p w14:paraId="1C6689C6" w14:textId="5377DECF" w:rsidR="00063D90" w:rsidRPr="00F91CC3" w:rsidRDefault="00063D90" w:rsidP="00CE6EE8">
            <w:pPr>
              <w:keepNext/>
              <w:jc w:val="center"/>
              <w:rPr>
                <w:rFonts w:ascii="Arial Narrow" w:hAnsi="Arial Narrow" w:cs="Calibri"/>
                <w:color w:val="000000"/>
                <w:sz w:val="20"/>
                <w:szCs w:val="20"/>
              </w:rPr>
            </w:pPr>
            <w:r w:rsidRPr="00EC0695">
              <w:rPr>
                <w:rFonts w:ascii="Arial Narrow" w:hAnsi="Arial Narrow" w:cs="Calibri"/>
                <w:color w:val="000000"/>
                <w:sz w:val="20"/>
                <w:szCs w:val="20"/>
              </w:rPr>
              <w:t>(4</w:t>
            </w:r>
            <w:r w:rsidRPr="00F91CC3">
              <w:rPr>
                <w:rFonts w:ascii="Arial Narrow" w:hAnsi="Arial Narrow" w:cs="Calibri"/>
                <w:color w:val="000000"/>
                <w:sz w:val="20"/>
                <w:szCs w:val="20"/>
              </w:rPr>
              <w:t>%)</w:t>
            </w:r>
          </w:p>
        </w:tc>
        <w:tc>
          <w:tcPr>
            <w:tcW w:w="611" w:type="pct"/>
            <w:tcBorders>
              <w:top w:val="single" w:sz="4" w:space="0" w:color="auto"/>
              <w:left w:val="single" w:sz="4" w:space="0" w:color="auto"/>
              <w:bottom w:val="single" w:sz="4" w:space="0" w:color="auto"/>
              <w:right w:val="single" w:sz="4" w:space="0" w:color="auto"/>
            </w:tcBorders>
            <w:vAlign w:val="center"/>
          </w:tcPr>
          <w:p w14:paraId="534E0321" w14:textId="66AC61DE" w:rsidR="00063D90" w:rsidRPr="00F91CC3" w:rsidRDefault="00063D90" w:rsidP="00CE6EE8">
            <w:pPr>
              <w:keepNext/>
              <w:jc w:val="center"/>
              <w:rPr>
                <w:rFonts w:ascii="Arial Narrow" w:hAnsi="Arial Narrow" w:cs="Calibri"/>
                <w:color w:val="000000"/>
                <w:sz w:val="20"/>
                <w:szCs w:val="20"/>
              </w:rPr>
            </w:pPr>
            <w:r w:rsidRPr="00F91CC3">
              <w:rPr>
                <w:rFonts w:ascii="Arial Narrow" w:hAnsi="Arial Narrow" w:cs="Calibri"/>
                <w:color w:val="000000"/>
                <w:sz w:val="20"/>
                <w:szCs w:val="20"/>
              </w:rPr>
              <w:t>$</w:t>
            </w:r>
            <w:r w:rsidR="004E53B2">
              <w:rPr>
                <w:rFonts w:ascii="Arial Narrow" w:hAnsi="Arial Narrow" w:cs="Calibri"/>
                <w:color w:val="000000"/>
                <w:sz w:val="20"/>
                <w:szCs w:val="20"/>
              </w:rPr>
              <w:t xml:space="preserve"> </w:t>
            </w:r>
            <w:r w:rsidR="004E53B2" w:rsidRPr="004E53B2">
              <w:rPr>
                <w:rFonts w:ascii="Arial Narrow" w:hAnsi="Arial Narrow" w:cs="Calibri" w:hint="eastAsia"/>
                <w:color w:val="000000"/>
                <w:w w:val="27"/>
                <w:sz w:val="20"/>
                <w:szCs w:val="20"/>
                <w:shd w:val="solid" w:color="000000" w:fill="000000"/>
                <w:fitText w:val="120" w:id="-1032066296"/>
                <w14:textFill>
                  <w14:solidFill>
                    <w14:srgbClr w14:val="000000">
                      <w14:alpha w14:val="100000"/>
                    </w14:srgbClr>
                  </w14:solidFill>
                </w14:textFill>
              </w:rPr>
              <w:t xml:space="preserve">　</w:t>
            </w:r>
            <w:r w:rsidR="004E53B2" w:rsidRPr="004E53B2">
              <w:rPr>
                <w:rFonts w:ascii="Arial Narrow" w:hAnsi="Arial Narrow" w:cs="Calibri"/>
                <w:color w:val="000000"/>
                <w:w w:val="27"/>
                <w:sz w:val="20"/>
                <w:szCs w:val="20"/>
                <w:shd w:val="solid" w:color="000000" w:fill="000000"/>
                <w:fitText w:val="120" w:id="-1032066296"/>
                <w14:textFill>
                  <w14:solidFill>
                    <w14:srgbClr w14:val="000000">
                      <w14:alpha w14:val="100000"/>
                    </w14:srgbClr>
                  </w14:solidFill>
                </w14:textFill>
              </w:rPr>
              <w:t>|</w:t>
            </w:r>
            <w:r w:rsidR="004E53B2" w:rsidRPr="004E53B2">
              <w:rPr>
                <w:rFonts w:ascii="Arial Narrow" w:hAnsi="Arial Narrow" w:cs="Calibri" w:hint="eastAsia"/>
                <w:color w:val="000000"/>
                <w:spacing w:val="2"/>
                <w:w w:val="27"/>
                <w:sz w:val="20"/>
                <w:szCs w:val="20"/>
                <w:shd w:val="solid" w:color="000000" w:fill="000000"/>
                <w:fitText w:val="120" w:id="-1032066296"/>
                <w14:textFill>
                  <w14:solidFill>
                    <w14:srgbClr w14:val="000000">
                      <w14:alpha w14:val="100000"/>
                    </w14:srgbClr>
                  </w14:solidFill>
                </w14:textFill>
              </w:rPr>
              <w:t xml:space="preserve">　</w:t>
            </w:r>
            <w:r w:rsidR="00D71A55">
              <w:rPr>
                <w:rFonts w:ascii="Arial Narrow" w:eastAsiaTheme="majorEastAsia" w:hAnsi="Arial Narrow" w:cstheme="majorBidi"/>
                <w:bCs/>
                <w:sz w:val="20"/>
                <w:szCs w:val="20"/>
                <w:vertAlign w:val="superscript"/>
              </w:rPr>
              <w:t>2</w:t>
            </w:r>
          </w:p>
          <w:p w14:paraId="24C04274" w14:textId="7C3D0B57" w:rsidR="00063D90" w:rsidRPr="00F91CC3" w:rsidRDefault="00063D90" w:rsidP="00CE6EE8">
            <w:pPr>
              <w:keepNext/>
              <w:jc w:val="center"/>
              <w:rPr>
                <w:rFonts w:ascii="Arial Narrow" w:hAnsi="Arial Narrow" w:cs="Calibri"/>
                <w:color w:val="000000"/>
                <w:sz w:val="20"/>
                <w:szCs w:val="20"/>
              </w:rPr>
            </w:pPr>
            <w:r w:rsidRPr="00F91CC3">
              <w:rPr>
                <w:rFonts w:ascii="Arial Narrow" w:hAnsi="Arial Narrow" w:cs="Calibri"/>
                <w:color w:val="000000"/>
                <w:sz w:val="20"/>
                <w:szCs w:val="20"/>
              </w:rPr>
              <w:t>(</w:t>
            </w:r>
            <w:r w:rsidRPr="00EC0695">
              <w:rPr>
                <w:rFonts w:ascii="Arial Narrow" w:hAnsi="Arial Narrow" w:cs="Calibri"/>
                <w:color w:val="000000"/>
                <w:sz w:val="20"/>
                <w:szCs w:val="20"/>
              </w:rPr>
              <w:t>4%</w:t>
            </w:r>
            <w:r w:rsidRPr="00F91CC3">
              <w:rPr>
                <w:rFonts w:ascii="Arial Narrow" w:hAnsi="Arial Narrow" w:cs="Calibri"/>
                <w:color w:val="000000"/>
                <w:sz w:val="20"/>
                <w:szCs w:val="20"/>
              </w:rPr>
              <w:t>)</w:t>
            </w:r>
          </w:p>
        </w:tc>
        <w:tc>
          <w:tcPr>
            <w:tcW w:w="611" w:type="pct"/>
            <w:tcBorders>
              <w:top w:val="single" w:sz="4" w:space="0" w:color="auto"/>
              <w:left w:val="single" w:sz="4" w:space="0" w:color="auto"/>
              <w:bottom w:val="single" w:sz="4" w:space="0" w:color="auto"/>
              <w:right w:val="single" w:sz="4" w:space="0" w:color="auto"/>
            </w:tcBorders>
            <w:vAlign w:val="center"/>
          </w:tcPr>
          <w:p w14:paraId="7075ECBD" w14:textId="48CE1421" w:rsidR="00063D90" w:rsidRPr="00F91CC3" w:rsidRDefault="00063D90" w:rsidP="00CE6EE8">
            <w:pPr>
              <w:keepNext/>
              <w:jc w:val="center"/>
              <w:rPr>
                <w:rFonts w:ascii="Arial Narrow" w:hAnsi="Arial Narrow" w:cs="Calibri"/>
                <w:color w:val="000000"/>
                <w:sz w:val="20"/>
                <w:szCs w:val="20"/>
              </w:rPr>
            </w:pPr>
            <w:r w:rsidRPr="00F91CC3">
              <w:rPr>
                <w:rFonts w:ascii="Arial Narrow" w:hAnsi="Arial Narrow" w:cs="Calibri"/>
                <w:color w:val="000000"/>
                <w:sz w:val="20"/>
                <w:szCs w:val="20"/>
              </w:rPr>
              <w:t>$</w:t>
            </w:r>
            <w:r w:rsidR="004E53B2">
              <w:rPr>
                <w:rFonts w:ascii="Arial Narrow" w:hAnsi="Arial Narrow" w:cs="Calibri"/>
                <w:color w:val="000000"/>
                <w:sz w:val="20"/>
                <w:szCs w:val="20"/>
              </w:rPr>
              <w:t xml:space="preserve"> </w:t>
            </w:r>
            <w:r w:rsidR="004E53B2" w:rsidRPr="004E53B2">
              <w:rPr>
                <w:rFonts w:ascii="Arial Narrow" w:hAnsi="Arial Narrow" w:cs="Calibri" w:hint="eastAsia"/>
                <w:color w:val="000000"/>
                <w:w w:val="27"/>
                <w:sz w:val="20"/>
                <w:szCs w:val="20"/>
                <w:shd w:val="solid" w:color="000000" w:fill="000000"/>
                <w:fitText w:val="120" w:id="-1032066295"/>
                <w14:textFill>
                  <w14:solidFill>
                    <w14:srgbClr w14:val="000000">
                      <w14:alpha w14:val="100000"/>
                    </w14:srgbClr>
                  </w14:solidFill>
                </w14:textFill>
              </w:rPr>
              <w:t xml:space="preserve">　</w:t>
            </w:r>
            <w:r w:rsidR="004E53B2" w:rsidRPr="004E53B2">
              <w:rPr>
                <w:rFonts w:ascii="Arial Narrow" w:hAnsi="Arial Narrow" w:cs="Calibri"/>
                <w:color w:val="000000"/>
                <w:w w:val="27"/>
                <w:sz w:val="20"/>
                <w:szCs w:val="20"/>
                <w:shd w:val="solid" w:color="000000" w:fill="000000"/>
                <w:fitText w:val="120" w:id="-1032066295"/>
                <w14:textFill>
                  <w14:solidFill>
                    <w14:srgbClr w14:val="000000">
                      <w14:alpha w14:val="100000"/>
                    </w14:srgbClr>
                  </w14:solidFill>
                </w14:textFill>
              </w:rPr>
              <w:t>|</w:t>
            </w:r>
            <w:r w:rsidR="004E53B2" w:rsidRPr="004E53B2">
              <w:rPr>
                <w:rFonts w:ascii="Arial Narrow" w:hAnsi="Arial Narrow" w:cs="Calibri" w:hint="eastAsia"/>
                <w:color w:val="000000"/>
                <w:spacing w:val="2"/>
                <w:w w:val="27"/>
                <w:sz w:val="20"/>
                <w:szCs w:val="20"/>
                <w:shd w:val="solid" w:color="000000" w:fill="000000"/>
                <w:fitText w:val="120" w:id="-1032066295"/>
                <w14:textFill>
                  <w14:solidFill>
                    <w14:srgbClr w14:val="000000">
                      <w14:alpha w14:val="100000"/>
                    </w14:srgbClr>
                  </w14:solidFill>
                </w14:textFill>
              </w:rPr>
              <w:t xml:space="preserve">　</w:t>
            </w:r>
            <w:r w:rsidR="00D71A55">
              <w:rPr>
                <w:rFonts w:ascii="Arial Narrow" w:eastAsiaTheme="majorEastAsia" w:hAnsi="Arial Narrow" w:cstheme="majorBidi"/>
                <w:bCs/>
                <w:sz w:val="20"/>
                <w:szCs w:val="20"/>
                <w:vertAlign w:val="superscript"/>
              </w:rPr>
              <w:t>2</w:t>
            </w:r>
          </w:p>
          <w:p w14:paraId="7EC22797" w14:textId="44B0EAD4" w:rsidR="00063D90" w:rsidRPr="00F91CC3" w:rsidRDefault="00063D90" w:rsidP="00CE6EE8">
            <w:pPr>
              <w:keepNext/>
              <w:jc w:val="center"/>
              <w:rPr>
                <w:rFonts w:ascii="Arial Narrow" w:hAnsi="Arial Narrow" w:cs="Calibri"/>
                <w:color w:val="000000"/>
                <w:sz w:val="20"/>
                <w:szCs w:val="20"/>
              </w:rPr>
            </w:pPr>
            <w:r w:rsidRPr="00F91CC3">
              <w:rPr>
                <w:rFonts w:ascii="Arial Narrow" w:hAnsi="Arial Narrow" w:cs="Calibri"/>
                <w:color w:val="000000"/>
                <w:sz w:val="20"/>
                <w:szCs w:val="20"/>
              </w:rPr>
              <w:t>(</w:t>
            </w:r>
            <w:r w:rsidRPr="00EC0695">
              <w:rPr>
                <w:rFonts w:ascii="Arial Narrow" w:hAnsi="Arial Narrow" w:cs="Calibri"/>
                <w:color w:val="000000"/>
                <w:sz w:val="20"/>
                <w:szCs w:val="20"/>
              </w:rPr>
              <w:t>4</w:t>
            </w:r>
            <w:r w:rsidRPr="00F91CC3">
              <w:rPr>
                <w:rFonts w:ascii="Arial Narrow" w:hAnsi="Arial Narrow" w:cs="Calibri"/>
                <w:color w:val="000000"/>
                <w:sz w:val="20"/>
                <w:szCs w:val="20"/>
              </w:rPr>
              <w:t>%)</w:t>
            </w:r>
          </w:p>
        </w:tc>
        <w:tc>
          <w:tcPr>
            <w:tcW w:w="612" w:type="pct"/>
            <w:tcBorders>
              <w:top w:val="single" w:sz="4" w:space="0" w:color="auto"/>
              <w:left w:val="single" w:sz="4" w:space="0" w:color="auto"/>
              <w:bottom w:val="single" w:sz="4" w:space="0" w:color="auto"/>
              <w:right w:val="single" w:sz="4" w:space="0" w:color="auto"/>
            </w:tcBorders>
            <w:vAlign w:val="center"/>
          </w:tcPr>
          <w:p w14:paraId="5D70A019" w14:textId="6B790357" w:rsidR="00063D90" w:rsidRPr="00F91CC3" w:rsidRDefault="00063D90" w:rsidP="00CE6EE8">
            <w:pPr>
              <w:keepNext/>
              <w:jc w:val="center"/>
              <w:rPr>
                <w:rFonts w:ascii="Arial Narrow" w:hAnsi="Arial Narrow" w:cs="Calibri"/>
                <w:color w:val="000000"/>
                <w:sz w:val="20"/>
                <w:szCs w:val="20"/>
              </w:rPr>
            </w:pPr>
            <w:r w:rsidRPr="00F91CC3">
              <w:rPr>
                <w:rFonts w:ascii="Arial Narrow" w:hAnsi="Arial Narrow" w:cs="Calibri"/>
                <w:color w:val="000000"/>
                <w:sz w:val="20"/>
                <w:szCs w:val="20"/>
              </w:rPr>
              <w:t>$</w:t>
            </w:r>
            <w:r w:rsidR="004E53B2">
              <w:rPr>
                <w:rFonts w:ascii="Arial Narrow" w:hAnsi="Arial Narrow" w:cs="Calibri"/>
                <w:color w:val="000000"/>
                <w:sz w:val="20"/>
                <w:szCs w:val="20"/>
              </w:rPr>
              <w:t xml:space="preserve"> </w:t>
            </w:r>
            <w:r w:rsidR="004E53B2" w:rsidRPr="004E53B2">
              <w:rPr>
                <w:rFonts w:ascii="Arial Narrow" w:hAnsi="Arial Narrow" w:cs="Calibri" w:hint="eastAsia"/>
                <w:color w:val="000000"/>
                <w:w w:val="27"/>
                <w:sz w:val="20"/>
                <w:szCs w:val="20"/>
                <w:shd w:val="solid" w:color="000000" w:fill="000000"/>
                <w:fitText w:val="120" w:id="-1032066294"/>
                <w14:textFill>
                  <w14:solidFill>
                    <w14:srgbClr w14:val="000000">
                      <w14:alpha w14:val="100000"/>
                    </w14:srgbClr>
                  </w14:solidFill>
                </w14:textFill>
              </w:rPr>
              <w:t xml:space="preserve">　</w:t>
            </w:r>
            <w:r w:rsidR="004E53B2" w:rsidRPr="004E53B2">
              <w:rPr>
                <w:rFonts w:ascii="Arial Narrow" w:hAnsi="Arial Narrow" w:cs="Calibri"/>
                <w:color w:val="000000"/>
                <w:w w:val="27"/>
                <w:sz w:val="20"/>
                <w:szCs w:val="20"/>
                <w:shd w:val="solid" w:color="000000" w:fill="000000"/>
                <w:fitText w:val="120" w:id="-1032066294"/>
                <w14:textFill>
                  <w14:solidFill>
                    <w14:srgbClr w14:val="000000">
                      <w14:alpha w14:val="100000"/>
                    </w14:srgbClr>
                  </w14:solidFill>
                </w14:textFill>
              </w:rPr>
              <w:t>|</w:t>
            </w:r>
            <w:r w:rsidR="004E53B2" w:rsidRPr="004E53B2">
              <w:rPr>
                <w:rFonts w:ascii="Arial Narrow" w:hAnsi="Arial Narrow" w:cs="Calibri" w:hint="eastAsia"/>
                <w:color w:val="000000"/>
                <w:spacing w:val="2"/>
                <w:w w:val="27"/>
                <w:sz w:val="20"/>
                <w:szCs w:val="20"/>
                <w:shd w:val="solid" w:color="000000" w:fill="000000"/>
                <w:fitText w:val="120" w:id="-1032066294"/>
                <w14:textFill>
                  <w14:solidFill>
                    <w14:srgbClr w14:val="000000">
                      <w14:alpha w14:val="100000"/>
                    </w14:srgbClr>
                  </w14:solidFill>
                </w14:textFill>
              </w:rPr>
              <w:t xml:space="preserve">　</w:t>
            </w:r>
            <w:r w:rsidR="00D71A55">
              <w:rPr>
                <w:rFonts w:ascii="Arial Narrow" w:eastAsiaTheme="majorEastAsia" w:hAnsi="Arial Narrow" w:cstheme="majorBidi"/>
                <w:bCs/>
                <w:sz w:val="20"/>
                <w:szCs w:val="20"/>
                <w:vertAlign w:val="superscript"/>
              </w:rPr>
              <w:t>2</w:t>
            </w:r>
          </w:p>
          <w:p w14:paraId="7975C8AF" w14:textId="6B4E8C4E" w:rsidR="00063D90" w:rsidRPr="00F91CC3" w:rsidRDefault="00CE6EE8" w:rsidP="00CE6EE8">
            <w:pPr>
              <w:keepNext/>
              <w:jc w:val="center"/>
              <w:rPr>
                <w:rFonts w:ascii="Arial Narrow" w:hAnsi="Arial Narrow" w:cs="Calibri"/>
                <w:color w:val="000000"/>
                <w:sz w:val="20"/>
                <w:szCs w:val="20"/>
              </w:rPr>
            </w:pPr>
            <w:r w:rsidRPr="00EC0695">
              <w:rPr>
                <w:rFonts w:ascii="Arial Narrow" w:hAnsi="Arial Narrow" w:cs="Calibri"/>
                <w:color w:val="000000"/>
                <w:sz w:val="20"/>
                <w:szCs w:val="20"/>
              </w:rPr>
              <w:t>(4%</w:t>
            </w:r>
            <w:r w:rsidRPr="00F91CC3">
              <w:rPr>
                <w:rFonts w:ascii="Arial Narrow" w:hAnsi="Arial Narrow" w:cs="Calibri"/>
                <w:color w:val="000000"/>
                <w:sz w:val="20"/>
                <w:szCs w:val="20"/>
              </w:rPr>
              <w:t>)</w:t>
            </w:r>
          </w:p>
        </w:tc>
      </w:tr>
      <w:tr w:rsidR="00807566" w:rsidRPr="00F91CC3" w14:paraId="1716A4DA" w14:textId="77777777" w:rsidTr="00CE6EE8">
        <w:tc>
          <w:tcPr>
            <w:tcW w:w="5000" w:type="pct"/>
            <w:gridSpan w:val="7"/>
            <w:tcBorders>
              <w:top w:val="single" w:sz="4" w:space="0" w:color="auto"/>
              <w:left w:val="single" w:sz="4" w:space="0" w:color="auto"/>
              <w:bottom w:val="single" w:sz="4" w:space="0" w:color="auto"/>
              <w:right w:val="single" w:sz="4" w:space="0" w:color="auto"/>
            </w:tcBorders>
            <w:vAlign w:val="center"/>
          </w:tcPr>
          <w:p w14:paraId="097CE2D4" w14:textId="7B407B51" w:rsidR="00807566" w:rsidRPr="00F91CC3" w:rsidRDefault="00807566" w:rsidP="003A3172">
            <w:pPr>
              <w:keepNext/>
              <w:jc w:val="left"/>
              <w:rPr>
                <w:rFonts w:ascii="Arial Narrow" w:eastAsiaTheme="majorEastAsia" w:hAnsi="Arial Narrow" w:cstheme="majorBidi"/>
                <w:bCs/>
                <w:sz w:val="20"/>
                <w:szCs w:val="20"/>
              </w:rPr>
            </w:pPr>
            <w:r w:rsidRPr="00F91CC3">
              <w:rPr>
                <w:rFonts w:ascii="Arial Narrow" w:eastAsiaTheme="majorEastAsia" w:hAnsi="Arial Narrow" w:cstheme="majorBidi"/>
                <w:b/>
                <w:sz w:val="20"/>
                <w:szCs w:val="20"/>
              </w:rPr>
              <w:t>Non-F/IVA-responsive</w:t>
            </w:r>
            <w:r w:rsidR="002676CB" w:rsidRPr="00F91CC3">
              <w:rPr>
                <w:rFonts w:ascii="Arial Narrow" w:eastAsiaTheme="majorEastAsia" w:hAnsi="Arial Narrow" w:cstheme="majorBidi"/>
                <w:b/>
                <w:sz w:val="20"/>
                <w:szCs w:val="20"/>
              </w:rPr>
              <w:t xml:space="preserve"> rare</w:t>
            </w:r>
            <w:r w:rsidRPr="00F91CC3">
              <w:rPr>
                <w:rFonts w:ascii="Arial Narrow" w:eastAsiaTheme="majorEastAsia" w:hAnsi="Arial Narrow" w:cstheme="majorBidi"/>
                <w:b/>
                <w:sz w:val="20"/>
                <w:szCs w:val="20"/>
              </w:rPr>
              <w:t xml:space="preserve"> mutations aged 4 months and older</w:t>
            </w:r>
          </w:p>
        </w:tc>
      </w:tr>
      <w:tr w:rsidR="00807566" w:rsidRPr="00F91CC3" w14:paraId="5849C78A" w14:textId="77777777" w:rsidTr="00CE6EE8">
        <w:tc>
          <w:tcPr>
            <w:tcW w:w="5000" w:type="pct"/>
            <w:gridSpan w:val="7"/>
            <w:tcBorders>
              <w:top w:val="single" w:sz="4" w:space="0" w:color="auto"/>
              <w:left w:val="single" w:sz="4" w:space="0" w:color="auto"/>
              <w:bottom w:val="single" w:sz="4" w:space="0" w:color="auto"/>
              <w:right w:val="single" w:sz="4" w:space="0" w:color="auto"/>
            </w:tcBorders>
            <w:vAlign w:val="center"/>
          </w:tcPr>
          <w:p w14:paraId="420BC322" w14:textId="525BE1B5" w:rsidR="00807566" w:rsidRPr="00F91CC3" w:rsidRDefault="00807566" w:rsidP="00CE6EE8">
            <w:pPr>
              <w:keepNext/>
              <w:jc w:val="left"/>
              <w:rPr>
                <w:rFonts w:ascii="Arial Narrow" w:eastAsiaTheme="majorEastAsia" w:hAnsi="Arial Narrow" w:cstheme="majorBidi"/>
                <w:bCs/>
                <w:sz w:val="20"/>
                <w:szCs w:val="20"/>
              </w:rPr>
            </w:pPr>
            <w:r w:rsidRPr="00F91CC3">
              <w:rPr>
                <w:rFonts w:ascii="Arial Narrow" w:eastAsiaTheme="majorEastAsia" w:hAnsi="Arial Narrow" w:cstheme="majorBidi"/>
                <w:b/>
                <w:color w:val="000000"/>
                <w:sz w:val="20"/>
              </w:rPr>
              <w:t>Estimated extent of use</w:t>
            </w:r>
          </w:p>
        </w:tc>
      </w:tr>
      <w:tr w:rsidR="004A1A67" w:rsidRPr="00F91CC3" w14:paraId="08DE7EE6" w14:textId="77777777" w:rsidTr="00CE6EE8">
        <w:tc>
          <w:tcPr>
            <w:tcW w:w="1333" w:type="pct"/>
            <w:tcBorders>
              <w:top w:val="single" w:sz="4" w:space="0" w:color="auto"/>
              <w:left w:val="single" w:sz="4" w:space="0" w:color="auto"/>
              <w:bottom w:val="single" w:sz="4" w:space="0" w:color="auto"/>
              <w:right w:val="single" w:sz="4" w:space="0" w:color="auto"/>
            </w:tcBorders>
            <w:vAlign w:val="center"/>
          </w:tcPr>
          <w:p w14:paraId="49317969" w14:textId="21E9E9CF" w:rsidR="004A1A67" w:rsidRPr="00F91CC3" w:rsidRDefault="004A1A67" w:rsidP="00CE6EE8">
            <w:pPr>
              <w:keepNext/>
              <w:jc w:val="left"/>
              <w:rPr>
                <w:rFonts w:ascii="Arial Narrow" w:eastAsiaTheme="majorEastAsia" w:hAnsi="Arial Narrow" w:cstheme="majorBidi"/>
                <w:bCs/>
                <w:sz w:val="20"/>
              </w:rPr>
            </w:pPr>
            <w:r w:rsidRPr="00F91CC3">
              <w:rPr>
                <w:rFonts w:ascii="Arial Narrow" w:eastAsiaTheme="majorEastAsia" w:hAnsi="Arial Narrow" w:cstheme="majorBidi"/>
                <w:bCs/>
                <w:sz w:val="20"/>
              </w:rPr>
              <w:t xml:space="preserve">Number of patients treated (FTE) </w:t>
            </w:r>
            <w:r w:rsidRPr="00F91CC3">
              <w:rPr>
                <w:rFonts w:ascii="Arial Narrow" w:eastAsiaTheme="majorEastAsia" w:hAnsi="Arial Narrow" w:cstheme="majorBidi"/>
                <w:bCs/>
                <w:sz w:val="20"/>
                <w:vertAlign w:val="superscript"/>
              </w:rPr>
              <w:t>c</w:t>
            </w:r>
          </w:p>
        </w:tc>
        <w:tc>
          <w:tcPr>
            <w:tcW w:w="611" w:type="pct"/>
            <w:tcBorders>
              <w:top w:val="single" w:sz="4" w:space="0" w:color="auto"/>
              <w:left w:val="single" w:sz="4" w:space="0" w:color="auto"/>
              <w:bottom w:val="single" w:sz="4" w:space="0" w:color="auto"/>
              <w:right w:val="single" w:sz="4" w:space="0" w:color="auto"/>
            </w:tcBorders>
          </w:tcPr>
          <w:p w14:paraId="0A0B9C98" w14:textId="37F52CF3" w:rsidR="004A1A67"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sz w:val="20"/>
                <w:szCs w:val="20"/>
              </w:rPr>
              <w:t xml:space="preserve"> </w:t>
            </w:r>
            <w:r w:rsidRPr="004E53B2">
              <w:rPr>
                <w:rFonts w:ascii="Arial Narrow" w:hAnsi="Arial Narrow" w:hint="eastAsia"/>
                <w:color w:val="000000"/>
                <w:w w:val="15"/>
                <w:sz w:val="20"/>
                <w:szCs w:val="20"/>
                <w:shd w:val="solid" w:color="000000" w:fill="000000"/>
                <w:fitText w:val="70" w:id="-1032066293"/>
                <w14:textFill>
                  <w14:solidFill>
                    <w14:srgbClr w14:val="000000">
                      <w14:alpha w14:val="100000"/>
                    </w14:srgbClr>
                  </w14:solidFill>
                </w14:textFill>
              </w:rPr>
              <w:t xml:space="preserve">　</w:t>
            </w:r>
            <w:r w:rsidRPr="004E53B2">
              <w:rPr>
                <w:rFonts w:ascii="Arial Narrow" w:hAnsi="Arial Narrow"/>
                <w:color w:val="000000"/>
                <w:w w:val="15"/>
                <w:sz w:val="20"/>
                <w:szCs w:val="20"/>
                <w:shd w:val="solid" w:color="000000" w:fill="000000"/>
                <w:fitText w:val="70" w:id="-1032066293"/>
                <w14:textFill>
                  <w14:solidFill>
                    <w14:srgbClr w14:val="000000">
                      <w14:alpha w14:val="100000"/>
                    </w14:srgbClr>
                  </w14:solidFill>
                </w14:textFill>
              </w:rPr>
              <w:t>|</w:t>
            </w:r>
            <w:r w:rsidRPr="004E53B2">
              <w:rPr>
                <w:rFonts w:ascii="Arial Narrow" w:hAnsi="Arial Narrow" w:hint="eastAsia"/>
                <w:color w:val="000000"/>
                <w:spacing w:val="4"/>
                <w:w w:val="15"/>
                <w:sz w:val="20"/>
                <w:szCs w:val="20"/>
                <w:shd w:val="solid" w:color="000000" w:fill="000000"/>
                <w:fitText w:val="70" w:id="-1032066293"/>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tcPr>
          <w:p w14:paraId="7A8338D3" w14:textId="5FF28B18" w:rsidR="004A1A67"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sz w:val="20"/>
                <w:szCs w:val="20"/>
              </w:rPr>
              <w:t xml:space="preserve"> </w:t>
            </w:r>
            <w:r w:rsidRPr="004E53B2">
              <w:rPr>
                <w:rFonts w:ascii="Arial Narrow" w:hAnsi="Arial Narrow" w:hint="eastAsia"/>
                <w:color w:val="000000"/>
                <w:w w:val="15"/>
                <w:sz w:val="20"/>
                <w:szCs w:val="20"/>
                <w:shd w:val="solid" w:color="000000" w:fill="000000"/>
                <w:fitText w:val="70" w:id="-1032066292"/>
                <w14:textFill>
                  <w14:solidFill>
                    <w14:srgbClr w14:val="000000">
                      <w14:alpha w14:val="100000"/>
                    </w14:srgbClr>
                  </w14:solidFill>
                </w14:textFill>
              </w:rPr>
              <w:t xml:space="preserve">　</w:t>
            </w:r>
            <w:r w:rsidRPr="004E53B2">
              <w:rPr>
                <w:rFonts w:ascii="Arial Narrow" w:hAnsi="Arial Narrow"/>
                <w:color w:val="000000"/>
                <w:w w:val="15"/>
                <w:sz w:val="20"/>
                <w:szCs w:val="20"/>
                <w:shd w:val="solid" w:color="000000" w:fill="000000"/>
                <w:fitText w:val="70" w:id="-1032066292"/>
                <w14:textFill>
                  <w14:solidFill>
                    <w14:srgbClr w14:val="000000">
                      <w14:alpha w14:val="100000"/>
                    </w14:srgbClr>
                  </w14:solidFill>
                </w14:textFill>
              </w:rPr>
              <w:t>|</w:t>
            </w:r>
            <w:r w:rsidRPr="004E53B2">
              <w:rPr>
                <w:rFonts w:ascii="Arial Narrow" w:hAnsi="Arial Narrow" w:hint="eastAsia"/>
                <w:color w:val="000000"/>
                <w:spacing w:val="4"/>
                <w:w w:val="15"/>
                <w:sz w:val="20"/>
                <w:szCs w:val="20"/>
                <w:shd w:val="solid" w:color="000000" w:fill="000000"/>
                <w:fitText w:val="70" w:id="-1032066292"/>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tcPr>
          <w:p w14:paraId="1727ED0B" w14:textId="6352A8F9" w:rsidR="004A1A67"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sz w:val="20"/>
                <w:szCs w:val="20"/>
              </w:rPr>
              <w:t xml:space="preserve"> </w:t>
            </w:r>
            <w:r w:rsidRPr="004E53B2">
              <w:rPr>
                <w:rFonts w:ascii="Arial Narrow" w:hAnsi="Arial Narrow" w:hint="eastAsia"/>
                <w:color w:val="000000"/>
                <w:w w:val="15"/>
                <w:sz w:val="20"/>
                <w:szCs w:val="20"/>
                <w:shd w:val="solid" w:color="000000" w:fill="000000"/>
                <w:fitText w:val="70" w:id="-1032066291"/>
                <w14:textFill>
                  <w14:solidFill>
                    <w14:srgbClr w14:val="000000">
                      <w14:alpha w14:val="100000"/>
                    </w14:srgbClr>
                  </w14:solidFill>
                </w14:textFill>
              </w:rPr>
              <w:t xml:space="preserve">　</w:t>
            </w:r>
            <w:r w:rsidRPr="004E53B2">
              <w:rPr>
                <w:rFonts w:ascii="Arial Narrow" w:hAnsi="Arial Narrow"/>
                <w:color w:val="000000"/>
                <w:w w:val="15"/>
                <w:sz w:val="20"/>
                <w:szCs w:val="20"/>
                <w:shd w:val="solid" w:color="000000" w:fill="000000"/>
                <w:fitText w:val="70" w:id="-1032066291"/>
                <w14:textFill>
                  <w14:solidFill>
                    <w14:srgbClr w14:val="000000">
                      <w14:alpha w14:val="100000"/>
                    </w14:srgbClr>
                  </w14:solidFill>
                </w14:textFill>
              </w:rPr>
              <w:t>|</w:t>
            </w:r>
            <w:r w:rsidRPr="004E53B2">
              <w:rPr>
                <w:rFonts w:ascii="Arial Narrow" w:hAnsi="Arial Narrow" w:hint="eastAsia"/>
                <w:color w:val="000000"/>
                <w:spacing w:val="4"/>
                <w:w w:val="15"/>
                <w:sz w:val="20"/>
                <w:szCs w:val="20"/>
                <w:shd w:val="solid" w:color="000000" w:fill="000000"/>
                <w:fitText w:val="70" w:id="-1032066291"/>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tcPr>
          <w:p w14:paraId="71BD722B" w14:textId="59C338B1" w:rsidR="004A1A67"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sz w:val="20"/>
                <w:szCs w:val="20"/>
              </w:rPr>
              <w:t xml:space="preserve"> </w:t>
            </w:r>
            <w:r w:rsidRPr="004E53B2">
              <w:rPr>
                <w:rFonts w:ascii="Arial Narrow" w:hAnsi="Arial Narrow" w:hint="eastAsia"/>
                <w:color w:val="000000"/>
                <w:w w:val="15"/>
                <w:sz w:val="20"/>
                <w:szCs w:val="20"/>
                <w:shd w:val="solid" w:color="000000" w:fill="000000"/>
                <w:fitText w:val="70" w:id="-1032066290"/>
                <w14:textFill>
                  <w14:solidFill>
                    <w14:srgbClr w14:val="000000">
                      <w14:alpha w14:val="100000"/>
                    </w14:srgbClr>
                  </w14:solidFill>
                </w14:textFill>
              </w:rPr>
              <w:t xml:space="preserve">　</w:t>
            </w:r>
            <w:r w:rsidRPr="004E53B2">
              <w:rPr>
                <w:rFonts w:ascii="Arial Narrow" w:hAnsi="Arial Narrow"/>
                <w:color w:val="000000"/>
                <w:w w:val="15"/>
                <w:sz w:val="20"/>
                <w:szCs w:val="20"/>
                <w:shd w:val="solid" w:color="000000" w:fill="000000"/>
                <w:fitText w:val="70" w:id="-1032066290"/>
                <w14:textFill>
                  <w14:solidFill>
                    <w14:srgbClr w14:val="000000">
                      <w14:alpha w14:val="100000"/>
                    </w14:srgbClr>
                  </w14:solidFill>
                </w14:textFill>
              </w:rPr>
              <w:t>|</w:t>
            </w:r>
            <w:r w:rsidRPr="004E53B2">
              <w:rPr>
                <w:rFonts w:ascii="Arial Narrow" w:hAnsi="Arial Narrow" w:hint="eastAsia"/>
                <w:color w:val="000000"/>
                <w:spacing w:val="4"/>
                <w:w w:val="15"/>
                <w:sz w:val="20"/>
                <w:szCs w:val="20"/>
                <w:shd w:val="solid" w:color="000000" w:fill="000000"/>
                <w:fitText w:val="70" w:id="-1032066290"/>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tcPr>
          <w:p w14:paraId="0BD1DE26" w14:textId="2BF172C0" w:rsidR="004A1A67"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sz w:val="20"/>
                <w:szCs w:val="20"/>
              </w:rPr>
              <w:t xml:space="preserve"> </w:t>
            </w:r>
            <w:r w:rsidRPr="004E53B2">
              <w:rPr>
                <w:rFonts w:ascii="Arial Narrow" w:hAnsi="Arial Narrow" w:hint="eastAsia"/>
                <w:color w:val="000000"/>
                <w:w w:val="15"/>
                <w:sz w:val="20"/>
                <w:szCs w:val="20"/>
                <w:shd w:val="solid" w:color="000000" w:fill="000000"/>
                <w:fitText w:val="70" w:id="-1032066289"/>
                <w14:textFill>
                  <w14:solidFill>
                    <w14:srgbClr w14:val="000000">
                      <w14:alpha w14:val="100000"/>
                    </w14:srgbClr>
                  </w14:solidFill>
                </w14:textFill>
              </w:rPr>
              <w:t xml:space="preserve">　</w:t>
            </w:r>
            <w:r w:rsidRPr="004E53B2">
              <w:rPr>
                <w:rFonts w:ascii="Arial Narrow" w:hAnsi="Arial Narrow"/>
                <w:color w:val="000000"/>
                <w:w w:val="15"/>
                <w:sz w:val="20"/>
                <w:szCs w:val="20"/>
                <w:shd w:val="solid" w:color="000000" w:fill="000000"/>
                <w:fitText w:val="70" w:id="-1032066289"/>
                <w14:textFill>
                  <w14:solidFill>
                    <w14:srgbClr w14:val="000000">
                      <w14:alpha w14:val="100000"/>
                    </w14:srgbClr>
                  </w14:solidFill>
                </w14:textFill>
              </w:rPr>
              <w:t>|</w:t>
            </w:r>
            <w:r w:rsidRPr="004E53B2">
              <w:rPr>
                <w:rFonts w:ascii="Arial Narrow" w:hAnsi="Arial Narrow" w:hint="eastAsia"/>
                <w:color w:val="000000"/>
                <w:spacing w:val="4"/>
                <w:w w:val="15"/>
                <w:sz w:val="20"/>
                <w:szCs w:val="20"/>
                <w:shd w:val="solid" w:color="000000" w:fill="000000"/>
                <w:fitText w:val="70" w:id="-1032066289"/>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2" w:type="pct"/>
            <w:tcBorders>
              <w:top w:val="single" w:sz="4" w:space="0" w:color="auto"/>
              <w:left w:val="single" w:sz="4" w:space="0" w:color="auto"/>
              <w:bottom w:val="single" w:sz="4" w:space="0" w:color="auto"/>
              <w:right w:val="single" w:sz="4" w:space="0" w:color="auto"/>
            </w:tcBorders>
          </w:tcPr>
          <w:p w14:paraId="0D441B78" w14:textId="146DC913" w:rsidR="004A1A67"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sz w:val="20"/>
                <w:szCs w:val="20"/>
              </w:rPr>
              <w:t xml:space="preserve"> </w:t>
            </w:r>
            <w:r w:rsidRPr="004E53B2">
              <w:rPr>
                <w:rFonts w:ascii="Arial Narrow" w:hAnsi="Arial Narrow" w:hint="eastAsia"/>
                <w:color w:val="000000"/>
                <w:w w:val="18"/>
                <w:sz w:val="20"/>
                <w:szCs w:val="20"/>
                <w:shd w:val="solid" w:color="000000" w:fill="000000"/>
                <w:fitText w:val="80" w:id="-1032066288"/>
                <w14:textFill>
                  <w14:solidFill>
                    <w14:srgbClr w14:val="000000">
                      <w14:alpha w14:val="100000"/>
                    </w14:srgbClr>
                  </w14:solidFill>
                </w14:textFill>
              </w:rPr>
              <w:t xml:space="preserve">　</w:t>
            </w:r>
            <w:r w:rsidRPr="004E53B2">
              <w:rPr>
                <w:rFonts w:ascii="Arial Narrow" w:hAnsi="Arial Narrow"/>
                <w:color w:val="000000"/>
                <w:w w:val="18"/>
                <w:sz w:val="20"/>
                <w:szCs w:val="20"/>
                <w:shd w:val="solid" w:color="000000" w:fill="000000"/>
                <w:fitText w:val="80" w:id="-1032066288"/>
                <w14:textFill>
                  <w14:solidFill>
                    <w14:srgbClr w14:val="000000">
                      <w14:alpha w14:val="100000"/>
                    </w14:srgbClr>
                  </w14:solidFill>
                </w14:textFill>
              </w:rPr>
              <w:t>|</w:t>
            </w:r>
            <w:r w:rsidRPr="004E53B2">
              <w:rPr>
                <w:rFonts w:ascii="Arial Narrow" w:hAnsi="Arial Narrow" w:hint="eastAsia"/>
                <w:color w:val="000000"/>
                <w:w w:val="18"/>
                <w:sz w:val="20"/>
                <w:szCs w:val="20"/>
                <w:shd w:val="solid" w:color="000000" w:fill="000000"/>
                <w:fitText w:val="80" w:id="-1032066288"/>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r>
      <w:tr w:rsidR="00807566" w:rsidRPr="00F91CC3" w14:paraId="2941FF1D" w14:textId="77777777" w:rsidTr="006F24B9">
        <w:tc>
          <w:tcPr>
            <w:tcW w:w="1333" w:type="pct"/>
            <w:tcBorders>
              <w:top w:val="single" w:sz="4" w:space="0" w:color="auto"/>
              <w:left w:val="single" w:sz="4" w:space="0" w:color="auto"/>
              <w:bottom w:val="single" w:sz="4" w:space="0" w:color="auto"/>
              <w:right w:val="single" w:sz="4" w:space="0" w:color="auto"/>
            </w:tcBorders>
            <w:vAlign w:val="center"/>
          </w:tcPr>
          <w:p w14:paraId="69967AF6" w14:textId="769335D3" w:rsidR="00807566" w:rsidRPr="00F91CC3" w:rsidRDefault="00807566" w:rsidP="00CE6EE8">
            <w:pPr>
              <w:keepNext/>
              <w:jc w:val="left"/>
              <w:rPr>
                <w:rFonts w:ascii="Arial Narrow" w:eastAsiaTheme="majorEastAsia" w:hAnsi="Arial Narrow" w:cstheme="majorBidi"/>
                <w:bCs/>
                <w:sz w:val="20"/>
                <w:vertAlign w:val="superscript"/>
              </w:rPr>
            </w:pPr>
            <w:r w:rsidRPr="00F91CC3">
              <w:rPr>
                <w:rFonts w:ascii="Arial Narrow" w:eastAsiaTheme="majorEastAsia" w:hAnsi="Arial Narrow" w:cstheme="majorBidi"/>
                <w:bCs/>
                <w:sz w:val="20"/>
              </w:rPr>
              <w:t xml:space="preserve">Number of scripts dispensed </w:t>
            </w:r>
            <w:r w:rsidR="00EA2BA1" w:rsidRPr="00F91CC3">
              <w:rPr>
                <w:rFonts w:ascii="Arial Narrow" w:eastAsiaTheme="majorEastAsia" w:hAnsi="Arial Narrow" w:cstheme="majorBidi"/>
                <w:bCs/>
                <w:sz w:val="20"/>
                <w:vertAlign w:val="superscript"/>
              </w:rPr>
              <w:t>e</w:t>
            </w:r>
          </w:p>
        </w:tc>
        <w:tc>
          <w:tcPr>
            <w:tcW w:w="611" w:type="pct"/>
            <w:tcBorders>
              <w:top w:val="single" w:sz="4" w:space="0" w:color="auto"/>
              <w:left w:val="single" w:sz="4" w:space="0" w:color="auto"/>
              <w:bottom w:val="single" w:sz="4" w:space="0" w:color="auto"/>
              <w:right w:val="single" w:sz="4" w:space="0" w:color="auto"/>
            </w:tcBorders>
            <w:vAlign w:val="bottom"/>
          </w:tcPr>
          <w:p w14:paraId="4CF81917" w14:textId="77445885" w:rsidR="00807566"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cs="Calibri"/>
                <w:color w:val="000000"/>
                <w:sz w:val="20"/>
                <w:szCs w:val="20"/>
              </w:rPr>
              <w:t xml:space="preserve"> </w:t>
            </w:r>
            <w:r w:rsidRPr="004E53B2">
              <w:rPr>
                <w:rFonts w:ascii="Arial Narrow" w:hAnsi="Arial Narrow" w:cs="Calibri" w:hint="eastAsia"/>
                <w:color w:val="000000"/>
                <w:w w:val="15"/>
                <w:sz w:val="20"/>
                <w:szCs w:val="20"/>
                <w:shd w:val="solid" w:color="000000" w:fill="000000"/>
                <w:fitText w:val="70" w:id="-1032066304"/>
                <w14:textFill>
                  <w14:solidFill>
                    <w14:srgbClr w14:val="000000">
                      <w14:alpha w14:val="100000"/>
                    </w14:srgbClr>
                  </w14:solidFill>
                </w14:textFill>
              </w:rPr>
              <w:t xml:space="preserve">　</w:t>
            </w:r>
            <w:r w:rsidRPr="004E53B2">
              <w:rPr>
                <w:rFonts w:ascii="Arial Narrow" w:hAnsi="Arial Narrow" w:cs="Calibri"/>
                <w:color w:val="000000"/>
                <w:w w:val="15"/>
                <w:sz w:val="20"/>
                <w:szCs w:val="20"/>
                <w:shd w:val="solid" w:color="000000" w:fill="000000"/>
                <w:fitText w:val="70" w:id="-1032066304"/>
                <w14:textFill>
                  <w14:solidFill>
                    <w14:srgbClr w14:val="000000">
                      <w14:alpha w14:val="100000"/>
                    </w14:srgbClr>
                  </w14:solidFill>
                </w14:textFill>
              </w:rPr>
              <w:t>|</w:t>
            </w:r>
            <w:r w:rsidRPr="004E53B2">
              <w:rPr>
                <w:rFonts w:ascii="Arial Narrow" w:hAnsi="Arial Narrow" w:cs="Calibri" w:hint="eastAsia"/>
                <w:color w:val="000000"/>
                <w:spacing w:val="4"/>
                <w:w w:val="15"/>
                <w:sz w:val="20"/>
                <w:szCs w:val="20"/>
                <w:shd w:val="solid" w:color="000000" w:fill="000000"/>
                <w:fitText w:val="70" w:id="-1032066304"/>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vAlign w:val="bottom"/>
          </w:tcPr>
          <w:p w14:paraId="64E76C82" w14:textId="35E21E6A" w:rsidR="00807566"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cs="Calibri"/>
                <w:color w:val="000000"/>
                <w:sz w:val="20"/>
                <w:szCs w:val="20"/>
              </w:rPr>
              <w:t xml:space="preserve"> </w:t>
            </w:r>
            <w:r w:rsidRPr="004E53B2">
              <w:rPr>
                <w:rFonts w:ascii="Arial Narrow" w:hAnsi="Arial Narrow" w:cs="Calibri" w:hint="eastAsia"/>
                <w:color w:val="000000"/>
                <w:w w:val="15"/>
                <w:sz w:val="20"/>
                <w:szCs w:val="20"/>
                <w:shd w:val="solid" w:color="000000" w:fill="000000"/>
                <w:fitText w:val="70" w:id="-1032066303"/>
                <w14:textFill>
                  <w14:solidFill>
                    <w14:srgbClr w14:val="000000">
                      <w14:alpha w14:val="100000"/>
                    </w14:srgbClr>
                  </w14:solidFill>
                </w14:textFill>
              </w:rPr>
              <w:t xml:space="preserve">　</w:t>
            </w:r>
            <w:r w:rsidRPr="004E53B2">
              <w:rPr>
                <w:rFonts w:ascii="Arial Narrow" w:hAnsi="Arial Narrow" w:cs="Calibri"/>
                <w:color w:val="000000"/>
                <w:w w:val="15"/>
                <w:sz w:val="20"/>
                <w:szCs w:val="20"/>
                <w:shd w:val="solid" w:color="000000" w:fill="000000"/>
                <w:fitText w:val="70" w:id="-1032066303"/>
                <w14:textFill>
                  <w14:solidFill>
                    <w14:srgbClr w14:val="000000">
                      <w14:alpha w14:val="100000"/>
                    </w14:srgbClr>
                  </w14:solidFill>
                </w14:textFill>
              </w:rPr>
              <w:t>|</w:t>
            </w:r>
            <w:r w:rsidRPr="004E53B2">
              <w:rPr>
                <w:rFonts w:ascii="Arial Narrow" w:hAnsi="Arial Narrow" w:cs="Calibri" w:hint="eastAsia"/>
                <w:color w:val="000000"/>
                <w:spacing w:val="4"/>
                <w:w w:val="15"/>
                <w:sz w:val="20"/>
                <w:szCs w:val="20"/>
                <w:shd w:val="solid" w:color="000000" w:fill="000000"/>
                <w:fitText w:val="70" w:id="-1032066303"/>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vAlign w:val="bottom"/>
          </w:tcPr>
          <w:p w14:paraId="1D3A994F" w14:textId="12D2CFA0" w:rsidR="00807566"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cs="Calibri"/>
                <w:color w:val="000000"/>
                <w:sz w:val="20"/>
                <w:szCs w:val="20"/>
              </w:rPr>
              <w:t xml:space="preserve"> </w:t>
            </w:r>
            <w:r w:rsidRPr="004E53B2">
              <w:rPr>
                <w:rFonts w:ascii="Arial Narrow" w:hAnsi="Arial Narrow" w:cs="Calibri" w:hint="eastAsia"/>
                <w:color w:val="000000"/>
                <w:w w:val="15"/>
                <w:sz w:val="20"/>
                <w:szCs w:val="20"/>
                <w:shd w:val="solid" w:color="000000" w:fill="000000"/>
                <w:fitText w:val="70" w:id="-1032066302"/>
                <w14:textFill>
                  <w14:solidFill>
                    <w14:srgbClr w14:val="000000">
                      <w14:alpha w14:val="100000"/>
                    </w14:srgbClr>
                  </w14:solidFill>
                </w14:textFill>
              </w:rPr>
              <w:t xml:space="preserve">　</w:t>
            </w:r>
            <w:r w:rsidRPr="004E53B2">
              <w:rPr>
                <w:rFonts w:ascii="Arial Narrow" w:hAnsi="Arial Narrow" w:cs="Calibri"/>
                <w:color w:val="000000"/>
                <w:w w:val="15"/>
                <w:sz w:val="20"/>
                <w:szCs w:val="20"/>
                <w:shd w:val="solid" w:color="000000" w:fill="000000"/>
                <w:fitText w:val="70" w:id="-1032066302"/>
                <w14:textFill>
                  <w14:solidFill>
                    <w14:srgbClr w14:val="000000">
                      <w14:alpha w14:val="100000"/>
                    </w14:srgbClr>
                  </w14:solidFill>
                </w14:textFill>
              </w:rPr>
              <w:t>|</w:t>
            </w:r>
            <w:r w:rsidRPr="004E53B2">
              <w:rPr>
                <w:rFonts w:ascii="Arial Narrow" w:hAnsi="Arial Narrow" w:cs="Calibri" w:hint="eastAsia"/>
                <w:color w:val="000000"/>
                <w:spacing w:val="4"/>
                <w:w w:val="15"/>
                <w:sz w:val="20"/>
                <w:szCs w:val="20"/>
                <w:shd w:val="solid" w:color="000000" w:fill="000000"/>
                <w:fitText w:val="70" w:id="-1032066302"/>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vAlign w:val="bottom"/>
          </w:tcPr>
          <w:p w14:paraId="6C183C9F" w14:textId="524C6FA1" w:rsidR="00807566"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cs="Calibri"/>
                <w:color w:val="000000"/>
                <w:sz w:val="20"/>
                <w:szCs w:val="20"/>
              </w:rPr>
              <w:t xml:space="preserve"> </w:t>
            </w:r>
            <w:r w:rsidRPr="004E53B2">
              <w:rPr>
                <w:rFonts w:ascii="Arial Narrow" w:hAnsi="Arial Narrow" w:cs="Calibri" w:hint="eastAsia"/>
                <w:color w:val="000000"/>
                <w:w w:val="15"/>
                <w:sz w:val="20"/>
                <w:szCs w:val="20"/>
                <w:shd w:val="solid" w:color="000000" w:fill="000000"/>
                <w:fitText w:val="70" w:id="-1032066301"/>
                <w14:textFill>
                  <w14:solidFill>
                    <w14:srgbClr w14:val="000000">
                      <w14:alpha w14:val="100000"/>
                    </w14:srgbClr>
                  </w14:solidFill>
                </w14:textFill>
              </w:rPr>
              <w:t xml:space="preserve">　</w:t>
            </w:r>
            <w:r w:rsidRPr="004E53B2">
              <w:rPr>
                <w:rFonts w:ascii="Arial Narrow" w:hAnsi="Arial Narrow" w:cs="Calibri"/>
                <w:color w:val="000000"/>
                <w:w w:val="15"/>
                <w:sz w:val="20"/>
                <w:szCs w:val="20"/>
                <w:shd w:val="solid" w:color="000000" w:fill="000000"/>
                <w:fitText w:val="70" w:id="-1032066301"/>
                <w14:textFill>
                  <w14:solidFill>
                    <w14:srgbClr w14:val="000000">
                      <w14:alpha w14:val="100000"/>
                    </w14:srgbClr>
                  </w14:solidFill>
                </w14:textFill>
              </w:rPr>
              <w:t>|</w:t>
            </w:r>
            <w:r w:rsidRPr="004E53B2">
              <w:rPr>
                <w:rFonts w:ascii="Arial Narrow" w:hAnsi="Arial Narrow" w:cs="Calibri" w:hint="eastAsia"/>
                <w:color w:val="000000"/>
                <w:spacing w:val="4"/>
                <w:w w:val="15"/>
                <w:sz w:val="20"/>
                <w:szCs w:val="20"/>
                <w:shd w:val="solid" w:color="000000" w:fill="000000"/>
                <w:fitText w:val="70" w:id="-1032066301"/>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1" w:type="pct"/>
            <w:tcBorders>
              <w:top w:val="single" w:sz="4" w:space="0" w:color="auto"/>
              <w:left w:val="single" w:sz="4" w:space="0" w:color="auto"/>
              <w:bottom w:val="single" w:sz="4" w:space="0" w:color="auto"/>
              <w:right w:val="single" w:sz="4" w:space="0" w:color="auto"/>
            </w:tcBorders>
            <w:vAlign w:val="bottom"/>
          </w:tcPr>
          <w:p w14:paraId="78DA8031" w14:textId="2AC975F7" w:rsidR="00807566"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cs="Calibri"/>
                <w:color w:val="000000"/>
                <w:sz w:val="20"/>
                <w:szCs w:val="20"/>
              </w:rPr>
              <w:t xml:space="preserve"> </w:t>
            </w:r>
            <w:r w:rsidRPr="004E53B2">
              <w:rPr>
                <w:rFonts w:ascii="Arial Narrow" w:hAnsi="Arial Narrow" w:cs="Calibri" w:hint="eastAsia"/>
                <w:color w:val="000000"/>
                <w:w w:val="15"/>
                <w:sz w:val="20"/>
                <w:szCs w:val="20"/>
                <w:shd w:val="solid" w:color="000000" w:fill="000000"/>
                <w:fitText w:val="70" w:id="-1032066300"/>
                <w14:textFill>
                  <w14:solidFill>
                    <w14:srgbClr w14:val="000000">
                      <w14:alpha w14:val="100000"/>
                    </w14:srgbClr>
                  </w14:solidFill>
                </w14:textFill>
              </w:rPr>
              <w:t xml:space="preserve">　</w:t>
            </w:r>
            <w:r w:rsidRPr="004E53B2">
              <w:rPr>
                <w:rFonts w:ascii="Arial Narrow" w:hAnsi="Arial Narrow" w:cs="Calibri"/>
                <w:color w:val="000000"/>
                <w:w w:val="15"/>
                <w:sz w:val="20"/>
                <w:szCs w:val="20"/>
                <w:shd w:val="solid" w:color="000000" w:fill="000000"/>
                <w:fitText w:val="70" w:id="-1032066300"/>
                <w14:textFill>
                  <w14:solidFill>
                    <w14:srgbClr w14:val="000000">
                      <w14:alpha w14:val="100000"/>
                    </w14:srgbClr>
                  </w14:solidFill>
                </w14:textFill>
              </w:rPr>
              <w:t>|</w:t>
            </w:r>
            <w:r w:rsidRPr="004E53B2">
              <w:rPr>
                <w:rFonts w:ascii="Arial Narrow" w:hAnsi="Arial Narrow" w:cs="Calibri" w:hint="eastAsia"/>
                <w:color w:val="000000"/>
                <w:spacing w:val="4"/>
                <w:w w:val="15"/>
                <w:sz w:val="20"/>
                <w:szCs w:val="20"/>
                <w:shd w:val="solid" w:color="000000" w:fill="000000"/>
                <w:fitText w:val="70" w:id="-1032066300"/>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c>
          <w:tcPr>
            <w:tcW w:w="612" w:type="pct"/>
            <w:tcBorders>
              <w:top w:val="single" w:sz="4" w:space="0" w:color="auto"/>
              <w:left w:val="single" w:sz="4" w:space="0" w:color="auto"/>
              <w:bottom w:val="single" w:sz="4" w:space="0" w:color="auto"/>
              <w:right w:val="single" w:sz="4" w:space="0" w:color="auto"/>
            </w:tcBorders>
            <w:vAlign w:val="bottom"/>
          </w:tcPr>
          <w:p w14:paraId="7174CF4F" w14:textId="10DA9216" w:rsidR="00807566" w:rsidRPr="00EA49F0" w:rsidRDefault="004E53B2" w:rsidP="00CE6EE8">
            <w:pPr>
              <w:keepNext/>
              <w:jc w:val="center"/>
              <w:rPr>
                <w:rFonts w:ascii="Arial Narrow" w:eastAsiaTheme="majorEastAsia" w:hAnsi="Arial Narrow" w:cstheme="majorBidi"/>
                <w:bCs/>
                <w:sz w:val="20"/>
                <w:szCs w:val="20"/>
                <w:highlight w:val="darkGray"/>
              </w:rPr>
            </w:pPr>
            <w:r>
              <w:rPr>
                <w:rFonts w:ascii="Arial Narrow" w:hAnsi="Arial Narrow" w:cs="Calibri"/>
                <w:color w:val="000000"/>
                <w:sz w:val="20"/>
                <w:szCs w:val="20"/>
              </w:rPr>
              <w:t xml:space="preserve"> </w:t>
            </w:r>
            <w:r w:rsidRPr="004E53B2">
              <w:rPr>
                <w:rFonts w:ascii="Arial Narrow" w:hAnsi="Arial Narrow" w:cs="Calibri" w:hint="eastAsia"/>
                <w:color w:val="000000"/>
                <w:w w:val="18"/>
                <w:sz w:val="20"/>
                <w:szCs w:val="20"/>
                <w:shd w:val="solid" w:color="000000" w:fill="000000"/>
                <w:fitText w:val="80" w:id="-1032066299"/>
                <w14:textFill>
                  <w14:solidFill>
                    <w14:srgbClr w14:val="000000">
                      <w14:alpha w14:val="100000"/>
                    </w14:srgbClr>
                  </w14:solidFill>
                </w14:textFill>
              </w:rPr>
              <w:t xml:space="preserve">　</w:t>
            </w:r>
            <w:r w:rsidRPr="004E53B2">
              <w:rPr>
                <w:rFonts w:ascii="Arial Narrow" w:hAnsi="Arial Narrow" w:cs="Calibri"/>
                <w:color w:val="000000"/>
                <w:w w:val="18"/>
                <w:sz w:val="20"/>
                <w:szCs w:val="20"/>
                <w:shd w:val="solid" w:color="000000" w:fill="000000"/>
                <w:fitText w:val="80" w:id="-1032066299"/>
                <w14:textFill>
                  <w14:solidFill>
                    <w14:srgbClr w14:val="000000">
                      <w14:alpha w14:val="100000"/>
                    </w14:srgbClr>
                  </w14:solidFill>
                </w14:textFill>
              </w:rPr>
              <w:t>|</w:t>
            </w:r>
            <w:r w:rsidRPr="004E53B2">
              <w:rPr>
                <w:rFonts w:ascii="Arial Narrow" w:hAnsi="Arial Narrow" w:cs="Calibri" w:hint="eastAsia"/>
                <w:color w:val="000000"/>
                <w:w w:val="18"/>
                <w:sz w:val="20"/>
                <w:szCs w:val="20"/>
                <w:shd w:val="solid" w:color="000000" w:fill="000000"/>
                <w:fitText w:val="80" w:id="-1032066299"/>
                <w14:textFill>
                  <w14:solidFill>
                    <w14:srgbClr w14:val="000000">
                      <w14:alpha w14:val="100000"/>
                    </w14:srgbClr>
                  </w14:solidFill>
                </w14:textFill>
              </w:rPr>
              <w:t xml:space="preserve">　</w:t>
            </w:r>
            <w:r w:rsidR="00EA49F0" w:rsidRPr="00EA49F0">
              <w:rPr>
                <w:rFonts w:ascii="Arial Narrow" w:eastAsiaTheme="majorEastAsia" w:hAnsi="Arial Narrow" w:cstheme="majorBidi"/>
                <w:bCs/>
                <w:sz w:val="20"/>
                <w:szCs w:val="20"/>
                <w:vertAlign w:val="superscript"/>
              </w:rPr>
              <w:t>1</w:t>
            </w:r>
          </w:p>
        </w:tc>
      </w:tr>
      <w:tr w:rsidR="00807566" w:rsidRPr="00F91CC3" w14:paraId="6CBD5501" w14:textId="77777777" w:rsidTr="00CE6EE8">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65F46B18" w14:textId="77777777" w:rsidR="00807566" w:rsidRPr="00F91CC3" w:rsidRDefault="00807566" w:rsidP="00CE6EE8">
            <w:pPr>
              <w:keepNext/>
              <w:jc w:val="left"/>
              <w:rPr>
                <w:rFonts w:ascii="Arial Narrow" w:eastAsiaTheme="majorEastAsia" w:hAnsi="Arial Narrow" w:cstheme="majorBidi"/>
                <w:b/>
                <w:sz w:val="20"/>
              </w:rPr>
            </w:pPr>
            <w:r w:rsidRPr="00F91CC3">
              <w:rPr>
                <w:rFonts w:ascii="Arial Narrow" w:eastAsiaTheme="majorEastAsia" w:hAnsi="Arial Narrow" w:cstheme="majorBidi"/>
                <w:b/>
                <w:sz w:val="20"/>
              </w:rPr>
              <w:lastRenderedPageBreak/>
              <w:t>Estimated financial implications of ivacaftor</w:t>
            </w:r>
          </w:p>
        </w:tc>
      </w:tr>
      <w:tr w:rsidR="00CE6EE8" w:rsidRPr="00F91CC3" w14:paraId="2795B0CC" w14:textId="77777777" w:rsidTr="006F24B9">
        <w:tc>
          <w:tcPr>
            <w:tcW w:w="1333" w:type="pct"/>
            <w:tcBorders>
              <w:top w:val="single" w:sz="4" w:space="0" w:color="auto"/>
              <w:left w:val="single" w:sz="4" w:space="0" w:color="auto"/>
              <w:bottom w:val="single" w:sz="4" w:space="0" w:color="auto"/>
              <w:right w:val="single" w:sz="4" w:space="0" w:color="auto"/>
            </w:tcBorders>
            <w:vAlign w:val="center"/>
            <w:hideMark/>
          </w:tcPr>
          <w:p w14:paraId="5EA68692" w14:textId="5E734F63" w:rsidR="00CE6EE8" w:rsidRPr="00F91CC3" w:rsidRDefault="00CE6EE8" w:rsidP="00CE6EE8">
            <w:pPr>
              <w:keepNext/>
              <w:jc w:val="left"/>
              <w:rPr>
                <w:rFonts w:ascii="Arial Narrow" w:eastAsiaTheme="majorEastAsia" w:hAnsi="Arial Narrow" w:cstheme="majorBidi"/>
                <w:bCs/>
                <w:sz w:val="19"/>
                <w:szCs w:val="19"/>
              </w:rPr>
            </w:pPr>
            <w:r w:rsidRPr="00F91CC3">
              <w:rPr>
                <w:rFonts w:ascii="Arial Narrow" w:eastAsiaTheme="majorEastAsia" w:hAnsi="Arial Narrow" w:cstheme="majorBidi"/>
                <w:bCs/>
                <w:sz w:val="19"/>
                <w:szCs w:val="19"/>
              </w:rPr>
              <w:t xml:space="preserve">Cost to PBS/RPBS less </w:t>
            </w:r>
            <w:r w:rsidR="00D07430" w:rsidRPr="00F91CC3">
              <w:rPr>
                <w:rFonts w:ascii="Arial Narrow" w:eastAsiaTheme="majorEastAsia" w:hAnsi="Arial Narrow" w:cstheme="majorBidi"/>
                <w:bCs/>
                <w:sz w:val="19"/>
                <w:szCs w:val="19"/>
              </w:rPr>
              <w:t>co-payments</w:t>
            </w:r>
          </w:p>
          <w:p w14:paraId="3672E6AC" w14:textId="4B187562" w:rsidR="00CE6EE8" w:rsidRPr="00F91CC3" w:rsidRDefault="00CE6EE8" w:rsidP="00CE6EE8">
            <w:pPr>
              <w:keepNext/>
              <w:jc w:val="left"/>
              <w:rPr>
                <w:rFonts w:ascii="Arial Narrow" w:eastAsiaTheme="majorEastAsia" w:hAnsi="Arial Narrow" w:cstheme="majorBidi"/>
                <w:bCs/>
                <w:sz w:val="19"/>
                <w:szCs w:val="19"/>
              </w:rPr>
            </w:pPr>
            <w:r w:rsidRPr="00F91CC3">
              <w:rPr>
                <w:rFonts w:ascii="Arial Narrow" w:eastAsiaTheme="majorEastAsia" w:hAnsi="Arial Narrow" w:cstheme="majorBidi"/>
                <w:bCs/>
                <w:sz w:val="19"/>
                <w:szCs w:val="19"/>
              </w:rPr>
              <w:t>(% net cost to PBS/RPBS)</w:t>
            </w:r>
          </w:p>
        </w:tc>
        <w:tc>
          <w:tcPr>
            <w:tcW w:w="611" w:type="pct"/>
            <w:tcBorders>
              <w:top w:val="single" w:sz="4" w:space="0" w:color="auto"/>
              <w:left w:val="single" w:sz="4" w:space="0" w:color="auto"/>
              <w:bottom w:val="single" w:sz="4" w:space="0" w:color="auto"/>
              <w:right w:val="single" w:sz="4" w:space="0" w:color="auto"/>
            </w:tcBorders>
            <w:vAlign w:val="center"/>
            <w:hideMark/>
          </w:tcPr>
          <w:p w14:paraId="310CC303" w14:textId="7BEB1C3F" w:rsidR="00CE6EE8" w:rsidRPr="00F91CC3" w:rsidRDefault="00CE6EE8" w:rsidP="00CE6EE8">
            <w:pPr>
              <w:keepNext/>
              <w:jc w:val="center"/>
              <w:rPr>
                <w:rFonts w:ascii="Arial Narrow" w:hAnsi="Arial Narrow" w:cs="Calibri"/>
                <w:color w:val="000000"/>
                <w:sz w:val="20"/>
                <w:szCs w:val="20"/>
              </w:rPr>
            </w:pPr>
            <w:r w:rsidRPr="00F91CC3">
              <w:rPr>
                <w:rFonts w:ascii="Arial Narrow" w:hAnsi="Arial Narrow" w:cs="Calibri"/>
                <w:color w:val="000000"/>
                <w:sz w:val="20"/>
                <w:szCs w:val="20"/>
              </w:rPr>
              <w:t>$</w:t>
            </w:r>
            <w:r w:rsidR="004E53B2">
              <w:rPr>
                <w:rFonts w:ascii="Arial Narrow" w:hAnsi="Arial Narrow" w:cs="Calibri"/>
                <w:color w:val="000000"/>
                <w:sz w:val="20"/>
                <w:szCs w:val="20"/>
              </w:rPr>
              <w:t xml:space="preserve"> </w:t>
            </w:r>
            <w:r w:rsidR="004E53B2" w:rsidRPr="004E53B2">
              <w:rPr>
                <w:rFonts w:ascii="Arial Narrow" w:hAnsi="Arial Narrow" w:cs="Calibri" w:hint="eastAsia"/>
                <w:color w:val="000000"/>
                <w:w w:val="27"/>
                <w:sz w:val="20"/>
                <w:szCs w:val="20"/>
                <w:shd w:val="solid" w:color="000000" w:fill="000000"/>
                <w:fitText w:val="120" w:id="-1032066298"/>
                <w14:textFill>
                  <w14:solidFill>
                    <w14:srgbClr w14:val="000000">
                      <w14:alpha w14:val="100000"/>
                    </w14:srgbClr>
                  </w14:solidFill>
                </w14:textFill>
              </w:rPr>
              <w:t xml:space="preserve">　</w:t>
            </w:r>
            <w:r w:rsidR="004E53B2" w:rsidRPr="004E53B2">
              <w:rPr>
                <w:rFonts w:ascii="Arial Narrow" w:hAnsi="Arial Narrow" w:cs="Calibri"/>
                <w:color w:val="000000"/>
                <w:w w:val="27"/>
                <w:sz w:val="20"/>
                <w:szCs w:val="20"/>
                <w:shd w:val="solid" w:color="000000" w:fill="000000"/>
                <w:fitText w:val="120" w:id="-1032066298"/>
                <w14:textFill>
                  <w14:solidFill>
                    <w14:srgbClr w14:val="000000">
                      <w14:alpha w14:val="100000"/>
                    </w14:srgbClr>
                  </w14:solidFill>
                </w14:textFill>
              </w:rPr>
              <w:t>|</w:t>
            </w:r>
            <w:r w:rsidR="004E53B2" w:rsidRPr="004E53B2">
              <w:rPr>
                <w:rFonts w:ascii="Arial Narrow" w:hAnsi="Arial Narrow" w:cs="Calibri" w:hint="eastAsia"/>
                <w:color w:val="000000"/>
                <w:spacing w:val="2"/>
                <w:w w:val="27"/>
                <w:sz w:val="20"/>
                <w:szCs w:val="20"/>
                <w:shd w:val="solid" w:color="000000" w:fill="000000"/>
                <w:fitText w:val="120" w:id="-1032066298"/>
                <w14:textFill>
                  <w14:solidFill>
                    <w14:srgbClr w14:val="000000">
                      <w14:alpha w14:val="100000"/>
                    </w14:srgbClr>
                  </w14:solidFill>
                </w14:textFill>
              </w:rPr>
              <w:t xml:space="preserve">　</w:t>
            </w:r>
            <w:r w:rsidR="00D71A55">
              <w:rPr>
                <w:rFonts w:ascii="Arial Narrow" w:eastAsiaTheme="majorEastAsia" w:hAnsi="Arial Narrow" w:cstheme="majorBidi"/>
                <w:bCs/>
                <w:sz w:val="20"/>
                <w:szCs w:val="20"/>
                <w:vertAlign w:val="superscript"/>
              </w:rPr>
              <w:t>2</w:t>
            </w:r>
          </w:p>
          <w:p w14:paraId="7108301E" w14:textId="6BFAC960" w:rsidR="00CE6EE8" w:rsidRPr="00F91CC3" w:rsidRDefault="00CE6EE8" w:rsidP="00CE6EE8">
            <w:pPr>
              <w:keepNext/>
              <w:jc w:val="center"/>
              <w:rPr>
                <w:rFonts w:ascii="Arial Narrow" w:eastAsiaTheme="majorEastAsia" w:hAnsi="Arial Narrow" w:cstheme="majorBidi"/>
                <w:bCs/>
                <w:sz w:val="20"/>
                <w:szCs w:val="20"/>
              </w:rPr>
            </w:pPr>
            <w:r w:rsidRPr="009609C2">
              <w:rPr>
                <w:rFonts w:ascii="Arial Narrow" w:hAnsi="Arial Narrow" w:cs="Calibri"/>
                <w:color w:val="000000"/>
                <w:sz w:val="20"/>
                <w:szCs w:val="20"/>
              </w:rPr>
              <w:t>(9%)</w:t>
            </w:r>
          </w:p>
        </w:tc>
        <w:tc>
          <w:tcPr>
            <w:tcW w:w="611" w:type="pct"/>
            <w:tcBorders>
              <w:top w:val="single" w:sz="4" w:space="0" w:color="auto"/>
              <w:left w:val="single" w:sz="4" w:space="0" w:color="auto"/>
              <w:bottom w:val="single" w:sz="4" w:space="0" w:color="auto"/>
              <w:right w:val="single" w:sz="4" w:space="0" w:color="auto"/>
            </w:tcBorders>
            <w:vAlign w:val="center"/>
            <w:hideMark/>
          </w:tcPr>
          <w:p w14:paraId="5CD169E1" w14:textId="1B56ABEA" w:rsidR="00CE6EE8" w:rsidRPr="00F91CC3" w:rsidRDefault="00CE6EE8" w:rsidP="00CE6EE8">
            <w:pPr>
              <w:keepNext/>
              <w:jc w:val="center"/>
              <w:rPr>
                <w:rFonts w:ascii="Arial Narrow" w:hAnsi="Arial Narrow" w:cs="Calibri"/>
                <w:color w:val="000000"/>
                <w:sz w:val="20"/>
                <w:szCs w:val="20"/>
              </w:rPr>
            </w:pPr>
            <w:r w:rsidRPr="00F91CC3">
              <w:rPr>
                <w:rFonts w:ascii="Arial Narrow" w:hAnsi="Arial Narrow" w:cs="Calibri"/>
                <w:color w:val="000000"/>
                <w:sz w:val="20"/>
                <w:szCs w:val="20"/>
              </w:rPr>
              <w:t>$</w:t>
            </w:r>
            <w:r w:rsidR="004E53B2">
              <w:rPr>
                <w:rFonts w:ascii="Arial Narrow" w:hAnsi="Arial Narrow" w:cs="Calibri"/>
                <w:color w:val="000000"/>
                <w:sz w:val="20"/>
                <w:szCs w:val="20"/>
              </w:rPr>
              <w:t xml:space="preserve"> </w:t>
            </w:r>
            <w:r w:rsidR="004E53B2" w:rsidRPr="004E53B2">
              <w:rPr>
                <w:rFonts w:ascii="Arial Narrow" w:hAnsi="Arial Narrow" w:cs="Calibri" w:hint="eastAsia"/>
                <w:color w:val="000000"/>
                <w:w w:val="27"/>
                <w:sz w:val="20"/>
                <w:szCs w:val="20"/>
                <w:shd w:val="solid" w:color="000000" w:fill="000000"/>
                <w:fitText w:val="120" w:id="-1032066297"/>
                <w14:textFill>
                  <w14:solidFill>
                    <w14:srgbClr w14:val="000000">
                      <w14:alpha w14:val="100000"/>
                    </w14:srgbClr>
                  </w14:solidFill>
                </w14:textFill>
              </w:rPr>
              <w:t xml:space="preserve">　</w:t>
            </w:r>
            <w:r w:rsidR="004E53B2" w:rsidRPr="004E53B2">
              <w:rPr>
                <w:rFonts w:ascii="Arial Narrow" w:hAnsi="Arial Narrow" w:cs="Calibri"/>
                <w:color w:val="000000"/>
                <w:w w:val="27"/>
                <w:sz w:val="20"/>
                <w:szCs w:val="20"/>
                <w:shd w:val="solid" w:color="000000" w:fill="000000"/>
                <w:fitText w:val="120" w:id="-1032066297"/>
                <w14:textFill>
                  <w14:solidFill>
                    <w14:srgbClr w14:val="000000">
                      <w14:alpha w14:val="100000"/>
                    </w14:srgbClr>
                  </w14:solidFill>
                </w14:textFill>
              </w:rPr>
              <w:t>|</w:t>
            </w:r>
            <w:r w:rsidR="004E53B2" w:rsidRPr="004E53B2">
              <w:rPr>
                <w:rFonts w:ascii="Arial Narrow" w:hAnsi="Arial Narrow" w:cs="Calibri" w:hint="eastAsia"/>
                <w:color w:val="000000"/>
                <w:spacing w:val="2"/>
                <w:w w:val="27"/>
                <w:sz w:val="20"/>
                <w:szCs w:val="20"/>
                <w:shd w:val="solid" w:color="000000" w:fill="000000"/>
                <w:fitText w:val="120" w:id="-1032066297"/>
                <w14:textFill>
                  <w14:solidFill>
                    <w14:srgbClr w14:val="000000">
                      <w14:alpha w14:val="100000"/>
                    </w14:srgbClr>
                  </w14:solidFill>
                </w14:textFill>
              </w:rPr>
              <w:t xml:space="preserve">　</w:t>
            </w:r>
            <w:r w:rsidR="00D71A55">
              <w:rPr>
                <w:rFonts w:ascii="Arial Narrow" w:eastAsiaTheme="majorEastAsia" w:hAnsi="Arial Narrow" w:cstheme="majorBidi"/>
                <w:bCs/>
                <w:sz w:val="20"/>
                <w:szCs w:val="20"/>
                <w:vertAlign w:val="superscript"/>
              </w:rPr>
              <w:t>2</w:t>
            </w:r>
          </w:p>
          <w:p w14:paraId="622AF4B8" w14:textId="672722D0" w:rsidR="00CE6EE8" w:rsidRPr="00F91CC3" w:rsidRDefault="00CE6EE8" w:rsidP="00CE6EE8">
            <w:pPr>
              <w:keepNext/>
              <w:jc w:val="center"/>
              <w:rPr>
                <w:rFonts w:ascii="Arial Narrow" w:eastAsiaTheme="majorEastAsia" w:hAnsi="Arial Narrow" w:cstheme="majorBidi"/>
                <w:bCs/>
                <w:sz w:val="20"/>
                <w:szCs w:val="20"/>
              </w:rPr>
            </w:pPr>
            <w:r w:rsidRPr="009609C2">
              <w:rPr>
                <w:rFonts w:ascii="Arial Narrow" w:hAnsi="Arial Narrow" w:cs="Calibri"/>
                <w:color w:val="000000"/>
                <w:sz w:val="20"/>
                <w:szCs w:val="20"/>
              </w:rPr>
              <w:t>(9%)</w:t>
            </w:r>
          </w:p>
        </w:tc>
        <w:tc>
          <w:tcPr>
            <w:tcW w:w="611" w:type="pct"/>
            <w:tcBorders>
              <w:top w:val="single" w:sz="4" w:space="0" w:color="auto"/>
              <w:left w:val="single" w:sz="4" w:space="0" w:color="auto"/>
              <w:bottom w:val="single" w:sz="4" w:space="0" w:color="auto"/>
              <w:right w:val="single" w:sz="4" w:space="0" w:color="auto"/>
            </w:tcBorders>
            <w:vAlign w:val="center"/>
            <w:hideMark/>
          </w:tcPr>
          <w:p w14:paraId="2C28DFF1" w14:textId="5190AF0A" w:rsidR="00CE6EE8" w:rsidRPr="00F91CC3" w:rsidRDefault="00CE6EE8" w:rsidP="00CE6EE8">
            <w:pPr>
              <w:keepNext/>
              <w:jc w:val="center"/>
              <w:rPr>
                <w:rFonts w:ascii="Arial Narrow" w:hAnsi="Arial Narrow" w:cs="Calibri"/>
                <w:color w:val="000000"/>
                <w:sz w:val="20"/>
                <w:szCs w:val="20"/>
              </w:rPr>
            </w:pPr>
            <w:r w:rsidRPr="00F91CC3">
              <w:rPr>
                <w:rFonts w:ascii="Arial Narrow" w:hAnsi="Arial Narrow" w:cs="Calibri"/>
                <w:color w:val="000000"/>
                <w:sz w:val="20"/>
                <w:szCs w:val="20"/>
              </w:rPr>
              <w:t>$</w:t>
            </w:r>
            <w:r w:rsidR="004E53B2">
              <w:rPr>
                <w:rFonts w:ascii="Arial Narrow" w:hAnsi="Arial Narrow" w:cs="Calibri"/>
                <w:color w:val="000000"/>
                <w:sz w:val="20"/>
                <w:szCs w:val="20"/>
              </w:rPr>
              <w:t xml:space="preserve"> </w:t>
            </w:r>
            <w:r w:rsidR="004E53B2" w:rsidRPr="004E53B2">
              <w:rPr>
                <w:rFonts w:ascii="Arial Narrow" w:hAnsi="Arial Narrow" w:cs="Calibri" w:hint="eastAsia"/>
                <w:color w:val="000000"/>
                <w:w w:val="27"/>
                <w:sz w:val="20"/>
                <w:szCs w:val="20"/>
                <w:shd w:val="solid" w:color="000000" w:fill="000000"/>
                <w:fitText w:val="120" w:id="-1032066296"/>
                <w14:textFill>
                  <w14:solidFill>
                    <w14:srgbClr w14:val="000000">
                      <w14:alpha w14:val="100000"/>
                    </w14:srgbClr>
                  </w14:solidFill>
                </w14:textFill>
              </w:rPr>
              <w:t xml:space="preserve">　</w:t>
            </w:r>
            <w:r w:rsidR="004E53B2" w:rsidRPr="004E53B2">
              <w:rPr>
                <w:rFonts w:ascii="Arial Narrow" w:hAnsi="Arial Narrow" w:cs="Calibri"/>
                <w:color w:val="000000"/>
                <w:w w:val="27"/>
                <w:sz w:val="20"/>
                <w:szCs w:val="20"/>
                <w:shd w:val="solid" w:color="000000" w:fill="000000"/>
                <w:fitText w:val="120" w:id="-1032066296"/>
                <w14:textFill>
                  <w14:solidFill>
                    <w14:srgbClr w14:val="000000">
                      <w14:alpha w14:val="100000"/>
                    </w14:srgbClr>
                  </w14:solidFill>
                </w14:textFill>
              </w:rPr>
              <w:t>|</w:t>
            </w:r>
            <w:r w:rsidR="004E53B2" w:rsidRPr="004E53B2">
              <w:rPr>
                <w:rFonts w:ascii="Arial Narrow" w:hAnsi="Arial Narrow" w:cs="Calibri" w:hint="eastAsia"/>
                <w:color w:val="000000"/>
                <w:spacing w:val="2"/>
                <w:w w:val="27"/>
                <w:sz w:val="20"/>
                <w:szCs w:val="20"/>
                <w:shd w:val="solid" w:color="000000" w:fill="000000"/>
                <w:fitText w:val="120" w:id="-1032066296"/>
                <w14:textFill>
                  <w14:solidFill>
                    <w14:srgbClr w14:val="000000">
                      <w14:alpha w14:val="100000"/>
                    </w14:srgbClr>
                  </w14:solidFill>
                </w14:textFill>
              </w:rPr>
              <w:t xml:space="preserve">　</w:t>
            </w:r>
            <w:r w:rsidR="00D71A55">
              <w:rPr>
                <w:rFonts w:ascii="Arial Narrow" w:eastAsiaTheme="majorEastAsia" w:hAnsi="Arial Narrow" w:cstheme="majorBidi"/>
                <w:bCs/>
                <w:sz w:val="20"/>
                <w:szCs w:val="20"/>
                <w:vertAlign w:val="superscript"/>
              </w:rPr>
              <w:t>2</w:t>
            </w:r>
          </w:p>
          <w:p w14:paraId="24FB2092" w14:textId="7AB50799" w:rsidR="00CE6EE8" w:rsidRPr="00F91CC3" w:rsidRDefault="00CE6EE8" w:rsidP="00CE6EE8">
            <w:pPr>
              <w:keepNext/>
              <w:jc w:val="center"/>
              <w:rPr>
                <w:rFonts w:ascii="Arial Narrow" w:eastAsiaTheme="majorEastAsia" w:hAnsi="Arial Narrow" w:cstheme="majorBidi"/>
                <w:bCs/>
                <w:sz w:val="20"/>
                <w:szCs w:val="20"/>
              </w:rPr>
            </w:pPr>
            <w:r w:rsidRPr="00F91CC3">
              <w:rPr>
                <w:rFonts w:ascii="Arial Narrow" w:hAnsi="Arial Narrow" w:cs="Calibri"/>
                <w:color w:val="000000"/>
                <w:sz w:val="20"/>
                <w:szCs w:val="20"/>
              </w:rPr>
              <w:t>(</w:t>
            </w:r>
            <w:r w:rsidRPr="009609C2">
              <w:rPr>
                <w:rFonts w:ascii="Arial Narrow" w:hAnsi="Arial Narrow" w:cs="Calibri"/>
                <w:color w:val="000000"/>
                <w:sz w:val="20"/>
                <w:szCs w:val="20"/>
              </w:rPr>
              <w:t>9%)</w:t>
            </w:r>
          </w:p>
        </w:tc>
        <w:tc>
          <w:tcPr>
            <w:tcW w:w="611" w:type="pct"/>
            <w:tcBorders>
              <w:top w:val="single" w:sz="4" w:space="0" w:color="auto"/>
              <w:left w:val="single" w:sz="4" w:space="0" w:color="auto"/>
              <w:bottom w:val="single" w:sz="4" w:space="0" w:color="auto"/>
              <w:right w:val="single" w:sz="4" w:space="0" w:color="auto"/>
            </w:tcBorders>
            <w:vAlign w:val="center"/>
            <w:hideMark/>
          </w:tcPr>
          <w:p w14:paraId="3A7213C9" w14:textId="657D7CE8" w:rsidR="00CE6EE8" w:rsidRPr="00F91CC3" w:rsidRDefault="00CE6EE8" w:rsidP="00CE6EE8">
            <w:pPr>
              <w:keepNext/>
              <w:jc w:val="center"/>
              <w:rPr>
                <w:rFonts w:ascii="Arial Narrow" w:hAnsi="Arial Narrow" w:cs="Calibri"/>
                <w:color w:val="000000"/>
                <w:sz w:val="20"/>
                <w:szCs w:val="20"/>
              </w:rPr>
            </w:pPr>
            <w:r w:rsidRPr="00F91CC3">
              <w:rPr>
                <w:rFonts w:ascii="Arial Narrow" w:hAnsi="Arial Narrow" w:cs="Calibri"/>
                <w:color w:val="000000"/>
                <w:sz w:val="20"/>
                <w:szCs w:val="20"/>
              </w:rPr>
              <w:t>$</w:t>
            </w:r>
            <w:r w:rsidR="004E53B2">
              <w:rPr>
                <w:rFonts w:ascii="Arial Narrow" w:hAnsi="Arial Narrow" w:cs="Calibri"/>
                <w:color w:val="000000"/>
                <w:sz w:val="20"/>
                <w:szCs w:val="20"/>
              </w:rPr>
              <w:t xml:space="preserve"> </w:t>
            </w:r>
            <w:r w:rsidR="004E53B2" w:rsidRPr="004E53B2">
              <w:rPr>
                <w:rFonts w:ascii="Arial Narrow" w:hAnsi="Arial Narrow" w:cs="Calibri" w:hint="eastAsia"/>
                <w:color w:val="000000"/>
                <w:w w:val="27"/>
                <w:sz w:val="20"/>
                <w:szCs w:val="20"/>
                <w:shd w:val="solid" w:color="000000" w:fill="000000"/>
                <w:fitText w:val="120" w:id="-1032066295"/>
                <w14:textFill>
                  <w14:solidFill>
                    <w14:srgbClr w14:val="000000">
                      <w14:alpha w14:val="100000"/>
                    </w14:srgbClr>
                  </w14:solidFill>
                </w14:textFill>
              </w:rPr>
              <w:t xml:space="preserve">　</w:t>
            </w:r>
            <w:r w:rsidR="004E53B2" w:rsidRPr="004E53B2">
              <w:rPr>
                <w:rFonts w:ascii="Arial Narrow" w:hAnsi="Arial Narrow" w:cs="Calibri"/>
                <w:color w:val="000000"/>
                <w:w w:val="27"/>
                <w:sz w:val="20"/>
                <w:szCs w:val="20"/>
                <w:shd w:val="solid" w:color="000000" w:fill="000000"/>
                <w:fitText w:val="120" w:id="-1032066295"/>
                <w14:textFill>
                  <w14:solidFill>
                    <w14:srgbClr w14:val="000000">
                      <w14:alpha w14:val="100000"/>
                    </w14:srgbClr>
                  </w14:solidFill>
                </w14:textFill>
              </w:rPr>
              <w:t>|</w:t>
            </w:r>
            <w:r w:rsidR="004E53B2" w:rsidRPr="004E53B2">
              <w:rPr>
                <w:rFonts w:ascii="Arial Narrow" w:hAnsi="Arial Narrow" w:cs="Calibri" w:hint="eastAsia"/>
                <w:color w:val="000000"/>
                <w:spacing w:val="2"/>
                <w:w w:val="27"/>
                <w:sz w:val="20"/>
                <w:szCs w:val="20"/>
                <w:shd w:val="solid" w:color="000000" w:fill="000000"/>
                <w:fitText w:val="120" w:id="-1032066295"/>
                <w14:textFill>
                  <w14:solidFill>
                    <w14:srgbClr w14:val="000000">
                      <w14:alpha w14:val="100000"/>
                    </w14:srgbClr>
                  </w14:solidFill>
                </w14:textFill>
              </w:rPr>
              <w:t xml:space="preserve">　</w:t>
            </w:r>
            <w:r w:rsidR="00D71A55">
              <w:rPr>
                <w:rFonts w:ascii="Arial Narrow" w:eastAsiaTheme="majorEastAsia" w:hAnsi="Arial Narrow" w:cstheme="majorBidi"/>
                <w:bCs/>
                <w:sz w:val="20"/>
                <w:szCs w:val="20"/>
                <w:vertAlign w:val="superscript"/>
              </w:rPr>
              <w:t>2</w:t>
            </w:r>
          </w:p>
          <w:p w14:paraId="511D3FD4" w14:textId="4A5418C3" w:rsidR="00CE6EE8" w:rsidRPr="00F91CC3" w:rsidRDefault="00CE6EE8" w:rsidP="00CE6EE8">
            <w:pPr>
              <w:keepNext/>
              <w:jc w:val="center"/>
              <w:rPr>
                <w:rFonts w:ascii="Arial Narrow" w:eastAsiaTheme="majorEastAsia" w:hAnsi="Arial Narrow" w:cstheme="majorBidi"/>
                <w:bCs/>
                <w:sz w:val="20"/>
                <w:szCs w:val="20"/>
              </w:rPr>
            </w:pPr>
            <w:r w:rsidRPr="00F91CC3">
              <w:rPr>
                <w:rFonts w:ascii="Arial Narrow" w:hAnsi="Arial Narrow" w:cs="Calibri"/>
                <w:color w:val="000000"/>
                <w:sz w:val="20"/>
                <w:szCs w:val="20"/>
              </w:rPr>
              <w:t>(</w:t>
            </w:r>
            <w:r w:rsidRPr="009609C2">
              <w:rPr>
                <w:rFonts w:ascii="Arial Narrow" w:hAnsi="Arial Narrow" w:cs="Calibri"/>
                <w:color w:val="000000"/>
                <w:sz w:val="20"/>
                <w:szCs w:val="20"/>
              </w:rPr>
              <w:t>9%)</w:t>
            </w:r>
          </w:p>
        </w:tc>
        <w:tc>
          <w:tcPr>
            <w:tcW w:w="611" w:type="pct"/>
            <w:tcBorders>
              <w:top w:val="single" w:sz="4" w:space="0" w:color="auto"/>
              <w:left w:val="single" w:sz="4" w:space="0" w:color="auto"/>
              <w:bottom w:val="single" w:sz="4" w:space="0" w:color="auto"/>
              <w:right w:val="single" w:sz="4" w:space="0" w:color="auto"/>
            </w:tcBorders>
            <w:vAlign w:val="center"/>
            <w:hideMark/>
          </w:tcPr>
          <w:p w14:paraId="41CB2063" w14:textId="49123D6A" w:rsidR="00CE6EE8" w:rsidRPr="00F91CC3" w:rsidRDefault="00CE6EE8" w:rsidP="00CE6EE8">
            <w:pPr>
              <w:keepNext/>
              <w:jc w:val="center"/>
              <w:rPr>
                <w:rFonts w:ascii="Arial Narrow" w:hAnsi="Arial Narrow" w:cs="Calibri"/>
                <w:color w:val="000000"/>
                <w:sz w:val="20"/>
                <w:szCs w:val="20"/>
              </w:rPr>
            </w:pPr>
            <w:r w:rsidRPr="00F91CC3">
              <w:rPr>
                <w:rFonts w:ascii="Arial Narrow" w:hAnsi="Arial Narrow" w:cs="Calibri"/>
                <w:color w:val="000000"/>
                <w:sz w:val="20"/>
                <w:szCs w:val="20"/>
              </w:rPr>
              <w:t>$</w:t>
            </w:r>
            <w:r w:rsidR="004E53B2">
              <w:rPr>
                <w:rFonts w:ascii="Arial Narrow" w:hAnsi="Arial Narrow" w:cs="Calibri"/>
                <w:color w:val="000000"/>
                <w:sz w:val="20"/>
                <w:szCs w:val="20"/>
              </w:rPr>
              <w:t xml:space="preserve"> </w:t>
            </w:r>
            <w:r w:rsidR="004E53B2" w:rsidRPr="004E53B2">
              <w:rPr>
                <w:rFonts w:ascii="Arial Narrow" w:hAnsi="Arial Narrow" w:cs="Calibri" w:hint="eastAsia"/>
                <w:color w:val="000000"/>
                <w:w w:val="27"/>
                <w:sz w:val="20"/>
                <w:szCs w:val="20"/>
                <w:shd w:val="solid" w:color="000000" w:fill="000000"/>
                <w:fitText w:val="120" w:id="-1032066294"/>
                <w14:textFill>
                  <w14:solidFill>
                    <w14:srgbClr w14:val="000000">
                      <w14:alpha w14:val="100000"/>
                    </w14:srgbClr>
                  </w14:solidFill>
                </w14:textFill>
              </w:rPr>
              <w:t xml:space="preserve">　</w:t>
            </w:r>
            <w:r w:rsidR="004E53B2" w:rsidRPr="004E53B2">
              <w:rPr>
                <w:rFonts w:ascii="Arial Narrow" w:hAnsi="Arial Narrow" w:cs="Calibri"/>
                <w:color w:val="000000"/>
                <w:w w:val="27"/>
                <w:sz w:val="20"/>
                <w:szCs w:val="20"/>
                <w:shd w:val="solid" w:color="000000" w:fill="000000"/>
                <w:fitText w:val="120" w:id="-1032066294"/>
                <w14:textFill>
                  <w14:solidFill>
                    <w14:srgbClr w14:val="000000">
                      <w14:alpha w14:val="100000"/>
                    </w14:srgbClr>
                  </w14:solidFill>
                </w14:textFill>
              </w:rPr>
              <w:t>|</w:t>
            </w:r>
            <w:r w:rsidR="004E53B2" w:rsidRPr="004E53B2">
              <w:rPr>
                <w:rFonts w:ascii="Arial Narrow" w:hAnsi="Arial Narrow" w:cs="Calibri" w:hint="eastAsia"/>
                <w:color w:val="000000"/>
                <w:spacing w:val="2"/>
                <w:w w:val="27"/>
                <w:sz w:val="20"/>
                <w:szCs w:val="20"/>
                <w:shd w:val="solid" w:color="000000" w:fill="000000"/>
                <w:fitText w:val="120" w:id="-1032066294"/>
                <w14:textFill>
                  <w14:solidFill>
                    <w14:srgbClr w14:val="000000">
                      <w14:alpha w14:val="100000"/>
                    </w14:srgbClr>
                  </w14:solidFill>
                </w14:textFill>
              </w:rPr>
              <w:t xml:space="preserve">　</w:t>
            </w:r>
            <w:r w:rsidR="00D71A55">
              <w:rPr>
                <w:rFonts w:ascii="Arial Narrow" w:eastAsiaTheme="majorEastAsia" w:hAnsi="Arial Narrow" w:cstheme="majorBidi"/>
                <w:bCs/>
                <w:sz w:val="20"/>
                <w:szCs w:val="20"/>
                <w:vertAlign w:val="superscript"/>
              </w:rPr>
              <w:t>2</w:t>
            </w:r>
          </w:p>
          <w:p w14:paraId="6A268A18" w14:textId="69E849B6" w:rsidR="00CE6EE8" w:rsidRPr="00F91CC3" w:rsidRDefault="00CE6EE8" w:rsidP="00CE6EE8">
            <w:pPr>
              <w:keepNext/>
              <w:jc w:val="center"/>
              <w:rPr>
                <w:rFonts w:ascii="Arial Narrow" w:eastAsiaTheme="majorEastAsia" w:hAnsi="Arial Narrow" w:cstheme="majorBidi"/>
                <w:bCs/>
                <w:sz w:val="20"/>
                <w:szCs w:val="20"/>
              </w:rPr>
            </w:pPr>
            <w:r w:rsidRPr="009609C2">
              <w:rPr>
                <w:rFonts w:ascii="Arial Narrow" w:hAnsi="Arial Narrow" w:cs="Calibri"/>
                <w:color w:val="000000"/>
                <w:sz w:val="20"/>
                <w:szCs w:val="20"/>
              </w:rPr>
              <w:t>(9%)</w:t>
            </w:r>
          </w:p>
        </w:tc>
        <w:tc>
          <w:tcPr>
            <w:tcW w:w="612" w:type="pct"/>
            <w:tcBorders>
              <w:top w:val="single" w:sz="4" w:space="0" w:color="auto"/>
              <w:left w:val="single" w:sz="4" w:space="0" w:color="auto"/>
              <w:bottom w:val="single" w:sz="4" w:space="0" w:color="auto"/>
              <w:right w:val="single" w:sz="4" w:space="0" w:color="auto"/>
            </w:tcBorders>
            <w:vAlign w:val="center"/>
            <w:hideMark/>
          </w:tcPr>
          <w:p w14:paraId="0C42D267" w14:textId="05F332BC" w:rsidR="00CE6EE8" w:rsidRPr="00F91CC3" w:rsidRDefault="00CE6EE8" w:rsidP="00CE6EE8">
            <w:pPr>
              <w:keepNext/>
              <w:jc w:val="center"/>
              <w:rPr>
                <w:rFonts w:ascii="Arial Narrow" w:hAnsi="Arial Narrow" w:cs="Calibri"/>
                <w:color w:val="000000"/>
                <w:sz w:val="20"/>
                <w:szCs w:val="20"/>
              </w:rPr>
            </w:pPr>
            <w:r w:rsidRPr="00F91CC3">
              <w:rPr>
                <w:rFonts w:ascii="Arial Narrow" w:hAnsi="Arial Narrow" w:cs="Calibri"/>
                <w:color w:val="000000"/>
                <w:sz w:val="20"/>
                <w:szCs w:val="20"/>
              </w:rPr>
              <w:t>$</w:t>
            </w:r>
            <w:r w:rsidR="004E53B2">
              <w:rPr>
                <w:rFonts w:ascii="Arial Narrow" w:hAnsi="Arial Narrow" w:cs="Calibri"/>
                <w:color w:val="000000"/>
                <w:sz w:val="20"/>
                <w:szCs w:val="20"/>
              </w:rPr>
              <w:t xml:space="preserve"> </w:t>
            </w:r>
            <w:r w:rsidR="004E53B2" w:rsidRPr="004E53B2">
              <w:rPr>
                <w:rFonts w:ascii="Arial Narrow" w:hAnsi="Arial Narrow" w:cs="Calibri" w:hint="eastAsia"/>
                <w:color w:val="000000"/>
                <w:w w:val="27"/>
                <w:sz w:val="20"/>
                <w:szCs w:val="20"/>
                <w:shd w:val="solid" w:color="000000" w:fill="000000"/>
                <w:fitText w:val="120" w:id="-1032066293"/>
                <w14:textFill>
                  <w14:solidFill>
                    <w14:srgbClr w14:val="000000">
                      <w14:alpha w14:val="100000"/>
                    </w14:srgbClr>
                  </w14:solidFill>
                </w14:textFill>
              </w:rPr>
              <w:t xml:space="preserve">　</w:t>
            </w:r>
            <w:r w:rsidR="004E53B2" w:rsidRPr="004E53B2">
              <w:rPr>
                <w:rFonts w:ascii="Arial Narrow" w:hAnsi="Arial Narrow" w:cs="Calibri"/>
                <w:color w:val="000000"/>
                <w:w w:val="27"/>
                <w:sz w:val="20"/>
                <w:szCs w:val="20"/>
                <w:shd w:val="solid" w:color="000000" w:fill="000000"/>
                <w:fitText w:val="120" w:id="-1032066293"/>
                <w14:textFill>
                  <w14:solidFill>
                    <w14:srgbClr w14:val="000000">
                      <w14:alpha w14:val="100000"/>
                    </w14:srgbClr>
                  </w14:solidFill>
                </w14:textFill>
              </w:rPr>
              <w:t>|</w:t>
            </w:r>
            <w:r w:rsidR="004E53B2" w:rsidRPr="004E53B2">
              <w:rPr>
                <w:rFonts w:ascii="Arial Narrow" w:hAnsi="Arial Narrow" w:cs="Calibri" w:hint="eastAsia"/>
                <w:color w:val="000000"/>
                <w:spacing w:val="2"/>
                <w:w w:val="27"/>
                <w:sz w:val="20"/>
                <w:szCs w:val="20"/>
                <w:shd w:val="solid" w:color="000000" w:fill="000000"/>
                <w:fitText w:val="120" w:id="-1032066293"/>
                <w14:textFill>
                  <w14:solidFill>
                    <w14:srgbClr w14:val="000000">
                      <w14:alpha w14:val="100000"/>
                    </w14:srgbClr>
                  </w14:solidFill>
                </w14:textFill>
              </w:rPr>
              <w:t xml:space="preserve">　</w:t>
            </w:r>
            <w:r w:rsidR="00D71A55">
              <w:rPr>
                <w:rFonts w:ascii="Arial Narrow" w:eastAsiaTheme="majorEastAsia" w:hAnsi="Arial Narrow" w:cstheme="majorBidi"/>
                <w:bCs/>
                <w:sz w:val="20"/>
                <w:szCs w:val="20"/>
                <w:vertAlign w:val="superscript"/>
              </w:rPr>
              <w:t>2</w:t>
            </w:r>
          </w:p>
          <w:p w14:paraId="638CB201" w14:textId="12B8EF63" w:rsidR="00CE6EE8" w:rsidRPr="00F91CC3" w:rsidRDefault="00CE6EE8" w:rsidP="00CE6EE8">
            <w:pPr>
              <w:keepNext/>
              <w:jc w:val="center"/>
              <w:rPr>
                <w:rFonts w:ascii="Arial Narrow" w:eastAsiaTheme="majorEastAsia" w:hAnsi="Arial Narrow" w:cstheme="majorBidi"/>
                <w:bCs/>
                <w:sz w:val="20"/>
                <w:szCs w:val="20"/>
              </w:rPr>
            </w:pPr>
            <w:r w:rsidRPr="009609C2">
              <w:rPr>
                <w:rFonts w:ascii="Arial Narrow" w:hAnsi="Arial Narrow" w:cs="Calibri"/>
                <w:color w:val="000000"/>
                <w:sz w:val="20"/>
                <w:szCs w:val="20"/>
              </w:rPr>
              <w:t>(9%)</w:t>
            </w:r>
          </w:p>
        </w:tc>
      </w:tr>
      <w:tr w:rsidR="00807566" w:rsidRPr="00F91CC3" w14:paraId="51FFFA14" w14:textId="77777777" w:rsidTr="00CE6EE8">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34AC532F" w14:textId="77777777" w:rsidR="00807566" w:rsidRPr="00F91CC3" w:rsidRDefault="00807566" w:rsidP="00717E3E">
            <w:pPr>
              <w:keepNext/>
              <w:jc w:val="left"/>
              <w:rPr>
                <w:rFonts w:ascii="Arial Narrow" w:eastAsiaTheme="majorEastAsia" w:hAnsi="Arial Narrow" w:cs="Times New Roman"/>
                <w:b/>
                <w:sz w:val="20"/>
              </w:rPr>
            </w:pPr>
            <w:r w:rsidRPr="00F91CC3">
              <w:rPr>
                <w:rFonts w:ascii="Arial Narrow" w:eastAsiaTheme="majorEastAsia" w:hAnsi="Arial Narrow" w:cs="Times New Roman"/>
                <w:b/>
                <w:sz w:val="20"/>
              </w:rPr>
              <w:t>Net financial implications</w:t>
            </w:r>
          </w:p>
        </w:tc>
      </w:tr>
      <w:tr w:rsidR="00CE6EE8" w:rsidRPr="00F91CC3" w14:paraId="5E1C0EDA" w14:textId="77777777" w:rsidTr="00CE6EE8">
        <w:tc>
          <w:tcPr>
            <w:tcW w:w="1333" w:type="pct"/>
            <w:tcBorders>
              <w:top w:val="single" w:sz="4" w:space="0" w:color="auto"/>
              <w:left w:val="single" w:sz="4" w:space="0" w:color="auto"/>
              <w:bottom w:val="single" w:sz="4" w:space="0" w:color="auto"/>
              <w:right w:val="single" w:sz="4" w:space="0" w:color="auto"/>
            </w:tcBorders>
            <w:vAlign w:val="center"/>
            <w:hideMark/>
          </w:tcPr>
          <w:p w14:paraId="6429C075" w14:textId="77777777" w:rsidR="00807566" w:rsidRPr="00F91CC3" w:rsidRDefault="00807566" w:rsidP="00CE6EE8">
            <w:pPr>
              <w:keepNext/>
              <w:jc w:val="left"/>
              <w:rPr>
                <w:rFonts w:ascii="Arial Narrow" w:eastAsiaTheme="majorEastAsia" w:hAnsi="Arial Narrow" w:cstheme="majorBidi"/>
                <w:bCs/>
                <w:sz w:val="19"/>
                <w:szCs w:val="19"/>
              </w:rPr>
            </w:pPr>
            <w:r w:rsidRPr="00F91CC3">
              <w:rPr>
                <w:rFonts w:ascii="Arial Narrow" w:eastAsiaTheme="majorEastAsia" w:hAnsi="Arial Narrow" w:cstheme="majorBidi"/>
                <w:bCs/>
                <w:sz w:val="19"/>
                <w:szCs w:val="19"/>
              </w:rPr>
              <w:t>Net cost to PBS/RPBS</w:t>
            </w:r>
          </w:p>
        </w:tc>
        <w:tc>
          <w:tcPr>
            <w:tcW w:w="611" w:type="pct"/>
            <w:tcBorders>
              <w:top w:val="single" w:sz="4" w:space="0" w:color="auto"/>
              <w:left w:val="single" w:sz="4" w:space="0" w:color="auto"/>
              <w:bottom w:val="single" w:sz="4" w:space="0" w:color="auto"/>
              <w:right w:val="single" w:sz="4" w:space="0" w:color="auto"/>
            </w:tcBorders>
            <w:vAlign w:val="center"/>
            <w:hideMark/>
          </w:tcPr>
          <w:p w14:paraId="30C937A0" w14:textId="14900C09" w:rsidR="00807566" w:rsidRPr="00EA49F0" w:rsidRDefault="004E53B2" w:rsidP="00CE6EE8">
            <w:pPr>
              <w:keepNext/>
              <w:jc w:val="center"/>
              <w:rPr>
                <w:rFonts w:ascii="Arial Narrow" w:eastAsiaTheme="majorEastAsia" w:hAnsi="Arial Narrow" w:cstheme="majorBidi"/>
                <w:bCs/>
                <w:sz w:val="20"/>
                <w:highlight w:val="darkGray"/>
              </w:rPr>
            </w:pPr>
            <w:r>
              <w:rPr>
                <w:rFonts w:ascii="Arial Narrow" w:eastAsiaTheme="majorEastAsia" w:hAnsi="Arial Narrow" w:cs="Calibri"/>
                <w:bCs/>
                <w:color w:val="000000"/>
                <w:sz w:val="20"/>
                <w:szCs w:val="20"/>
              </w:rPr>
              <w:t xml:space="preserve"> </w:t>
            </w:r>
            <w:r w:rsidRPr="004E53B2">
              <w:rPr>
                <w:rFonts w:ascii="Arial Narrow" w:eastAsiaTheme="majorEastAsia" w:hAnsi="Arial Narrow" w:cs="Calibri" w:hint="eastAsia"/>
                <w:bCs/>
                <w:color w:val="000000"/>
                <w:w w:val="15"/>
                <w:sz w:val="20"/>
                <w:szCs w:val="20"/>
                <w:shd w:val="solid" w:color="000000" w:fill="000000"/>
                <w:fitText w:val="70" w:id="-1032066292"/>
                <w14:textFill>
                  <w14:solidFill>
                    <w14:srgbClr w14:val="000000">
                      <w14:alpha w14:val="100000"/>
                    </w14:srgbClr>
                  </w14:solidFill>
                </w14:textFill>
              </w:rPr>
              <w:t xml:space="preserve">　</w:t>
            </w:r>
            <w:r w:rsidRPr="004E53B2">
              <w:rPr>
                <w:rFonts w:ascii="Arial Narrow" w:eastAsiaTheme="majorEastAsia" w:hAnsi="Arial Narrow" w:cs="Calibri"/>
                <w:bCs/>
                <w:color w:val="000000"/>
                <w:w w:val="15"/>
                <w:sz w:val="20"/>
                <w:szCs w:val="20"/>
                <w:shd w:val="solid" w:color="000000" w:fill="000000"/>
                <w:fitText w:val="70" w:id="-1032066292"/>
                <w14:textFill>
                  <w14:solidFill>
                    <w14:srgbClr w14:val="000000">
                      <w14:alpha w14:val="100000"/>
                    </w14:srgbClr>
                  </w14:solidFill>
                </w14:textFill>
              </w:rPr>
              <w:t>|</w:t>
            </w:r>
            <w:r w:rsidRPr="004E53B2">
              <w:rPr>
                <w:rFonts w:ascii="Arial Narrow" w:eastAsiaTheme="majorEastAsia" w:hAnsi="Arial Narrow" w:cs="Calibri" w:hint="eastAsia"/>
                <w:bCs/>
                <w:color w:val="000000"/>
                <w:spacing w:val="4"/>
                <w:w w:val="15"/>
                <w:sz w:val="20"/>
                <w:szCs w:val="20"/>
                <w:shd w:val="solid" w:color="000000" w:fill="000000"/>
                <w:fitText w:val="70" w:id="-1032066292"/>
                <w14:textFill>
                  <w14:solidFill>
                    <w14:srgbClr w14:val="000000">
                      <w14:alpha w14:val="100000"/>
                    </w14:srgbClr>
                  </w14:solidFill>
                </w14:textFill>
              </w:rPr>
              <w:t xml:space="preserve">　</w:t>
            </w:r>
            <w:r w:rsidR="00D71A55">
              <w:rPr>
                <w:rFonts w:ascii="Arial Narrow" w:eastAsiaTheme="majorEastAsia" w:hAnsi="Arial Narrow" w:cstheme="majorBidi"/>
                <w:bCs/>
                <w:sz w:val="20"/>
                <w:szCs w:val="20"/>
                <w:vertAlign w:val="superscript"/>
              </w:rPr>
              <w:t>3</w:t>
            </w:r>
          </w:p>
        </w:tc>
        <w:tc>
          <w:tcPr>
            <w:tcW w:w="611" w:type="pct"/>
            <w:tcBorders>
              <w:top w:val="single" w:sz="4" w:space="0" w:color="auto"/>
              <w:left w:val="single" w:sz="4" w:space="0" w:color="auto"/>
              <w:bottom w:val="single" w:sz="4" w:space="0" w:color="auto"/>
              <w:right w:val="single" w:sz="4" w:space="0" w:color="auto"/>
            </w:tcBorders>
            <w:vAlign w:val="center"/>
            <w:hideMark/>
          </w:tcPr>
          <w:p w14:paraId="3267B6EA" w14:textId="1109B831" w:rsidR="00807566" w:rsidRPr="00EA49F0" w:rsidRDefault="004E53B2" w:rsidP="00CE6EE8">
            <w:pPr>
              <w:keepNext/>
              <w:jc w:val="center"/>
              <w:rPr>
                <w:rFonts w:ascii="Arial Narrow" w:eastAsiaTheme="majorEastAsia" w:hAnsi="Arial Narrow" w:cstheme="majorBidi"/>
                <w:bCs/>
                <w:sz w:val="20"/>
                <w:highlight w:val="darkGray"/>
              </w:rPr>
            </w:pPr>
            <w:r>
              <w:rPr>
                <w:rFonts w:ascii="Arial Narrow" w:eastAsiaTheme="majorEastAsia" w:hAnsi="Arial Narrow" w:cs="Calibri"/>
                <w:bCs/>
                <w:color w:val="000000"/>
                <w:sz w:val="20"/>
                <w:szCs w:val="20"/>
              </w:rPr>
              <w:t xml:space="preserve"> </w:t>
            </w:r>
            <w:r w:rsidRPr="004E53B2">
              <w:rPr>
                <w:rFonts w:ascii="Arial Narrow" w:eastAsiaTheme="majorEastAsia" w:hAnsi="Arial Narrow" w:cs="Calibri" w:hint="eastAsia"/>
                <w:bCs/>
                <w:color w:val="000000"/>
                <w:w w:val="15"/>
                <w:sz w:val="20"/>
                <w:szCs w:val="20"/>
                <w:shd w:val="solid" w:color="000000" w:fill="000000"/>
                <w:fitText w:val="70" w:id="-1032066291"/>
                <w14:textFill>
                  <w14:solidFill>
                    <w14:srgbClr w14:val="000000">
                      <w14:alpha w14:val="100000"/>
                    </w14:srgbClr>
                  </w14:solidFill>
                </w14:textFill>
              </w:rPr>
              <w:t xml:space="preserve">　</w:t>
            </w:r>
            <w:r w:rsidRPr="004E53B2">
              <w:rPr>
                <w:rFonts w:ascii="Arial Narrow" w:eastAsiaTheme="majorEastAsia" w:hAnsi="Arial Narrow" w:cs="Calibri"/>
                <w:bCs/>
                <w:color w:val="000000"/>
                <w:w w:val="15"/>
                <w:sz w:val="20"/>
                <w:szCs w:val="20"/>
                <w:shd w:val="solid" w:color="000000" w:fill="000000"/>
                <w:fitText w:val="70" w:id="-1032066291"/>
                <w14:textFill>
                  <w14:solidFill>
                    <w14:srgbClr w14:val="000000">
                      <w14:alpha w14:val="100000"/>
                    </w14:srgbClr>
                  </w14:solidFill>
                </w14:textFill>
              </w:rPr>
              <w:t>|</w:t>
            </w:r>
            <w:r w:rsidRPr="004E53B2">
              <w:rPr>
                <w:rFonts w:ascii="Arial Narrow" w:eastAsiaTheme="majorEastAsia" w:hAnsi="Arial Narrow" w:cs="Calibri" w:hint="eastAsia"/>
                <w:bCs/>
                <w:color w:val="000000"/>
                <w:spacing w:val="4"/>
                <w:w w:val="15"/>
                <w:sz w:val="20"/>
                <w:szCs w:val="20"/>
                <w:shd w:val="solid" w:color="000000" w:fill="000000"/>
                <w:fitText w:val="70" w:id="-1032066291"/>
                <w14:textFill>
                  <w14:solidFill>
                    <w14:srgbClr w14:val="000000">
                      <w14:alpha w14:val="100000"/>
                    </w14:srgbClr>
                  </w14:solidFill>
                </w14:textFill>
              </w:rPr>
              <w:t xml:space="preserve">　</w:t>
            </w:r>
            <w:r w:rsidR="00D71A55">
              <w:rPr>
                <w:rFonts w:ascii="Arial Narrow" w:eastAsiaTheme="majorEastAsia" w:hAnsi="Arial Narrow" w:cstheme="majorBidi"/>
                <w:bCs/>
                <w:sz w:val="20"/>
                <w:szCs w:val="20"/>
                <w:vertAlign w:val="superscript"/>
              </w:rPr>
              <w:t>3</w:t>
            </w:r>
          </w:p>
        </w:tc>
        <w:tc>
          <w:tcPr>
            <w:tcW w:w="611" w:type="pct"/>
            <w:tcBorders>
              <w:top w:val="single" w:sz="4" w:space="0" w:color="auto"/>
              <w:left w:val="single" w:sz="4" w:space="0" w:color="auto"/>
              <w:bottom w:val="single" w:sz="4" w:space="0" w:color="auto"/>
              <w:right w:val="single" w:sz="4" w:space="0" w:color="auto"/>
            </w:tcBorders>
            <w:vAlign w:val="center"/>
            <w:hideMark/>
          </w:tcPr>
          <w:p w14:paraId="4FE0F4EA" w14:textId="7C4FC79B" w:rsidR="00807566" w:rsidRPr="00EA49F0" w:rsidRDefault="004E53B2" w:rsidP="00CE6EE8">
            <w:pPr>
              <w:keepNext/>
              <w:jc w:val="center"/>
              <w:rPr>
                <w:rFonts w:ascii="Arial Narrow" w:eastAsiaTheme="majorEastAsia" w:hAnsi="Arial Narrow" w:cstheme="majorBidi"/>
                <w:bCs/>
                <w:sz w:val="20"/>
                <w:highlight w:val="darkGray"/>
              </w:rPr>
            </w:pPr>
            <w:r>
              <w:rPr>
                <w:rFonts w:ascii="Arial Narrow" w:eastAsiaTheme="majorEastAsia" w:hAnsi="Arial Narrow" w:cs="Calibri"/>
                <w:bCs/>
                <w:color w:val="000000"/>
                <w:sz w:val="20"/>
                <w:szCs w:val="20"/>
              </w:rPr>
              <w:t xml:space="preserve"> </w:t>
            </w:r>
            <w:r w:rsidRPr="004E53B2">
              <w:rPr>
                <w:rFonts w:ascii="Arial Narrow" w:eastAsiaTheme="majorEastAsia" w:hAnsi="Arial Narrow" w:cs="Calibri" w:hint="eastAsia"/>
                <w:bCs/>
                <w:color w:val="000000"/>
                <w:w w:val="15"/>
                <w:sz w:val="20"/>
                <w:szCs w:val="20"/>
                <w:shd w:val="solid" w:color="000000" w:fill="000000"/>
                <w:fitText w:val="70" w:id="-1032066290"/>
                <w14:textFill>
                  <w14:solidFill>
                    <w14:srgbClr w14:val="000000">
                      <w14:alpha w14:val="100000"/>
                    </w14:srgbClr>
                  </w14:solidFill>
                </w14:textFill>
              </w:rPr>
              <w:t xml:space="preserve">　</w:t>
            </w:r>
            <w:r w:rsidRPr="004E53B2">
              <w:rPr>
                <w:rFonts w:ascii="Arial Narrow" w:eastAsiaTheme="majorEastAsia" w:hAnsi="Arial Narrow" w:cs="Calibri"/>
                <w:bCs/>
                <w:color w:val="000000"/>
                <w:w w:val="15"/>
                <w:sz w:val="20"/>
                <w:szCs w:val="20"/>
                <w:shd w:val="solid" w:color="000000" w:fill="000000"/>
                <w:fitText w:val="70" w:id="-1032066290"/>
                <w14:textFill>
                  <w14:solidFill>
                    <w14:srgbClr w14:val="000000">
                      <w14:alpha w14:val="100000"/>
                    </w14:srgbClr>
                  </w14:solidFill>
                </w14:textFill>
              </w:rPr>
              <w:t>|</w:t>
            </w:r>
            <w:r w:rsidRPr="004E53B2">
              <w:rPr>
                <w:rFonts w:ascii="Arial Narrow" w:eastAsiaTheme="majorEastAsia" w:hAnsi="Arial Narrow" w:cs="Calibri" w:hint="eastAsia"/>
                <w:bCs/>
                <w:color w:val="000000"/>
                <w:spacing w:val="4"/>
                <w:w w:val="15"/>
                <w:sz w:val="20"/>
                <w:szCs w:val="20"/>
                <w:shd w:val="solid" w:color="000000" w:fill="000000"/>
                <w:fitText w:val="70" w:id="-1032066290"/>
                <w14:textFill>
                  <w14:solidFill>
                    <w14:srgbClr w14:val="000000">
                      <w14:alpha w14:val="100000"/>
                    </w14:srgbClr>
                  </w14:solidFill>
                </w14:textFill>
              </w:rPr>
              <w:t xml:space="preserve">　</w:t>
            </w:r>
            <w:r w:rsidR="00D71A55">
              <w:rPr>
                <w:rFonts w:ascii="Arial Narrow" w:eastAsiaTheme="majorEastAsia" w:hAnsi="Arial Narrow" w:cstheme="majorBidi"/>
                <w:bCs/>
                <w:sz w:val="20"/>
                <w:szCs w:val="20"/>
                <w:vertAlign w:val="superscript"/>
              </w:rPr>
              <w:t>3</w:t>
            </w:r>
          </w:p>
        </w:tc>
        <w:tc>
          <w:tcPr>
            <w:tcW w:w="611" w:type="pct"/>
            <w:tcBorders>
              <w:top w:val="single" w:sz="4" w:space="0" w:color="auto"/>
              <w:left w:val="single" w:sz="4" w:space="0" w:color="auto"/>
              <w:bottom w:val="single" w:sz="4" w:space="0" w:color="auto"/>
              <w:right w:val="single" w:sz="4" w:space="0" w:color="auto"/>
            </w:tcBorders>
            <w:vAlign w:val="center"/>
            <w:hideMark/>
          </w:tcPr>
          <w:p w14:paraId="0420A0E9" w14:textId="7A4C8E8B" w:rsidR="00807566" w:rsidRPr="00EA49F0" w:rsidRDefault="004E53B2" w:rsidP="00CE6EE8">
            <w:pPr>
              <w:keepNext/>
              <w:jc w:val="center"/>
              <w:rPr>
                <w:rFonts w:ascii="Arial Narrow" w:eastAsiaTheme="majorEastAsia" w:hAnsi="Arial Narrow" w:cstheme="majorBidi"/>
                <w:bCs/>
                <w:sz w:val="20"/>
                <w:highlight w:val="darkGray"/>
              </w:rPr>
            </w:pPr>
            <w:r>
              <w:rPr>
                <w:rFonts w:ascii="Arial Narrow" w:eastAsiaTheme="majorEastAsia" w:hAnsi="Arial Narrow" w:cs="Calibri"/>
                <w:bCs/>
                <w:color w:val="000000"/>
                <w:sz w:val="20"/>
                <w:szCs w:val="20"/>
              </w:rPr>
              <w:t xml:space="preserve"> </w:t>
            </w:r>
            <w:r w:rsidRPr="004E53B2">
              <w:rPr>
                <w:rFonts w:ascii="Arial Narrow" w:eastAsiaTheme="majorEastAsia" w:hAnsi="Arial Narrow" w:cs="Calibri" w:hint="eastAsia"/>
                <w:bCs/>
                <w:color w:val="000000"/>
                <w:w w:val="15"/>
                <w:sz w:val="20"/>
                <w:szCs w:val="20"/>
                <w:shd w:val="solid" w:color="000000" w:fill="000000"/>
                <w:fitText w:val="70" w:id="-1032066289"/>
                <w14:textFill>
                  <w14:solidFill>
                    <w14:srgbClr w14:val="000000">
                      <w14:alpha w14:val="100000"/>
                    </w14:srgbClr>
                  </w14:solidFill>
                </w14:textFill>
              </w:rPr>
              <w:t xml:space="preserve">　</w:t>
            </w:r>
            <w:r w:rsidRPr="004E53B2">
              <w:rPr>
                <w:rFonts w:ascii="Arial Narrow" w:eastAsiaTheme="majorEastAsia" w:hAnsi="Arial Narrow" w:cs="Calibri"/>
                <w:bCs/>
                <w:color w:val="000000"/>
                <w:w w:val="15"/>
                <w:sz w:val="20"/>
                <w:szCs w:val="20"/>
                <w:shd w:val="solid" w:color="000000" w:fill="000000"/>
                <w:fitText w:val="70" w:id="-1032066289"/>
                <w14:textFill>
                  <w14:solidFill>
                    <w14:srgbClr w14:val="000000">
                      <w14:alpha w14:val="100000"/>
                    </w14:srgbClr>
                  </w14:solidFill>
                </w14:textFill>
              </w:rPr>
              <w:t>|</w:t>
            </w:r>
            <w:r w:rsidRPr="004E53B2">
              <w:rPr>
                <w:rFonts w:ascii="Arial Narrow" w:eastAsiaTheme="majorEastAsia" w:hAnsi="Arial Narrow" w:cs="Calibri" w:hint="eastAsia"/>
                <w:bCs/>
                <w:color w:val="000000"/>
                <w:spacing w:val="4"/>
                <w:w w:val="15"/>
                <w:sz w:val="20"/>
                <w:szCs w:val="20"/>
                <w:shd w:val="solid" w:color="000000" w:fill="000000"/>
                <w:fitText w:val="70" w:id="-1032066289"/>
                <w14:textFill>
                  <w14:solidFill>
                    <w14:srgbClr w14:val="000000">
                      <w14:alpha w14:val="100000"/>
                    </w14:srgbClr>
                  </w14:solidFill>
                </w14:textFill>
              </w:rPr>
              <w:t xml:space="preserve">　</w:t>
            </w:r>
            <w:r w:rsidR="00D71A55">
              <w:rPr>
                <w:rFonts w:ascii="Arial Narrow" w:eastAsiaTheme="majorEastAsia" w:hAnsi="Arial Narrow" w:cstheme="majorBidi"/>
                <w:bCs/>
                <w:sz w:val="20"/>
                <w:szCs w:val="20"/>
                <w:vertAlign w:val="superscript"/>
              </w:rPr>
              <w:t>3</w:t>
            </w:r>
          </w:p>
        </w:tc>
        <w:tc>
          <w:tcPr>
            <w:tcW w:w="611" w:type="pct"/>
            <w:tcBorders>
              <w:top w:val="single" w:sz="4" w:space="0" w:color="auto"/>
              <w:left w:val="single" w:sz="4" w:space="0" w:color="auto"/>
              <w:bottom w:val="single" w:sz="4" w:space="0" w:color="auto"/>
              <w:right w:val="single" w:sz="4" w:space="0" w:color="auto"/>
            </w:tcBorders>
            <w:vAlign w:val="center"/>
            <w:hideMark/>
          </w:tcPr>
          <w:p w14:paraId="72C9AD55" w14:textId="21AF029F" w:rsidR="00807566" w:rsidRPr="00EA49F0" w:rsidRDefault="004E53B2" w:rsidP="00CE6EE8">
            <w:pPr>
              <w:keepNext/>
              <w:jc w:val="center"/>
              <w:rPr>
                <w:rFonts w:ascii="Arial Narrow" w:eastAsiaTheme="majorEastAsia" w:hAnsi="Arial Narrow" w:cstheme="majorBidi"/>
                <w:bCs/>
                <w:sz w:val="20"/>
                <w:highlight w:val="darkGray"/>
              </w:rPr>
            </w:pPr>
            <w:r>
              <w:rPr>
                <w:rFonts w:ascii="Arial Narrow" w:eastAsiaTheme="majorEastAsia" w:hAnsi="Arial Narrow" w:cs="Calibri"/>
                <w:bCs/>
                <w:color w:val="000000"/>
                <w:sz w:val="20"/>
                <w:szCs w:val="20"/>
              </w:rPr>
              <w:t xml:space="preserve"> </w:t>
            </w:r>
            <w:r w:rsidRPr="004E53B2">
              <w:rPr>
                <w:rFonts w:ascii="Arial Narrow" w:eastAsiaTheme="majorEastAsia" w:hAnsi="Arial Narrow" w:cs="Calibri" w:hint="eastAsia"/>
                <w:bCs/>
                <w:color w:val="000000"/>
                <w:w w:val="15"/>
                <w:sz w:val="20"/>
                <w:szCs w:val="20"/>
                <w:shd w:val="solid" w:color="000000" w:fill="000000"/>
                <w:fitText w:val="70" w:id="-1032066288"/>
                <w14:textFill>
                  <w14:solidFill>
                    <w14:srgbClr w14:val="000000">
                      <w14:alpha w14:val="100000"/>
                    </w14:srgbClr>
                  </w14:solidFill>
                </w14:textFill>
              </w:rPr>
              <w:t xml:space="preserve">　</w:t>
            </w:r>
            <w:r w:rsidRPr="004E53B2">
              <w:rPr>
                <w:rFonts w:ascii="Arial Narrow" w:eastAsiaTheme="majorEastAsia" w:hAnsi="Arial Narrow" w:cs="Calibri"/>
                <w:bCs/>
                <w:color w:val="000000"/>
                <w:w w:val="15"/>
                <w:sz w:val="20"/>
                <w:szCs w:val="20"/>
                <w:shd w:val="solid" w:color="000000" w:fill="000000"/>
                <w:fitText w:val="70" w:id="-1032066288"/>
                <w14:textFill>
                  <w14:solidFill>
                    <w14:srgbClr w14:val="000000">
                      <w14:alpha w14:val="100000"/>
                    </w14:srgbClr>
                  </w14:solidFill>
                </w14:textFill>
              </w:rPr>
              <w:t>|</w:t>
            </w:r>
            <w:r w:rsidRPr="004E53B2">
              <w:rPr>
                <w:rFonts w:ascii="Arial Narrow" w:eastAsiaTheme="majorEastAsia" w:hAnsi="Arial Narrow" w:cs="Calibri" w:hint="eastAsia"/>
                <w:bCs/>
                <w:color w:val="000000"/>
                <w:spacing w:val="4"/>
                <w:w w:val="15"/>
                <w:sz w:val="20"/>
                <w:szCs w:val="20"/>
                <w:shd w:val="solid" w:color="000000" w:fill="000000"/>
                <w:fitText w:val="70" w:id="-1032066288"/>
                <w14:textFill>
                  <w14:solidFill>
                    <w14:srgbClr w14:val="000000">
                      <w14:alpha w14:val="100000"/>
                    </w14:srgbClr>
                  </w14:solidFill>
                </w14:textFill>
              </w:rPr>
              <w:t xml:space="preserve">　</w:t>
            </w:r>
            <w:r w:rsidR="00D71A55">
              <w:rPr>
                <w:rFonts w:ascii="Arial Narrow" w:eastAsiaTheme="majorEastAsia" w:hAnsi="Arial Narrow" w:cstheme="majorBidi"/>
                <w:bCs/>
                <w:sz w:val="20"/>
                <w:szCs w:val="20"/>
                <w:vertAlign w:val="superscript"/>
              </w:rPr>
              <w:t>3</w:t>
            </w:r>
          </w:p>
        </w:tc>
        <w:tc>
          <w:tcPr>
            <w:tcW w:w="612" w:type="pct"/>
            <w:tcBorders>
              <w:top w:val="single" w:sz="4" w:space="0" w:color="auto"/>
              <w:left w:val="single" w:sz="4" w:space="0" w:color="auto"/>
              <w:bottom w:val="single" w:sz="4" w:space="0" w:color="auto"/>
              <w:right w:val="single" w:sz="4" w:space="0" w:color="auto"/>
            </w:tcBorders>
            <w:vAlign w:val="center"/>
            <w:hideMark/>
          </w:tcPr>
          <w:p w14:paraId="3E0B99E7" w14:textId="2DAD5758" w:rsidR="00807566" w:rsidRPr="00EA49F0" w:rsidRDefault="004E53B2" w:rsidP="00CE6EE8">
            <w:pPr>
              <w:keepNext/>
              <w:jc w:val="center"/>
              <w:rPr>
                <w:rFonts w:ascii="Arial Narrow" w:eastAsiaTheme="majorEastAsia" w:hAnsi="Arial Narrow" w:cstheme="majorBidi"/>
                <w:bCs/>
                <w:sz w:val="20"/>
                <w:highlight w:val="darkGray"/>
              </w:rPr>
            </w:pPr>
            <w:r>
              <w:rPr>
                <w:rFonts w:ascii="Arial Narrow" w:eastAsiaTheme="majorEastAsia" w:hAnsi="Arial Narrow" w:cs="Calibri"/>
                <w:bCs/>
                <w:color w:val="000000"/>
                <w:sz w:val="20"/>
                <w:szCs w:val="20"/>
              </w:rPr>
              <w:t xml:space="preserve"> </w:t>
            </w:r>
            <w:r w:rsidRPr="004E53B2">
              <w:rPr>
                <w:rFonts w:ascii="Arial Narrow" w:eastAsiaTheme="majorEastAsia" w:hAnsi="Arial Narrow" w:cs="Calibri" w:hint="eastAsia"/>
                <w:bCs/>
                <w:color w:val="000000"/>
                <w:w w:val="18"/>
                <w:sz w:val="20"/>
                <w:szCs w:val="20"/>
                <w:shd w:val="solid" w:color="000000" w:fill="000000"/>
                <w:fitText w:val="80" w:id="-1032066304"/>
                <w14:textFill>
                  <w14:solidFill>
                    <w14:srgbClr w14:val="000000">
                      <w14:alpha w14:val="100000"/>
                    </w14:srgbClr>
                  </w14:solidFill>
                </w14:textFill>
              </w:rPr>
              <w:t xml:space="preserve">　</w:t>
            </w:r>
            <w:r w:rsidRPr="004E53B2">
              <w:rPr>
                <w:rFonts w:ascii="Arial Narrow" w:eastAsiaTheme="majorEastAsia" w:hAnsi="Arial Narrow" w:cs="Calibri"/>
                <w:bCs/>
                <w:color w:val="000000"/>
                <w:w w:val="18"/>
                <w:sz w:val="20"/>
                <w:szCs w:val="20"/>
                <w:shd w:val="solid" w:color="000000" w:fill="000000"/>
                <w:fitText w:val="80" w:id="-1032066304"/>
                <w14:textFill>
                  <w14:solidFill>
                    <w14:srgbClr w14:val="000000">
                      <w14:alpha w14:val="100000"/>
                    </w14:srgbClr>
                  </w14:solidFill>
                </w14:textFill>
              </w:rPr>
              <w:t>|</w:t>
            </w:r>
            <w:r w:rsidRPr="004E53B2">
              <w:rPr>
                <w:rFonts w:ascii="Arial Narrow" w:eastAsiaTheme="majorEastAsia" w:hAnsi="Arial Narrow" w:cs="Calibri" w:hint="eastAsia"/>
                <w:bCs/>
                <w:color w:val="000000"/>
                <w:w w:val="18"/>
                <w:sz w:val="20"/>
                <w:szCs w:val="20"/>
                <w:shd w:val="solid" w:color="000000" w:fill="000000"/>
                <w:fitText w:val="80" w:id="-1032066304"/>
                <w14:textFill>
                  <w14:solidFill>
                    <w14:srgbClr w14:val="000000">
                      <w14:alpha w14:val="100000"/>
                    </w14:srgbClr>
                  </w14:solidFill>
                </w14:textFill>
              </w:rPr>
              <w:t xml:space="preserve">　</w:t>
            </w:r>
            <w:r w:rsidR="00D71A55">
              <w:rPr>
                <w:rFonts w:ascii="Arial Narrow" w:eastAsiaTheme="majorEastAsia" w:hAnsi="Arial Narrow" w:cstheme="majorBidi"/>
                <w:bCs/>
                <w:sz w:val="20"/>
                <w:szCs w:val="20"/>
                <w:vertAlign w:val="superscript"/>
              </w:rPr>
              <w:t>3</w:t>
            </w:r>
          </w:p>
        </w:tc>
      </w:tr>
      <w:tr w:rsidR="00CE6EE8" w:rsidRPr="00F91CC3" w14:paraId="2873DFAE" w14:textId="77777777" w:rsidTr="00CE6EE8">
        <w:tc>
          <w:tcPr>
            <w:tcW w:w="1333" w:type="pct"/>
            <w:tcBorders>
              <w:top w:val="single" w:sz="4" w:space="0" w:color="auto"/>
              <w:left w:val="single" w:sz="4" w:space="0" w:color="auto"/>
              <w:bottom w:val="single" w:sz="4" w:space="0" w:color="auto"/>
              <w:right w:val="single" w:sz="4" w:space="0" w:color="auto"/>
            </w:tcBorders>
            <w:vAlign w:val="center"/>
            <w:hideMark/>
          </w:tcPr>
          <w:p w14:paraId="7572BC86" w14:textId="0D61FA00" w:rsidR="00807566" w:rsidRPr="00F91CC3" w:rsidRDefault="00807566" w:rsidP="00CE6EE8">
            <w:pPr>
              <w:keepNext/>
              <w:jc w:val="left"/>
              <w:rPr>
                <w:rFonts w:ascii="Times" w:eastAsiaTheme="majorEastAsia" w:hAnsi="Times" w:cstheme="majorBidi"/>
                <w:bCs/>
                <w:sz w:val="20"/>
                <w:vertAlign w:val="superscript"/>
              </w:rPr>
            </w:pPr>
            <w:r w:rsidRPr="00F91CC3">
              <w:rPr>
                <w:rFonts w:ascii="Arial Narrow" w:eastAsiaTheme="majorEastAsia" w:hAnsi="Arial Narrow" w:cstheme="majorBidi"/>
                <w:bCs/>
                <w:sz w:val="19"/>
                <w:szCs w:val="19"/>
              </w:rPr>
              <w:t xml:space="preserve">Net cost to MBS </w:t>
            </w:r>
            <w:r w:rsidR="00EA2BA1" w:rsidRPr="00F91CC3">
              <w:rPr>
                <w:rFonts w:ascii="Arial Narrow" w:eastAsiaTheme="majorEastAsia" w:hAnsi="Arial Narrow" w:cstheme="majorBidi"/>
                <w:bCs/>
                <w:sz w:val="19"/>
                <w:szCs w:val="19"/>
                <w:vertAlign w:val="superscript"/>
              </w:rPr>
              <w:t>f</w:t>
            </w:r>
          </w:p>
        </w:tc>
        <w:tc>
          <w:tcPr>
            <w:tcW w:w="611" w:type="pct"/>
            <w:tcBorders>
              <w:top w:val="single" w:sz="4" w:space="0" w:color="auto"/>
              <w:left w:val="single" w:sz="4" w:space="0" w:color="auto"/>
              <w:bottom w:val="single" w:sz="4" w:space="0" w:color="auto"/>
              <w:right w:val="single" w:sz="4" w:space="0" w:color="auto"/>
            </w:tcBorders>
            <w:vAlign w:val="center"/>
            <w:hideMark/>
          </w:tcPr>
          <w:p w14:paraId="4DB76022" w14:textId="2670895E" w:rsidR="00807566" w:rsidRPr="00EA49F0" w:rsidRDefault="004E53B2" w:rsidP="00CE6EE8">
            <w:pPr>
              <w:keepNext/>
              <w:jc w:val="center"/>
              <w:rPr>
                <w:rFonts w:ascii="Arial Narrow" w:eastAsiaTheme="majorEastAsia" w:hAnsi="Arial Narrow" w:cstheme="majorBidi"/>
                <w:bCs/>
                <w:sz w:val="20"/>
                <w:highlight w:val="darkGray"/>
              </w:rPr>
            </w:pPr>
            <w:r>
              <w:rPr>
                <w:rFonts w:ascii="Arial Narrow" w:eastAsiaTheme="majorEastAsia" w:hAnsi="Arial Narrow" w:cs="Calibri"/>
                <w:bCs/>
                <w:color w:val="000000"/>
                <w:sz w:val="20"/>
                <w:szCs w:val="20"/>
              </w:rPr>
              <w:t xml:space="preserve"> </w:t>
            </w:r>
            <w:r w:rsidRPr="004E53B2">
              <w:rPr>
                <w:rFonts w:ascii="Arial Narrow" w:eastAsiaTheme="majorEastAsia" w:hAnsi="Arial Narrow" w:cs="Calibri" w:hint="eastAsia"/>
                <w:bCs/>
                <w:color w:val="000000"/>
                <w:w w:val="15"/>
                <w:sz w:val="20"/>
                <w:szCs w:val="20"/>
                <w:shd w:val="solid" w:color="000000" w:fill="000000"/>
                <w:fitText w:val="70" w:id="-1032066303"/>
                <w14:textFill>
                  <w14:solidFill>
                    <w14:srgbClr w14:val="000000">
                      <w14:alpha w14:val="100000"/>
                    </w14:srgbClr>
                  </w14:solidFill>
                </w14:textFill>
              </w:rPr>
              <w:t xml:space="preserve">　</w:t>
            </w:r>
            <w:r w:rsidRPr="004E53B2">
              <w:rPr>
                <w:rFonts w:ascii="Arial Narrow" w:eastAsiaTheme="majorEastAsia" w:hAnsi="Arial Narrow" w:cs="Calibri"/>
                <w:bCs/>
                <w:color w:val="000000"/>
                <w:w w:val="15"/>
                <w:sz w:val="20"/>
                <w:szCs w:val="20"/>
                <w:shd w:val="solid" w:color="000000" w:fill="000000"/>
                <w:fitText w:val="70" w:id="-1032066303"/>
                <w14:textFill>
                  <w14:solidFill>
                    <w14:srgbClr w14:val="000000">
                      <w14:alpha w14:val="100000"/>
                    </w14:srgbClr>
                  </w14:solidFill>
                </w14:textFill>
              </w:rPr>
              <w:t>|</w:t>
            </w:r>
            <w:r w:rsidRPr="004E53B2">
              <w:rPr>
                <w:rFonts w:ascii="Arial Narrow" w:eastAsiaTheme="majorEastAsia" w:hAnsi="Arial Narrow" w:cs="Calibri" w:hint="eastAsia"/>
                <w:bCs/>
                <w:color w:val="000000"/>
                <w:spacing w:val="4"/>
                <w:w w:val="15"/>
                <w:sz w:val="20"/>
                <w:szCs w:val="20"/>
                <w:shd w:val="solid" w:color="000000" w:fill="000000"/>
                <w:fitText w:val="70" w:id="-1032066303"/>
                <w14:textFill>
                  <w14:solidFill>
                    <w14:srgbClr w14:val="000000">
                      <w14:alpha w14:val="100000"/>
                    </w14:srgbClr>
                  </w14:solidFill>
                </w14:textFill>
              </w:rPr>
              <w:t xml:space="preserve">　</w:t>
            </w:r>
            <w:r w:rsidR="00D71A55">
              <w:rPr>
                <w:rFonts w:ascii="Arial Narrow" w:eastAsiaTheme="majorEastAsia" w:hAnsi="Arial Narrow" w:cstheme="majorBidi"/>
                <w:bCs/>
                <w:sz w:val="20"/>
                <w:szCs w:val="20"/>
                <w:vertAlign w:val="superscript"/>
              </w:rPr>
              <w:t>2</w:t>
            </w:r>
          </w:p>
        </w:tc>
        <w:tc>
          <w:tcPr>
            <w:tcW w:w="611" w:type="pct"/>
            <w:tcBorders>
              <w:top w:val="single" w:sz="4" w:space="0" w:color="auto"/>
              <w:left w:val="single" w:sz="4" w:space="0" w:color="auto"/>
              <w:bottom w:val="single" w:sz="4" w:space="0" w:color="auto"/>
              <w:right w:val="single" w:sz="4" w:space="0" w:color="auto"/>
            </w:tcBorders>
            <w:vAlign w:val="center"/>
            <w:hideMark/>
          </w:tcPr>
          <w:p w14:paraId="0EEFD125" w14:textId="5A2F98BC" w:rsidR="00807566" w:rsidRPr="00EA49F0" w:rsidRDefault="004E53B2" w:rsidP="00CE6EE8">
            <w:pPr>
              <w:keepNext/>
              <w:jc w:val="center"/>
              <w:rPr>
                <w:rFonts w:ascii="Arial Narrow" w:eastAsiaTheme="majorEastAsia" w:hAnsi="Arial Narrow" w:cstheme="majorBidi"/>
                <w:bCs/>
                <w:sz w:val="20"/>
                <w:highlight w:val="darkGray"/>
              </w:rPr>
            </w:pPr>
            <w:r>
              <w:rPr>
                <w:rFonts w:ascii="Arial Narrow" w:eastAsiaTheme="majorEastAsia" w:hAnsi="Arial Narrow" w:cs="Calibri"/>
                <w:bCs/>
                <w:color w:val="000000"/>
                <w:sz w:val="20"/>
                <w:szCs w:val="20"/>
              </w:rPr>
              <w:t xml:space="preserve"> </w:t>
            </w:r>
            <w:r w:rsidRPr="004E53B2">
              <w:rPr>
                <w:rFonts w:ascii="Arial Narrow" w:eastAsiaTheme="majorEastAsia" w:hAnsi="Arial Narrow" w:cs="Calibri" w:hint="eastAsia"/>
                <w:bCs/>
                <w:color w:val="000000"/>
                <w:w w:val="15"/>
                <w:sz w:val="20"/>
                <w:szCs w:val="20"/>
                <w:shd w:val="solid" w:color="000000" w:fill="000000"/>
                <w:fitText w:val="70" w:id="-1032066302"/>
                <w14:textFill>
                  <w14:solidFill>
                    <w14:srgbClr w14:val="000000">
                      <w14:alpha w14:val="100000"/>
                    </w14:srgbClr>
                  </w14:solidFill>
                </w14:textFill>
              </w:rPr>
              <w:t xml:space="preserve">　</w:t>
            </w:r>
            <w:r w:rsidRPr="004E53B2">
              <w:rPr>
                <w:rFonts w:ascii="Arial Narrow" w:eastAsiaTheme="majorEastAsia" w:hAnsi="Arial Narrow" w:cs="Calibri"/>
                <w:bCs/>
                <w:color w:val="000000"/>
                <w:w w:val="15"/>
                <w:sz w:val="20"/>
                <w:szCs w:val="20"/>
                <w:shd w:val="solid" w:color="000000" w:fill="000000"/>
                <w:fitText w:val="70" w:id="-1032066302"/>
                <w14:textFill>
                  <w14:solidFill>
                    <w14:srgbClr w14:val="000000">
                      <w14:alpha w14:val="100000"/>
                    </w14:srgbClr>
                  </w14:solidFill>
                </w14:textFill>
              </w:rPr>
              <w:t>|</w:t>
            </w:r>
            <w:r w:rsidRPr="004E53B2">
              <w:rPr>
                <w:rFonts w:ascii="Arial Narrow" w:eastAsiaTheme="majorEastAsia" w:hAnsi="Arial Narrow" w:cs="Calibri" w:hint="eastAsia"/>
                <w:bCs/>
                <w:color w:val="000000"/>
                <w:spacing w:val="4"/>
                <w:w w:val="15"/>
                <w:sz w:val="20"/>
                <w:szCs w:val="20"/>
                <w:shd w:val="solid" w:color="000000" w:fill="000000"/>
                <w:fitText w:val="70" w:id="-1032066302"/>
                <w14:textFill>
                  <w14:solidFill>
                    <w14:srgbClr w14:val="000000">
                      <w14:alpha w14:val="100000"/>
                    </w14:srgbClr>
                  </w14:solidFill>
                </w14:textFill>
              </w:rPr>
              <w:t xml:space="preserve">　</w:t>
            </w:r>
            <w:r w:rsidR="00D71A55">
              <w:rPr>
                <w:rFonts w:ascii="Arial Narrow" w:eastAsiaTheme="majorEastAsia" w:hAnsi="Arial Narrow" w:cstheme="majorBidi"/>
                <w:bCs/>
                <w:sz w:val="20"/>
                <w:szCs w:val="20"/>
                <w:vertAlign w:val="superscript"/>
              </w:rPr>
              <w:t>2</w:t>
            </w:r>
          </w:p>
        </w:tc>
        <w:tc>
          <w:tcPr>
            <w:tcW w:w="611" w:type="pct"/>
            <w:tcBorders>
              <w:top w:val="single" w:sz="4" w:space="0" w:color="auto"/>
              <w:left w:val="single" w:sz="4" w:space="0" w:color="auto"/>
              <w:bottom w:val="single" w:sz="4" w:space="0" w:color="auto"/>
              <w:right w:val="single" w:sz="4" w:space="0" w:color="auto"/>
            </w:tcBorders>
            <w:vAlign w:val="center"/>
            <w:hideMark/>
          </w:tcPr>
          <w:p w14:paraId="21373549" w14:textId="3502C95F" w:rsidR="00807566" w:rsidRPr="00EA49F0" w:rsidRDefault="004E53B2" w:rsidP="00CE6EE8">
            <w:pPr>
              <w:keepNext/>
              <w:jc w:val="center"/>
              <w:rPr>
                <w:rFonts w:ascii="Arial Narrow" w:eastAsiaTheme="majorEastAsia" w:hAnsi="Arial Narrow" w:cstheme="majorBidi"/>
                <w:bCs/>
                <w:sz w:val="20"/>
                <w:highlight w:val="darkGray"/>
              </w:rPr>
            </w:pPr>
            <w:r>
              <w:rPr>
                <w:rFonts w:ascii="Arial Narrow" w:eastAsiaTheme="majorEastAsia" w:hAnsi="Arial Narrow" w:cs="Calibri"/>
                <w:bCs/>
                <w:color w:val="000000"/>
                <w:sz w:val="20"/>
                <w:szCs w:val="20"/>
              </w:rPr>
              <w:t xml:space="preserve"> </w:t>
            </w:r>
            <w:r w:rsidRPr="004E53B2">
              <w:rPr>
                <w:rFonts w:ascii="Arial Narrow" w:eastAsiaTheme="majorEastAsia" w:hAnsi="Arial Narrow" w:cs="Calibri" w:hint="eastAsia"/>
                <w:bCs/>
                <w:color w:val="000000"/>
                <w:w w:val="15"/>
                <w:sz w:val="20"/>
                <w:szCs w:val="20"/>
                <w:shd w:val="solid" w:color="000000" w:fill="000000"/>
                <w:fitText w:val="70" w:id="-1032066301"/>
                <w14:textFill>
                  <w14:solidFill>
                    <w14:srgbClr w14:val="000000">
                      <w14:alpha w14:val="100000"/>
                    </w14:srgbClr>
                  </w14:solidFill>
                </w14:textFill>
              </w:rPr>
              <w:t xml:space="preserve">　</w:t>
            </w:r>
            <w:r w:rsidRPr="004E53B2">
              <w:rPr>
                <w:rFonts w:ascii="Arial Narrow" w:eastAsiaTheme="majorEastAsia" w:hAnsi="Arial Narrow" w:cs="Calibri"/>
                <w:bCs/>
                <w:color w:val="000000"/>
                <w:w w:val="15"/>
                <w:sz w:val="20"/>
                <w:szCs w:val="20"/>
                <w:shd w:val="solid" w:color="000000" w:fill="000000"/>
                <w:fitText w:val="70" w:id="-1032066301"/>
                <w14:textFill>
                  <w14:solidFill>
                    <w14:srgbClr w14:val="000000">
                      <w14:alpha w14:val="100000"/>
                    </w14:srgbClr>
                  </w14:solidFill>
                </w14:textFill>
              </w:rPr>
              <w:t>|</w:t>
            </w:r>
            <w:r w:rsidRPr="004E53B2">
              <w:rPr>
                <w:rFonts w:ascii="Arial Narrow" w:eastAsiaTheme="majorEastAsia" w:hAnsi="Arial Narrow" w:cs="Calibri" w:hint="eastAsia"/>
                <w:bCs/>
                <w:color w:val="000000"/>
                <w:spacing w:val="4"/>
                <w:w w:val="15"/>
                <w:sz w:val="20"/>
                <w:szCs w:val="20"/>
                <w:shd w:val="solid" w:color="000000" w:fill="000000"/>
                <w:fitText w:val="70" w:id="-1032066301"/>
                <w14:textFill>
                  <w14:solidFill>
                    <w14:srgbClr w14:val="000000">
                      <w14:alpha w14:val="100000"/>
                    </w14:srgbClr>
                  </w14:solidFill>
                </w14:textFill>
              </w:rPr>
              <w:t xml:space="preserve">　</w:t>
            </w:r>
            <w:r w:rsidR="00D71A55">
              <w:rPr>
                <w:rFonts w:ascii="Arial Narrow" w:eastAsiaTheme="majorEastAsia" w:hAnsi="Arial Narrow" w:cstheme="majorBidi"/>
                <w:bCs/>
                <w:sz w:val="20"/>
                <w:szCs w:val="20"/>
                <w:vertAlign w:val="superscript"/>
              </w:rPr>
              <w:t>2</w:t>
            </w:r>
          </w:p>
        </w:tc>
        <w:tc>
          <w:tcPr>
            <w:tcW w:w="611" w:type="pct"/>
            <w:tcBorders>
              <w:top w:val="single" w:sz="4" w:space="0" w:color="auto"/>
              <w:left w:val="single" w:sz="4" w:space="0" w:color="auto"/>
              <w:bottom w:val="single" w:sz="4" w:space="0" w:color="auto"/>
              <w:right w:val="single" w:sz="4" w:space="0" w:color="auto"/>
            </w:tcBorders>
            <w:vAlign w:val="center"/>
            <w:hideMark/>
          </w:tcPr>
          <w:p w14:paraId="5E03F7E0" w14:textId="6AA86EE7" w:rsidR="00807566" w:rsidRPr="00EA49F0" w:rsidRDefault="004E53B2" w:rsidP="00CE6EE8">
            <w:pPr>
              <w:keepNext/>
              <w:jc w:val="center"/>
              <w:rPr>
                <w:rFonts w:ascii="Arial Narrow" w:eastAsiaTheme="majorEastAsia" w:hAnsi="Arial Narrow" w:cstheme="majorBidi"/>
                <w:bCs/>
                <w:sz w:val="20"/>
                <w:highlight w:val="darkGray"/>
              </w:rPr>
            </w:pPr>
            <w:r>
              <w:rPr>
                <w:rFonts w:ascii="Arial Narrow" w:eastAsiaTheme="majorEastAsia" w:hAnsi="Arial Narrow" w:cs="Calibri"/>
                <w:bCs/>
                <w:color w:val="000000"/>
                <w:sz w:val="20"/>
                <w:szCs w:val="20"/>
              </w:rPr>
              <w:t xml:space="preserve"> </w:t>
            </w:r>
            <w:r w:rsidRPr="004E53B2">
              <w:rPr>
                <w:rFonts w:ascii="Arial Narrow" w:eastAsiaTheme="majorEastAsia" w:hAnsi="Arial Narrow" w:cs="Calibri" w:hint="eastAsia"/>
                <w:bCs/>
                <w:color w:val="000000"/>
                <w:w w:val="15"/>
                <w:sz w:val="20"/>
                <w:szCs w:val="20"/>
                <w:shd w:val="solid" w:color="000000" w:fill="000000"/>
                <w:fitText w:val="70" w:id="-1032066300"/>
                <w14:textFill>
                  <w14:solidFill>
                    <w14:srgbClr w14:val="000000">
                      <w14:alpha w14:val="100000"/>
                    </w14:srgbClr>
                  </w14:solidFill>
                </w14:textFill>
              </w:rPr>
              <w:t xml:space="preserve">　</w:t>
            </w:r>
            <w:r w:rsidRPr="004E53B2">
              <w:rPr>
                <w:rFonts w:ascii="Arial Narrow" w:eastAsiaTheme="majorEastAsia" w:hAnsi="Arial Narrow" w:cs="Calibri"/>
                <w:bCs/>
                <w:color w:val="000000"/>
                <w:w w:val="15"/>
                <w:sz w:val="20"/>
                <w:szCs w:val="20"/>
                <w:shd w:val="solid" w:color="000000" w:fill="000000"/>
                <w:fitText w:val="70" w:id="-1032066300"/>
                <w14:textFill>
                  <w14:solidFill>
                    <w14:srgbClr w14:val="000000">
                      <w14:alpha w14:val="100000"/>
                    </w14:srgbClr>
                  </w14:solidFill>
                </w14:textFill>
              </w:rPr>
              <w:t>|</w:t>
            </w:r>
            <w:r w:rsidRPr="004E53B2">
              <w:rPr>
                <w:rFonts w:ascii="Arial Narrow" w:eastAsiaTheme="majorEastAsia" w:hAnsi="Arial Narrow" w:cs="Calibri" w:hint="eastAsia"/>
                <w:bCs/>
                <w:color w:val="000000"/>
                <w:spacing w:val="4"/>
                <w:w w:val="15"/>
                <w:sz w:val="20"/>
                <w:szCs w:val="20"/>
                <w:shd w:val="solid" w:color="000000" w:fill="000000"/>
                <w:fitText w:val="70" w:id="-1032066300"/>
                <w14:textFill>
                  <w14:solidFill>
                    <w14:srgbClr w14:val="000000">
                      <w14:alpha w14:val="100000"/>
                    </w14:srgbClr>
                  </w14:solidFill>
                </w14:textFill>
              </w:rPr>
              <w:t xml:space="preserve">　</w:t>
            </w:r>
            <w:r w:rsidR="00D71A55">
              <w:rPr>
                <w:rFonts w:ascii="Arial Narrow" w:eastAsiaTheme="majorEastAsia" w:hAnsi="Arial Narrow" w:cstheme="majorBidi"/>
                <w:bCs/>
                <w:sz w:val="20"/>
                <w:szCs w:val="20"/>
                <w:vertAlign w:val="superscript"/>
              </w:rPr>
              <w:t>2</w:t>
            </w:r>
          </w:p>
        </w:tc>
        <w:tc>
          <w:tcPr>
            <w:tcW w:w="611" w:type="pct"/>
            <w:tcBorders>
              <w:top w:val="single" w:sz="4" w:space="0" w:color="auto"/>
              <w:left w:val="single" w:sz="4" w:space="0" w:color="auto"/>
              <w:bottom w:val="single" w:sz="4" w:space="0" w:color="auto"/>
              <w:right w:val="single" w:sz="4" w:space="0" w:color="auto"/>
            </w:tcBorders>
            <w:vAlign w:val="center"/>
            <w:hideMark/>
          </w:tcPr>
          <w:p w14:paraId="59493BB8" w14:textId="4049888F" w:rsidR="00807566" w:rsidRPr="00EA49F0" w:rsidRDefault="004E53B2" w:rsidP="00CE6EE8">
            <w:pPr>
              <w:keepNext/>
              <w:jc w:val="center"/>
              <w:rPr>
                <w:rFonts w:ascii="Arial Narrow" w:eastAsiaTheme="majorEastAsia" w:hAnsi="Arial Narrow" w:cstheme="majorBidi"/>
                <w:bCs/>
                <w:sz w:val="20"/>
                <w:highlight w:val="darkGray"/>
              </w:rPr>
            </w:pPr>
            <w:r>
              <w:rPr>
                <w:rFonts w:ascii="Arial Narrow" w:eastAsiaTheme="majorEastAsia" w:hAnsi="Arial Narrow" w:cs="Calibri"/>
                <w:bCs/>
                <w:color w:val="000000"/>
                <w:sz w:val="20"/>
                <w:szCs w:val="20"/>
              </w:rPr>
              <w:t xml:space="preserve"> </w:t>
            </w:r>
            <w:r w:rsidRPr="004E53B2">
              <w:rPr>
                <w:rFonts w:ascii="Arial Narrow" w:eastAsiaTheme="majorEastAsia" w:hAnsi="Arial Narrow" w:cs="Calibri" w:hint="eastAsia"/>
                <w:bCs/>
                <w:color w:val="000000"/>
                <w:w w:val="15"/>
                <w:sz w:val="20"/>
                <w:szCs w:val="20"/>
                <w:shd w:val="solid" w:color="000000" w:fill="000000"/>
                <w:fitText w:val="70" w:id="-1032066299"/>
                <w14:textFill>
                  <w14:solidFill>
                    <w14:srgbClr w14:val="000000">
                      <w14:alpha w14:val="100000"/>
                    </w14:srgbClr>
                  </w14:solidFill>
                </w14:textFill>
              </w:rPr>
              <w:t xml:space="preserve">　</w:t>
            </w:r>
            <w:r w:rsidRPr="004E53B2">
              <w:rPr>
                <w:rFonts w:ascii="Arial Narrow" w:eastAsiaTheme="majorEastAsia" w:hAnsi="Arial Narrow" w:cs="Calibri"/>
                <w:bCs/>
                <w:color w:val="000000"/>
                <w:w w:val="15"/>
                <w:sz w:val="20"/>
                <w:szCs w:val="20"/>
                <w:shd w:val="solid" w:color="000000" w:fill="000000"/>
                <w:fitText w:val="70" w:id="-1032066299"/>
                <w14:textFill>
                  <w14:solidFill>
                    <w14:srgbClr w14:val="000000">
                      <w14:alpha w14:val="100000"/>
                    </w14:srgbClr>
                  </w14:solidFill>
                </w14:textFill>
              </w:rPr>
              <w:t>|</w:t>
            </w:r>
            <w:r w:rsidRPr="004E53B2">
              <w:rPr>
                <w:rFonts w:ascii="Arial Narrow" w:eastAsiaTheme="majorEastAsia" w:hAnsi="Arial Narrow" w:cs="Calibri" w:hint="eastAsia"/>
                <w:bCs/>
                <w:color w:val="000000"/>
                <w:spacing w:val="4"/>
                <w:w w:val="15"/>
                <w:sz w:val="20"/>
                <w:szCs w:val="20"/>
                <w:shd w:val="solid" w:color="000000" w:fill="000000"/>
                <w:fitText w:val="70" w:id="-1032066299"/>
                <w14:textFill>
                  <w14:solidFill>
                    <w14:srgbClr w14:val="000000">
                      <w14:alpha w14:val="100000"/>
                    </w14:srgbClr>
                  </w14:solidFill>
                </w14:textFill>
              </w:rPr>
              <w:t xml:space="preserve">　</w:t>
            </w:r>
            <w:r w:rsidR="00D71A55">
              <w:rPr>
                <w:rFonts w:ascii="Arial Narrow" w:eastAsiaTheme="majorEastAsia" w:hAnsi="Arial Narrow" w:cstheme="majorBidi"/>
                <w:bCs/>
                <w:sz w:val="20"/>
                <w:szCs w:val="20"/>
                <w:vertAlign w:val="superscript"/>
              </w:rPr>
              <w:t>2</w:t>
            </w:r>
          </w:p>
        </w:tc>
        <w:tc>
          <w:tcPr>
            <w:tcW w:w="612" w:type="pct"/>
            <w:tcBorders>
              <w:top w:val="single" w:sz="4" w:space="0" w:color="auto"/>
              <w:left w:val="single" w:sz="4" w:space="0" w:color="auto"/>
              <w:bottom w:val="single" w:sz="4" w:space="0" w:color="auto"/>
              <w:right w:val="single" w:sz="4" w:space="0" w:color="auto"/>
            </w:tcBorders>
            <w:vAlign w:val="center"/>
            <w:hideMark/>
          </w:tcPr>
          <w:p w14:paraId="6984D889" w14:textId="5DC5FDBC" w:rsidR="00807566" w:rsidRPr="00EA49F0" w:rsidRDefault="004E53B2" w:rsidP="00CE6EE8">
            <w:pPr>
              <w:keepNext/>
              <w:jc w:val="center"/>
              <w:rPr>
                <w:rFonts w:ascii="Arial Narrow" w:eastAsiaTheme="majorEastAsia" w:hAnsi="Arial Narrow" w:cstheme="majorBidi"/>
                <w:bCs/>
                <w:sz w:val="20"/>
                <w:highlight w:val="darkGray"/>
              </w:rPr>
            </w:pPr>
            <w:r>
              <w:rPr>
                <w:rFonts w:ascii="Arial Narrow" w:eastAsiaTheme="majorEastAsia" w:hAnsi="Arial Narrow" w:cs="Calibri"/>
                <w:bCs/>
                <w:color w:val="000000"/>
                <w:sz w:val="20"/>
                <w:szCs w:val="20"/>
              </w:rPr>
              <w:t xml:space="preserve"> </w:t>
            </w:r>
            <w:r w:rsidRPr="004E53B2">
              <w:rPr>
                <w:rFonts w:ascii="Arial Narrow" w:eastAsiaTheme="majorEastAsia" w:hAnsi="Arial Narrow" w:cs="Calibri" w:hint="eastAsia"/>
                <w:bCs/>
                <w:color w:val="000000"/>
                <w:w w:val="18"/>
                <w:sz w:val="20"/>
                <w:szCs w:val="20"/>
                <w:shd w:val="solid" w:color="000000" w:fill="000000"/>
                <w:fitText w:val="80" w:id="-1032066298"/>
                <w14:textFill>
                  <w14:solidFill>
                    <w14:srgbClr w14:val="000000">
                      <w14:alpha w14:val="100000"/>
                    </w14:srgbClr>
                  </w14:solidFill>
                </w14:textFill>
              </w:rPr>
              <w:t xml:space="preserve">　</w:t>
            </w:r>
            <w:r w:rsidRPr="004E53B2">
              <w:rPr>
                <w:rFonts w:ascii="Arial Narrow" w:eastAsiaTheme="majorEastAsia" w:hAnsi="Arial Narrow" w:cs="Calibri"/>
                <w:bCs/>
                <w:color w:val="000000"/>
                <w:w w:val="18"/>
                <w:sz w:val="20"/>
                <w:szCs w:val="20"/>
                <w:shd w:val="solid" w:color="000000" w:fill="000000"/>
                <w:fitText w:val="80" w:id="-1032066298"/>
                <w14:textFill>
                  <w14:solidFill>
                    <w14:srgbClr w14:val="000000">
                      <w14:alpha w14:val="100000"/>
                    </w14:srgbClr>
                  </w14:solidFill>
                </w14:textFill>
              </w:rPr>
              <w:t>|</w:t>
            </w:r>
            <w:r w:rsidRPr="004E53B2">
              <w:rPr>
                <w:rFonts w:ascii="Arial Narrow" w:eastAsiaTheme="majorEastAsia" w:hAnsi="Arial Narrow" w:cs="Calibri" w:hint="eastAsia"/>
                <w:bCs/>
                <w:color w:val="000000"/>
                <w:w w:val="18"/>
                <w:sz w:val="20"/>
                <w:szCs w:val="20"/>
                <w:shd w:val="solid" w:color="000000" w:fill="000000"/>
                <w:fitText w:val="80" w:id="-1032066298"/>
                <w14:textFill>
                  <w14:solidFill>
                    <w14:srgbClr w14:val="000000">
                      <w14:alpha w14:val="100000"/>
                    </w14:srgbClr>
                  </w14:solidFill>
                </w14:textFill>
              </w:rPr>
              <w:t xml:space="preserve">　</w:t>
            </w:r>
            <w:r w:rsidR="00D71A55">
              <w:rPr>
                <w:rFonts w:ascii="Arial Narrow" w:eastAsiaTheme="majorEastAsia" w:hAnsi="Arial Narrow" w:cstheme="majorBidi"/>
                <w:bCs/>
                <w:sz w:val="20"/>
                <w:szCs w:val="20"/>
                <w:vertAlign w:val="superscript"/>
              </w:rPr>
              <w:t>2</w:t>
            </w:r>
          </w:p>
        </w:tc>
      </w:tr>
      <w:tr w:rsidR="00CE6EE8" w:rsidRPr="00F91CC3" w14:paraId="5E65535F" w14:textId="77777777" w:rsidTr="00CE6EE8">
        <w:tc>
          <w:tcPr>
            <w:tcW w:w="1333" w:type="pct"/>
            <w:tcBorders>
              <w:top w:val="single" w:sz="4" w:space="0" w:color="auto"/>
              <w:left w:val="single" w:sz="4" w:space="0" w:color="auto"/>
              <w:bottom w:val="single" w:sz="4" w:space="0" w:color="auto"/>
              <w:right w:val="single" w:sz="4" w:space="0" w:color="auto"/>
            </w:tcBorders>
            <w:vAlign w:val="center"/>
            <w:hideMark/>
          </w:tcPr>
          <w:p w14:paraId="0058DCDF" w14:textId="77777777" w:rsidR="00807566" w:rsidRPr="00F91CC3" w:rsidRDefault="00807566" w:rsidP="00CE6EE8">
            <w:pPr>
              <w:keepNext/>
              <w:jc w:val="left"/>
              <w:rPr>
                <w:rFonts w:ascii="Arial Narrow" w:eastAsiaTheme="majorEastAsia" w:hAnsi="Arial Narrow" w:cstheme="majorBidi"/>
                <w:bCs/>
                <w:sz w:val="19"/>
                <w:szCs w:val="19"/>
              </w:rPr>
            </w:pPr>
            <w:r w:rsidRPr="00F91CC3">
              <w:rPr>
                <w:rFonts w:ascii="Arial Narrow" w:eastAsiaTheme="majorEastAsia" w:hAnsi="Arial Narrow" w:cstheme="majorBidi"/>
                <w:bCs/>
                <w:sz w:val="19"/>
                <w:szCs w:val="19"/>
              </w:rPr>
              <w:t>Net cost to Government</w:t>
            </w:r>
          </w:p>
        </w:tc>
        <w:tc>
          <w:tcPr>
            <w:tcW w:w="611" w:type="pct"/>
            <w:tcBorders>
              <w:top w:val="single" w:sz="4" w:space="0" w:color="auto"/>
              <w:left w:val="single" w:sz="4" w:space="0" w:color="auto"/>
              <w:bottom w:val="single" w:sz="4" w:space="0" w:color="auto"/>
              <w:right w:val="single" w:sz="4" w:space="0" w:color="auto"/>
            </w:tcBorders>
            <w:vAlign w:val="center"/>
            <w:hideMark/>
          </w:tcPr>
          <w:p w14:paraId="6C1E1580" w14:textId="5F279849" w:rsidR="00807566" w:rsidRPr="00EA49F0" w:rsidRDefault="004E53B2" w:rsidP="00CE6EE8">
            <w:pPr>
              <w:keepNext/>
              <w:jc w:val="center"/>
              <w:rPr>
                <w:rFonts w:ascii="Arial Narrow" w:eastAsiaTheme="majorEastAsia" w:hAnsi="Arial Narrow" w:cstheme="majorBidi"/>
                <w:bCs/>
                <w:sz w:val="20"/>
                <w:highlight w:val="darkGray"/>
              </w:rPr>
            </w:pPr>
            <w:r>
              <w:rPr>
                <w:rFonts w:ascii="Arial Narrow" w:eastAsiaTheme="majorEastAsia" w:hAnsi="Arial Narrow" w:cs="Calibri"/>
                <w:bCs/>
                <w:color w:val="000000"/>
                <w:sz w:val="20"/>
                <w:szCs w:val="20"/>
              </w:rPr>
              <w:t xml:space="preserve"> </w:t>
            </w:r>
            <w:r w:rsidRPr="004E53B2">
              <w:rPr>
                <w:rFonts w:ascii="Arial Narrow" w:eastAsiaTheme="majorEastAsia" w:hAnsi="Arial Narrow" w:cs="Calibri" w:hint="eastAsia"/>
                <w:bCs/>
                <w:color w:val="000000"/>
                <w:w w:val="15"/>
                <w:sz w:val="20"/>
                <w:szCs w:val="20"/>
                <w:shd w:val="solid" w:color="000000" w:fill="000000"/>
                <w:fitText w:val="70" w:id="-1032066297"/>
                <w14:textFill>
                  <w14:solidFill>
                    <w14:srgbClr w14:val="000000">
                      <w14:alpha w14:val="100000"/>
                    </w14:srgbClr>
                  </w14:solidFill>
                </w14:textFill>
              </w:rPr>
              <w:t xml:space="preserve">　</w:t>
            </w:r>
            <w:r w:rsidRPr="004E53B2">
              <w:rPr>
                <w:rFonts w:ascii="Arial Narrow" w:eastAsiaTheme="majorEastAsia" w:hAnsi="Arial Narrow" w:cs="Calibri"/>
                <w:bCs/>
                <w:color w:val="000000"/>
                <w:w w:val="15"/>
                <w:sz w:val="20"/>
                <w:szCs w:val="20"/>
                <w:shd w:val="solid" w:color="000000" w:fill="000000"/>
                <w:fitText w:val="70" w:id="-1032066297"/>
                <w14:textFill>
                  <w14:solidFill>
                    <w14:srgbClr w14:val="000000">
                      <w14:alpha w14:val="100000"/>
                    </w14:srgbClr>
                  </w14:solidFill>
                </w14:textFill>
              </w:rPr>
              <w:t>|</w:t>
            </w:r>
            <w:r w:rsidRPr="004E53B2">
              <w:rPr>
                <w:rFonts w:ascii="Arial Narrow" w:eastAsiaTheme="majorEastAsia" w:hAnsi="Arial Narrow" w:cs="Calibri" w:hint="eastAsia"/>
                <w:bCs/>
                <w:color w:val="000000"/>
                <w:spacing w:val="4"/>
                <w:w w:val="15"/>
                <w:sz w:val="20"/>
                <w:szCs w:val="20"/>
                <w:shd w:val="solid" w:color="000000" w:fill="000000"/>
                <w:fitText w:val="70" w:id="-1032066297"/>
                <w14:textFill>
                  <w14:solidFill>
                    <w14:srgbClr w14:val="000000">
                      <w14:alpha w14:val="100000"/>
                    </w14:srgbClr>
                  </w14:solidFill>
                </w14:textFill>
              </w:rPr>
              <w:t xml:space="preserve">　</w:t>
            </w:r>
            <w:r w:rsidR="00D71A55">
              <w:rPr>
                <w:rFonts w:ascii="Arial Narrow" w:eastAsiaTheme="majorEastAsia" w:hAnsi="Arial Narrow" w:cstheme="majorBidi"/>
                <w:bCs/>
                <w:sz w:val="20"/>
                <w:szCs w:val="20"/>
                <w:vertAlign w:val="superscript"/>
              </w:rPr>
              <w:t>3</w:t>
            </w:r>
          </w:p>
        </w:tc>
        <w:tc>
          <w:tcPr>
            <w:tcW w:w="611" w:type="pct"/>
            <w:tcBorders>
              <w:top w:val="single" w:sz="4" w:space="0" w:color="auto"/>
              <w:left w:val="single" w:sz="4" w:space="0" w:color="auto"/>
              <w:bottom w:val="single" w:sz="4" w:space="0" w:color="auto"/>
              <w:right w:val="single" w:sz="4" w:space="0" w:color="auto"/>
            </w:tcBorders>
            <w:vAlign w:val="center"/>
            <w:hideMark/>
          </w:tcPr>
          <w:p w14:paraId="592BBC12" w14:textId="7A87EF44" w:rsidR="00807566" w:rsidRPr="00EA49F0" w:rsidRDefault="004E53B2" w:rsidP="00CE6EE8">
            <w:pPr>
              <w:keepNext/>
              <w:jc w:val="center"/>
              <w:rPr>
                <w:rFonts w:ascii="Arial Narrow" w:eastAsiaTheme="majorEastAsia" w:hAnsi="Arial Narrow" w:cstheme="majorBidi"/>
                <w:bCs/>
                <w:sz w:val="20"/>
                <w:highlight w:val="darkGray"/>
              </w:rPr>
            </w:pPr>
            <w:r>
              <w:rPr>
                <w:rFonts w:ascii="Arial Narrow" w:eastAsiaTheme="majorEastAsia" w:hAnsi="Arial Narrow" w:cs="Calibri"/>
                <w:bCs/>
                <w:color w:val="000000"/>
                <w:sz w:val="20"/>
                <w:szCs w:val="20"/>
              </w:rPr>
              <w:t xml:space="preserve"> </w:t>
            </w:r>
            <w:r w:rsidRPr="004E53B2">
              <w:rPr>
                <w:rFonts w:ascii="Arial Narrow" w:eastAsiaTheme="majorEastAsia" w:hAnsi="Arial Narrow" w:cs="Calibri" w:hint="eastAsia"/>
                <w:bCs/>
                <w:color w:val="000000"/>
                <w:w w:val="15"/>
                <w:sz w:val="20"/>
                <w:szCs w:val="20"/>
                <w:shd w:val="solid" w:color="000000" w:fill="000000"/>
                <w:fitText w:val="70" w:id="-1032066296"/>
                <w14:textFill>
                  <w14:solidFill>
                    <w14:srgbClr w14:val="000000">
                      <w14:alpha w14:val="100000"/>
                    </w14:srgbClr>
                  </w14:solidFill>
                </w14:textFill>
              </w:rPr>
              <w:t xml:space="preserve">　</w:t>
            </w:r>
            <w:r w:rsidRPr="004E53B2">
              <w:rPr>
                <w:rFonts w:ascii="Arial Narrow" w:eastAsiaTheme="majorEastAsia" w:hAnsi="Arial Narrow" w:cs="Calibri"/>
                <w:bCs/>
                <w:color w:val="000000"/>
                <w:w w:val="15"/>
                <w:sz w:val="20"/>
                <w:szCs w:val="20"/>
                <w:shd w:val="solid" w:color="000000" w:fill="000000"/>
                <w:fitText w:val="70" w:id="-1032066296"/>
                <w14:textFill>
                  <w14:solidFill>
                    <w14:srgbClr w14:val="000000">
                      <w14:alpha w14:val="100000"/>
                    </w14:srgbClr>
                  </w14:solidFill>
                </w14:textFill>
              </w:rPr>
              <w:t>|</w:t>
            </w:r>
            <w:r w:rsidRPr="004E53B2">
              <w:rPr>
                <w:rFonts w:ascii="Arial Narrow" w:eastAsiaTheme="majorEastAsia" w:hAnsi="Arial Narrow" w:cs="Calibri" w:hint="eastAsia"/>
                <w:bCs/>
                <w:color w:val="000000"/>
                <w:spacing w:val="4"/>
                <w:w w:val="15"/>
                <w:sz w:val="20"/>
                <w:szCs w:val="20"/>
                <w:shd w:val="solid" w:color="000000" w:fill="000000"/>
                <w:fitText w:val="70" w:id="-1032066296"/>
                <w14:textFill>
                  <w14:solidFill>
                    <w14:srgbClr w14:val="000000">
                      <w14:alpha w14:val="100000"/>
                    </w14:srgbClr>
                  </w14:solidFill>
                </w14:textFill>
              </w:rPr>
              <w:t xml:space="preserve">　</w:t>
            </w:r>
            <w:r w:rsidR="00D71A55">
              <w:rPr>
                <w:rFonts w:ascii="Arial Narrow" w:eastAsiaTheme="majorEastAsia" w:hAnsi="Arial Narrow" w:cstheme="majorBidi"/>
                <w:bCs/>
                <w:sz w:val="20"/>
                <w:szCs w:val="20"/>
                <w:vertAlign w:val="superscript"/>
              </w:rPr>
              <w:t>3</w:t>
            </w:r>
          </w:p>
        </w:tc>
        <w:tc>
          <w:tcPr>
            <w:tcW w:w="611" w:type="pct"/>
            <w:tcBorders>
              <w:top w:val="single" w:sz="4" w:space="0" w:color="auto"/>
              <w:left w:val="single" w:sz="4" w:space="0" w:color="auto"/>
              <w:bottom w:val="single" w:sz="4" w:space="0" w:color="auto"/>
              <w:right w:val="single" w:sz="4" w:space="0" w:color="auto"/>
            </w:tcBorders>
            <w:vAlign w:val="center"/>
            <w:hideMark/>
          </w:tcPr>
          <w:p w14:paraId="7DDAEE67" w14:textId="252E8D2D" w:rsidR="00807566" w:rsidRPr="00EA49F0" w:rsidRDefault="004E53B2" w:rsidP="00CE6EE8">
            <w:pPr>
              <w:keepNext/>
              <w:jc w:val="center"/>
              <w:rPr>
                <w:rFonts w:ascii="Arial Narrow" w:eastAsiaTheme="majorEastAsia" w:hAnsi="Arial Narrow" w:cstheme="majorBidi"/>
                <w:bCs/>
                <w:sz w:val="20"/>
                <w:highlight w:val="darkGray"/>
              </w:rPr>
            </w:pPr>
            <w:r>
              <w:rPr>
                <w:rFonts w:ascii="Arial Narrow" w:eastAsiaTheme="majorEastAsia" w:hAnsi="Arial Narrow" w:cs="Calibri"/>
                <w:bCs/>
                <w:color w:val="000000"/>
                <w:sz w:val="20"/>
                <w:szCs w:val="20"/>
              </w:rPr>
              <w:t xml:space="preserve"> </w:t>
            </w:r>
            <w:r w:rsidRPr="004E53B2">
              <w:rPr>
                <w:rFonts w:ascii="Arial Narrow" w:eastAsiaTheme="majorEastAsia" w:hAnsi="Arial Narrow" w:cs="Calibri" w:hint="eastAsia"/>
                <w:bCs/>
                <w:color w:val="000000"/>
                <w:w w:val="15"/>
                <w:sz w:val="20"/>
                <w:szCs w:val="20"/>
                <w:shd w:val="solid" w:color="000000" w:fill="000000"/>
                <w:fitText w:val="70" w:id="-1032066295"/>
                <w14:textFill>
                  <w14:solidFill>
                    <w14:srgbClr w14:val="000000">
                      <w14:alpha w14:val="100000"/>
                    </w14:srgbClr>
                  </w14:solidFill>
                </w14:textFill>
              </w:rPr>
              <w:t xml:space="preserve">　</w:t>
            </w:r>
            <w:r w:rsidRPr="004E53B2">
              <w:rPr>
                <w:rFonts w:ascii="Arial Narrow" w:eastAsiaTheme="majorEastAsia" w:hAnsi="Arial Narrow" w:cs="Calibri"/>
                <w:bCs/>
                <w:color w:val="000000"/>
                <w:w w:val="15"/>
                <w:sz w:val="20"/>
                <w:szCs w:val="20"/>
                <w:shd w:val="solid" w:color="000000" w:fill="000000"/>
                <w:fitText w:val="70" w:id="-1032066295"/>
                <w14:textFill>
                  <w14:solidFill>
                    <w14:srgbClr w14:val="000000">
                      <w14:alpha w14:val="100000"/>
                    </w14:srgbClr>
                  </w14:solidFill>
                </w14:textFill>
              </w:rPr>
              <w:t>|</w:t>
            </w:r>
            <w:r w:rsidRPr="004E53B2">
              <w:rPr>
                <w:rFonts w:ascii="Arial Narrow" w:eastAsiaTheme="majorEastAsia" w:hAnsi="Arial Narrow" w:cs="Calibri" w:hint="eastAsia"/>
                <w:bCs/>
                <w:color w:val="000000"/>
                <w:spacing w:val="4"/>
                <w:w w:val="15"/>
                <w:sz w:val="20"/>
                <w:szCs w:val="20"/>
                <w:shd w:val="solid" w:color="000000" w:fill="000000"/>
                <w:fitText w:val="70" w:id="-1032066295"/>
                <w14:textFill>
                  <w14:solidFill>
                    <w14:srgbClr w14:val="000000">
                      <w14:alpha w14:val="100000"/>
                    </w14:srgbClr>
                  </w14:solidFill>
                </w14:textFill>
              </w:rPr>
              <w:t xml:space="preserve">　</w:t>
            </w:r>
            <w:r w:rsidR="00D71A55">
              <w:rPr>
                <w:rFonts w:ascii="Arial Narrow" w:eastAsiaTheme="majorEastAsia" w:hAnsi="Arial Narrow" w:cstheme="majorBidi"/>
                <w:bCs/>
                <w:sz w:val="20"/>
                <w:szCs w:val="20"/>
                <w:vertAlign w:val="superscript"/>
              </w:rPr>
              <w:t>3</w:t>
            </w:r>
          </w:p>
        </w:tc>
        <w:tc>
          <w:tcPr>
            <w:tcW w:w="611" w:type="pct"/>
            <w:tcBorders>
              <w:top w:val="single" w:sz="4" w:space="0" w:color="auto"/>
              <w:left w:val="single" w:sz="4" w:space="0" w:color="auto"/>
              <w:bottom w:val="single" w:sz="4" w:space="0" w:color="auto"/>
              <w:right w:val="single" w:sz="4" w:space="0" w:color="auto"/>
            </w:tcBorders>
            <w:vAlign w:val="center"/>
            <w:hideMark/>
          </w:tcPr>
          <w:p w14:paraId="52F8ECE3" w14:textId="64040EF2" w:rsidR="00807566" w:rsidRPr="00EA49F0" w:rsidRDefault="004E53B2" w:rsidP="00CE6EE8">
            <w:pPr>
              <w:keepNext/>
              <w:jc w:val="center"/>
              <w:rPr>
                <w:rFonts w:ascii="Arial Narrow" w:eastAsiaTheme="majorEastAsia" w:hAnsi="Arial Narrow" w:cstheme="majorBidi"/>
                <w:bCs/>
                <w:sz w:val="20"/>
                <w:highlight w:val="darkGray"/>
              </w:rPr>
            </w:pPr>
            <w:r>
              <w:rPr>
                <w:rFonts w:ascii="Arial Narrow" w:eastAsiaTheme="majorEastAsia" w:hAnsi="Arial Narrow" w:cs="Calibri"/>
                <w:bCs/>
                <w:color w:val="000000"/>
                <w:sz w:val="20"/>
                <w:szCs w:val="20"/>
              </w:rPr>
              <w:t xml:space="preserve"> </w:t>
            </w:r>
            <w:r w:rsidRPr="004E53B2">
              <w:rPr>
                <w:rFonts w:ascii="Arial Narrow" w:eastAsiaTheme="majorEastAsia" w:hAnsi="Arial Narrow" w:cs="Calibri" w:hint="eastAsia"/>
                <w:bCs/>
                <w:color w:val="000000"/>
                <w:w w:val="15"/>
                <w:sz w:val="20"/>
                <w:szCs w:val="20"/>
                <w:shd w:val="solid" w:color="000000" w:fill="000000"/>
                <w:fitText w:val="70" w:id="-1032066294"/>
                <w14:textFill>
                  <w14:solidFill>
                    <w14:srgbClr w14:val="000000">
                      <w14:alpha w14:val="100000"/>
                    </w14:srgbClr>
                  </w14:solidFill>
                </w14:textFill>
              </w:rPr>
              <w:t xml:space="preserve">　</w:t>
            </w:r>
            <w:r w:rsidRPr="004E53B2">
              <w:rPr>
                <w:rFonts w:ascii="Arial Narrow" w:eastAsiaTheme="majorEastAsia" w:hAnsi="Arial Narrow" w:cs="Calibri"/>
                <w:bCs/>
                <w:color w:val="000000"/>
                <w:w w:val="15"/>
                <w:sz w:val="20"/>
                <w:szCs w:val="20"/>
                <w:shd w:val="solid" w:color="000000" w:fill="000000"/>
                <w:fitText w:val="70" w:id="-1032066294"/>
                <w14:textFill>
                  <w14:solidFill>
                    <w14:srgbClr w14:val="000000">
                      <w14:alpha w14:val="100000"/>
                    </w14:srgbClr>
                  </w14:solidFill>
                </w14:textFill>
              </w:rPr>
              <w:t>|</w:t>
            </w:r>
            <w:r w:rsidRPr="004E53B2">
              <w:rPr>
                <w:rFonts w:ascii="Arial Narrow" w:eastAsiaTheme="majorEastAsia" w:hAnsi="Arial Narrow" w:cs="Calibri" w:hint="eastAsia"/>
                <w:bCs/>
                <w:color w:val="000000"/>
                <w:spacing w:val="4"/>
                <w:w w:val="15"/>
                <w:sz w:val="20"/>
                <w:szCs w:val="20"/>
                <w:shd w:val="solid" w:color="000000" w:fill="000000"/>
                <w:fitText w:val="70" w:id="-1032066294"/>
                <w14:textFill>
                  <w14:solidFill>
                    <w14:srgbClr w14:val="000000">
                      <w14:alpha w14:val="100000"/>
                    </w14:srgbClr>
                  </w14:solidFill>
                </w14:textFill>
              </w:rPr>
              <w:t xml:space="preserve">　</w:t>
            </w:r>
            <w:r w:rsidR="00D71A55">
              <w:rPr>
                <w:rFonts w:ascii="Arial Narrow" w:eastAsiaTheme="majorEastAsia" w:hAnsi="Arial Narrow" w:cstheme="majorBidi"/>
                <w:bCs/>
                <w:sz w:val="20"/>
                <w:szCs w:val="20"/>
                <w:vertAlign w:val="superscript"/>
              </w:rPr>
              <w:t>3</w:t>
            </w:r>
          </w:p>
        </w:tc>
        <w:tc>
          <w:tcPr>
            <w:tcW w:w="611" w:type="pct"/>
            <w:tcBorders>
              <w:top w:val="single" w:sz="4" w:space="0" w:color="auto"/>
              <w:left w:val="single" w:sz="4" w:space="0" w:color="auto"/>
              <w:bottom w:val="single" w:sz="4" w:space="0" w:color="auto"/>
              <w:right w:val="single" w:sz="4" w:space="0" w:color="auto"/>
            </w:tcBorders>
            <w:vAlign w:val="center"/>
            <w:hideMark/>
          </w:tcPr>
          <w:p w14:paraId="32A4A9E4" w14:textId="7E1D23DA" w:rsidR="00807566" w:rsidRPr="00EA49F0" w:rsidRDefault="004E53B2" w:rsidP="00CE6EE8">
            <w:pPr>
              <w:keepNext/>
              <w:jc w:val="center"/>
              <w:rPr>
                <w:rFonts w:ascii="Arial Narrow" w:eastAsiaTheme="majorEastAsia" w:hAnsi="Arial Narrow" w:cstheme="majorBidi"/>
                <w:bCs/>
                <w:sz w:val="20"/>
                <w:highlight w:val="darkGray"/>
              </w:rPr>
            </w:pPr>
            <w:r>
              <w:rPr>
                <w:rFonts w:ascii="Arial Narrow" w:eastAsiaTheme="majorEastAsia" w:hAnsi="Arial Narrow" w:cs="Calibri"/>
                <w:bCs/>
                <w:color w:val="000000"/>
                <w:sz w:val="20"/>
                <w:szCs w:val="20"/>
              </w:rPr>
              <w:t xml:space="preserve"> </w:t>
            </w:r>
            <w:r w:rsidRPr="004E53B2">
              <w:rPr>
                <w:rFonts w:ascii="Arial Narrow" w:eastAsiaTheme="majorEastAsia" w:hAnsi="Arial Narrow" w:cs="Calibri" w:hint="eastAsia"/>
                <w:bCs/>
                <w:color w:val="000000"/>
                <w:w w:val="15"/>
                <w:sz w:val="20"/>
                <w:szCs w:val="20"/>
                <w:shd w:val="solid" w:color="000000" w:fill="000000"/>
                <w:fitText w:val="70" w:id="-1032066293"/>
                <w14:textFill>
                  <w14:solidFill>
                    <w14:srgbClr w14:val="000000">
                      <w14:alpha w14:val="100000"/>
                    </w14:srgbClr>
                  </w14:solidFill>
                </w14:textFill>
              </w:rPr>
              <w:t xml:space="preserve">　</w:t>
            </w:r>
            <w:r w:rsidRPr="004E53B2">
              <w:rPr>
                <w:rFonts w:ascii="Arial Narrow" w:eastAsiaTheme="majorEastAsia" w:hAnsi="Arial Narrow" w:cs="Calibri"/>
                <w:bCs/>
                <w:color w:val="000000"/>
                <w:w w:val="15"/>
                <w:sz w:val="20"/>
                <w:szCs w:val="20"/>
                <w:shd w:val="solid" w:color="000000" w:fill="000000"/>
                <w:fitText w:val="70" w:id="-1032066293"/>
                <w14:textFill>
                  <w14:solidFill>
                    <w14:srgbClr w14:val="000000">
                      <w14:alpha w14:val="100000"/>
                    </w14:srgbClr>
                  </w14:solidFill>
                </w14:textFill>
              </w:rPr>
              <w:t>|</w:t>
            </w:r>
            <w:r w:rsidRPr="004E53B2">
              <w:rPr>
                <w:rFonts w:ascii="Arial Narrow" w:eastAsiaTheme="majorEastAsia" w:hAnsi="Arial Narrow" w:cs="Calibri" w:hint="eastAsia"/>
                <w:bCs/>
                <w:color w:val="000000"/>
                <w:spacing w:val="4"/>
                <w:w w:val="15"/>
                <w:sz w:val="20"/>
                <w:szCs w:val="20"/>
                <w:shd w:val="solid" w:color="000000" w:fill="000000"/>
                <w:fitText w:val="70" w:id="-1032066293"/>
                <w14:textFill>
                  <w14:solidFill>
                    <w14:srgbClr w14:val="000000">
                      <w14:alpha w14:val="100000"/>
                    </w14:srgbClr>
                  </w14:solidFill>
                </w14:textFill>
              </w:rPr>
              <w:t xml:space="preserve">　</w:t>
            </w:r>
            <w:r w:rsidR="00D71A55">
              <w:rPr>
                <w:rFonts w:ascii="Arial Narrow" w:eastAsiaTheme="majorEastAsia" w:hAnsi="Arial Narrow" w:cstheme="majorBidi"/>
                <w:bCs/>
                <w:sz w:val="20"/>
                <w:szCs w:val="20"/>
                <w:vertAlign w:val="superscript"/>
              </w:rPr>
              <w:t>3</w:t>
            </w:r>
          </w:p>
        </w:tc>
        <w:tc>
          <w:tcPr>
            <w:tcW w:w="612" w:type="pct"/>
            <w:tcBorders>
              <w:top w:val="single" w:sz="4" w:space="0" w:color="auto"/>
              <w:left w:val="single" w:sz="4" w:space="0" w:color="auto"/>
              <w:bottom w:val="single" w:sz="4" w:space="0" w:color="auto"/>
              <w:right w:val="single" w:sz="4" w:space="0" w:color="auto"/>
            </w:tcBorders>
            <w:vAlign w:val="center"/>
            <w:hideMark/>
          </w:tcPr>
          <w:p w14:paraId="7216591B" w14:textId="516E1D9D" w:rsidR="00807566" w:rsidRPr="00EA49F0" w:rsidRDefault="004E53B2" w:rsidP="00CE6EE8">
            <w:pPr>
              <w:keepNext/>
              <w:jc w:val="center"/>
              <w:rPr>
                <w:rFonts w:ascii="Arial Narrow" w:eastAsiaTheme="majorEastAsia" w:hAnsi="Arial Narrow" w:cstheme="majorBidi"/>
                <w:bCs/>
                <w:sz w:val="20"/>
                <w:highlight w:val="darkGray"/>
              </w:rPr>
            </w:pPr>
            <w:r>
              <w:rPr>
                <w:rFonts w:ascii="Arial Narrow" w:eastAsiaTheme="majorEastAsia" w:hAnsi="Arial Narrow" w:cs="Calibri"/>
                <w:bCs/>
                <w:color w:val="000000"/>
                <w:sz w:val="20"/>
                <w:szCs w:val="20"/>
              </w:rPr>
              <w:t xml:space="preserve"> </w:t>
            </w:r>
            <w:r w:rsidRPr="004E53B2">
              <w:rPr>
                <w:rFonts w:ascii="Arial Narrow" w:eastAsiaTheme="majorEastAsia" w:hAnsi="Arial Narrow" w:cs="Calibri" w:hint="eastAsia"/>
                <w:bCs/>
                <w:color w:val="000000"/>
                <w:w w:val="18"/>
                <w:sz w:val="20"/>
                <w:szCs w:val="20"/>
                <w:shd w:val="solid" w:color="000000" w:fill="000000"/>
                <w:fitText w:val="80" w:id="-1032066292"/>
                <w14:textFill>
                  <w14:solidFill>
                    <w14:srgbClr w14:val="000000">
                      <w14:alpha w14:val="100000"/>
                    </w14:srgbClr>
                  </w14:solidFill>
                </w14:textFill>
              </w:rPr>
              <w:t xml:space="preserve">　</w:t>
            </w:r>
            <w:r w:rsidRPr="004E53B2">
              <w:rPr>
                <w:rFonts w:ascii="Arial Narrow" w:eastAsiaTheme="majorEastAsia" w:hAnsi="Arial Narrow" w:cs="Calibri"/>
                <w:bCs/>
                <w:color w:val="000000"/>
                <w:w w:val="18"/>
                <w:sz w:val="20"/>
                <w:szCs w:val="20"/>
                <w:shd w:val="solid" w:color="000000" w:fill="000000"/>
                <w:fitText w:val="80" w:id="-1032066292"/>
                <w14:textFill>
                  <w14:solidFill>
                    <w14:srgbClr w14:val="000000">
                      <w14:alpha w14:val="100000"/>
                    </w14:srgbClr>
                  </w14:solidFill>
                </w14:textFill>
              </w:rPr>
              <w:t>|</w:t>
            </w:r>
            <w:r w:rsidRPr="004E53B2">
              <w:rPr>
                <w:rFonts w:ascii="Arial Narrow" w:eastAsiaTheme="majorEastAsia" w:hAnsi="Arial Narrow" w:cs="Calibri" w:hint="eastAsia"/>
                <w:bCs/>
                <w:color w:val="000000"/>
                <w:w w:val="18"/>
                <w:sz w:val="20"/>
                <w:szCs w:val="20"/>
                <w:shd w:val="solid" w:color="000000" w:fill="000000"/>
                <w:fitText w:val="80" w:id="-1032066292"/>
                <w14:textFill>
                  <w14:solidFill>
                    <w14:srgbClr w14:val="000000">
                      <w14:alpha w14:val="100000"/>
                    </w14:srgbClr>
                  </w14:solidFill>
                </w14:textFill>
              </w:rPr>
              <w:t xml:space="preserve">　</w:t>
            </w:r>
            <w:r w:rsidR="00D71A55">
              <w:rPr>
                <w:rFonts w:ascii="Arial Narrow" w:eastAsiaTheme="majorEastAsia" w:hAnsi="Arial Narrow" w:cstheme="majorBidi"/>
                <w:bCs/>
                <w:sz w:val="20"/>
                <w:szCs w:val="20"/>
                <w:vertAlign w:val="superscript"/>
              </w:rPr>
              <w:t>3</w:t>
            </w:r>
          </w:p>
        </w:tc>
      </w:tr>
    </w:tbl>
    <w:p w14:paraId="703C595F" w14:textId="7BEF62AC" w:rsidR="00034A31" w:rsidRPr="00F91CC3" w:rsidRDefault="00034A31" w:rsidP="00034A31">
      <w:pPr>
        <w:spacing w:after="120"/>
        <w:contextualSpacing/>
        <w:rPr>
          <w:rFonts w:ascii="Arial Narrow" w:hAnsi="Arial Narrow"/>
          <w:snapToGrid w:val="0"/>
          <w:sz w:val="18"/>
          <w:szCs w:val="22"/>
        </w:rPr>
      </w:pPr>
      <w:r w:rsidRPr="00F91CC3">
        <w:rPr>
          <w:rFonts w:ascii="Arial Narrow" w:hAnsi="Arial Narrow"/>
          <w:snapToGrid w:val="0"/>
          <w:sz w:val="18"/>
          <w:szCs w:val="22"/>
        </w:rPr>
        <w:t xml:space="preserve">Source: Table 4.3.1, p215 of the submission, Table 4.3.3, p216 of the submission, </w:t>
      </w:r>
      <w:r w:rsidR="000822A5" w:rsidRPr="00F91CC3">
        <w:rPr>
          <w:rFonts w:ascii="Arial Narrow" w:hAnsi="Arial Narrow"/>
          <w:snapToGrid w:val="0"/>
          <w:sz w:val="18"/>
          <w:szCs w:val="22"/>
        </w:rPr>
        <w:t xml:space="preserve">Table 4.3.5, p214 of the submission, </w:t>
      </w:r>
      <w:r w:rsidRPr="00F91CC3">
        <w:rPr>
          <w:rFonts w:ascii="Arial Narrow" w:hAnsi="Arial Narrow"/>
          <w:snapToGrid w:val="0"/>
          <w:sz w:val="18"/>
          <w:szCs w:val="22"/>
        </w:rPr>
        <w:t>Table 4.6.1 and 4.6.2, p224 of the submission, Table 4.7.1 and 4.7.3, p225 of the submission</w:t>
      </w:r>
      <w:r w:rsidR="000822A5" w:rsidRPr="00F91CC3">
        <w:rPr>
          <w:rFonts w:ascii="Arial Narrow" w:hAnsi="Arial Narrow"/>
          <w:snapToGrid w:val="0"/>
          <w:sz w:val="18"/>
          <w:szCs w:val="22"/>
        </w:rPr>
        <w:t>, Excel workbook “Vertex Ivacaftor (Kalydeco) 4m responsive UCM-Release-3-Workbook-v108 Jul2023” sheet 3c Impact – proposed (eff).</w:t>
      </w:r>
    </w:p>
    <w:p w14:paraId="563D8700" w14:textId="48E04658" w:rsidR="00034A31" w:rsidRPr="00F91CC3" w:rsidRDefault="00034A31" w:rsidP="00034A31">
      <w:pPr>
        <w:spacing w:after="120"/>
        <w:contextualSpacing/>
        <w:rPr>
          <w:rFonts w:ascii="Arial Narrow" w:hAnsi="Arial Narrow"/>
          <w:b/>
          <w:snapToGrid w:val="0"/>
          <w:sz w:val="20"/>
          <w:szCs w:val="16"/>
        </w:rPr>
      </w:pPr>
      <w:r w:rsidRPr="00F91CC3">
        <w:rPr>
          <w:rFonts w:ascii="Arial Narrow" w:hAnsi="Arial Narrow"/>
          <w:snapToGrid w:val="0"/>
          <w:sz w:val="18"/>
          <w:szCs w:val="18"/>
        </w:rPr>
        <w:t xml:space="preserve">FTE = Full time equivalent; </w:t>
      </w:r>
      <w:r w:rsidR="006D571E" w:rsidRPr="00F91CC3">
        <w:rPr>
          <w:rFonts w:ascii="Arial Narrow" w:hAnsi="Arial Narrow"/>
          <w:snapToGrid w:val="0"/>
          <w:sz w:val="18"/>
          <w:szCs w:val="18"/>
        </w:rPr>
        <w:t xml:space="preserve">IVA = ivacaftor; </w:t>
      </w:r>
      <w:r w:rsidRPr="00F91CC3">
        <w:rPr>
          <w:rFonts w:ascii="Arial Narrow" w:hAnsi="Arial Narrow"/>
          <w:snapToGrid w:val="0"/>
          <w:sz w:val="18"/>
          <w:szCs w:val="18"/>
        </w:rPr>
        <w:t>MBS = Medicare Benefits Schedule; PBS = Pharmaceutical Benefits Scheme</w:t>
      </w:r>
    </w:p>
    <w:p w14:paraId="1170DDA6" w14:textId="77777777" w:rsidR="00034A31" w:rsidRPr="00F91CC3" w:rsidRDefault="00034A31" w:rsidP="00034A31">
      <w:pPr>
        <w:spacing w:after="120"/>
        <w:contextualSpacing/>
        <w:rPr>
          <w:rFonts w:ascii="Arial Narrow" w:hAnsi="Arial Narrow"/>
          <w:snapToGrid w:val="0"/>
          <w:sz w:val="18"/>
          <w:szCs w:val="22"/>
        </w:rPr>
      </w:pPr>
      <w:r w:rsidRPr="00F91CC3">
        <w:rPr>
          <w:rFonts w:ascii="Arial Narrow" w:hAnsi="Arial Narrow"/>
          <w:snapToGrid w:val="0"/>
          <w:sz w:val="18"/>
          <w:szCs w:val="22"/>
          <w:vertAlign w:val="superscript"/>
        </w:rPr>
        <w:t xml:space="preserve">a </w:t>
      </w:r>
      <w:r w:rsidRPr="00F91CC3">
        <w:rPr>
          <w:rFonts w:ascii="Arial Narrow" w:hAnsi="Arial Narrow"/>
          <w:snapToGrid w:val="0"/>
          <w:sz w:val="18"/>
          <w:szCs w:val="22"/>
        </w:rPr>
        <w:t>Calculated (6 * 0.5 * (8/12))</w:t>
      </w:r>
    </w:p>
    <w:p w14:paraId="31F3EA32" w14:textId="77777777" w:rsidR="00034A31" w:rsidRPr="00F91CC3" w:rsidRDefault="00034A31" w:rsidP="00034A31">
      <w:pPr>
        <w:spacing w:after="120"/>
        <w:contextualSpacing/>
        <w:rPr>
          <w:rFonts w:ascii="Arial Narrow" w:hAnsi="Arial Narrow"/>
          <w:snapToGrid w:val="0"/>
          <w:sz w:val="18"/>
          <w:szCs w:val="22"/>
        </w:rPr>
      </w:pPr>
      <w:r w:rsidRPr="00F91CC3">
        <w:rPr>
          <w:rFonts w:ascii="Arial Narrow" w:hAnsi="Arial Narrow"/>
          <w:snapToGrid w:val="0"/>
          <w:sz w:val="18"/>
          <w:szCs w:val="22"/>
          <w:vertAlign w:val="superscript"/>
        </w:rPr>
        <w:t>b</w:t>
      </w:r>
      <w:r w:rsidRPr="00F91CC3">
        <w:rPr>
          <w:rFonts w:ascii="Arial Narrow" w:hAnsi="Arial Narrow"/>
          <w:snapToGrid w:val="0"/>
          <w:sz w:val="18"/>
          <w:szCs w:val="22"/>
        </w:rPr>
        <w:t xml:space="preserve"> Assuming 13.04 scripts per year (100% compliance rate), fluctuations in script numbers due to rounding of FTE patients</w:t>
      </w:r>
    </w:p>
    <w:p w14:paraId="756C3F2D" w14:textId="77777777" w:rsidR="00034A31" w:rsidRPr="00F91CC3" w:rsidRDefault="00034A31" w:rsidP="00034A31">
      <w:pPr>
        <w:spacing w:after="120"/>
        <w:contextualSpacing/>
        <w:rPr>
          <w:rFonts w:ascii="Arial Narrow" w:hAnsi="Arial Narrow"/>
          <w:snapToGrid w:val="0"/>
          <w:sz w:val="18"/>
          <w:szCs w:val="22"/>
        </w:rPr>
      </w:pPr>
      <w:r w:rsidRPr="00F91CC3">
        <w:rPr>
          <w:rFonts w:ascii="Arial Narrow" w:hAnsi="Arial Narrow"/>
          <w:snapToGrid w:val="0"/>
          <w:sz w:val="18"/>
          <w:szCs w:val="22"/>
          <w:vertAlign w:val="superscript"/>
        </w:rPr>
        <w:t xml:space="preserve">c </w:t>
      </w:r>
      <w:r w:rsidRPr="00F91CC3">
        <w:rPr>
          <w:rFonts w:ascii="Arial Narrow" w:hAnsi="Arial Narrow"/>
          <w:snapToGrid w:val="0"/>
          <w:sz w:val="18"/>
          <w:szCs w:val="22"/>
        </w:rPr>
        <w:t>incident patients are assumed to initiate treatment on average halfway through a year, patients discontinuing treatment on average are expected to discontinue halfway through a year (50% first year-on, year off adjustments)</w:t>
      </w:r>
    </w:p>
    <w:p w14:paraId="4E8C0EEF" w14:textId="27B8AD1D" w:rsidR="00AC5467" w:rsidRPr="00F91CC3" w:rsidRDefault="00034A31" w:rsidP="00034A31">
      <w:pPr>
        <w:spacing w:after="120"/>
        <w:contextualSpacing/>
        <w:rPr>
          <w:rFonts w:ascii="Arial Narrow" w:hAnsi="Arial Narrow"/>
          <w:snapToGrid w:val="0"/>
          <w:sz w:val="18"/>
          <w:szCs w:val="22"/>
        </w:rPr>
      </w:pPr>
      <w:r w:rsidRPr="00F91CC3">
        <w:rPr>
          <w:rFonts w:ascii="Arial Narrow" w:hAnsi="Arial Narrow"/>
          <w:snapToGrid w:val="0"/>
          <w:sz w:val="18"/>
          <w:szCs w:val="22"/>
          <w:vertAlign w:val="superscript"/>
        </w:rPr>
        <w:t xml:space="preserve">d </w:t>
      </w:r>
      <w:r w:rsidRPr="00F91CC3">
        <w:rPr>
          <w:rFonts w:ascii="Arial Narrow" w:hAnsi="Arial Narrow"/>
          <w:snapToGrid w:val="0"/>
          <w:sz w:val="18"/>
          <w:szCs w:val="22"/>
        </w:rPr>
        <w:t>Assuming 12.39 scripts per year (95% compliance rate</w:t>
      </w:r>
      <w:r w:rsidR="00AC5467" w:rsidRPr="00F91CC3">
        <w:rPr>
          <w:rFonts w:ascii="Arial Narrow" w:hAnsi="Arial Narrow"/>
          <w:snapToGrid w:val="0"/>
          <w:sz w:val="18"/>
          <w:szCs w:val="22"/>
        </w:rPr>
        <w:t>), fluctuations in script numbers due to rounding of FTE patients</w:t>
      </w:r>
    </w:p>
    <w:p w14:paraId="54C09855" w14:textId="76578971" w:rsidR="00034A31" w:rsidRPr="00F91CC3" w:rsidRDefault="00AC5467" w:rsidP="00034A31">
      <w:pPr>
        <w:spacing w:after="120"/>
        <w:contextualSpacing/>
        <w:rPr>
          <w:rFonts w:ascii="Arial Narrow" w:hAnsi="Arial Narrow"/>
          <w:snapToGrid w:val="0"/>
          <w:sz w:val="18"/>
          <w:szCs w:val="22"/>
        </w:rPr>
      </w:pPr>
      <w:r w:rsidRPr="00F91CC3">
        <w:rPr>
          <w:rFonts w:ascii="Arial Narrow" w:hAnsi="Arial Narrow"/>
          <w:snapToGrid w:val="0"/>
          <w:sz w:val="18"/>
          <w:szCs w:val="22"/>
          <w:vertAlign w:val="superscript"/>
        </w:rPr>
        <w:t>e</w:t>
      </w:r>
      <w:r w:rsidR="00034A31" w:rsidRPr="00F91CC3">
        <w:rPr>
          <w:rFonts w:ascii="Arial Narrow" w:hAnsi="Arial Narrow"/>
          <w:snapToGrid w:val="0"/>
          <w:sz w:val="18"/>
          <w:szCs w:val="22"/>
        </w:rPr>
        <w:t xml:space="preserve"> </w:t>
      </w:r>
      <w:r w:rsidRPr="00F91CC3">
        <w:rPr>
          <w:rFonts w:ascii="Arial Narrow" w:hAnsi="Arial Narrow"/>
          <w:snapToGrid w:val="0"/>
          <w:sz w:val="18"/>
          <w:szCs w:val="22"/>
        </w:rPr>
        <w:t>Assuming</w:t>
      </w:r>
      <w:r w:rsidR="00034A31" w:rsidRPr="00F91CC3">
        <w:rPr>
          <w:rFonts w:ascii="Arial Narrow" w:hAnsi="Arial Narrow"/>
          <w:snapToGrid w:val="0"/>
          <w:sz w:val="18"/>
          <w:szCs w:val="22"/>
        </w:rPr>
        <w:t xml:space="preserve"> 11.09 scripts per year (85% compliance rate)</w:t>
      </w:r>
      <w:r w:rsidRPr="00F91CC3">
        <w:rPr>
          <w:rFonts w:ascii="Arial Narrow" w:hAnsi="Arial Narrow"/>
          <w:snapToGrid w:val="0"/>
          <w:sz w:val="18"/>
          <w:szCs w:val="22"/>
        </w:rPr>
        <w:t>, fluctuations in script numbers due to rounding of FTE patients</w:t>
      </w:r>
      <w:r w:rsidR="00034A31" w:rsidRPr="00F91CC3">
        <w:rPr>
          <w:rFonts w:ascii="Arial Narrow" w:hAnsi="Arial Narrow"/>
          <w:snapToGrid w:val="0"/>
          <w:sz w:val="18"/>
          <w:szCs w:val="22"/>
        </w:rPr>
        <w:t xml:space="preserve"> </w:t>
      </w:r>
    </w:p>
    <w:p w14:paraId="3A7E6777" w14:textId="5506ECD5" w:rsidR="009C4855" w:rsidRDefault="00AC5467" w:rsidP="00034A31">
      <w:pPr>
        <w:spacing w:after="120"/>
        <w:contextualSpacing/>
        <w:rPr>
          <w:rFonts w:ascii="Arial Narrow" w:hAnsi="Arial Narrow"/>
          <w:snapToGrid w:val="0"/>
          <w:sz w:val="18"/>
          <w:szCs w:val="22"/>
        </w:rPr>
      </w:pPr>
      <w:r w:rsidRPr="00F91CC3">
        <w:rPr>
          <w:rFonts w:ascii="Arial Narrow" w:hAnsi="Arial Narrow"/>
          <w:snapToGrid w:val="0"/>
          <w:sz w:val="18"/>
          <w:szCs w:val="22"/>
          <w:vertAlign w:val="superscript"/>
        </w:rPr>
        <w:t>f</w:t>
      </w:r>
      <w:r w:rsidR="00034A31" w:rsidRPr="00F91CC3">
        <w:rPr>
          <w:rFonts w:ascii="Arial Narrow" w:hAnsi="Arial Narrow"/>
          <w:snapToGrid w:val="0"/>
          <w:sz w:val="18"/>
          <w:szCs w:val="22"/>
          <w:vertAlign w:val="superscript"/>
        </w:rPr>
        <w:t xml:space="preserve"> </w:t>
      </w:r>
      <w:r w:rsidR="00034A31" w:rsidRPr="00F91CC3">
        <w:rPr>
          <w:rFonts w:ascii="Arial Narrow" w:hAnsi="Arial Narrow"/>
          <w:snapToGrid w:val="0"/>
          <w:sz w:val="18"/>
          <w:szCs w:val="22"/>
        </w:rPr>
        <w:t>MBS expenditure was calculated using the default 80% rebate rate</w:t>
      </w:r>
    </w:p>
    <w:p w14:paraId="44341AC8" w14:textId="77777777" w:rsidR="009609C2" w:rsidRPr="009A6D58" w:rsidRDefault="009609C2" w:rsidP="009609C2">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1DF444B9" w14:textId="77777777" w:rsidR="009609C2" w:rsidRPr="009A6D58" w:rsidRDefault="009609C2" w:rsidP="009609C2">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EA49F0">
        <w:rPr>
          <w:rFonts w:ascii="Arial Narrow" w:hAnsi="Arial Narrow"/>
          <w:i/>
          <w:sz w:val="18"/>
          <w:szCs w:val="18"/>
        </w:rPr>
        <w:t>&lt; 500</w:t>
      </w:r>
    </w:p>
    <w:p w14:paraId="3EFD2D6C" w14:textId="77777777" w:rsidR="009609C2" w:rsidRPr="009A6D58" w:rsidRDefault="009609C2" w:rsidP="009609C2">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D71A55">
        <w:rPr>
          <w:rFonts w:ascii="Arial Narrow" w:hAnsi="Arial Narrow"/>
          <w:i/>
          <w:sz w:val="18"/>
          <w:szCs w:val="18"/>
        </w:rPr>
        <w:t>$0 to &lt; $10 million</w:t>
      </w:r>
    </w:p>
    <w:p w14:paraId="05B878C1" w14:textId="362719DE" w:rsidR="009609C2" w:rsidRPr="009609C2" w:rsidRDefault="009609C2" w:rsidP="00034A31">
      <w:pPr>
        <w:spacing w:after="120"/>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D71A55">
        <w:rPr>
          <w:rFonts w:ascii="Arial Narrow" w:hAnsi="Arial Narrow"/>
          <w:i/>
          <w:sz w:val="18"/>
          <w:szCs w:val="18"/>
        </w:rPr>
        <w:t>$10 million to &lt; $20 million</w:t>
      </w:r>
    </w:p>
    <w:p w14:paraId="65B69D07" w14:textId="7522364E" w:rsidR="00034A31" w:rsidRPr="009609C2" w:rsidRDefault="00034A31" w:rsidP="009609C2">
      <w:pPr>
        <w:pStyle w:val="3-BodyText"/>
        <w:snapToGrid w:val="0"/>
        <w:rPr>
          <w:b/>
          <w:bCs/>
        </w:rPr>
      </w:pPr>
      <w:bookmarkStart w:id="67" w:name="_Toc22897648"/>
      <w:r w:rsidRPr="00F91CC3">
        <w:t xml:space="preserve">The total cost to the PBS/RPBS of listing ivacaftor was estimated to be </w:t>
      </w:r>
      <w:bookmarkStart w:id="68" w:name="_Hlk155880585"/>
      <w:r w:rsidR="009609C2" w:rsidRPr="009609C2">
        <w:t>$10 million to &lt; $20 million</w:t>
      </w:r>
      <w:bookmarkEnd w:id="68"/>
      <w:r w:rsidR="009609C2">
        <w:rPr>
          <w:b/>
          <w:bCs/>
        </w:rPr>
        <w:t xml:space="preserve"> </w:t>
      </w:r>
      <w:r w:rsidRPr="00F91CC3">
        <w:t xml:space="preserve">in Year 6, and a total of </w:t>
      </w:r>
      <w:bookmarkStart w:id="69" w:name="_Hlk155873499"/>
      <w:r w:rsidR="009609C2" w:rsidRPr="009609C2">
        <w:t>$90 million to &lt; $100 million</w:t>
      </w:r>
      <w:bookmarkEnd w:id="69"/>
      <w:r w:rsidR="009609C2">
        <w:rPr>
          <w:b/>
          <w:bCs/>
        </w:rPr>
        <w:t xml:space="preserve"> </w:t>
      </w:r>
      <w:r w:rsidRPr="00F91CC3">
        <w:t xml:space="preserve">in the first 6 years of listing. </w:t>
      </w:r>
      <w:r w:rsidR="005E5807" w:rsidRPr="009609C2">
        <w:rPr>
          <w:rFonts w:cs="Calibri"/>
        </w:rPr>
        <w:t>It</w:t>
      </w:r>
      <w:r w:rsidRPr="009609C2">
        <w:rPr>
          <w:rFonts w:cs="Calibri"/>
        </w:rPr>
        <w:t xml:space="preserve"> is</w:t>
      </w:r>
      <w:r w:rsidR="005E5807" w:rsidRPr="009609C2">
        <w:rPr>
          <w:rFonts w:cs="Calibri"/>
        </w:rPr>
        <w:t xml:space="preserve"> estimated that 3% of the incremental cost is attributable to the gating population; 44% is attributable to F/(R117H or RF) patients; 33% is attributable to Non-F/R117H patients; 7% to Non-F/RF patients; 4% to F/IVA-responsive</w:t>
      </w:r>
      <w:r w:rsidR="002676CB" w:rsidRPr="009609C2">
        <w:rPr>
          <w:rFonts w:cs="Calibri"/>
        </w:rPr>
        <w:t xml:space="preserve"> rare</w:t>
      </w:r>
      <w:r w:rsidR="005E5807" w:rsidRPr="009609C2">
        <w:rPr>
          <w:rFonts w:cs="Calibri"/>
        </w:rPr>
        <w:t xml:space="preserve"> mutation</w:t>
      </w:r>
      <w:r w:rsidR="002676CB" w:rsidRPr="009609C2">
        <w:rPr>
          <w:rFonts w:cs="Calibri"/>
        </w:rPr>
        <w:t xml:space="preserve"> patients</w:t>
      </w:r>
      <w:r w:rsidR="005E5807" w:rsidRPr="009609C2">
        <w:rPr>
          <w:rFonts w:cs="Calibri"/>
        </w:rPr>
        <w:t>; and 9% to Non-F/IVA-responsive</w:t>
      </w:r>
      <w:r w:rsidR="002676CB" w:rsidRPr="009609C2">
        <w:rPr>
          <w:rFonts w:cs="Calibri"/>
        </w:rPr>
        <w:t xml:space="preserve"> rare mutation</w:t>
      </w:r>
      <w:r w:rsidR="005E5807" w:rsidRPr="009609C2">
        <w:rPr>
          <w:rFonts w:cs="Calibri"/>
        </w:rPr>
        <w:t xml:space="preserve"> patients</w:t>
      </w:r>
      <w:r w:rsidR="002676CB" w:rsidRPr="009609C2">
        <w:rPr>
          <w:rFonts w:cs="Calibri"/>
        </w:rPr>
        <w:t>.</w:t>
      </w:r>
    </w:p>
    <w:p w14:paraId="7895BED3" w14:textId="77777777" w:rsidR="00034A31" w:rsidRPr="00F91CC3" w:rsidRDefault="00034A31" w:rsidP="00034A31">
      <w:pPr>
        <w:keepNext/>
        <w:spacing w:before="120" w:after="120"/>
        <w:outlineLvl w:val="1"/>
        <w:rPr>
          <w:rFonts w:asciiTheme="minorHAnsi" w:eastAsiaTheme="majorEastAsia" w:hAnsiTheme="minorHAnsi" w:cstheme="majorBidi"/>
          <w:b/>
          <w:i/>
          <w:spacing w:val="5"/>
          <w:kern w:val="28"/>
          <w:sz w:val="28"/>
          <w:szCs w:val="36"/>
        </w:rPr>
      </w:pPr>
      <w:bookmarkStart w:id="70" w:name="_Toc145484400"/>
      <w:r w:rsidRPr="00F91CC3">
        <w:rPr>
          <w:rFonts w:asciiTheme="minorHAnsi" w:eastAsiaTheme="majorEastAsia" w:hAnsiTheme="minorHAnsi" w:cstheme="majorBidi"/>
          <w:b/>
          <w:i/>
          <w:spacing w:val="5"/>
          <w:kern w:val="28"/>
          <w:sz w:val="28"/>
          <w:szCs w:val="36"/>
        </w:rPr>
        <w:t>Quality Use of Medicines</w:t>
      </w:r>
      <w:bookmarkEnd w:id="67"/>
      <w:bookmarkEnd w:id="70"/>
    </w:p>
    <w:p w14:paraId="23C6AC6D" w14:textId="2B164544" w:rsidR="00034A31" w:rsidRPr="00F91CC3" w:rsidRDefault="00034A31" w:rsidP="005142A2">
      <w:pPr>
        <w:numPr>
          <w:ilvl w:val="1"/>
          <w:numId w:val="10"/>
        </w:numPr>
        <w:snapToGrid w:val="0"/>
        <w:spacing w:after="120"/>
        <w:rPr>
          <w:rFonts w:asciiTheme="minorHAnsi" w:hAnsiTheme="minorHAnsi"/>
          <w:snapToGrid w:val="0"/>
        </w:rPr>
      </w:pPr>
      <w:bookmarkStart w:id="71" w:name="_Toc22897649"/>
      <w:r w:rsidRPr="00F91CC3">
        <w:rPr>
          <w:rFonts w:asciiTheme="minorHAnsi" w:hAnsiTheme="minorHAnsi"/>
          <w:snapToGrid w:val="0"/>
        </w:rPr>
        <w:t>The submission did not present a discussion of quality use of medicine</w:t>
      </w:r>
      <w:r w:rsidR="009C4855" w:rsidRPr="00F91CC3">
        <w:rPr>
          <w:rFonts w:asciiTheme="minorHAnsi" w:hAnsiTheme="minorHAnsi"/>
          <w:snapToGrid w:val="0"/>
        </w:rPr>
        <w:t>s</w:t>
      </w:r>
      <w:r w:rsidRPr="00F91CC3">
        <w:rPr>
          <w:rFonts w:asciiTheme="minorHAnsi" w:hAnsiTheme="minorHAnsi"/>
          <w:snapToGrid w:val="0"/>
        </w:rPr>
        <w:t xml:space="preserve"> issues. However, the PBAC has previously considered that administration of ivacaftor granules mixed with food presents a wastage risk in very young children (potentially through regurgitation of the drug mixed with food, or refusal to eat, and drug stability of only one hour when mixed), which the ESC considered may have a considerable impact on cost-effectiveness of ivacaftor in clinical practice (paragraph 6.32, ivacaftor PSD, March 2019 PBAC meeting).</w:t>
      </w:r>
      <w:r w:rsidR="00167F27" w:rsidRPr="00F91CC3">
        <w:rPr>
          <w:rFonts w:asciiTheme="minorHAnsi" w:hAnsiTheme="minorHAnsi"/>
          <w:snapToGrid w:val="0"/>
        </w:rPr>
        <w:t xml:space="preserve"> </w:t>
      </w:r>
    </w:p>
    <w:p w14:paraId="17D18A2C" w14:textId="77777777" w:rsidR="00034A31" w:rsidRPr="00F91CC3" w:rsidRDefault="00034A31" w:rsidP="00034A31">
      <w:pPr>
        <w:keepNext/>
        <w:spacing w:before="120" w:after="120"/>
        <w:outlineLvl w:val="1"/>
        <w:rPr>
          <w:rFonts w:asciiTheme="minorHAnsi" w:eastAsiaTheme="majorEastAsia" w:hAnsiTheme="minorHAnsi" w:cstheme="majorBidi"/>
          <w:b/>
          <w:i/>
          <w:spacing w:val="5"/>
          <w:kern w:val="28"/>
          <w:sz w:val="28"/>
          <w:szCs w:val="36"/>
        </w:rPr>
      </w:pPr>
      <w:bookmarkStart w:id="72" w:name="_Toc145484401"/>
      <w:r w:rsidRPr="00F91CC3">
        <w:rPr>
          <w:rFonts w:asciiTheme="minorHAnsi" w:eastAsiaTheme="majorEastAsia" w:hAnsiTheme="minorHAnsi" w:cstheme="majorBidi"/>
          <w:b/>
          <w:i/>
          <w:spacing w:val="5"/>
          <w:kern w:val="28"/>
          <w:sz w:val="28"/>
          <w:szCs w:val="36"/>
        </w:rPr>
        <w:t>Financial Management – Risk Sharing Arrangements</w:t>
      </w:r>
      <w:bookmarkEnd w:id="71"/>
      <w:bookmarkEnd w:id="72"/>
    </w:p>
    <w:p w14:paraId="5CAE72C7" w14:textId="4A44D07F" w:rsidR="00034A31" w:rsidRPr="00F91CC3" w:rsidRDefault="00034A31" w:rsidP="005142A2">
      <w:pPr>
        <w:numPr>
          <w:ilvl w:val="1"/>
          <w:numId w:val="10"/>
        </w:numPr>
        <w:snapToGrid w:val="0"/>
        <w:spacing w:after="120"/>
        <w:rPr>
          <w:rFonts w:asciiTheme="minorHAnsi" w:hAnsiTheme="minorHAnsi"/>
          <w:snapToGrid w:val="0"/>
          <w:lang w:eastAsia="en-GB"/>
        </w:rPr>
      </w:pPr>
      <w:bookmarkStart w:id="73" w:name="_Toc22897650"/>
      <w:r w:rsidRPr="00F91CC3">
        <w:rPr>
          <w:rFonts w:asciiTheme="minorHAnsi" w:hAnsiTheme="minorHAnsi"/>
          <w:snapToGrid w:val="0"/>
          <w:lang w:eastAsia="en-GB"/>
        </w:rPr>
        <w:t xml:space="preserve">The submission stated that the proposed listing will necessitate an increase to the current cap levels set out in the Deed of Agreement for PBS listed ivacaftor indications, which is due to expire in November 2023. In addition, the proposed listing will increase the overlap between the patient populations included within the existing ivacaftor Deed and those included within the combined deed for LUM/IVA, TEZ/IVA and ELX/TEZ/IVA. As such, the sponsor proposed that ivacaftor be factored into the combined Deed such that it covers the entire CFTR modulator market. To assist in </w:t>
      </w:r>
      <w:r w:rsidRPr="00F91CC3">
        <w:rPr>
          <w:rFonts w:asciiTheme="minorHAnsi" w:hAnsiTheme="minorHAnsi"/>
          <w:snapToGrid w:val="0"/>
          <w:lang w:eastAsia="en-GB"/>
        </w:rPr>
        <w:lastRenderedPageBreak/>
        <w:t xml:space="preserve">facilitating this change, the sponsor is willing to move to a Special Pricing Arrangement for ivacaftor </w:t>
      </w:r>
      <w:r w:rsidR="006331CA" w:rsidRPr="00F91CC3">
        <w:rPr>
          <w:rFonts w:asciiTheme="minorHAnsi" w:hAnsiTheme="minorHAnsi"/>
          <w:snapToGrid w:val="0"/>
          <w:lang w:eastAsia="en-GB"/>
        </w:rPr>
        <w:t>with an</w:t>
      </w:r>
      <w:r w:rsidRPr="00F91CC3">
        <w:rPr>
          <w:rFonts w:asciiTheme="minorHAnsi" w:hAnsiTheme="minorHAnsi"/>
          <w:snapToGrid w:val="0"/>
        </w:rPr>
        <w:t xml:space="preserve"> effective EMP </w:t>
      </w:r>
      <w:r w:rsidR="006331CA" w:rsidRPr="00F91CC3">
        <w:rPr>
          <w:rFonts w:asciiTheme="minorHAnsi" w:hAnsiTheme="minorHAnsi"/>
          <w:snapToGrid w:val="0"/>
        </w:rPr>
        <w:t xml:space="preserve">of </w:t>
      </w:r>
      <w:r w:rsidRPr="00F91CC3">
        <w:rPr>
          <w:rFonts w:asciiTheme="minorHAnsi" w:hAnsiTheme="minorHAnsi"/>
          <w:snapToGrid w:val="0"/>
        </w:rPr>
        <w:t>$</w:t>
      </w:r>
      <w:r w:rsidR="004E53B2">
        <w:rPr>
          <w:rFonts w:asciiTheme="minorHAnsi" w:hAnsiTheme="minorHAnsi"/>
          <w:snapToGrid w:val="0"/>
        </w:rPr>
        <w:t xml:space="preserve"> </w:t>
      </w:r>
      <w:r w:rsidR="004E53B2" w:rsidRPr="008D6198">
        <w:rPr>
          <w:rFonts w:asciiTheme="minorHAnsi" w:hAnsiTheme="minorHAnsi"/>
          <w:snapToGrid w:val="0"/>
          <w:color w:val="000000"/>
          <w:w w:val="15"/>
          <w:shd w:val="solid" w:color="000000" w:fill="000000"/>
          <w:fitText w:val="-20" w:id="-1032066291"/>
          <w14:textFill>
            <w14:solidFill>
              <w14:srgbClr w14:val="000000">
                <w14:alpha w14:val="100000"/>
              </w14:srgbClr>
            </w14:solidFill>
          </w14:textFill>
        </w:rPr>
        <w:t xml:space="preserve">|  </w:t>
      </w:r>
      <w:r w:rsidR="004E53B2" w:rsidRPr="008D6198">
        <w:rPr>
          <w:rFonts w:asciiTheme="minorHAnsi" w:hAnsiTheme="minorHAnsi"/>
          <w:snapToGrid w:val="0"/>
          <w:color w:val="000000"/>
          <w:spacing w:val="-69"/>
          <w:w w:val="15"/>
          <w:shd w:val="solid" w:color="000000" w:fill="000000"/>
          <w:fitText w:val="-20" w:id="-1032066291"/>
          <w14:textFill>
            <w14:solidFill>
              <w14:srgbClr w14:val="000000">
                <w14:alpha w14:val="100000"/>
              </w14:srgbClr>
            </w14:solidFill>
          </w14:textFill>
        </w:rPr>
        <w:t>|</w:t>
      </w:r>
      <w:r w:rsidRPr="00F91CC3">
        <w:rPr>
          <w:rFonts w:asciiTheme="minorHAnsi" w:hAnsiTheme="minorHAnsi"/>
          <w:snapToGrid w:val="0"/>
        </w:rPr>
        <w:t>.</w:t>
      </w:r>
      <w:r w:rsidR="00001CF9" w:rsidRPr="00F91CC3">
        <w:rPr>
          <w:rFonts w:asciiTheme="minorHAnsi" w:hAnsiTheme="minorHAnsi"/>
          <w:snapToGrid w:val="0"/>
        </w:rPr>
        <w:t xml:space="preserve"> </w:t>
      </w:r>
    </w:p>
    <w:p w14:paraId="2B76305C" w14:textId="23FBE78E" w:rsidR="00034A31" w:rsidRPr="00F91CC3" w:rsidRDefault="006331CA" w:rsidP="005142A2">
      <w:pPr>
        <w:numPr>
          <w:ilvl w:val="1"/>
          <w:numId w:val="10"/>
        </w:numPr>
        <w:snapToGrid w:val="0"/>
        <w:spacing w:after="120"/>
        <w:rPr>
          <w:rFonts w:asciiTheme="minorHAnsi" w:hAnsiTheme="minorHAnsi"/>
          <w:snapToGrid w:val="0"/>
          <w:lang w:eastAsia="en-GB"/>
        </w:rPr>
      </w:pPr>
      <w:r w:rsidRPr="00F91CC3">
        <w:rPr>
          <w:rFonts w:asciiTheme="minorHAnsi" w:hAnsiTheme="minorHAnsi"/>
          <w:snapToGrid w:val="0"/>
          <w:lang w:eastAsia="en-GB"/>
        </w:rPr>
        <w:t>T</w:t>
      </w:r>
      <w:r w:rsidR="00034A31" w:rsidRPr="00F91CC3">
        <w:rPr>
          <w:rFonts w:asciiTheme="minorHAnsi" w:hAnsiTheme="minorHAnsi"/>
          <w:snapToGrid w:val="0"/>
          <w:lang w:eastAsia="en-GB"/>
        </w:rPr>
        <w:t xml:space="preserve">he sponsor requested that the net cost shown in </w:t>
      </w:r>
      <w:r w:rsidRPr="00F91CC3">
        <w:rPr>
          <w:rFonts w:asciiTheme="minorHAnsi" w:hAnsiTheme="minorHAnsi"/>
          <w:snapToGrid w:val="0"/>
          <w:lang w:eastAsia="en-GB"/>
        </w:rPr>
        <w:fldChar w:fldCharType="begin"/>
      </w:r>
      <w:r w:rsidRPr="00F91CC3">
        <w:rPr>
          <w:rFonts w:asciiTheme="minorHAnsi" w:hAnsiTheme="minorHAnsi"/>
          <w:snapToGrid w:val="0"/>
          <w:lang w:eastAsia="en-GB"/>
        </w:rPr>
        <w:instrText xml:space="preserve"> REF _Ref144313575 \h  \* MERGEFORMAT </w:instrText>
      </w:r>
      <w:r w:rsidRPr="00F91CC3">
        <w:rPr>
          <w:rFonts w:asciiTheme="minorHAnsi" w:hAnsiTheme="minorHAnsi"/>
          <w:snapToGrid w:val="0"/>
          <w:lang w:eastAsia="en-GB"/>
        </w:rPr>
      </w:r>
      <w:r w:rsidRPr="00F91CC3">
        <w:rPr>
          <w:rFonts w:asciiTheme="minorHAnsi" w:hAnsiTheme="minorHAnsi"/>
          <w:snapToGrid w:val="0"/>
          <w:lang w:eastAsia="en-GB"/>
        </w:rPr>
        <w:fldChar w:fldCharType="separate"/>
      </w:r>
      <w:r w:rsidR="008D6198" w:rsidRPr="008D6198">
        <w:rPr>
          <w:rFonts w:asciiTheme="minorHAnsi" w:hAnsiTheme="minorHAnsi"/>
          <w:snapToGrid w:val="0"/>
          <w:lang w:eastAsia="en-GB"/>
        </w:rPr>
        <w:t>Table 15</w:t>
      </w:r>
      <w:r w:rsidRPr="00F91CC3">
        <w:rPr>
          <w:rFonts w:asciiTheme="minorHAnsi" w:hAnsiTheme="minorHAnsi"/>
          <w:snapToGrid w:val="0"/>
          <w:lang w:eastAsia="en-GB"/>
        </w:rPr>
        <w:fldChar w:fldCharType="end"/>
      </w:r>
      <w:r w:rsidRPr="00F91CC3">
        <w:rPr>
          <w:rFonts w:asciiTheme="minorHAnsi" w:hAnsiTheme="minorHAnsi"/>
          <w:snapToGrid w:val="0"/>
          <w:lang w:eastAsia="en-GB"/>
        </w:rPr>
        <w:t xml:space="preserve"> </w:t>
      </w:r>
      <w:r w:rsidR="00034A31" w:rsidRPr="00F91CC3">
        <w:rPr>
          <w:rFonts w:asciiTheme="minorHAnsi" w:hAnsiTheme="minorHAnsi"/>
          <w:snapToGrid w:val="0"/>
          <w:lang w:eastAsia="en-GB"/>
        </w:rPr>
        <w:t xml:space="preserve">be added to the sum of the two RSA expenditure caps for ivacaftor and </w:t>
      </w:r>
      <w:r w:rsidR="00034A31" w:rsidRPr="00F91CC3">
        <w:rPr>
          <w:rFonts w:asciiTheme="minorHAnsi" w:hAnsiTheme="minorHAnsi" w:cs="Calibri"/>
          <w:snapToGrid w:val="0"/>
          <w:lang w:eastAsia="en-GB"/>
        </w:rPr>
        <w:t>LUM/IVA, TEZ/</w:t>
      </w:r>
      <w:proofErr w:type="gramStart"/>
      <w:r w:rsidR="00034A31" w:rsidRPr="00F91CC3">
        <w:rPr>
          <w:rFonts w:asciiTheme="minorHAnsi" w:hAnsiTheme="minorHAnsi" w:cs="Calibri"/>
          <w:snapToGrid w:val="0"/>
          <w:lang w:eastAsia="en-GB"/>
        </w:rPr>
        <w:t>IVA</w:t>
      </w:r>
      <w:proofErr w:type="gramEnd"/>
      <w:r w:rsidR="00034A31" w:rsidRPr="00F91CC3">
        <w:rPr>
          <w:rFonts w:asciiTheme="minorHAnsi" w:hAnsiTheme="minorHAnsi" w:cs="Calibri"/>
          <w:snapToGrid w:val="0"/>
          <w:lang w:eastAsia="en-GB"/>
        </w:rPr>
        <w:t xml:space="preserve"> and ELX/TEZ/IVA</w:t>
      </w:r>
      <w:r w:rsidR="00034A31" w:rsidRPr="00F91CC3">
        <w:rPr>
          <w:rFonts w:asciiTheme="minorHAnsi" w:hAnsiTheme="minorHAnsi"/>
          <w:snapToGrid w:val="0"/>
          <w:lang w:eastAsia="en-GB"/>
        </w:rPr>
        <w:t xml:space="preserve"> currently in place.</w:t>
      </w:r>
    </w:p>
    <w:p w14:paraId="5D596946" w14:textId="53F3707D" w:rsidR="0007621A" w:rsidRPr="00F91CC3" w:rsidRDefault="0007621A" w:rsidP="0007621A">
      <w:pPr>
        <w:rPr>
          <w:rFonts w:asciiTheme="minorHAnsi" w:hAnsiTheme="minorHAnsi"/>
          <w:i/>
        </w:rPr>
      </w:pPr>
      <w:bookmarkStart w:id="74" w:name="_Hlk76375324"/>
      <w:bookmarkStart w:id="75" w:name="_Hlk103934877"/>
      <w:bookmarkStart w:id="76" w:name="_Toc145484402"/>
      <w:r w:rsidRPr="00F91CC3">
        <w:rPr>
          <w:rFonts w:asciiTheme="minorHAnsi" w:hAnsiTheme="minorHAnsi"/>
          <w:i/>
        </w:rPr>
        <w:t>For more detail on PBAC’s view, see section 7 PBAC outcome.</w:t>
      </w:r>
    </w:p>
    <w:p w14:paraId="4947401B" w14:textId="77777777" w:rsidR="0007621A" w:rsidRPr="00F91CC3" w:rsidRDefault="0007621A" w:rsidP="0007621A">
      <w:pPr>
        <w:pStyle w:val="2-SectionHeading"/>
      </w:pPr>
      <w:r w:rsidRPr="00F91CC3">
        <w:t>PBAC Outcome</w:t>
      </w:r>
    </w:p>
    <w:p w14:paraId="68CF2AAA" w14:textId="7E86413E" w:rsidR="0007621A" w:rsidRPr="00F91CC3" w:rsidRDefault="00A146B5" w:rsidP="0007621A">
      <w:pPr>
        <w:pStyle w:val="3-BodyText"/>
        <w:rPr>
          <w:i/>
        </w:rPr>
      </w:pPr>
      <w:r w:rsidRPr="00F91CC3">
        <w:t xml:space="preserve">The PBAC recommended that the </w:t>
      </w:r>
      <w:r w:rsidR="00B770CD" w:rsidRPr="00F91CC3">
        <w:t xml:space="preserve">listing </w:t>
      </w:r>
      <w:r w:rsidRPr="00F91CC3">
        <w:t>for ivacaftor granules and tablets</w:t>
      </w:r>
      <w:r w:rsidR="00B770CD" w:rsidRPr="00F91CC3">
        <w:t xml:space="preserve"> </w:t>
      </w:r>
      <w:r w:rsidRPr="00F91CC3">
        <w:t xml:space="preserve">be extended to include the treatment of cystic fibrosis </w:t>
      </w:r>
      <w:r w:rsidR="004A70C9" w:rsidRPr="00F91CC3">
        <w:t xml:space="preserve">(CF) </w:t>
      </w:r>
      <w:r w:rsidRPr="00F91CC3">
        <w:t xml:space="preserve">in patients aged 4 months and older who have at least one mutation in the cystic fibrosis transmembrane conductance regulator (CFTR) that is responsive to ivacaftor based on clinical and/ or in vitro assay data. The PBAC also recommended that an additional strength of granules (ivacaftor 25 mg) should be available under Section 100 (Highly Specialised Drugs Program) for use in this population. The PBAC noted that, overall, the evidence supporting the clinical claim in the submission was limited but acknowledged the difficulties in obtaining efficacy data in this population. </w:t>
      </w:r>
      <w:r w:rsidR="00E8347E" w:rsidRPr="00F91CC3">
        <w:t xml:space="preserve">The PBAC considered it was unlikely ivacaftor would be cost effective at the requested price, given its cost per patient per year was substantially higher than the current CFTR modulators and that most patients will transition to a CFTR modulator at an older age. </w:t>
      </w:r>
      <w:r w:rsidRPr="00F91CC3">
        <w:t xml:space="preserve">However, ivacaftor was likely to be cost effective if it was priced </w:t>
      </w:r>
      <w:r w:rsidR="004A70C9" w:rsidRPr="00F91CC3">
        <w:t xml:space="preserve">no higher than </w:t>
      </w:r>
      <w:r w:rsidRPr="00F91CC3">
        <w:t>elexacaftor/ tezacaftor/ ivacaftor</w:t>
      </w:r>
      <w:r w:rsidR="00B770CD" w:rsidRPr="00F91CC3">
        <w:t xml:space="preserve"> </w:t>
      </w:r>
      <w:r w:rsidR="001F3C36" w:rsidRPr="00F91CC3">
        <w:t xml:space="preserve">(ELX/TEZ/IVA) </w:t>
      </w:r>
      <w:r w:rsidRPr="00F91CC3">
        <w:t xml:space="preserve">for the population who would transition to another CFTR modulator at an older age (52% of patients) and for the population for whom there was limited clinical evidence (45% of patients). </w:t>
      </w:r>
    </w:p>
    <w:p w14:paraId="711C0ACD" w14:textId="1B0A1608" w:rsidR="00B770CD" w:rsidRPr="00F91CC3" w:rsidRDefault="00B770CD" w:rsidP="00B770CD">
      <w:pPr>
        <w:pStyle w:val="3-BodyText"/>
      </w:pPr>
      <w:r w:rsidRPr="00F91CC3">
        <w:t xml:space="preserve">The PBAC acknowledged the consumer comments strongly supported the </w:t>
      </w:r>
      <w:r w:rsidR="007F1B3C" w:rsidRPr="00F91CC3">
        <w:t xml:space="preserve">extension </w:t>
      </w:r>
      <w:r w:rsidRPr="00F91CC3">
        <w:t xml:space="preserve">of the </w:t>
      </w:r>
      <w:r w:rsidR="00D3005F" w:rsidRPr="00F91CC3">
        <w:t>listing for ivacaftor</w:t>
      </w:r>
      <w:r w:rsidR="00E8347E" w:rsidRPr="00F91CC3">
        <w:t>.</w:t>
      </w:r>
    </w:p>
    <w:p w14:paraId="5EBAC89A" w14:textId="69306769" w:rsidR="00C4106C" w:rsidRPr="00F91CC3" w:rsidRDefault="00C4106C" w:rsidP="00B770CD">
      <w:pPr>
        <w:pStyle w:val="3-BodyText"/>
      </w:pPr>
      <w:r w:rsidRPr="00F91CC3">
        <w:t>The PBAC advised the following with regards to the restriction criteria:</w:t>
      </w:r>
    </w:p>
    <w:p w14:paraId="1562DB14" w14:textId="6E80FAFA" w:rsidR="00C4106C" w:rsidRPr="00F91CC3" w:rsidRDefault="00C4106C" w:rsidP="00C4106C">
      <w:pPr>
        <w:pStyle w:val="3-BodyText"/>
        <w:numPr>
          <w:ilvl w:val="0"/>
          <w:numId w:val="28"/>
        </w:numPr>
      </w:pPr>
      <w:r w:rsidRPr="00F91CC3">
        <w:t>Removal of the sweat chloride clinical criteri</w:t>
      </w:r>
      <w:r w:rsidR="00DC770C">
        <w:t>on</w:t>
      </w:r>
      <w:r w:rsidRPr="00F91CC3">
        <w:t xml:space="preserve"> </w:t>
      </w:r>
      <w:r w:rsidR="008F27AA">
        <w:t xml:space="preserve">as proposed in the submission </w:t>
      </w:r>
      <w:r w:rsidRPr="00F91CC3">
        <w:t>was appropriate</w:t>
      </w:r>
      <w:r w:rsidR="008F27AA">
        <w:t>, noting the more recently listed CFTR modulators do not include this criteri</w:t>
      </w:r>
      <w:r w:rsidR="00DC770C">
        <w:t>on</w:t>
      </w:r>
      <w:r w:rsidRPr="00F91CC3">
        <w:t>;</w:t>
      </w:r>
    </w:p>
    <w:p w14:paraId="3BAACB5A" w14:textId="23814817" w:rsidR="00C4106C" w:rsidRPr="00F91CC3" w:rsidRDefault="00C4106C" w:rsidP="00C4106C">
      <w:pPr>
        <w:pStyle w:val="3-BodyText"/>
        <w:numPr>
          <w:ilvl w:val="0"/>
          <w:numId w:val="28"/>
        </w:numPr>
      </w:pPr>
      <w:r w:rsidRPr="00F91CC3">
        <w:t>Separate initial and continuing criteria was appropriate</w:t>
      </w:r>
      <w:r w:rsidR="008F27AA">
        <w:t>, noting all currently listed CFTR modulators include separate criteria</w:t>
      </w:r>
      <w:r w:rsidRPr="00F91CC3">
        <w:t xml:space="preserve">; </w:t>
      </w:r>
      <w:r w:rsidR="008F27AA">
        <w:t>and</w:t>
      </w:r>
    </w:p>
    <w:p w14:paraId="187B6E1A" w14:textId="1B92387F" w:rsidR="00897395" w:rsidRPr="00F91CC3" w:rsidRDefault="00897395" w:rsidP="00C4106C">
      <w:pPr>
        <w:pStyle w:val="3-BodyText"/>
        <w:numPr>
          <w:ilvl w:val="0"/>
          <w:numId w:val="28"/>
        </w:numPr>
      </w:pPr>
      <w:r w:rsidRPr="00F91CC3">
        <w:t xml:space="preserve">The specific CFTR mutation should be captured </w:t>
      </w:r>
      <w:r w:rsidR="008F27AA">
        <w:t xml:space="preserve">in the initial authority application.  </w:t>
      </w:r>
    </w:p>
    <w:p w14:paraId="38AF3798" w14:textId="55AE80E8" w:rsidR="00326817" w:rsidRPr="00F91CC3" w:rsidRDefault="00D3005F" w:rsidP="00326817">
      <w:pPr>
        <w:pStyle w:val="3-BodyText"/>
      </w:pPr>
      <w:r w:rsidRPr="00F91CC3">
        <w:t xml:space="preserve">The PBAC considered that the nomination of </w:t>
      </w:r>
      <w:r w:rsidR="001F3C36" w:rsidRPr="00F91CC3">
        <w:t>best supportive care (</w:t>
      </w:r>
      <w:r w:rsidRPr="00F91CC3">
        <w:t>BSC</w:t>
      </w:r>
      <w:r w:rsidR="001F3C36" w:rsidRPr="00F91CC3">
        <w:t>)</w:t>
      </w:r>
      <w:r w:rsidRPr="00F91CC3">
        <w:t xml:space="preserve"> as the comparator was reasonable</w:t>
      </w:r>
      <w:r w:rsidR="00E8347E" w:rsidRPr="00F91CC3">
        <w:t xml:space="preserve">; however, it would have been informative to compare commencing treatment with ivacaftor at 4 months of age with commencing treatment with other CFTR modulators at an older age for some populations </w:t>
      </w:r>
      <w:r w:rsidR="00326817" w:rsidRPr="00F91CC3">
        <w:t xml:space="preserve">(i.e., </w:t>
      </w:r>
      <w:r w:rsidR="00DC770C">
        <w:t>ivacaftor</w:t>
      </w:r>
      <w:r w:rsidR="00326817" w:rsidRPr="00F91CC3">
        <w:t xml:space="preserve"> for </w:t>
      </w:r>
      <w:r w:rsidR="004A70C9" w:rsidRPr="00F91CC3">
        <w:lastRenderedPageBreak/>
        <w:t>g</w:t>
      </w:r>
      <w:r w:rsidR="00326817" w:rsidRPr="00F91CC3">
        <w:t xml:space="preserve">ating population, ELX/TEZ/IVA for F/ any population and </w:t>
      </w:r>
      <w:r w:rsidR="00DC770C">
        <w:t>tezacaftor/ ivacaftor (TEZ/IVA)</w:t>
      </w:r>
      <w:r w:rsidR="00326817" w:rsidRPr="00F91CC3">
        <w:t xml:space="preserve"> for non-F/RF population)</w:t>
      </w:r>
      <w:r w:rsidR="00E8347E" w:rsidRPr="00F91CC3">
        <w:t xml:space="preserve">. </w:t>
      </w:r>
    </w:p>
    <w:p w14:paraId="707CDE7B" w14:textId="151F43EF" w:rsidR="00C4106C" w:rsidRPr="00F91CC3" w:rsidRDefault="00CE7DC2" w:rsidP="00C4106C">
      <w:pPr>
        <w:pStyle w:val="3-BodyText"/>
      </w:pPr>
      <w:r w:rsidRPr="00F91CC3">
        <w:t xml:space="preserve">The PBAC noted the submission presented 8 clinical studies </w:t>
      </w:r>
      <w:r w:rsidR="00606852" w:rsidRPr="00F91CC3">
        <w:t xml:space="preserve">and 3 in-vitro studies </w:t>
      </w:r>
      <w:r w:rsidRPr="00F91CC3">
        <w:t xml:space="preserve">to support the clinical claim that ivacaftor is superior to BSC in terms of efficacy. </w:t>
      </w:r>
      <w:r w:rsidR="00606852" w:rsidRPr="00F91CC3">
        <w:t xml:space="preserve">The PBAC </w:t>
      </w:r>
      <w:r w:rsidR="00F45A68" w:rsidRPr="00F91CC3">
        <w:t xml:space="preserve">noted </w:t>
      </w:r>
      <w:r w:rsidR="00C4106C" w:rsidRPr="00F91CC3">
        <w:t xml:space="preserve">only one clinical study included CF patients </w:t>
      </w:r>
      <w:r w:rsidR="00E8347E" w:rsidRPr="00F91CC3">
        <w:t xml:space="preserve">aged </w:t>
      </w:r>
      <w:r w:rsidR="00C4106C" w:rsidRPr="00F91CC3">
        <w:t>4</w:t>
      </w:r>
      <w:r w:rsidR="00121709" w:rsidRPr="00F91CC3">
        <w:t xml:space="preserve"> </w:t>
      </w:r>
      <w:r w:rsidR="00E8347E" w:rsidRPr="00F91CC3">
        <w:t xml:space="preserve">months </w:t>
      </w:r>
      <w:r w:rsidR="00121709" w:rsidRPr="00F91CC3">
        <w:t xml:space="preserve">to </w:t>
      </w:r>
      <w:r w:rsidR="00E8347E" w:rsidRPr="00F91CC3">
        <w:t xml:space="preserve">&lt; 12 </w:t>
      </w:r>
      <w:r w:rsidR="00C4106C" w:rsidRPr="00F91CC3">
        <w:t xml:space="preserve"> months of age (Study 124 in the gating population) with all other studies in older patients. The PBAC noted the mean absolute change in sweat chloride from baseline for the younger patients with a gating mutation was reasonably consistent with that observed in older patients (see paragraph </w:t>
      </w:r>
      <w:r w:rsidR="00C4106C" w:rsidRPr="00F91CC3">
        <w:fldChar w:fldCharType="begin"/>
      </w:r>
      <w:r w:rsidR="00C4106C" w:rsidRPr="00F91CC3">
        <w:instrText xml:space="preserve"> REF _Ref150675669 \r \h </w:instrText>
      </w:r>
      <w:r w:rsidR="00C4106C" w:rsidRPr="00F91CC3">
        <w:fldChar w:fldCharType="separate"/>
      </w:r>
      <w:r w:rsidR="008D6198">
        <w:t>6.12</w:t>
      </w:r>
      <w:r w:rsidR="00C4106C" w:rsidRPr="00F91CC3">
        <w:fldChar w:fldCharType="end"/>
      </w:r>
      <w:r w:rsidR="00C4106C" w:rsidRPr="00F91CC3">
        <w:t>). For the R117H and RF populations, the PBAC noted the absolute change from baseline in ppFEV</w:t>
      </w:r>
      <w:r w:rsidR="00C4106C" w:rsidRPr="00F91CC3">
        <w:rPr>
          <w:vertAlign w:val="subscript"/>
        </w:rPr>
        <w:t>1</w:t>
      </w:r>
      <w:r w:rsidR="00C4106C" w:rsidRPr="00F91CC3">
        <w:t xml:space="preserve"> ranged from 2.1 to 4.7 which did not meet the MCID of </w:t>
      </w:r>
      <w:r w:rsidR="00C4106C" w:rsidRPr="00F91CC3">
        <w:rPr>
          <w:rFonts w:cstheme="minorHAnsi"/>
        </w:rPr>
        <w:t>≥</w:t>
      </w:r>
      <w:r w:rsidR="00C4106C" w:rsidRPr="00F91CC3">
        <w:t xml:space="preserve"> 10 percentage points. The PBAC noted other outcomes showed a numerical benefit for ivacaftor (sweat chloride, BMI, pulmonary exacerbations) but the magnitude of benefit was uncertain</w:t>
      </w:r>
      <w:r w:rsidR="00F91CC3">
        <w:t xml:space="preserve">. </w:t>
      </w:r>
      <w:r w:rsidR="00C4106C" w:rsidRPr="00F91CC3">
        <w:t>The PBAC noted no clinical data was provided for the population of patients with ivacaftor-responsive mutations. The PBAC acknowledged the challenges associated with conducting clinical trials in younger patients and those with rare mutations. The PBAC considered that, overall, treatment with ivacaftor was likely to provide a clinical benefit in the requested populations; however, the magnitude of the benefit was uncertain.</w:t>
      </w:r>
    </w:p>
    <w:p w14:paraId="4AB5926A" w14:textId="0A3A3546" w:rsidR="00333B83" w:rsidRPr="00F91CC3" w:rsidRDefault="00333B83" w:rsidP="00333B83">
      <w:pPr>
        <w:pStyle w:val="3-BodyText"/>
        <w:rPr>
          <w:i/>
        </w:rPr>
      </w:pPr>
      <w:r w:rsidRPr="00F91CC3">
        <w:rPr>
          <w:iCs/>
        </w:rPr>
        <w:t xml:space="preserve">The PBAC considered that the claim that ivacaftor had comparable safety to BSC was reasonable, noting that the incidence and type of adverse events were similar </w:t>
      </w:r>
      <w:r w:rsidR="00CE7DC2" w:rsidRPr="00F91CC3">
        <w:rPr>
          <w:iCs/>
        </w:rPr>
        <w:t>to that observed in other populations</w:t>
      </w:r>
      <w:r w:rsidRPr="00F91CC3">
        <w:rPr>
          <w:i/>
        </w:rPr>
        <w:t>.</w:t>
      </w:r>
    </w:p>
    <w:p w14:paraId="340F1572" w14:textId="12AB7CEE" w:rsidR="00E8347E" w:rsidRPr="00F91CC3" w:rsidRDefault="00CF078C" w:rsidP="0007621A">
      <w:pPr>
        <w:pStyle w:val="3-BodyText"/>
        <w:rPr>
          <w:i/>
        </w:rPr>
      </w:pPr>
      <w:r w:rsidRPr="00F91CC3">
        <w:t xml:space="preserve">The PBAC noted no economic evaluation was presented, with the sponsor requesting  ivacaftor </w:t>
      </w:r>
      <w:r w:rsidR="00E8347E" w:rsidRPr="00F91CC3">
        <w:t xml:space="preserve">be made </w:t>
      </w:r>
      <w:r w:rsidRPr="00F91CC3">
        <w:t xml:space="preserve">available for the additional patients </w:t>
      </w:r>
      <w:r w:rsidR="00E8347E" w:rsidRPr="00F91CC3">
        <w:t xml:space="preserve">at the same price as it is currently reimbursed through the PBS on </w:t>
      </w:r>
      <w:r w:rsidR="001F3C36" w:rsidRPr="00F91CC3">
        <w:t xml:space="preserve">the </w:t>
      </w:r>
      <w:r w:rsidR="00E8347E" w:rsidRPr="00F91CC3">
        <w:t>basis of equity and the expected benefit of treating patients at a younger age</w:t>
      </w:r>
      <w:r w:rsidR="00F91CC3">
        <w:t xml:space="preserve">. </w:t>
      </w:r>
      <w:r w:rsidR="00E8347E" w:rsidRPr="00F91CC3">
        <w:t xml:space="preserve">The PBAC considered it unlikely ivacaftor would be cost effective at the requested price, given its cost per patient per year was substantially higher than the current CFTR modulators and that most patients will transition to a CFTR modulator at an older age. The PBAC considered ivacaftor was likely to be cost effective for the gating population aged 4 </w:t>
      </w:r>
      <w:r w:rsidR="00D07430" w:rsidRPr="00F91CC3">
        <w:t>months</w:t>
      </w:r>
      <w:r w:rsidR="00E8347E" w:rsidRPr="00F91CC3">
        <w:t xml:space="preserve"> to 11 months </w:t>
      </w:r>
      <w:r w:rsidR="00D07430">
        <w:t>(3%</w:t>
      </w:r>
      <w:r w:rsidR="008F27AA">
        <w:t xml:space="preserve"> of the additional population</w:t>
      </w:r>
      <w:r w:rsidR="00D07430">
        <w:t xml:space="preserve">) </w:t>
      </w:r>
      <w:r w:rsidR="00E8347E" w:rsidRPr="00F91CC3">
        <w:t xml:space="preserve">at the ivacaftor price, noting these patients would be eligible to commence treatment with ivacaftor at 12 months of age. </w:t>
      </w:r>
      <w:r w:rsidR="001B6186" w:rsidRPr="001B6186">
        <w:t>The PBAC considered ivacaftor was likely to be cost effective for the remaining population if its unit price was no higher than the unit price of ELX/TEZ/IVA, noting that listing ivacaftor would allow earlier access to a CFTR modulator for 45% of the additional patients that would transition to ELX/TEZ/IVA at an older age and for 7% of the additional patients that would transition to TEZ/IVA at an older age.</w:t>
      </w:r>
      <w:r w:rsidR="001B6186" w:rsidRPr="001B6186" w:rsidDel="001B6186">
        <w:t xml:space="preserve"> </w:t>
      </w:r>
      <w:r w:rsidR="001B6186">
        <w:t xml:space="preserve"> </w:t>
      </w:r>
      <w:r w:rsidR="00E8347E" w:rsidRPr="00F91CC3">
        <w:t>For the remaining population (45%), the PBAC noted the limited clinical evidence available but considered that it may be reasonable to assume the extent of benefit (and therefore, the cost effectiveness) is similar. The PBAC considered it would be appropriate to implement a weighted effective price across the current and additional ivacaftor populations</w:t>
      </w:r>
      <w:r w:rsidR="00F91CC3">
        <w:t xml:space="preserve">. </w:t>
      </w:r>
    </w:p>
    <w:p w14:paraId="36424E62" w14:textId="44E6BCEC" w:rsidR="00333B83" w:rsidRPr="00F91CC3" w:rsidRDefault="00333B83" w:rsidP="00333B83">
      <w:pPr>
        <w:pStyle w:val="3-BodyText"/>
      </w:pPr>
      <w:r w:rsidRPr="00F91CC3">
        <w:t xml:space="preserve">The PBAC considered that the methodology for estimating the number of additional patients that would be eligible for ivacaftor and the estimated financial impact was </w:t>
      </w:r>
      <w:r w:rsidRPr="00F91CC3">
        <w:lastRenderedPageBreak/>
        <w:t>reasonable.</w:t>
      </w:r>
      <w:r w:rsidR="004A70C9" w:rsidRPr="00F91CC3">
        <w:t xml:space="preserve"> The PBAC considered the use of the </w:t>
      </w:r>
      <w:r w:rsidR="00C4106C" w:rsidRPr="00F91CC3">
        <w:t xml:space="preserve">updated </w:t>
      </w:r>
      <w:r w:rsidR="004A70C9" w:rsidRPr="00F91CC3">
        <w:t xml:space="preserve">patient numbers provided in the pre-PBAC response was reasonable. </w:t>
      </w:r>
    </w:p>
    <w:p w14:paraId="3658F6A3" w14:textId="12E2BFB7" w:rsidR="00333B83" w:rsidRPr="00F91CC3" w:rsidRDefault="00333B83" w:rsidP="00333B83">
      <w:pPr>
        <w:widowControl w:val="0"/>
        <w:numPr>
          <w:ilvl w:val="1"/>
          <w:numId w:val="1"/>
        </w:numPr>
        <w:spacing w:after="120"/>
        <w:rPr>
          <w:rFonts w:asciiTheme="minorHAnsi" w:hAnsiTheme="minorHAnsi"/>
          <w:snapToGrid w:val="0"/>
        </w:rPr>
      </w:pPr>
      <w:r w:rsidRPr="00F91CC3">
        <w:rPr>
          <w:rFonts w:asciiTheme="minorHAnsi" w:hAnsiTheme="minorHAnsi"/>
          <w:bCs/>
        </w:rPr>
        <w:t xml:space="preserve">The </w:t>
      </w:r>
      <w:r w:rsidR="00983A99" w:rsidRPr="00F91CC3">
        <w:rPr>
          <w:rFonts w:asciiTheme="minorHAnsi" w:hAnsiTheme="minorHAnsi"/>
          <w:bCs/>
        </w:rPr>
        <w:t xml:space="preserve">PBAC </w:t>
      </w:r>
      <w:r w:rsidR="00F45A68" w:rsidRPr="00F91CC3">
        <w:rPr>
          <w:rFonts w:asciiTheme="minorHAnsi" w:hAnsiTheme="minorHAnsi"/>
          <w:bCs/>
        </w:rPr>
        <w:t xml:space="preserve">advised </w:t>
      </w:r>
      <w:r w:rsidRPr="00F91CC3">
        <w:rPr>
          <w:rFonts w:asciiTheme="minorHAnsi" w:hAnsiTheme="minorHAnsi"/>
          <w:bCs/>
        </w:rPr>
        <w:t xml:space="preserve">that the </w:t>
      </w:r>
      <w:r w:rsidR="00D07430">
        <w:rPr>
          <w:rFonts w:asciiTheme="minorHAnsi" w:hAnsiTheme="minorHAnsi"/>
          <w:bCs/>
        </w:rPr>
        <w:t xml:space="preserve">net cost of the </w:t>
      </w:r>
      <w:r w:rsidRPr="00F91CC3">
        <w:rPr>
          <w:rFonts w:asciiTheme="minorHAnsi" w:hAnsiTheme="minorHAnsi"/>
          <w:bCs/>
        </w:rPr>
        <w:t>extended population should be in included in the existing RSA for ivacaftor with the financial caps increased</w:t>
      </w:r>
      <w:r w:rsidR="00F45A68" w:rsidRPr="00F91CC3">
        <w:rPr>
          <w:rFonts w:asciiTheme="minorHAnsi" w:hAnsiTheme="minorHAnsi"/>
          <w:bCs/>
        </w:rPr>
        <w:t xml:space="preserve"> to include the cost of the additional patient population. </w:t>
      </w:r>
      <w:r w:rsidR="00182893" w:rsidRPr="00F91CC3">
        <w:rPr>
          <w:rFonts w:asciiTheme="minorHAnsi" w:hAnsiTheme="minorHAnsi"/>
          <w:bCs/>
        </w:rPr>
        <w:t>The PBAC considered a combined RSA for the CFTR modulators, as proposed by the sponsor, was reasonable</w:t>
      </w:r>
      <w:r w:rsidRPr="00F91CC3">
        <w:rPr>
          <w:rFonts w:asciiTheme="minorHAnsi" w:hAnsiTheme="minorHAnsi"/>
          <w:bCs/>
        </w:rPr>
        <w:t xml:space="preserve">. </w:t>
      </w:r>
    </w:p>
    <w:p w14:paraId="543699C6" w14:textId="604AC62E" w:rsidR="00AE2E57" w:rsidRPr="00F91CC3" w:rsidRDefault="00AE2E57" w:rsidP="00AE2E57">
      <w:pPr>
        <w:widowControl w:val="0"/>
        <w:numPr>
          <w:ilvl w:val="1"/>
          <w:numId w:val="1"/>
        </w:numPr>
        <w:spacing w:after="120"/>
        <w:ind w:left="862"/>
        <w:rPr>
          <w:rFonts w:asciiTheme="minorHAnsi" w:hAnsiTheme="minorHAnsi"/>
          <w:snapToGrid w:val="0"/>
        </w:rPr>
      </w:pPr>
      <w:r w:rsidRPr="00F91CC3">
        <w:rPr>
          <w:rFonts w:asciiTheme="minorHAnsi" w:hAnsiTheme="minorHAnsi" w:cstheme="minorHAnsi"/>
        </w:rPr>
        <w:t xml:space="preserve">The PBAC found that the criteria prescribed by the </w:t>
      </w:r>
      <w:r w:rsidRPr="00F91CC3">
        <w:rPr>
          <w:rFonts w:asciiTheme="minorHAnsi" w:hAnsiTheme="minorHAnsi" w:cstheme="minorHAnsi"/>
          <w:i/>
        </w:rPr>
        <w:t>National Health (Pharmaceuticals and Vaccines – Cost Recovery) Regulations 2022</w:t>
      </w:r>
      <w:r w:rsidRPr="00F91CC3">
        <w:rPr>
          <w:rFonts w:asciiTheme="minorHAnsi" w:hAnsiTheme="minorHAnsi" w:cstheme="minorHAnsi"/>
        </w:rPr>
        <w:t xml:space="preserve"> for Pricing Pathway A were not met. Specifically, the PBAC found that in the circumstances of its recommendation for ivacaftor:</w:t>
      </w:r>
    </w:p>
    <w:p w14:paraId="4DB61FCA" w14:textId="6CF301FE" w:rsidR="00AE2E57" w:rsidRPr="00F91CC3" w:rsidRDefault="00AE2E57" w:rsidP="00AE2E57">
      <w:pPr>
        <w:widowControl w:val="0"/>
        <w:numPr>
          <w:ilvl w:val="1"/>
          <w:numId w:val="25"/>
        </w:numPr>
        <w:spacing w:after="120"/>
        <w:ind w:left="1080"/>
        <w:rPr>
          <w:rFonts w:asciiTheme="minorHAnsi" w:hAnsiTheme="minorHAnsi" w:cstheme="minorHAnsi"/>
        </w:rPr>
      </w:pPr>
      <w:r w:rsidRPr="00F91CC3">
        <w:rPr>
          <w:rFonts w:asciiTheme="minorHAnsi" w:hAnsiTheme="minorHAnsi" w:cstheme="minorHAnsi"/>
        </w:rPr>
        <w:t xml:space="preserve">Based on the available evidence the magnitude of benefit of treatment with ivacaftor </w:t>
      </w:r>
      <w:r w:rsidR="00F35E02" w:rsidRPr="00F91CC3">
        <w:rPr>
          <w:rFonts w:asciiTheme="minorHAnsi" w:hAnsiTheme="minorHAnsi" w:cstheme="minorHAnsi"/>
        </w:rPr>
        <w:t>w</w:t>
      </w:r>
      <w:r w:rsidRPr="00F91CC3">
        <w:rPr>
          <w:rFonts w:asciiTheme="minorHAnsi" w:hAnsiTheme="minorHAnsi" w:cstheme="minorHAnsi"/>
        </w:rPr>
        <w:t>as not able to be quantified, and therefore the criteria of having a substantial and clinically relevant improvement in efficacy compared to</w:t>
      </w:r>
      <w:r w:rsidR="00F35E02" w:rsidRPr="00F91CC3">
        <w:rPr>
          <w:rFonts w:asciiTheme="minorHAnsi" w:hAnsiTheme="minorHAnsi" w:cstheme="minorHAnsi"/>
        </w:rPr>
        <w:t xml:space="preserve"> best supportive care was not met</w:t>
      </w:r>
      <w:r w:rsidRPr="00F91CC3">
        <w:rPr>
          <w:rFonts w:asciiTheme="minorHAnsi" w:hAnsiTheme="minorHAnsi" w:cstheme="minorHAnsi"/>
        </w:rPr>
        <w:t xml:space="preserve">; </w:t>
      </w:r>
    </w:p>
    <w:p w14:paraId="5EEE6092" w14:textId="210D199F" w:rsidR="00AE2E57" w:rsidRPr="00F91CC3" w:rsidRDefault="00AE2E57" w:rsidP="00AE2E57">
      <w:pPr>
        <w:widowControl w:val="0"/>
        <w:numPr>
          <w:ilvl w:val="1"/>
          <w:numId w:val="25"/>
        </w:numPr>
        <w:spacing w:after="120"/>
        <w:ind w:left="1080"/>
        <w:rPr>
          <w:rFonts w:asciiTheme="minorHAnsi" w:hAnsiTheme="minorHAnsi" w:cstheme="minorHAnsi"/>
        </w:rPr>
      </w:pPr>
      <w:r w:rsidRPr="00F91CC3">
        <w:rPr>
          <w:rFonts w:asciiTheme="minorHAnsi" w:hAnsiTheme="minorHAnsi" w:cstheme="minorHAnsi"/>
        </w:rPr>
        <w:t xml:space="preserve">The treatment is expected to address a high and urgent unmet clinical need </w:t>
      </w:r>
      <w:r w:rsidR="00F35E02" w:rsidRPr="00F91CC3">
        <w:rPr>
          <w:rFonts w:asciiTheme="minorHAnsi" w:hAnsiTheme="minorHAnsi" w:cstheme="minorHAnsi"/>
        </w:rPr>
        <w:t xml:space="preserve">for some of the additional population as there are </w:t>
      </w:r>
      <w:r w:rsidRPr="00F91CC3">
        <w:rPr>
          <w:rFonts w:asciiTheme="minorHAnsi" w:hAnsiTheme="minorHAnsi" w:cstheme="minorHAnsi"/>
        </w:rPr>
        <w:t>no alternative treatment option</w:t>
      </w:r>
      <w:r w:rsidR="00F35E02" w:rsidRPr="00F91CC3">
        <w:rPr>
          <w:rFonts w:asciiTheme="minorHAnsi" w:hAnsiTheme="minorHAnsi" w:cstheme="minorHAnsi"/>
        </w:rPr>
        <w:t>s</w:t>
      </w:r>
      <w:r w:rsidRPr="00F91CC3">
        <w:rPr>
          <w:rFonts w:asciiTheme="minorHAnsi" w:hAnsiTheme="minorHAnsi" w:cstheme="minorHAnsi"/>
        </w:rPr>
        <w:t xml:space="preserve">; </w:t>
      </w:r>
    </w:p>
    <w:p w14:paraId="79FBB939" w14:textId="77777777" w:rsidR="00AE2E57" w:rsidRPr="00F91CC3" w:rsidRDefault="00AE2E57" w:rsidP="00AE2E57">
      <w:pPr>
        <w:widowControl w:val="0"/>
        <w:numPr>
          <w:ilvl w:val="1"/>
          <w:numId w:val="25"/>
        </w:numPr>
        <w:spacing w:after="120"/>
        <w:ind w:left="1080"/>
        <w:rPr>
          <w:rFonts w:asciiTheme="minorHAnsi" w:hAnsiTheme="minorHAnsi" w:cstheme="minorHAnsi"/>
        </w:rPr>
      </w:pPr>
      <w:r w:rsidRPr="00F91CC3">
        <w:rPr>
          <w:rFonts w:asciiTheme="minorHAnsi" w:hAnsiTheme="minorHAnsi" w:cstheme="minorHAnsi"/>
        </w:rPr>
        <w:t xml:space="preserve">It was not necessary to make a finding in relation to whether it would be in the public interest for the subsequent pricing application to be progressed under Pricing Pathway A because one or more of the preceding tests had failed. </w:t>
      </w:r>
    </w:p>
    <w:p w14:paraId="27F82B97" w14:textId="2BF0DC6C" w:rsidR="0007621A" w:rsidRPr="00F07396" w:rsidRDefault="00AE2E57" w:rsidP="00F07396">
      <w:pPr>
        <w:widowControl w:val="0"/>
        <w:numPr>
          <w:ilvl w:val="1"/>
          <w:numId w:val="1"/>
        </w:numPr>
        <w:spacing w:after="120"/>
        <w:rPr>
          <w:rFonts w:asciiTheme="minorHAnsi" w:hAnsiTheme="minorHAnsi"/>
          <w:bCs/>
          <w:snapToGrid w:val="0"/>
        </w:rPr>
      </w:pPr>
      <w:r w:rsidRPr="00F91CC3">
        <w:rPr>
          <w:rFonts w:asciiTheme="minorHAnsi" w:hAnsiTheme="minorHAnsi"/>
          <w:bCs/>
          <w:snapToGrid w:val="0"/>
        </w:rPr>
        <w:t xml:space="preserve">The PBAC noted that this submission is not eligible for an Independent Review as it received a positive recommendation. </w:t>
      </w:r>
    </w:p>
    <w:p w14:paraId="492F1DCA" w14:textId="68D3FF5B" w:rsidR="0007621A" w:rsidRPr="00F91CC3" w:rsidRDefault="0007621A" w:rsidP="00F07396">
      <w:pPr>
        <w:pStyle w:val="3-BodyText"/>
        <w:numPr>
          <w:ilvl w:val="0"/>
          <w:numId w:val="0"/>
        </w:numPr>
        <w:spacing w:after="0"/>
        <w:rPr>
          <w:b/>
          <w:bCs/>
        </w:rPr>
      </w:pPr>
      <w:r w:rsidRPr="00F91CC3">
        <w:rPr>
          <w:b/>
          <w:bCs/>
        </w:rPr>
        <w:t>Outcome:</w:t>
      </w:r>
    </w:p>
    <w:p w14:paraId="43DB5C2B" w14:textId="5244DFB8" w:rsidR="0007621A" w:rsidRPr="00F07396" w:rsidRDefault="0007621A" w:rsidP="00F07396">
      <w:pPr>
        <w:rPr>
          <w:rFonts w:asciiTheme="minorHAnsi" w:hAnsiTheme="minorHAnsi"/>
          <w:bCs/>
          <w:snapToGrid w:val="0"/>
        </w:rPr>
      </w:pPr>
      <w:r w:rsidRPr="00F91CC3">
        <w:rPr>
          <w:rFonts w:asciiTheme="minorHAnsi" w:hAnsiTheme="minorHAnsi"/>
          <w:bCs/>
          <w:snapToGrid w:val="0"/>
        </w:rPr>
        <w:t xml:space="preserve">Recommended </w:t>
      </w:r>
    </w:p>
    <w:p w14:paraId="660FB908" w14:textId="77777777" w:rsidR="0007621A" w:rsidRPr="00F91CC3" w:rsidRDefault="0007621A" w:rsidP="001C19B6">
      <w:pPr>
        <w:pStyle w:val="2-SectionHeading"/>
      </w:pPr>
      <w:r w:rsidRPr="00F91CC3">
        <w:t>Recommended listing</w:t>
      </w:r>
    </w:p>
    <w:p w14:paraId="36A3BA5C" w14:textId="3C8500A1" w:rsidR="0007621A" w:rsidRPr="00F91CC3" w:rsidRDefault="00C4106C" w:rsidP="0007621A">
      <w:pPr>
        <w:pStyle w:val="3-BodyText"/>
      </w:pPr>
      <w:r w:rsidRPr="00F91CC3">
        <w:t>Add new item (ivacaftor 25 mg granules) and a</w:t>
      </w:r>
      <w:r w:rsidR="0007621A" w:rsidRPr="00F91CC3">
        <w:t>mend existing</w:t>
      </w:r>
      <w:r w:rsidRPr="00F91CC3">
        <w:t xml:space="preserve"> </w:t>
      </w:r>
      <w:r w:rsidR="0007621A" w:rsidRPr="00F91CC3">
        <w:t xml:space="preserve">listing </w:t>
      </w:r>
      <w:r w:rsidRPr="00F91CC3">
        <w:t xml:space="preserve">(ivacaftor 50 mg and 75 mg granules and 150 mg  tablets) </w:t>
      </w:r>
      <w:r w:rsidR="0007621A" w:rsidRPr="00F91CC3">
        <w:t>as follows:</w:t>
      </w:r>
    </w:p>
    <w:p w14:paraId="16381CF5" w14:textId="5EEE6718" w:rsidR="001C19B6" w:rsidRPr="00F91CC3" w:rsidRDefault="001C19B6" w:rsidP="001C19B6">
      <w:pPr>
        <w:pStyle w:val="3-BodyText"/>
        <w:numPr>
          <w:ilvl w:val="0"/>
          <w:numId w:val="0"/>
        </w:numPr>
      </w:pPr>
      <w:r w:rsidRPr="00F91CC3">
        <w:t>Amend current ivacaftor restrictions to include the rarer mutations and to expand the age limit</w:t>
      </w:r>
      <w:r w:rsidR="00F91CC3">
        <w:t xml:space="preserve">. </w:t>
      </w:r>
      <w:r w:rsidRPr="00F91CC3">
        <w:t xml:space="preserve">Additions in </w:t>
      </w:r>
      <w:r w:rsidR="00462B57">
        <w:t>italics</w:t>
      </w:r>
      <w:r w:rsidRPr="00F91CC3">
        <w:rPr>
          <w:color w:val="4F81BD" w:themeColor="accent1"/>
        </w:rPr>
        <w:t xml:space="preserve"> </w:t>
      </w:r>
      <w:r w:rsidRPr="00F91CC3">
        <w:t>and deletions in strikethrough.</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1701"/>
        <w:gridCol w:w="709"/>
        <w:gridCol w:w="709"/>
        <w:gridCol w:w="708"/>
        <w:gridCol w:w="1843"/>
      </w:tblGrid>
      <w:tr w:rsidR="004C710C" w:rsidRPr="004C710C" w14:paraId="6958C540" w14:textId="77777777" w:rsidTr="004C710C">
        <w:trPr>
          <w:cantSplit/>
          <w:trHeight w:val="464"/>
        </w:trPr>
        <w:tc>
          <w:tcPr>
            <w:tcW w:w="9210" w:type="dxa"/>
            <w:gridSpan w:val="6"/>
            <w:tcBorders>
              <w:top w:val="single" w:sz="4" w:space="0" w:color="auto"/>
              <w:left w:val="single" w:sz="4" w:space="0" w:color="auto"/>
              <w:bottom w:val="single" w:sz="4" w:space="0" w:color="auto"/>
              <w:right w:val="single" w:sz="4" w:space="0" w:color="auto"/>
            </w:tcBorders>
            <w:vAlign w:val="center"/>
          </w:tcPr>
          <w:p w14:paraId="2746FCB0" w14:textId="1855F524" w:rsidR="004C710C" w:rsidRPr="004C710C" w:rsidRDefault="004C710C" w:rsidP="00101108">
            <w:pPr>
              <w:keepLines/>
              <w:rPr>
                <w:rFonts w:ascii="Arial Narrow" w:hAnsi="Arial Narrow"/>
                <w:b/>
                <w:sz w:val="20"/>
                <w:szCs w:val="20"/>
              </w:rPr>
            </w:pPr>
            <w:r w:rsidRPr="004C710C">
              <w:rPr>
                <w:rFonts w:ascii="Arial Narrow" w:hAnsi="Arial Narrow"/>
                <w:b/>
                <w:sz w:val="20"/>
                <w:szCs w:val="20"/>
              </w:rPr>
              <w:t xml:space="preserve">Category / Program:  </w:t>
            </w:r>
            <w:r w:rsidRPr="004C710C">
              <w:rPr>
                <w:rFonts w:ascii="Arial Narrow" w:hAnsi="Arial Narrow"/>
                <w:sz w:val="20"/>
                <w:szCs w:val="20"/>
              </w:rPr>
              <w:t>S100 – Section 100 (Highly Specialised Drugs) – Public and Private Hospitals</w:t>
            </w:r>
          </w:p>
        </w:tc>
      </w:tr>
      <w:tr w:rsidR="004C710C" w:rsidRPr="004C710C" w14:paraId="6D08B571" w14:textId="77777777" w:rsidTr="004C710C">
        <w:trPr>
          <w:cantSplit/>
          <w:trHeight w:val="20"/>
        </w:trPr>
        <w:tc>
          <w:tcPr>
            <w:tcW w:w="3540" w:type="dxa"/>
            <w:tcBorders>
              <w:top w:val="single" w:sz="4" w:space="0" w:color="auto"/>
              <w:left w:val="single" w:sz="4" w:space="0" w:color="auto"/>
              <w:bottom w:val="single" w:sz="4" w:space="0" w:color="auto"/>
              <w:right w:val="single" w:sz="4" w:space="0" w:color="auto"/>
            </w:tcBorders>
            <w:vAlign w:val="center"/>
            <w:hideMark/>
          </w:tcPr>
          <w:p w14:paraId="3F7B3CA3" w14:textId="77777777" w:rsidR="001C19B6" w:rsidRPr="004C710C" w:rsidRDefault="001C19B6" w:rsidP="00101108">
            <w:pPr>
              <w:keepLines/>
              <w:rPr>
                <w:rFonts w:ascii="Arial Narrow" w:hAnsi="Arial Narrow"/>
                <w:b/>
                <w:bCs/>
                <w:sz w:val="20"/>
                <w:szCs w:val="20"/>
              </w:rPr>
            </w:pPr>
            <w:r w:rsidRPr="004C710C">
              <w:rPr>
                <w:rFonts w:ascii="Arial Narrow" w:hAnsi="Arial Narrow"/>
                <w:b/>
                <w:bCs/>
                <w:sz w:val="20"/>
                <w:szCs w:val="20"/>
              </w:rPr>
              <w:t>MEDICINAL PRODUCT</w:t>
            </w:r>
          </w:p>
          <w:p w14:paraId="75D216F2" w14:textId="77777777" w:rsidR="001C19B6" w:rsidRPr="004C710C" w:rsidRDefault="001C19B6" w:rsidP="00101108">
            <w:pPr>
              <w:keepLines/>
              <w:rPr>
                <w:rFonts w:ascii="Arial Narrow" w:hAnsi="Arial Narrow"/>
                <w:b/>
                <w:sz w:val="20"/>
                <w:szCs w:val="20"/>
              </w:rPr>
            </w:pPr>
            <w:r w:rsidRPr="004C710C">
              <w:rPr>
                <w:rFonts w:ascii="Arial Narrow" w:hAnsi="Arial Narrow"/>
                <w:b/>
                <w:bCs/>
                <w:sz w:val="20"/>
                <w:szCs w:val="20"/>
              </w:rPr>
              <w:t>medicinal product pack</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7C74B09" w14:textId="77777777" w:rsidR="001C19B6" w:rsidRPr="004C710C" w:rsidRDefault="001C19B6" w:rsidP="00101108">
            <w:pPr>
              <w:keepLines/>
              <w:jc w:val="center"/>
              <w:rPr>
                <w:rFonts w:ascii="Arial Narrow" w:hAnsi="Arial Narrow"/>
                <w:b/>
                <w:sz w:val="20"/>
                <w:szCs w:val="20"/>
              </w:rPr>
            </w:pPr>
            <w:r w:rsidRPr="004C710C">
              <w:rPr>
                <w:rFonts w:ascii="Arial Narrow" w:hAnsi="Arial Narrow"/>
                <w:b/>
                <w:sz w:val="20"/>
                <w:szCs w:val="20"/>
              </w:rPr>
              <w:t>PBS item code</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965B54" w14:textId="77777777" w:rsidR="001C19B6" w:rsidRPr="004C710C" w:rsidRDefault="001C19B6" w:rsidP="00101108">
            <w:pPr>
              <w:keepLines/>
              <w:jc w:val="center"/>
              <w:rPr>
                <w:rFonts w:ascii="Arial Narrow" w:hAnsi="Arial Narrow"/>
                <w:b/>
                <w:sz w:val="20"/>
                <w:szCs w:val="20"/>
              </w:rPr>
            </w:pPr>
            <w:r w:rsidRPr="004C710C">
              <w:rPr>
                <w:rFonts w:ascii="Arial Narrow" w:hAnsi="Arial Narrow"/>
                <w:b/>
                <w:sz w:val="20"/>
                <w:szCs w:val="20"/>
              </w:rPr>
              <w:t>Max. qty packs</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3A9529" w14:textId="77777777" w:rsidR="001C19B6" w:rsidRPr="004C710C" w:rsidRDefault="001C19B6" w:rsidP="00101108">
            <w:pPr>
              <w:keepLines/>
              <w:jc w:val="center"/>
              <w:rPr>
                <w:rFonts w:ascii="Arial Narrow" w:hAnsi="Arial Narrow"/>
                <w:b/>
                <w:sz w:val="20"/>
                <w:szCs w:val="20"/>
              </w:rPr>
            </w:pPr>
            <w:r w:rsidRPr="004C710C">
              <w:rPr>
                <w:rFonts w:ascii="Arial Narrow" w:hAnsi="Arial Narrow"/>
                <w:b/>
                <w:sz w:val="20"/>
                <w:szCs w:val="20"/>
              </w:rPr>
              <w:t>Max. qty units</w:t>
            </w:r>
          </w:p>
        </w:tc>
        <w:tc>
          <w:tcPr>
            <w:tcW w:w="708" w:type="dxa"/>
            <w:tcBorders>
              <w:top w:val="single" w:sz="4" w:space="0" w:color="auto"/>
              <w:left w:val="single" w:sz="4" w:space="0" w:color="auto"/>
              <w:bottom w:val="single" w:sz="4" w:space="0" w:color="auto"/>
              <w:right w:val="single" w:sz="4" w:space="0" w:color="auto"/>
            </w:tcBorders>
            <w:vAlign w:val="center"/>
            <w:hideMark/>
          </w:tcPr>
          <w:p w14:paraId="44791219" w14:textId="77777777" w:rsidR="001C19B6" w:rsidRPr="004C710C" w:rsidRDefault="001C19B6" w:rsidP="00101108">
            <w:pPr>
              <w:keepLines/>
              <w:jc w:val="center"/>
              <w:rPr>
                <w:rFonts w:ascii="Arial Narrow" w:hAnsi="Arial Narrow"/>
                <w:b/>
                <w:sz w:val="20"/>
                <w:szCs w:val="20"/>
              </w:rPr>
            </w:pPr>
            <w:r w:rsidRPr="004C710C">
              <w:rPr>
                <w:rFonts w:ascii="Arial Narrow" w:hAnsi="Arial Narrow"/>
                <w:b/>
                <w:sz w:val="20"/>
                <w:szCs w:val="20"/>
              </w:rPr>
              <w:t>№.of</w:t>
            </w:r>
          </w:p>
          <w:p w14:paraId="73B81881" w14:textId="77777777" w:rsidR="001C19B6" w:rsidRPr="004C710C" w:rsidRDefault="001C19B6" w:rsidP="00101108">
            <w:pPr>
              <w:keepLines/>
              <w:jc w:val="center"/>
              <w:rPr>
                <w:rFonts w:ascii="Arial Narrow" w:hAnsi="Arial Narrow"/>
                <w:b/>
                <w:sz w:val="20"/>
                <w:szCs w:val="20"/>
              </w:rPr>
            </w:pPr>
            <w:r w:rsidRPr="004C710C">
              <w:rPr>
                <w:rFonts w:ascii="Arial Narrow" w:hAnsi="Arial Narrow"/>
                <w:b/>
                <w:sz w:val="20"/>
                <w:szCs w:val="20"/>
              </w:rPr>
              <w:t>Rpts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890FB61" w14:textId="77777777" w:rsidR="001C19B6" w:rsidRPr="004C710C" w:rsidRDefault="001C19B6" w:rsidP="00101108">
            <w:pPr>
              <w:keepLines/>
              <w:rPr>
                <w:rFonts w:ascii="Arial Narrow" w:hAnsi="Arial Narrow"/>
                <w:b/>
                <w:sz w:val="20"/>
                <w:szCs w:val="20"/>
              </w:rPr>
            </w:pPr>
            <w:r w:rsidRPr="004C710C">
              <w:rPr>
                <w:rFonts w:ascii="Arial Narrow" w:hAnsi="Arial Narrow"/>
                <w:b/>
                <w:sz w:val="20"/>
                <w:szCs w:val="20"/>
              </w:rPr>
              <w:t>Available brands</w:t>
            </w:r>
          </w:p>
        </w:tc>
      </w:tr>
      <w:tr w:rsidR="004C710C" w:rsidRPr="004C710C" w14:paraId="782A1EEA" w14:textId="77777777" w:rsidTr="004C710C">
        <w:trPr>
          <w:cantSplit/>
          <w:trHeight w:val="20"/>
        </w:trPr>
        <w:tc>
          <w:tcPr>
            <w:tcW w:w="9210" w:type="dxa"/>
            <w:gridSpan w:val="6"/>
            <w:tcBorders>
              <w:top w:val="single" w:sz="4" w:space="0" w:color="auto"/>
              <w:left w:val="single" w:sz="4" w:space="0" w:color="auto"/>
              <w:bottom w:val="single" w:sz="4" w:space="0" w:color="auto"/>
              <w:right w:val="single" w:sz="4" w:space="0" w:color="auto"/>
            </w:tcBorders>
            <w:vAlign w:val="center"/>
            <w:hideMark/>
          </w:tcPr>
          <w:p w14:paraId="02259DFA" w14:textId="77777777" w:rsidR="001C19B6" w:rsidRPr="004C710C" w:rsidRDefault="001C19B6" w:rsidP="00101108">
            <w:pPr>
              <w:keepLines/>
              <w:rPr>
                <w:rFonts w:ascii="Arial Narrow" w:hAnsi="Arial Narrow"/>
                <w:sz w:val="20"/>
                <w:szCs w:val="20"/>
              </w:rPr>
            </w:pPr>
            <w:r w:rsidRPr="004C710C">
              <w:rPr>
                <w:rFonts w:ascii="Arial Narrow" w:hAnsi="Arial Narrow"/>
                <w:sz w:val="20"/>
                <w:szCs w:val="20"/>
              </w:rPr>
              <w:t>IVACAFTOR</w:t>
            </w:r>
          </w:p>
        </w:tc>
      </w:tr>
      <w:tr w:rsidR="004C710C" w:rsidRPr="004C710C" w14:paraId="70493996" w14:textId="77777777" w:rsidTr="004C710C">
        <w:trPr>
          <w:cantSplit/>
          <w:trHeight w:val="351"/>
        </w:trPr>
        <w:tc>
          <w:tcPr>
            <w:tcW w:w="3540" w:type="dxa"/>
            <w:tcBorders>
              <w:top w:val="single" w:sz="4" w:space="0" w:color="auto"/>
              <w:left w:val="single" w:sz="4" w:space="0" w:color="auto"/>
              <w:bottom w:val="single" w:sz="4" w:space="0" w:color="auto"/>
              <w:right w:val="single" w:sz="4" w:space="0" w:color="auto"/>
            </w:tcBorders>
            <w:vAlign w:val="center"/>
            <w:hideMark/>
          </w:tcPr>
          <w:p w14:paraId="02F0DF77" w14:textId="77777777" w:rsidR="001C19B6" w:rsidRPr="004C710C" w:rsidRDefault="001C19B6" w:rsidP="00101108">
            <w:pPr>
              <w:keepLines/>
              <w:rPr>
                <w:rFonts w:ascii="Arial Narrow" w:hAnsi="Arial Narrow"/>
                <w:i/>
                <w:iCs/>
                <w:sz w:val="20"/>
                <w:szCs w:val="20"/>
              </w:rPr>
            </w:pPr>
            <w:r w:rsidRPr="004C710C">
              <w:rPr>
                <w:rFonts w:ascii="Arial Narrow" w:hAnsi="Arial Narrow"/>
                <w:i/>
                <w:iCs/>
                <w:sz w:val="20"/>
                <w:szCs w:val="20"/>
              </w:rPr>
              <w:t>Ivacaftor 25 mg granules, 56 sachets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B9845C" w14:textId="77777777" w:rsidR="001C19B6" w:rsidRPr="004C710C" w:rsidRDefault="001C19B6" w:rsidP="00101108">
            <w:pPr>
              <w:keepLines/>
              <w:jc w:val="center"/>
              <w:rPr>
                <w:rFonts w:ascii="Arial Narrow" w:hAnsi="Arial Narrow"/>
                <w:i/>
                <w:iCs/>
                <w:sz w:val="20"/>
                <w:szCs w:val="20"/>
              </w:rPr>
            </w:pPr>
            <w:r w:rsidRPr="004C710C">
              <w:rPr>
                <w:rFonts w:ascii="Arial Narrow" w:hAnsi="Arial Narrow"/>
                <w:i/>
                <w:iCs/>
                <w:sz w:val="20"/>
                <w:szCs w:val="20"/>
              </w:rPr>
              <w:t>NEW HSD (Public)</w:t>
            </w:r>
          </w:p>
          <w:p w14:paraId="0117BD1B" w14:textId="77777777" w:rsidR="001C19B6" w:rsidRPr="004C710C" w:rsidRDefault="001C19B6" w:rsidP="00101108">
            <w:pPr>
              <w:keepLines/>
              <w:jc w:val="center"/>
              <w:rPr>
                <w:rFonts w:ascii="Arial Narrow" w:hAnsi="Arial Narrow"/>
                <w:i/>
                <w:iCs/>
                <w:sz w:val="20"/>
                <w:szCs w:val="20"/>
              </w:rPr>
            </w:pPr>
            <w:r w:rsidRPr="004C710C">
              <w:rPr>
                <w:rFonts w:ascii="Arial Narrow" w:hAnsi="Arial Narrow"/>
                <w:i/>
                <w:iCs/>
                <w:sz w:val="20"/>
                <w:szCs w:val="20"/>
              </w:rPr>
              <w:t>NEW HSD (Private)</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BE6CC9" w14:textId="77777777" w:rsidR="001C19B6" w:rsidRPr="004C710C" w:rsidRDefault="001C19B6" w:rsidP="00101108">
            <w:pPr>
              <w:keepLines/>
              <w:jc w:val="center"/>
              <w:rPr>
                <w:rFonts w:ascii="Arial Narrow" w:hAnsi="Arial Narrow"/>
                <w:i/>
                <w:iCs/>
                <w:sz w:val="20"/>
                <w:szCs w:val="20"/>
              </w:rPr>
            </w:pPr>
            <w:r w:rsidRPr="004C710C">
              <w:rPr>
                <w:rFonts w:ascii="Arial Narrow" w:hAnsi="Arial Narrow"/>
                <w:i/>
                <w:iCs/>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60026F" w14:textId="77777777" w:rsidR="001C19B6" w:rsidRPr="004C710C" w:rsidRDefault="001C19B6" w:rsidP="00101108">
            <w:pPr>
              <w:keepLines/>
              <w:jc w:val="center"/>
              <w:rPr>
                <w:rFonts w:ascii="Arial Narrow" w:hAnsi="Arial Narrow"/>
                <w:i/>
                <w:iCs/>
                <w:sz w:val="20"/>
                <w:szCs w:val="20"/>
              </w:rPr>
            </w:pPr>
            <w:r w:rsidRPr="004C710C">
              <w:rPr>
                <w:rFonts w:ascii="Arial Narrow" w:hAnsi="Arial Narrow"/>
                <w:i/>
                <w:iCs/>
                <w:sz w:val="20"/>
                <w:szCs w:val="20"/>
              </w:rPr>
              <w:t>56</w:t>
            </w:r>
          </w:p>
        </w:tc>
        <w:tc>
          <w:tcPr>
            <w:tcW w:w="708" w:type="dxa"/>
            <w:tcBorders>
              <w:top w:val="single" w:sz="4" w:space="0" w:color="auto"/>
              <w:left w:val="single" w:sz="4" w:space="0" w:color="auto"/>
              <w:bottom w:val="single" w:sz="4" w:space="0" w:color="auto"/>
              <w:right w:val="single" w:sz="4" w:space="0" w:color="auto"/>
            </w:tcBorders>
            <w:vAlign w:val="center"/>
            <w:hideMark/>
          </w:tcPr>
          <w:p w14:paraId="484A3022" w14:textId="77777777" w:rsidR="001C19B6" w:rsidRPr="004C710C" w:rsidRDefault="001C19B6" w:rsidP="00101108">
            <w:pPr>
              <w:keepLines/>
              <w:jc w:val="center"/>
              <w:rPr>
                <w:rFonts w:ascii="Arial Narrow" w:hAnsi="Arial Narrow"/>
                <w:i/>
                <w:iCs/>
                <w:sz w:val="20"/>
                <w:szCs w:val="20"/>
              </w:rPr>
            </w:pPr>
            <w:r w:rsidRPr="004C710C">
              <w:rPr>
                <w:rFonts w:ascii="Arial Narrow" w:hAnsi="Arial Narrow"/>
                <w:i/>
                <w:iCs/>
                <w:sz w:val="20"/>
                <w:szCs w:val="20"/>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1255560" w14:textId="77777777" w:rsidR="001C19B6" w:rsidRPr="004C710C" w:rsidRDefault="001C19B6" w:rsidP="00101108">
            <w:pPr>
              <w:keepLines/>
              <w:rPr>
                <w:rFonts w:ascii="Arial Narrow" w:hAnsi="Arial Narrow"/>
                <w:i/>
                <w:iCs/>
                <w:sz w:val="20"/>
                <w:szCs w:val="20"/>
              </w:rPr>
            </w:pPr>
            <w:r w:rsidRPr="004C710C">
              <w:rPr>
                <w:rFonts w:ascii="Arial Narrow" w:hAnsi="Arial Narrow"/>
                <w:i/>
                <w:iCs/>
                <w:sz w:val="20"/>
                <w:szCs w:val="20"/>
              </w:rPr>
              <w:t>Kalydeco</w:t>
            </w:r>
          </w:p>
        </w:tc>
      </w:tr>
      <w:tr w:rsidR="004C710C" w:rsidRPr="004C710C" w14:paraId="01ADCC24" w14:textId="77777777" w:rsidTr="004C710C">
        <w:trPr>
          <w:cantSplit/>
          <w:trHeight w:val="351"/>
        </w:trPr>
        <w:tc>
          <w:tcPr>
            <w:tcW w:w="3540" w:type="dxa"/>
            <w:tcBorders>
              <w:top w:val="single" w:sz="4" w:space="0" w:color="auto"/>
              <w:left w:val="single" w:sz="4" w:space="0" w:color="auto"/>
              <w:bottom w:val="single" w:sz="4" w:space="0" w:color="auto"/>
              <w:right w:val="single" w:sz="4" w:space="0" w:color="auto"/>
            </w:tcBorders>
            <w:vAlign w:val="center"/>
          </w:tcPr>
          <w:p w14:paraId="4433170B" w14:textId="77777777" w:rsidR="001C19B6" w:rsidRPr="004C710C" w:rsidRDefault="001C19B6" w:rsidP="00101108">
            <w:pPr>
              <w:keepLines/>
              <w:rPr>
                <w:rFonts w:ascii="Arial Narrow" w:hAnsi="Arial Narrow"/>
                <w:sz w:val="20"/>
                <w:szCs w:val="20"/>
              </w:rPr>
            </w:pPr>
            <w:r w:rsidRPr="004C710C">
              <w:rPr>
                <w:rFonts w:ascii="Arial Narrow" w:hAnsi="Arial Narrow"/>
                <w:sz w:val="20"/>
                <w:szCs w:val="20"/>
              </w:rPr>
              <w:t>Ivacaftor 50 mg granules, 56 sachets</w:t>
            </w:r>
          </w:p>
        </w:tc>
        <w:tc>
          <w:tcPr>
            <w:tcW w:w="1701" w:type="dxa"/>
            <w:tcBorders>
              <w:top w:val="single" w:sz="4" w:space="0" w:color="auto"/>
              <w:left w:val="single" w:sz="4" w:space="0" w:color="auto"/>
              <w:bottom w:val="single" w:sz="4" w:space="0" w:color="auto"/>
              <w:right w:val="single" w:sz="4" w:space="0" w:color="auto"/>
            </w:tcBorders>
            <w:vAlign w:val="center"/>
          </w:tcPr>
          <w:p w14:paraId="7707DC08" w14:textId="77777777" w:rsidR="001C19B6" w:rsidRPr="004C710C" w:rsidRDefault="001C19B6" w:rsidP="00101108">
            <w:pPr>
              <w:keepLines/>
              <w:jc w:val="center"/>
              <w:rPr>
                <w:rFonts w:ascii="Arial Narrow" w:hAnsi="Arial Narrow"/>
                <w:sz w:val="20"/>
                <w:szCs w:val="20"/>
              </w:rPr>
            </w:pPr>
            <w:r w:rsidRPr="004C710C">
              <w:rPr>
                <w:rFonts w:ascii="Arial Narrow" w:hAnsi="Arial Narrow"/>
                <w:sz w:val="20"/>
                <w:szCs w:val="20"/>
              </w:rPr>
              <w:t>11105L (Public)</w:t>
            </w:r>
          </w:p>
          <w:p w14:paraId="03911359" w14:textId="77777777" w:rsidR="001C19B6" w:rsidRPr="004C710C" w:rsidRDefault="001C19B6" w:rsidP="00101108">
            <w:pPr>
              <w:keepLines/>
              <w:jc w:val="center"/>
              <w:rPr>
                <w:rFonts w:ascii="Arial Narrow" w:hAnsi="Arial Narrow"/>
                <w:sz w:val="20"/>
                <w:szCs w:val="20"/>
              </w:rPr>
            </w:pPr>
            <w:r w:rsidRPr="004C710C">
              <w:rPr>
                <w:rFonts w:ascii="Arial Narrow" w:hAnsi="Arial Narrow"/>
                <w:sz w:val="20"/>
                <w:szCs w:val="20"/>
              </w:rPr>
              <w:t>11097C (Private)</w:t>
            </w:r>
          </w:p>
        </w:tc>
        <w:tc>
          <w:tcPr>
            <w:tcW w:w="709" w:type="dxa"/>
            <w:tcBorders>
              <w:top w:val="single" w:sz="4" w:space="0" w:color="auto"/>
              <w:left w:val="single" w:sz="4" w:space="0" w:color="auto"/>
              <w:bottom w:val="single" w:sz="4" w:space="0" w:color="auto"/>
              <w:right w:val="single" w:sz="4" w:space="0" w:color="auto"/>
            </w:tcBorders>
            <w:vAlign w:val="center"/>
          </w:tcPr>
          <w:p w14:paraId="6F9FFB4C" w14:textId="77777777" w:rsidR="001C19B6" w:rsidRPr="004C710C" w:rsidRDefault="001C19B6" w:rsidP="00101108">
            <w:pPr>
              <w:keepLines/>
              <w:jc w:val="center"/>
              <w:rPr>
                <w:rFonts w:ascii="Arial Narrow" w:hAnsi="Arial Narrow"/>
                <w:sz w:val="20"/>
                <w:szCs w:val="20"/>
              </w:rPr>
            </w:pPr>
            <w:r w:rsidRPr="004C710C">
              <w:rPr>
                <w:rFonts w:ascii="Arial Narrow" w:hAnsi="Arial Narrow"/>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14:paraId="677874C3" w14:textId="77777777" w:rsidR="001C19B6" w:rsidRPr="004C710C" w:rsidRDefault="001C19B6" w:rsidP="00101108">
            <w:pPr>
              <w:keepLines/>
              <w:jc w:val="center"/>
              <w:rPr>
                <w:rFonts w:ascii="Arial Narrow" w:hAnsi="Arial Narrow"/>
                <w:sz w:val="20"/>
                <w:szCs w:val="20"/>
              </w:rPr>
            </w:pPr>
            <w:r w:rsidRPr="004C710C">
              <w:rPr>
                <w:rFonts w:ascii="Arial Narrow" w:hAnsi="Arial Narrow"/>
                <w:sz w:val="20"/>
                <w:szCs w:val="20"/>
              </w:rPr>
              <w:t>56</w:t>
            </w:r>
          </w:p>
        </w:tc>
        <w:tc>
          <w:tcPr>
            <w:tcW w:w="708" w:type="dxa"/>
            <w:tcBorders>
              <w:top w:val="single" w:sz="4" w:space="0" w:color="auto"/>
              <w:left w:val="single" w:sz="4" w:space="0" w:color="auto"/>
              <w:bottom w:val="single" w:sz="4" w:space="0" w:color="auto"/>
              <w:right w:val="single" w:sz="4" w:space="0" w:color="auto"/>
            </w:tcBorders>
            <w:vAlign w:val="center"/>
          </w:tcPr>
          <w:p w14:paraId="13245B3F" w14:textId="77777777" w:rsidR="001C19B6" w:rsidRPr="004C710C" w:rsidRDefault="001C19B6" w:rsidP="00101108">
            <w:pPr>
              <w:keepLines/>
              <w:jc w:val="center"/>
              <w:rPr>
                <w:rFonts w:ascii="Arial Narrow" w:hAnsi="Arial Narrow"/>
                <w:sz w:val="20"/>
                <w:szCs w:val="20"/>
              </w:rPr>
            </w:pPr>
            <w:r w:rsidRPr="004C710C">
              <w:rPr>
                <w:rFonts w:ascii="Arial Narrow" w:hAnsi="Arial Narrow"/>
                <w:sz w:val="20"/>
                <w:szCs w:val="20"/>
              </w:rPr>
              <w:t>5</w:t>
            </w:r>
          </w:p>
        </w:tc>
        <w:tc>
          <w:tcPr>
            <w:tcW w:w="1843" w:type="dxa"/>
            <w:tcBorders>
              <w:top w:val="single" w:sz="4" w:space="0" w:color="auto"/>
              <w:left w:val="single" w:sz="4" w:space="0" w:color="auto"/>
              <w:bottom w:val="single" w:sz="4" w:space="0" w:color="auto"/>
              <w:right w:val="single" w:sz="4" w:space="0" w:color="auto"/>
            </w:tcBorders>
            <w:vAlign w:val="center"/>
          </w:tcPr>
          <w:p w14:paraId="74CD43C5" w14:textId="77777777" w:rsidR="001C19B6" w:rsidRPr="004C710C" w:rsidRDefault="001C19B6" w:rsidP="00101108">
            <w:pPr>
              <w:keepLines/>
              <w:rPr>
                <w:rFonts w:ascii="Arial Narrow" w:hAnsi="Arial Narrow"/>
                <w:sz w:val="20"/>
                <w:szCs w:val="20"/>
              </w:rPr>
            </w:pPr>
            <w:r w:rsidRPr="004C710C">
              <w:rPr>
                <w:rFonts w:ascii="Arial Narrow" w:hAnsi="Arial Narrow"/>
                <w:sz w:val="20"/>
                <w:szCs w:val="20"/>
              </w:rPr>
              <w:t>Kalydeco</w:t>
            </w:r>
          </w:p>
        </w:tc>
      </w:tr>
      <w:tr w:rsidR="004C710C" w:rsidRPr="004C710C" w14:paraId="0C4D5C38" w14:textId="77777777" w:rsidTr="004C710C">
        <w:trPr>
          <w:cantSplit/>
          <w:trHeight w:val="351"/>
        </w:trPr>
        <w:tc>
          <w:tcPr>
            <w:tcW w:w="3540" w:type="dxa"/>
            <w:tcBorders>
              <w:top w:val="single" w:sz="4" w:space="0" w:color="auto"/>
              <w:left w:val="single" w:sz="4" w:space="0" w:color="auto"/>
              <w:bottom w:val="single" w:sz="4" w:space="0" w:color="auto"/>
              <w:right w:val="single" w:sz="4" w:space="0" w:color="auto"/>
            </w:tcBorders>
            <w:vAlign w:val="center"/>
          </w:tcPr>
          <w:p w14:paraId="037D2007" w14:textId="77777777" w:rsidR="001C19B6" w:rsidRPr="004C710C" w:rsidRDefault="001C19B6" w:rsidP="00101108">
            <w:pPr>
              <w:keepLines/>
              <w:rPr>
                <w:rFonts w:ascii="Arial Narrow" w:hAnsi="Arial Narrow"/>
                <w:sz w:val="20"/>
                <w:szCs w:val="20"/>
              </w:rPr>
            </w:pPr>
            <w:r w:rsidRPr="004C710C">
              <w:rPr>
                <w:rFonts w:ascii="Arial Narrow" w:hAnsi="Arial Narrow"/>
                <w:sz w:val="20"/>
                <w:szCs w:val="20"/>
              </w:rPr>
              <w:t>ivacaftor 75 mg granules, 56 sachets</w:t>
            </w:r>
          </w:p>
        </w:tc>
        <w:tc>
          <w:tcPr>
            <w:tcW w:w="1701" w:type="dxa"/>
            <w:tcBorders>
              <w:top w:val="single" w:sz="4" w:space="0" w:color="auto"/>
              <w:left w:val="single" w:sz="4" w:space="0" w:color="auto"/>
              <w:bottom w:val="single" w:sz="4" w:space="0" w:color="auto"/>
              <w:right w:val="single" w:sz="4" w:space="0" w:color="auto"/>
            </w:tcBorders>
            <w:vAlign w:val="center"/>
          </w:tcPr>
          <w:p w14:paraId="724260B1" w14:textId="77777777" w:rsidR="001C19B6" w:rsidRPr="004C710C" w:rsidRDefault="001C19B6" w:rsidP="00101108">
            <w:pPr>
              <w:keepLines/>
              <w:jc w:val="center"/>
              <w:rPr>
                <w:rFonts w:ascii="Arial Narrow" w:hAnsi="Arial Narrow"/>
                <w:sz w:val="20"/>
                <w:szCs w:val="20"/>
              </w:rPr>
            </w:pPr>
            <w:r w:rsidRPr="004C710C">
              <w:rPr>
                <w:rFonts w:ascii="Arial Narrow" w:hAnsi="Arial Narrow"/>
                <w:sz w:val="20"/>
                <w:szCs w:val="20"/>
              </w:rPr>
              <w:t>11098D (Public)</w:t>
            </w:r>
          </w:p>
          <w:p w14:paraId="77846751" w14:textId="77777777" w:rsidR="001C19B6" w:rsidRPr="004C710C" w:rsidRDefault="001C19B6" w:rsidP="00101108">
            <w:pPr>
              <w:keepLines/>
              <w:jc w:val="center"/>
              <w:rPr>
                <w:rFonts w:ascii="Arial Narrow" w:hAnsi="Arial Narrow"/>
                <w:sz w:val="20"/>
                <w:szCs w:val="20"/>
              </w:rPr>
            </w:pPr>
            <w:r w:rsidRPr="004C710C">
              <w:rPr>
                <w:rFonts w:ascii="Arial Narrow" w:hAnsi="Arial Narrow"/>
                <w:sz w:val="20"/>
                <w:szCs w:val="20"/>
              </w:rPr>
              <w:t>11109Q (Private)</w:t>
            </w:r>
          </w:p>
        </w:tc>
        <w:tc>
          <w:tcPr>
            <w:tcW w:w="709" w:type="dxa"/>
            <w:tcBorders>
              <w:top w:val="single" w:sz="4" w:space="0" w:color="auto"/>
              <w:left w:val="single" w:sz="4" w:space="0" w:color="auto"/>
              <w:bottom w:val="single" w:sz="4" w:space="0" w:color="auto"/>
              <w:right w:val="single" w:sz="4" w:space="0" w:color="auto"/>
            </w:tcBorders>
            <w:vAlign w:val="center"/>
          </w:tcPr>
          <w:p w14:paraId="2D7C7740" w14:textId="77777777" w:rsidR="001C19B6" w:rsidRPr="004C710C" w:rsidRDefault="001C19B6" w:rsidP="00101108">
            <w:pPr>
              <w:keepLines/>
              <w:jc w:val="center"/>
              <w:rPr>
                <w:rFonts w:ascii="Arial Narrow" w:hAnsi="Arial Narrow"/>
                <w:sz w:val="20"/>
                <w:szCs w:val="20"/>
              </w:rPr>
            </w:pPr>
            <w:r w:rsidRPr="004C710C">
              <w:rPr>
                <w:rFonts w:ascii="Arial Narrow" w:hAnsi="Arial Narrow"/>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14:paraId="1AF7B096" w14:textId="77777777" w:rsidR="001C19B6" w:rsidRPr="004C710C" w:rsidRDefault="001C19B6" w:rsidP="00101108">
            <w:pPr>
              <w:keepLines/>
              <w:jc w:val="center"/>
              <w:rPr>
                <w:rFonts w:ascii="Arial Narrow" w:hAnsi="Arial Narrow"/>
                <w:sz w:val="20"/>
                <w:szCs w:val="20"/>
              </w:rPr>
            </w:pPr>
            <w:r w:rsidRPr="004C710C">
              <w:rPr>
                <w:rFonts w:ascii="Arial Narrow" w:hAnsi="Arial Narrow"/>
                <w:sz w:val="20"/>
                <w:szCs w:val="20"/>
              </w:rPr>
              <w:t>56</w:t>
            </w:r>
          </w:p>
        </w:tc>
        <w:tc>
          <w:tcPr>
            <w:tcW w:w="708" w:type="dxa"/>
            <w:tcBorders>
              <w:top w:val="single" w:sz="4" w:space="0" w:color="auto"/>
              <w:left w:val="single" w:sz="4" w:space="0" w:color="auto"/>
              <w:bottom w:val="single" w:sz="4" w:space="0" w:color="auto"/>
              <w:right w:val="single" w:sz="4" w:space="0" w:color="auto"/>
            </w:tcBorders>
            <w:vAlign w:val="center"/>
          </w:tcPr>
          <w:p w14:paraId="2B3E3845" w14:textId="77777777" w:rsidR="001C19B6" w:rsidRPr="004C710C" w:rsidRDefault="001C19B6" w:rsidP="00101108">
            <w:pPr>
              <w:keepLines/>
              <w:jc w:val="center"/>
              <w:rPr>
                <w:rFonts w:ascii="Arial Narrow" w:hAnsi="Arial Narrow"/>
                <w:sz w:val="20"/>
                <w:szCs w:val="20"/>
              </w:rPr>
            </w:pPr>
            <w:r w:rsidRPr="004C710C">
              <w:rPr>
                <w:rFonts w:ascii="Arial Narrow" w:hAnsi="Arial Narrow"/>
                <w:sz w:val="20"/>
                <w:szCs w:val="20"/>
              </w:rPr>
              <w:t>5</w:t>
            </w:r>
          </w:p>
        </w:tc>
        <w:tc>
          <w:tcPr>
            <w:tcW w:w="1843" w:type="dxa"/>
            <w:tcBorders>
              <w:top w:val="single" w:sz="4" w:space="0" w:color="auto"/>
              <w:left w:val="single" w:sz="4" w:space="0" w:color="auto"/>
              <w:bottom w:val="single" w:sz="4" w:space="0" w:color="auto"/>
              <w:right w:val="single" w:sz="4" w:space="0" w:color="auto"/>
            </w:tcBorders>
            <w:vAlign w:val="center"/>
          </w:tcPr>
          <w:p w14:paraId="0D017760" w14:textId="77777777" w:rsidR="001C19B6" w:rsidRPr="004C710C" w:rsidRDefault="001C19B6" w:rsidP="00101108">
            <w:pPr>
              <w:keepLines/>
              <w:rPr>
                <w:rFonts w:ascii="Arial Narrow" w:hAnsi="Arial Narrow"/>
                <w:sz w:val="20"/>
                <w:szCs w:val="20"/>
              </w:rPr>
            </w:pPr>
            <w:r w:rsidRPr="004C710C">
              <w:rPr>
                <w:rFonts w:ascii="Arial Narrow" w:hAnsi="Arial Narrow"/>
                <w:sz w:val="20"/>
                <w:szCs w:val="20"/>
              </w:rPr>
              <w:t>Kalydeco</w:t>
            </w:r>
          </w:p>
        </w:tc>
      </w:tr>
      <w:tr w:rsidR="004C710C" w:rsidRPr="004C710C" w14:paraId="68D7DE14" w14:textId="77777777" w:rsidTr="004C710C">
        <w:trPr>
          <w:cantSplit/>
          <w:trHeight w:val="351"/>
        </w:trPr>
        <w:tc>
          <w:tcPr>
            <w:tcW w:w="3540" w:type="dxa"/>
            <w:tcBorders>
              <w:top w:val="single" w:sz="4" w:space="0" w:color="auto"/>
              <w:left w:val="single" w:sz="4" w:space="0" w:color="auto"/>
              <w:bottom w:val="single" w:sz="4" w:space="0" w:color="auto"/>
              <w:right w:val="single" w:sz="4" w:space="0" w:color="auto"/>
            </w:tcBorders>
            <w:vAlign w:val="center"/>
          </w:tcPr>
          <w:p w14:paraId="0ED7889E" w14:textId="77777777" w:rsidR="001C19B6" w:rsidRPr="004C710C" w:rsidRDefault="001C19B6" w:rsidP="00101108">
            <w:pPr>
              <w:keepLines/>
              <w:rPr>
                <w:rFonts w:ascii="Arial Narrow" w:hAnsi="Arial Narrow"/>
                <w:sz w:val="20"/>
                <w:szCs w:val="20"/>
              </w:rPr>
            </w:pPr>
            <w:r w:rsidRPr="004C710C">
              <w:rPr>
                <w:rFonts w:ascii="Arial Narrow" w:hAnsi="Arial Narrow"/>
                <w:sz w:val="20"/>
                <w:szCs w:val="20"/>
              </w:rPr>
              <w:lastRenderedPageBreak/>
              <w:t xml:space="preserve">ivacaftor 150 mg tablet, 56 tablets </w:t>
            </w:r>
          </w:p>
        </w:tc>
        <w:tc>
          <w:tcPr>
            <w:tcW w:w="1701" w:type="dxa"/>
            <w:tcBorders>
              <w:top w:val="single" w:sz="4" w:space="0" w:color="auto"/>
              <w:left w:val="single" w:sz="4" w:space="0" w:color="auto"/>
              <w:bottom w:val="single" w:sz="4" w:space="0" w:color="auto"/>
              <w:right w:val="single" w:sz="4" w:space="0" w:color="auto"/>
            </w:tcBorders>
            <w:vAlign w:val="center"/>
          </w:tcPr>
          <w:p w14:paraId="7DA0D8AE" w14:textId="77777777" w:rsidR="001C19B6" w:rsidRPr="004C710C" w:rsidRDefault="001C19B6" w:rsidP="00101108">
            <w:pPr>
              <w:keepLines/>
              <w:jc w:val="center"/>
              <w:rPr>
                <w:rFonts w:ascii="Arial Narrow" w:hAnsi="Arial Narrow"/>
                <w:sz w:val="20"/>
                <w:szCs w:val="20"/>
              </w:rPr>
            </w:pPr>
            <w:r w:rsidRPr="004C710C">
              <w:rPr>
                <w:rFonts w:ascii="Arial Narrow" w:hAnsi="Arial Narrow"/>
                <w:sz w:val="20"/>
                <w:szCs w:val="20"/>
              </w:rPr>
              <w:t>10170G (Public)</w:t>
            </w:r>
          </w:p>
          <w:p w14:paraId="1EA58FC3" w14:textId="77777777" w:rsidR="001C19B6" w:rsidRPr="004C710C" w:rsidRDefault="001C19B6" w:rsidP="00101108">
            <w:pPr>
              <w:keepLines/>
              <w:jc w:val="center"/>
              <w:rPr>
                <w:rFonts w:ascii="Arial Narrow" w:hAnsi="Arial Narrow"/>
                <w:sz w:val="20"/>
                <w:szCs w:val="20"/>
              </w:rPr>
            </w:pPr>
            <w:r w:rsidRPr="004C710C">
              <w:rPr>
                <w:rFonts w:ascii="Arial Narrow" w:hAnsi="Arial Narrow"/>
                <w:sz w:val="20"/>
                <w:szCs w:val="20"/>
              </w:rPr>
              <w:t>10175M (Private)</w:t>
            </w:r>
          </w:p>
        </w:tc>
        <w:tc>
          <w:tcPr>
            <w:tcW w:w="709" w:type="dxa"/>
            <w:tcBorders>
              <w:top w:val="single" w:sz="4" w:space="0" w:color="auto"/>
              <w:left w:val="single" w:sz="4" w:space="0" w:color="auto"/>
              <w:bottom w:val="single" w:sz="4" w:space="0" w:color="auto"/>
              <w:right w:val="single" w:sz="4" w:space="0" w:color="auto"/>
            </w:tcBorders>
            <w:vAlign w:val="center"/>
          </w:tcPr>
          <w:p w14:paraId="5088EBC1" w14:textId="77777777" w:rsidR="001C19B6" w:rsidRPr="004C710C" w:rsidRDefault="001C19B6" w:rsidP="00101108">
            <w:pPr>
              <w:keepLines/>
              <w:jc w:val="center"/>
              <w:rPr>
                <w:rFonts w:ascii="Arial Narrow" w:hAnsi="Arial Narrow"/>
                <w:sz w:val="20"/>
                <w:szCs w:val="20"/>
              </w:rPr>
            </w:pPr>
            <w:r w:rsidRPr="004C710C">
              <w:rPr>
                <w:rFonts w:ascii="Arial Narrow" w:hAnsi="Arial Narrow"/>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14:paraId="2FC922A1" w14:textId="77777777" w:rsidR="001C19B6" w:rsidRPr="004C710C" w:rsidRDefault="001C19B6" w:rsidP="00101108">
            <w:pPr>
              <w:keepLines/>
              <w:jc w:val="center"/>
              <w:rPr>
                <w:rFonts w:ascii="Arial Narrow" w:hAnsi="Arial Narrow"/>
                <w:sz w:val="20"/>
                <w:szCs w:val="20"/>
              </w:rPr>
            </w:pPr>
            <w:r w:rsidRPr="004C710C">
              <w:rPr>
                <w:rFonts w:ascii="Arial Narrow" w:hAnsi="Arial Narrow"/>
                <w:sz w:val="20"/>
                <w:szCs w:val="20"/>
              </w:rPr>
              <w:t>56</w:t>
            </w:r>
          </w:p>
        </w:tc>
        <w:tc>
          <w:tcPr>
            <w:tcW w:w="708" w:type="dxa"/>
            <w:tcBorders>
              <w:top w:val="single" w:sz="4" w:space="0" w:color="auto"/>
              <w:left w:val="single" w:sz="4" w:space="0" w:color="auto"/>
              <w:bottom w:val="single" w:sz="4" w:space="0" w:color="auto"/>
              <w:right w:val="single" w:sz="4" w:space="0" w:color="auto"/>
            </w:tcBorders>
            <w:vAlign w:val="center"/>
          </w:tcPr>
          <w:p w14:paraId="52425A52" w14:textId="77777777" w:rsidR="001C19B6" w:rsidRPr="004C710C" w:rsidRDefault="001C19B6" w:rsidP="00101108">
            <w:pPr>
              <w:keepLines/>
              <w:jc w:val="center"/>
              <w:rPr>
                <w:rFonts w:ascii="Arial Narrow" w:hAnsi="Arial Narrow"/>
                <w:sz w:val="20"/>
                <w:szCs w:val="20"/>
              </w:rPr>
            </w:pPr>
            <w:r w:rsidRPr="004C710C">
              <w:rPr>
                <w:rFonts w:ascii="Arial Narrow" w:hAnsi="Arial Narrow"/>
                <w:sz w:val="20"/>
                <w:szCs w:val="20"/>
              </w:rPr>
              <w:t>5</w:t>
            </w:r>
          </w:p>
        </w:tc>
        <w:tc>
          <w:tcPr>
            <w:tcW w:w="1843" w:type="dxa"/>
            <w:tcBorders>
              <w:top w:val="single" w:sz="4" w:space="0" w:color="auto"/>
              <w:left w:val="single" w:sz="4" w:space="0" w:color="auto"/>
              <w:bottom w:val="single" w:sz="4" w:space="0" w:color="auto"/>
              <w:right w:val="single" w:sz="4" w:space="0" w:color="auto"/>
            </w:tcBorders>
            <w:vAlign w:val="center"/>
          </w:tcPr>
          <w:p w14:paraId="568FE1D7" w14:textId="77777777" w:rsidR="001C19B6" w:rsidRPr="004C710C" w:rsidRDefault="001C19B6" w:rsidP="00101108">
            <w:pPr>
              <w:keepLines/>
              <w:rPr>
                <w:rFonts w:ascii="Arial Narrow" w:hAnsi="Arial Narrow"/>
                <w:sz w:val="20"/>
                <w:szCs w:val="20"/>
              </w:rPr>
            </w:pPr>
            <w:r w:rsidRPr="004C710C">
              <w:rPr>
                <w:rFonts w:ascii="Arial Narrow" w:hAnsi="Arial Narrow"/>
                <w:sz w:val="20"/>
                <w:szCs w:val="20"/>
              </w:rPr>
              <w:t>Kalydeco</w:t>
            </w:r>
          </w:p>
        </w:tc>
      </w:tr>
    </w:tbl>
    <w:tbl>
      <w:tblPr>
        <w:tblStyle w:val="SummaryTable1"/>
        <w:tblW w:w="9210" w:type="dxa"/>
        <w:tblInd w:w="0" w:type="dxa"/>
        <w:tblLayout w:type="fixed"/>
        <w:tblLook w:val="04A0" w:firstRow="1" w:lastRow="0" w:firstColumn="1" w:lastColumn="0" w:noHBand="0" w:noVBand="1"/>
      </w:tblPr>
      <w:tblGrid>
        <w:gridCol w:w="422"/>
        <w:gridCol w:w="1133"/>
        <w:gridCol w:w="7655"/>
      </w:tblGrid>
      <w:tr w:rsidR="004C710C" w:rsidRPr="004C710C" w14:paraId="1F2C40CC" w14:textId="77777777" w:rsidTr="00101108">
        <w:trPr>
          <w:trHeight w:val="281"/>
        </w:trPr>
        <w:tc>
          <w:tcPr>
            <w:tcW w:w="9210" w:type="dxa"/>
            <w:gridSpan w:val="3"/>
            <w:tcBorders>
              <w:top w:val="single" w:sz="4" w:space="0" w:color="auto"/>
              <w:left w:val="single" w:sz="4" w:space="0" w:color="auto"/>
              <w:bottom w:val="single" w:sz="4" w:space="0" w:color="auto"/>
              <w:right w:val="single" w:sz="4" w:space="0" w:color="auto"/>
            </w:tcBorders>
            <w:hideMark/>
          </w:tcPr>
          <w:p w14:paraId="3C6F9176" w14:textId="77777777" w:rsidR="001C19B6" w:rsidRPr="004C710C" w:rsidRDefault="001C19B6" w:rsidP="00101108">
            <w:pPr>
              <w:keepNext/>
              <w:jc w:val="right"/>
              <w:rPr>
                <w:rFonts w:ascii="Arial Narrow" w:hAnsi="Arial Narrow"/>
                <w:sz w:val="20"/>
                <w:szCs w:val="20"/>
              </w:rPr>
            </w:pPr>
            <w:r w:rsidRPr="004C710C">
              <w:rPr>
                <w:rFonts w:ascii="Arial Narrow" w:hAnsi="Arial Narrow"/>
                <w:sz w:val="20"/>
                <w:szCs w:val="20"/>
              </w:rPr>
              <w:t>Safety Net Rule Penalty Applies? Yes</w:t>
            </w:r>
          </w:p>
        </w:tc>
      </w:tr>
      <w:tr w:rsidR="004C710C" w:rsidRPr="004C710C" w14:paraId="4EF190CE" w14:textId="77777777" w:rsidTr="00101108">
        <w:tc>
          <w:tcPr>
            <w:tcW w:w="9210" w:type="dxa"/>
            <w:gridSpan w:val="3"/>
            <w:tcBorders>
              <w:top w:val="single" w:sz="4" w:space="0" w:color="auto"/>
              <w:left w:val="single" w:sz="4" w:space="0" w:color="auto"/>
              <w:bottom w:val="single" w:sz="4" w:space="0" w:color="auto"/>
              <w:right w:val="single" w:sz="4" w:space="0" w:color="auto"/>
            </w:tcBorders>
          </w:tcPr>
          <w:p w14:paraId="7FBE9F48" w14:textId="77777777" w:rsidR="001C19B6" w:rsidRPr="004C710C" w:rsidRDefault="001C19B6" w:rsidP="00101108">
            <w:pPr>
              <w:rPr>
                <w:rFonts w:ascii="Arial Narrow" w:hAnsi="Arial Narrow"/>
                <w:b/>
                <w:bCs/>
                <w:sz w:val="20"/>
                <w:szCs w:val="20"/>
              </w:rPr>
            </w:pPr>
          </w:p>
        </w:tc>
      </w:tr>
      <w:tr w:rsidR="004C710C" w:rsidRPr="004C710C" w14:paraId="711BBDFB" w14:textId="77777777" w:rsidTr="00101108">
        <w:trPr>
          <w:trHeight w:val="155"/>
        </w:trPr>
        <w:tc>
          <w:tcPr>
            <w:tcW w:w="422" w:type="dxa"/>
            <w:vMerge w:val="restart"/>
            <w:tcBorders>
              <w:top w:val="single" w:sz="4" w:space="0" w:color="auto"/>
              <w:left w:val="single" w:sz="4" w:space="0" w:color="auto"/>
              <w:bottom w:val="single" w:sz="4" w:space="0" w:color="auto"/>
              <w:right w:val="single" w:sz="4" w:space="0" w:color="auto"/>
            </w:tcBorders>
            <w:textDirection w:val="btLr"/>
            <w:hideMark/>
          </w:tcPr>
          <w:p w14:paraId="244D0E39" w14:textId="631B4046" w:rsidR="001C19B6" w:rsidRPr="004C710C" w:rsidRDefault="001C19B6" w:rsidP="00101108">
            <w:pPr>
              <w:ind w:left="113" w:right="113"/>
              <w:jc w:val="center"/>
              <w:rPr>
                <w:rFonts w:ascii="Arial Narrow" w:hAnsi="Arial Narrow"/>
                <w:sz w:val="20"/>
                <w:szCs w:val="20"/>
              </w:rPr>
            </w:pPr>
          </w:p>
        </w:tc>
        <w:tc>
          <w:tcPr>
            <w:tcW w:w="1133" w:type="dxa"/>
            <w:tcBorders>
              <w:top w:val="single" w:sz="4" w:space="0" w:color="auto"/>
              <w:left w:val="single" w:sz="4" w:space="0" w:color="auto"/>
              <w:right w:val="single" w:sz="4" w:space="0" w:color="auto"/>
            </w:tcBorders>
          </w:tcPr>
          <w:p w14:paraId="3B275CF3" w14:textId="5BEB1526" w:rsidR="001C19B6" w:rsidRPr="004C710C" w:rsidRDefault="001C19B6" w:rsidP="00101108">
            <w:pPr>
              <w:jc w:val="center"/>
              <w:rPr>
                <w:rFonts w:ascii="Arial Narrow" w:hAnsi="Arial Narrow"/>
                <w:sz w:val="20"/>
                <w:szCs w:val="20"/>
              </w:rPr>
            </w:pPr>
          </w:p>
        </w:tc>
        <w:tc>
          <w:tcPr>
            <w:tcW w:w="7655" w:type="dxa"/>
            <w:tcBorders>
              <w:top w:val="single" w:sz="4" w:space="0" w:color="auto"/>
              <w:left w:val="single" w:sz="4" w:space="0" w:color="auto"/>
              <w:right w:val="single" w:sz="4" w:space="0" w:color="auto"/>
            </w:tcBorders>
          </w:tcPr>
          <w:p w14:paraId="7025B19D" w14:textId="77777777" w:rsidR="001C19B6" w:rsidRPr="004C710C" w:rsidRDefault="001C19B6" w:rsidP="00101108">
            <w:pPr>
              <w:ind w:left="-57"/>
              <w:rPr>
                <w:rFonts w:ascii="Arial Narrow" w:hAnsi="Arial Narrow"/>
                <w:i/>
                <w:iCs/>
                <w:sz w:val="20"/>
                <w:szCs w:val="20"/>
              </w:rPr>
            </w:pPr>
            <w:r w:rsidRPr="004C710C">
              <w:rPr>
                <w:rFonts w:ascii="Arial Narrow" w:hAnsi="Arial Narrow"/>
                <w:b/>
                <w:bCs/>
                <w:sz w:val="20"/>
                <w:szCs w:val="20"/>
              </w:rPr>
              <w:t xml:space="preserve">Administrative Advice: </w:t>
            </w:r>
            <w:r w:rsidRPr="004C710C">
              <w:rPr>
                <w:rFonts w:ascii="Arial Narrow" w:hAnsi="Arial Narrow"/>
                <w:bCs/>
                <w:sz w:val="20"/>
                <w:szCs w:val="20"/>
              </w:rPr>
              <w:t>No increase in the maximum number of repeats may be authorised.</w:t>
            </w:r>
          </w:p>
        </w:tc>
      </w:tr>
      <w:tr w:rsidR="004C710C" w:rsidRPr="004C710C" w14:paraId="47DFC33C" w14:textId="77777777" w:rsidTr="00101108">
        <w:trPr>
          <w:trHeight w:val="376"/>
        </w:trPr>
        <w:tc>
          <w:tcPr>
            <w:tcW w:w="422" w:type="dxa"/>
            <w:vMerge/>
            <w:tcBorders>
              <w:top w:val="single" w:sz="4" w:space="0" w:color="auto"/>
              <w:left w:val="single" w:sz="4" w:space="0" w:color="auto"/>
              <w:bottom w:val="single" w:sz="4" w:space="0" w:color="auto"/>
              <w:right w:val="single" w:sz="4" w:space="0" w:color="auto"/>
            </w:tcBorders>
            <w:vAlign w:val="center"/>
            <w:hideMark/>
          </w:tcPr>
          <w:p w14:paraId="50544064" w14:textId="77777777" w:rsidR="001C19B6" w:rsidRPr="004C710C" w:rsidRDefault="001C19B6" w:rsidP="00101108">
            <w:pPr>
              <w:rPr>
                <w:rFonts w:ascii="Arial Narrow" w:hAnsi="Arial Narrow"/>
                <w:sz w:val="20"/>
                <w:szCs w:val="20"/>
              </w:rPr>
            </w:pPr>
          </w:p>
        </w:tc>
        <w:tc>
          <w:tcPr>
            <w:tcW w:w="1133" w:type="dxa"/>
            <w:tcBorders>
              <w:top w:val="single" w:sz="4" w:space="0" w:color="auto"/>
              <w:left w:val="single" w:sz="4" w:space="0" w:color="auto"/>
              <w:bottom w:val="single" w:sz="4" w:space="0" w:color="auto"/>
              <w:right w:val="single" w:sz="4" w:space="0" w:color="auto"/>
            </w:tcBorders>
          </w:tcPr>
          <w:p w14:paraId="3248A33F" w14:textId="77777777" w:rsidR="001C19B6" w:rsidRPr="004C710C" w:rsidRDefault="001C19B6" w:rsidP="00101108">
            <w:pPr>
              <w:jc w:val="center"/>
              <w:rPr>
                <w:rFonts w:ascii="Arial Narrow" w:hAnsi="Arial Narrow"/>
                <w:bCs/>
                <w:sz w:val="20"/>
                <w:szCs w:val="20"/>
              </w:rPr>
            </w:pPr>
          </w:p>
        </w:tc>
        <w:tc>
          <w:tcPr>
            <w:tcW w:w="7655" w:type="dxa"/>
            <w:tcBorders>
              <w:top w:val="single" w:sz="4" w:space="0" w:color="auto"/>
              <w:left w:val="single" w:sz="4" w:space="0" w:color="auto"/>
              <w:bottom w:val="single" w:sz="4" w:space="0" w:color="auto"/>
              <w:right w:val="single" w:sz="4" w:space="0" w:color="auto"/>
            </w:tcBorders>
          </w:tcPr>
          <w:p w14:paraId="27AB6687" w14:textId="77777777" w:rsidR="001C19B6" w:rsidRPr="004C710C" w:rsidRDefault="001C19B6" w:rsidP="00101108">
            <w:pPr>
              <w:ind w:left="-57"/>
              <w:textAlignment w:val="baseline"/>
              <w:rPr>
                <w:rFonts w:ascii="Arial Narrow" w:hAnsi="Arial Narrow" w:cs="Open Sans"/>
                <w:sz w:val="20"/>
                <w:szCs w:val="20"/>
              </w:rPr>
            </w:pPr>
            <w:r w:rsidRPr="004C710C">
              <w:rPr>
                <w:rFonts w:ascii="Arial Narrow" w:hAnsi="Arial Narrow" w:cs="Open Sans"/>
                <w:b/>
                <w:bCs/>
                <w:sz w:val="20"/>
                <w:szCs w:val="20"/>
                <w:bdr w:val="none" w:sz="0" w:space="0" w:color="auto" w:frame="1"/>
              </w:rPr>
              <w:t>Administrative Advice:</w:t>
            </w:r>
          </w:p>
          <w:p w14:paraId="75891D2F" w14:textId="77777777" w:rsidR="001C19B6" w:rsidRPr="004C710C" w:rsidRDefault="001C19B6" w:rsidP="00101108">
            <w:pPr>
              <w:ind w:left="-57"/>
              <w:textAlignment w:val="baseline"/>
              <w:rPr>
                <w:rFonts w:ascii="Arial Narrow" w:hAnsi="Arial Narrow" w:cs="Open Sans"/>
                <w:sz w:val="20"/>
                <w:szCs w:val="20"/>
              </w:rPr>
            </w:pPr>
            <w:r w:rsidRPr="004C710C">
              <w:rPr>
                <w:rFonts w:ascii="Arial Narrow" w:hAnsi="Arial Narrow" w:cs="Open Sans"/>
                <w:sz w:val="20"/>
                <w:szCs w:val="20"/>
              </w:rPr>
              <w:t>Any queries concerning the arrangements to prescribe may be directed to Services Australia on 1800 700 270 (hours of operation 8 a.m. to 5 p.m. Monday to Friday).</w:t>
            </w:r>
          </w:p>
          <w:p w14:paraId="2831939B" w14:textId="77777777" w:rsidR="001C19B6" w:rsidRPr="004C710C" w:rsidRDefault="001C19B6" w:rsidP="00101108">
            <w:pPr>
              <w:ind w:left="-57"/>
              <w:textAlignment w:val="baseline"/>
              <w:rPr>
                <w:rFonts w:ascii="Arial Narrow" w:hAnsi="Arial Narrow"/>
                <w:sz w:val="20"/>
                <w:szCs w:val="20"/>
                <w:u w:val="single"/>
              </w:rPr>
            </w:pPr>
            <w:r w:rsidRPr="004C710C">
              <w:rPr>
                <w:rFonts w:ascii="Arial Narrow" w:hAnsi="Arial Narrow" w:cs="Open Sans"/>
                <w:sz w:val="20"/>
                <w:szCs w:val="20"/>
              </w:rPr>
              <w:t>Prescribing information (including Authority Application forms and other relevant documentation as applicable) is available on the Services Australia website at www.servicesaustralia.gov.au</w:t>
            </w:r>
          </w:p>
          <w:p w14:paraId="10F85AC8" w14:textId="77777777" w:rsidR="001C19B6" w:rsidRPr="004C710C" w:rsidRDefault="001C19B6" w:rsidP="00101108">
            <w:pPr>
              <w:ind w:left="-57"/>
              <w:textAlignment w:val="baseline"/>
              <w:rPr>
                <w:rFonts w:ascii="Arial Narrow" w:hAnsi="Arial Narrow" w:cs="Open Sans"/>
                <w:sz w:val="20"/>
                <w:szCs w:val="20"/>
              </w:rPr>
            </w:pPr>
            <w:r w:rsidRPr="004C710C">
              <w:rPr>
                <w:rFonts w:ascii="Arial Narrow" w:hAnsi="Arial Narrow" w:cs="Open Sans"/>
                <w:sz w:val="20"/>
                <w:szCs w:val="20"/>
              </w:rPr>
              <w:t>Applications for authority to prescribe should be submitted online using the form upload facility in Health Professional Online Services (HPOS) at www.servicesaustralia.gov.au/hpos</w:t>
            </w:r>
          </w:p>
          <w:p w14:paraId="22BF6A59" w14:textId="77777777" w:rsidR="001C19B6" w:rsidRPr="004C710C" w:rsidRDefault="001C19B6" w:rsidP="00101108">
            <w:pPr>
              <w:ind w:left="-57"/>
              <w:textAlignment w:val="baseline"/>
              <w:rPr>
                <w:rFonts w:ascii="Arial Narrow" w:hAnsi="Arial Narrow" w:cs="Open Sans"/>
                <w:sz w:val="20"/>
                <w:szCs w:val="20"/>
              </w:rPr>
            </w:pPr>
            <w:r w:rsidRPr="004C710C">
              <w:rPr>
                <w:rFonts w:ascii="Arial Narrow" w:hAnsi="Arial Narrow" w:cs="Open Sans"/>
                <w:sz w:val="20"/>
                <w:szCs w:val="20"/>
              </w:rPr>
              <w:t>Or mailed to:</w:t>
            </w:r>
          </w:p>
          <w:p w14:paraId="245F9AF2" w14:textId="77777777" w:rsidR="001C19B6" w:rsidRPr="004C710C" w:rsidRDefault="001C19B6" w:rsidP="00101108">
            <w:pPr>
              <w:ind w:left="-57"/>
              <w:textAlignment w:val="baseline"/>
              <w:rPr>
                <w:rFonts w:ascii="Arial Narrow" w:hAnsi="Arial Narrow" w:cs="Open Sans"/>
                <w:sz w:val="20"/>
                <w:szCs w:val="20"/>
              </w:rPr>
            </w:pPr>
            <w:r w:rsidRPr="004C710C">
              <w:rPr>
                <w:rFonts w:ascii="Arial Narrow" w:hAnsi="Arial Narrow" w:cs="Open Sans"/>
                <w:sz w:val="20"/>
                <w:szCs w:val="20"/>
              </w:rPr>
              <w:t>Services Australia</w:t>
            </w:r>
          </w:p>
          <w:p w14:paraId="02C7FBC0" w14:textId="77777777" w:rsidR="001C19B6" w:rsidRPr="004C710C" w:rsidRDefault="001C19B6" w:rsidP="00101108">
            <w:pPr>
              <w:ind w:left="-57"/>
              <w:textAlignment w:val="baseline"/>
              <w:rPr>
                <w:rFonts w:ascii="Arial Narrow" w:hAnsi="Arial Narrow" w:cs="Open Sans"/>
                <w:sz w:val="20"/>
                <w:szCs w:val="20"/>
              </w:rPr>
            </w:pPr>
            <w:r w:rsidRPr="004C710C">
              <w:rPr>
                <w:rFonts w:ascii="Arial Narrow" w:hAnsi="Arial Narrow" w:cs="Open Sans"/>
                <w:sz w:val="20"/>
                <w:szCs w:val="20"/>
              </w:rPr>
              <w:t>Complex Drugs</w:t>
            </w:r>
          </w:p>
          <w:p w14:paraId="4D11B351" w14:textId="77777777" w:rsidR="001C19B6" w:rsidRPr="004C710C" w:rsidRDefault="001C19B6" w:rsidP="00101108">
            <w:pPr>
              <w:ind w:left="-57"/>
              <w:textAlignment w:val="baseline"/>
              <w:rPr>
                <w:rFonts w:ascii="Arial Narrow" w:hAnsi="Arial Narrow" w:cs="Open Sans"/>
                <w:sz w:val="20"/>
                <w:szCs w:val="20"/>
              </w:rPr>
            </w:pPr>
            <w:r w:rsidRPr="004C710C">
              <w:rPr>
                <w:rFonts w:ascii="Arial Narrow" w:hAnsi="Arial Narrow" w:cs="Open Sans"/>
                <w:sz w:val="20"/>
                <w:szCs w:val="20"/>
              </w:rPr>
              <w:t>Reply Paid 9826</w:t>
            </w:r>
          </w:p>
          <w:p w14:paraId="3B18F79B" w14:textId="77777777" w:rsidR="001C19B6" w:rsidRPr="004C710C" w:rsidRDefault="001C19B6" w:rsidP="00101108">
            <w:pPr>
              <w:ind w:left="-57"/>
              <w:rPr>
                <w:rFonts w:ascii="Arial Narrow" w:hAnsi="Arial Narrow"/>
                <w:b/>
                <w:bCs/>
                <w:sz w:val="20"/>
                <w:szCs w:val="20"/>
              </w:rPr>
            </w:pPr>
            <w:r w:rsidRPr="004C710C">
              <w:rPr>
                <w:rFonts w:ascii="Arial Narrow" w:hAnsi="Arial Narrow" w:cs="Open Sans"/>
                <w:sz w:val="20"/>
                <w:szCs w:val="20"/>
              </w:rPr>
              <w:t>HOBART TAS 7001</w:t>
            </w:r>
          </w:p>
        </w:tc>
      </w:tr>
      <w:tr w:rsidR="004C710C" w:rsidRPr="004C710C" w14:paraId="4E1B7B18" w14:textId="77777777" w:rsidTr="00101108">
        <w:tc>
          <w:tcPr>
            <w:tcW w:w="9210" w:type="dxa"/>
            <w:gridSpan w:val="3"/>
            <w:tcBorders>
              <w:top w:val="single" w:sz="4" w:space="0" w:color="auto"/>
              <w:left w:val="single" w:sz="4" w:space="0" w:color="auto"/>
              <w:bottom w:val="single" w:sz="4" w:space="0" w:color="auto"/>
              <w:right w:val="single" w:sz="4" w:space="0" w:color="auto"/>
            </w:tcBorders>
          </w:tcPr>
          <w:p w14:paraId="6E51AB09" w14:textId="77777777" w:rsidR="001C19B6" w:rsidRPr="004C710C" w:rsidRDefault="001C19B6" w:rsidP="00101108">
            <w:pPr>
              <w:jc w:val="center"/>
              <w:rPr>
                <w:rFonts w:ascii="Arial Narrow" w:hAnsi="Arial Narrow"/>
                <w:b/>
                <w:bCs/>
                <w:sz w:val="20"/>
                <w:szCs w:val="20"/>
              </w:rPr>
            </w:pPr>
            <w:r w:rsidRPr="004C710C">
              <w:rPr>
                <w:rFonts w:ascii="Arial Narrow" w:hAnsi="Arial Narrow"/>
                <w:sz w:val="20"/>
                <w:szCs w:val="20"/>
              </w:rPr>
              <w:t>Initial Restrictions</w:t>
            </w:r>
          </w:p>
        </w:tc>
      </w:tr>
      <w:tr w:rsidR="004C710C" w:rsidRPr="004C710C" w14:paraId="1A8BE8D8" w14:textId="77777777" w:rsidTr="00101108">
        <w:tc>
          <w:tcPr>
            <w:tcW w:w="9210" w:type="dxa"/>
            <w:gridSpan w:val="3"/>
            <w:tcBorders>
              <w:top w:val="single" w:sz="4" w:space="0" w:color="auto"/>
              <w:left w:val="single" w:sz="4" w:space="0" w:color="auto"/>
              <w:bottom w:val="single" w:sz="4" w:space="0" w:color="auto"/>
              <w:right w:val="single" w:sz="4" w:space="0" w:color="auto"/>
            </w:tcBorders>
          </w:tcPr>
          <w:p w14:paraId="0F4E2741" w14:textId="4C93C4A0" w:rsidR="001C19B6" w:rsidRPr="004C710C" w:rsidRDefault="001C19B6" w:rsidP="00101108">
            <w:pPr>
              <w:ind w:left="-57"/>
              <w:rPr>
                <w:rFonts w:ascii="Arial Narrow" w:hAnsi="Arial Narrow"/>
                <w:b/>
                <w:sz w:val="20"/>
                <w:szCs w:val="20"/>
              </w:rPr>
            </w:pPr>
            <w:r w:rsidRPr="004C710C">
              <w:rPr>
                <w:rFonts w:ascii="Arial Narrow" w:hAnsi="Arial Narrow"/>
                <w:b/>
                <w:sz w:val="20"/>
                <w:szCs w:val="20"/>
              </w:rPr>
              <w:t>Restriction Summary  / Treatment of Concept: Authority Required</w:t>
            </w:r>
            <w:r w:rsidRPr="004C710C">
              <w:rPr>
                <w:rFonts w:ascii="Arial Narrow" w:hAnsi="Arial Narrow"/>
                <w:bCs/>
                <w:sz w:val="20"/>
                <w:szCs w:val="20"/>
              </w:rPr>
              <w:t xml:space="preserve"> </w:t>
            </w:r>
          </w:p>
          <w:p w14:paraId="4444B2CB" w14:textId="77777777" w:rsidR="001C19B6" w:rsidRPr="004C710C" w:rsidRDefault="001C19B6" w:rsidP="00101108">
            <w:pPr>
              <w:ind w:left="-57"/>
              <w:textAlignment w:val="baseline"/>
              <w:rPr>
                <w:rFonts w:ascii="Arial Narrow" w:hAnsi="Arial Narrow" w:cs="Open Sans"/>
                <w:b/>
                <w:bCs/>
                <w:sz w:val="20"/>
                <w:szCs w:val="20"/>
                <w:bdr w:val="none" w:sz="0" w:space="0" w:color="auto" w:frame="1"/>
              </w:rPr>
            </w:pPr>
          </w:p>
        </w:tc>
      </w:tr>
    </w:tbl>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5"/>
      </w:tblGrid>
      <w:tr w:rsidR="004C710C" w:rsidRPr="004C710C" w14:paraId="2EDB654B" w14:textId="77777777" w:rsidTr="00101108">
        <w:tc>
          <w:tcPr>
            <w:tcW w:w="844"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5E3E749" w14:textId="1CBC6E75" w:rsidR="001C19B6" w:rsidRPr="004C710C" w:rsidRDefault="001C19B6" w:rsidP="00101108">
            <w:pPr>
              <w:jc w:val="center"/>
              <w:rPr>
                <w:rFonts w:ascii="Arial Narrow" w:hAnsi="Arial Narrow"/>
                <w:b/>
                <w:sz w:val="20"/>
                <w:szCs w:val="20"/>
              </w:rPr>
            </w:pPr>
          </w:p>
        </w:tc>
        <w:tc>
          <w:tcPr>
            <w:tcW w:w="41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32C8AF4" w14:textId="77777777" w:rsidR="001C19B6" w:rsidRPr="004C710C" w:rsidRDefault="001C19B6" w:rsidP="00101108">
            <w:pPr>
              <w:rPr>
                <w:rFonts w:ascii="Arial Narrow" w:hAnsi="Arial Narrow"/>
                <w:sz w:val="20"/>
                <w:szCs w:val="20"/>
              </w:rPr>
            </w:pPr>
            <w:r w:rsidRPr="004C710C">
              <w:rPr>
                <w:rFonts w:ascii="Arial Narrow" w:hAnsi="Arial Narrow"/>
                <w:b/>
                <w:sz w:val="20"/>
                <w:szCs w:val="20"/>
              </w:rPr>
              <w:t xml:space="preserve">Category / Program: </w:t>
            </w:r>
            <w:r w:rsidRPr="004C710C">
              <w:rPr>
                <w:rFonts w:ascii="Arial Narrow" w:hAnsi="Arial Narrow"/>
                <w:sz w:val="20"/>
                <w:szCs w:val="20"/>
              </w:rPr>
              <w:t xml:space="preserve">Section 100 – Highly Specialised Drugs Program </w:t>
            </w:r>
          </w:p>
        </w:tc>
      </w:tr>
      <w:tr w:rsidR="004C710C" w:rsidRPr="004C710C" w14:paraId="16B037F5" w14:textId="77777777" w:rsidTr="004C710C">
        <w:trPr>
          <w:trHeight w:val="240"/>
        </w:trPr>
        <w:tc>
          <w:tcPr>
            <w:tcW w:w="844" w:type="pct"/>
            <w:vMerge/>
            <w:tcBorders>
              <w:top w:val="single" w:sz="4" w:space="0" w:color="auto"/>
              <w:left w:val="single" w:sz="4" w:space="0" w:color="auto"/>
              <w:bottom w:val="single" w:sz="4" w:space="0" w:color="auto"/>
              <w:right w:val="single" w:sz="4" w:space="0" w:color="auto"/>
            </w:tcBorders>
            <w:vAlign w:val="center"/>
          </w:tcPr>
          <w:p w14:paraId="31C9BFFE" w14:textId="77777777" w:rsidR="001C19B6" w:rsidRPr="004C710C" w:rsidRDefault="001C19B6" w:rsidP="00101108">
            <w:pPr>
              <w:rPr>
                <w:rFonts w:ascii="Arial Narrow" w:hAnsi="Arial Narrow"/>
                <w:b/>
                <w:sz w:val="20"/>
                <w:szCs w:val="20"/>
              </w:rPr>
            </w:pPr>
          </w:p>
        </w:tc>
        <w:tc>
          <w:tcPr>
            <w:tcW w:w="41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3D753A2" w14:textId="77777777" w:rsidR="001C19B6" w:rsidRPr="004C710C" w:rsidRDefault="001C19B6" w:rsidP="00101108">
            <w:pPr>
              <w:rPr>
                <w:rFonts w:ascii="Arial Narrow" w:hAnsi="Arial Narrow"/>
                <w:b/>
                <w:sz w:val="20"/>
                <w:szCs w:val="20"/>
              </w:rPr>
            </w:pPr>
            <w:r w:rsidRPr="004C710C">
              <w:rPr>
                <w:rFonts w:ascii="Arial Narrow" w:hAnsi="Arial Narrow"/>
                <w:b/>
                <w:sz w:val="20"/>
                <w:szCs w:val="20"/>
              </w:rPr>
              <w:t xml:space="preserve">Prescriber type: </w:t>
            </w:r>
            <w:r w:rsidRPr="004C710C">
              <w:rPr>
                <w:rFonts w:ascii="Arial Narrow" w:hAnsi="Arial Narrow"/>
                <w:sz w:val="20"/>
                <w:szCs w:val="20"/>
              </w:rPr>
              <w:fldChar w:fldCharType="begin">
                <w:ffData>
                  <w:name w:val=""/>
                  <w:enabled/>
                  <w:calcOnExit w:val="0"/>
                  <w:checkBox>
                    <w:sizeAuto/>
                    <w:default w:val="1"/>
                  </w:checkBox>
                </w:ffData>
              </w:fldChar>
            </w:r>
            <w:r w:rsidRPr="004C710C">
              <w:rPr>
                <w:rFonts w:ascii="Arial Narrow" w:hAnsi="Arial Narrow"/>
                <w:sz w:val="20"/>
                <w:szCs w:val="20"/>
              </w:rPr>
              <w:instrText xml:space="preserve"> FORMCHECKBOX </w:instrText>
            </w:r>
            <w:r w:rsidR="008D6198">
              <w:rPr>
                <w:rFonts w:ascii="Arial Narrow" w:hAnsi="Arial Narrow"/>
                <w:sz w:val="20"/>
                <w:szCs w:val="20"/>
              </w:rPr>
            </w:r>
            <w:r w:rsidR="008D6198">
              <w:rPr>
                <w:rFonts w:ascii="Arial Narrow" w:hAnsi="Arial Narrow"/>
                <w:sz w:val="20"/>
                <w:szCs w:val="20"/>
              </w:rPr>
              <w:fldChar w:fldCharType="separate"/>
            </w:r>
            <w:r w:rsidRPr="004C710C">
              <w:rPr>
                <w:rFonts w:ascii="Arial Narrow" w:hAnsi="Arial Narrow"/>
                <w:sz w:val="20"/>
                <w:szCs w:val="20"/>
              </w:rPr>
              <w:fldChar w:fldCharType="end"/>
            </w:r>
            <w:r w:rsidRPr="004C710C">
              <w:rPr>
                <w:rFonts w:ascii="Arial Narrow" w:hAnsi="Arial Narrow"/>
                <w:sz w:val="20"/>
                <w:szCs w:val="20"/>
              </w:rPr>
              <w:t xml:space="preserve">Medical Practitioners </w:t>
            </w:r>
          </w:p>
        </w:tc>
      </w:tr>
      <w:tr w:rsidR="004C710C" w:rsidRPr="004C710C" w14:paraId="2DEA1F7B" w14:textId="77777777" w:rsidTr="004C710C">
        <w:trPr>
          <w:trHeight w:val="392"/>
        </w:trPr>
        <w:tc>
          <w:tcPr>
            <w:tcW w:w="844" w:type="pct"/>
            <w:vMerge/>
            <w:tcBorders>
              <w:top w:val="single" w:sz="4" w:space="0" w:color="auto"/>
              <w:left w:val="single" w:sz="4" w:space="0" w:color="auto"/>
              <w:bottom w:val="single" w:sz="4" w:space="0" w:color="auto"/>
              <w:right w:val="single" w:sz="4" w:space="0" w:color="auto"/>
            </w:tcBorders>
            <w:vAlign w:val="center"/>
          </w:tcPr>
          <w:p w14:paraId="015F7E23" w14:textId="77777777" w:rsidR="001C19B6" w:rsidRPr="004C710C" w:rsidRDefault="001C19B6" w:rsidP="00101108">
            <w:pPr>
              <w:rPr>
                <w:rFonts w:ascii="Arial Narrow" w:hAnsi="Arial Narrow"/>
                <w:b/>
                <w:sz w:val="20"/>
                <w:szCs w:val="20"/>
              </w:rPr>
            </w:pPr>
          </w:p>
        </w:tc>
        <w:tc>
          <w:tcPr>
            <w:tcW w:w="41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776A6CF" w14:textId="77777777" w:rsidR="001C19B6" w:rsidRPr="004C710C" w:rsidRDefault="001C19B6" w:rsidP="00101108">
            <w:pPr>
              <w:rPr>
                <w:rFonts w:ascii="Arial Narrow" w:hAnsi="Arial Narrow"/>
                <w:sz w:val="20"/>
                <w:szCs w:val="20"/>
              </w:rPr>
            </w:pPr>
            <w:r w:rsidRPr="004C710C">
              <w:rPr>
                <w:rFonts w:ascii="Arial Narrow" w:hAnsi="Arial Narrow"/>
                <w:b/>
                <w:sz w:val="20"/>
                <w:szCs w:val="20"/>
              </w:rPr>
              <w:t xml:space="preserve">Restriction Type – </w:t>
            </w:r>
            <w:r w:rsidRPr="004C710C">
              <w:rPr>
                <w:rFonts w:ascii="Arial Narrow" w:hAnsi="Arial Narrow"/>
                <w:sz w:val="20"/>
                <w:szCs w:val="20"/>
              </w:rPr>
              <w:fldChar w:fldCharType="begin">
                <w:ffData>
                  <w:name w:val=""/>
                  <w:enabled/>
                  <w:calcOnExit w:val="0"/>
                  <w:checkBox>
                    <w:sizeAuto/>
                    <w:default w:val="1"/>
                  </w:checkBox>
                </w:ffData>
              </w:fldChar>
            </w:r>
            <w:r w:rsidRPr="004C710C">
              <w:rPr>
                <w:rFonts w:ascii="Arial Narrow" w:hAnsi="Arial Narrow"/>
                <w:sz w:val="20"/>
                <w:szCs w:val="20"/>
              </w:rPr>
              <w:instrText xml:space="preserve"> FORMCHECKBOX </w:instrText>
            </w:r>
            <w:r w:rsidR="008D6198">
              <w:rPr>
                <w:rFonts w:ascii="Arial Narrow" w:hAnsi="Arial Narrow"/>
                <w:sz w:val="20"/>
                <w:szCs w:val="20"/>
              </w:rPr>
            </w:r>
            <w:r w:rsidR="008D6198">
              <w:rPr>
                <w:rFonts w:ascii="Arial Narrow" w:hAnsi="Arial Narrow"/>
                <w:sz w:val="20"/>
                <w:szCs w:val="20"/>
              </w:rPr>
              <w:fldChar w:fldCharType="separate"/>
            </w:r>
            <w:r w:rsidRPr="004C710C">
              <w:rPr>
                <w:rFonts w:ascii="Arial Narrow" w:hAnsi="Arial Narrow"/>
                <w:sz w:val="20"/>
                <w:szCs w:val="20"/>
              </w:rPr>
              <w:fldChar w:fldCharType="end"/>
            </w:r>
            <w:r w:rsidRPr="004C710C">
              <w:rPr>
                <w:rFonts w:ascii="Arial Narrow" w:hAnsi="Arial Narrow"/>
                <w:sz w:val="20"/>
                <w:szCs w:val="20"/>
              </w:rPr>
              <w:t xml:space="preserve">Authority Required – non-immediate/delayed assessment by Services Australia </w:t>
            </w:r>
          </w:p>
        </w:tc>
      </w:tr>
      <w:tr w:rsidR="004C710C" w:rsidRPr="004C710C" w14:paraId="594E815D" w14:textId="77777777" w:rsidTr="00101108">
        <w:tc>
          <w:tcPr>
            <w:tcW w:w="8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C66D2E" w14:textId="03E632E2" w:rsidR="001C19B6" w:rsidRPr="004C710C" w:rsidRDefault="001C19B6" w:rsidP="00101108">
            <w:pPr>
              <w:jc w:val="center"/>
              <w:rPr>
                <w:rFonts w:ascii="Arial Narrow" w:hAnsi="Arial Narrow"/>
                <w:sz w:val="20"/>
                <w:szCs w:val="20"/>
              </w:rPr>
            </w:pPr>
          </w:p>
        </w:tc>
        <w:tc>
          <w:tcPr>
            <w:tcW w:w="41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5739BB" w14:textId="77777777" w:rsidR="001C19B6" w:rsidRPr="004C710C" w:rsidRDefault="001C19B6" w:rsidP="00101108">
            <w:pPr>
              <w:pStyle w:val="NormalWeb"/>
              <w:shd w:val="clear" w:color="auto" w:fill="FFFFFF"/>
              <w:spacing w:before="0" w:after="0"/>
              <w:textAlignment w:val="baseline"/>
              <w:rPr>
                <w:rFonts w:ascii="Arial Narrow" w:hAnsi="Arial Narrow"/>
                <w:sz w:val="20"/>
                <w:szCs w:val="20"/>
                <w:lang w:val="en-AU"/>
              </w:rPr>
            </w:pPr>
            <w:r w:rsidRPr="004C710C">
              <w:rPr>
                <w:rFonts w:ascii="Arial Narrow" w:eastAsia="Calibri" w:hAnsi="Arial Narrow"/>
                <w:b/>
                <w:sz w:val="20"/>
                <w:szCs w:val="20"/>
                <w:lang w:val="en-AU" w:eastAsia="en-US"/>
              </w:rPr>
              <w:t>Indication</w:t>
            </w:r>
            <w:r w:rsidRPr="004C710C">
              <w:rPr>
                <w:rStyle w:val="Strong"/>
                <w:rFonts w:ascii="Arial Narrow" w:hAnsi="Arial Narrow"/>
                <w:sz w:val="20"/>
                <w:szCs w:val="20"/>
                <w:bdr w:val="none" w:sz="0" w:space="0" w:color="auto" w:frame="1"/>
                <w:lang w:val="en-AU"/>
              </w:rPr>
              <w:t xml:space="preserve">: </w:t>
            </w:r>
            <w:r w:rsidRPr="004C710C">
              <w:rPr>
                <w:rFonts w:ascii="Arial Narrow" w:eastAsia="Calibri" w:hAnsi="Arial Narrow"/>
                <w:sz w:val="20"/>
                <w:szCs w:val="20"/>
                <w:lang w:val="en-AU" w:eastAsia="en-US"/>
              </w:rPr>
              <w:t>Cystic fibrosis</w:t>
            </w:r>
          </w:p>
        </w:tc>
      </w:tr>
      <w:tr w:rsidR="004C710C" w:rsidRPr="004C710C" w14:paraId="09EDAEF4" w14:textId="77777777" w:rsidTr="00101108">
        <w:tc>
          <w:tcPr>
            <w:tcW w:w="8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C5C319" w14:textId="77777777" w:rsidR="001C19B6" w:rsidRPr="004C710C" w:rsidRDefault="001C19B6" w:rsidP="00101108">
            <w:pPr>
              <w:jc w:val="center"/>
              <w:rPr>
                <w:rFonts w:ascii="Arial Narrow" w:hAnsi="Arial Narrow"/>
                <w:sz w:val="20"/>
                <w:szCs w:val="20"/>
              </w:rPr>
            </w:pPr>
          </w:p>
        </w:tc>
        <w:tc>
          <w:tcPr>
            <w:tcW w:w="41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DA68A7" w14:textId="77777777" w:rsidR="001C19B6" w:rsidRPr="004C710C" w:rsidRDefault="001C19B6" w:rsidP="00101108">
            <w:pPr>
              <w:rPr>
                <w:rFonts w:ascii="Arial Narrow" w:hAnsi="Arial Narrow"/>
                <w:b/>
                <w:bCs/>
                <w:sz w:val="20"/>
                <w:szCs w:val="20"/>
              </w:rPr>
            </w:pPr>
            <w:r w:rsidRPr="004C710C">
              <w:rPr>
                <w:rFonts w:ascii="Arial Narrow" w:hAnsi="Arial Narrow"/>
                <w:b/>
                <w:bCs/>
                <w:sz w:val="20"/>
                <w:szCs w:val="20"/>
              </w:rPr>
              <w:t>Treatment Phase:</w:t>
            </w:r>
            <w:r w:rsidRPr="004C710C">
              <w:rPr>
                <w:rFonts w:ascii="Arial Narrow" w:hAnsi="Arial Narrow"/>
                <w:sz w:val="20"/>
                <w:szCs w:val="20"/>
              </w:rPr>
              <w:t xml:space="preserve"> Initial treatment – New patients</w:t>
            </w:r>
          </w:p>
        </w:tc>
      </w:tr>
      <w:tr w:rsidR="004C710C" w:rsidRPr="004C710C" w:rsidDel="00325CEB" w14:paraId="4A4007A7" w14:textId="77777777" w:rsidTr="00101108">
        <w:tc>
          <w:tcPr>
            <w:tcW w:w="8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5D89C6" w14:textId="313ABA4E" w:rsidR="001C19B6" w:rsidRPr="004C710C" w:rsidRDefault="001C19B6" w:rsidP="00101108">
            <w:pPr>
              <w:jc w:val="center"/>
              <w:rPr>
                <w:rFonts w:ascii="Arial Narrow" w:hAnsi="Arial Narrow"/>
                <w:sz w:val="20"/>
                <w:szCs w:val="20"/>
              </w:rPr>
            </w:pPr>
          </w:p>
        </w:tc>
        <w:tc>
          <w:tcPr>
            <w:tcW w:w="41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7B678A" w14:textId="77777777" w:rsidR="001C19B6" w:rsidRPr="004C710C" w:rsidDel="00325CEB" w:rsidRDefault="001C19B6" w:rsidP="00101108">
            <w:pPr>
              <w:rPr>
                <w:rFonts w:ascii="Arial Narrow" w:hAnsi="Arial Narrow"/>
                <w:sz w:val="20"/>
                <w:szCs w:val="20"/>
              </w:rPr>
            </w:pPr>
            <w:r w:rsidRPr="004C710C">
              <w:rPr>
                <w:rFonts w:ascii="Arial Narrow" w:hAnsi="Arial Narrow"/>
                <w:sz w:val="20"/>
                <w:szCs w:val="20"/>
              </w:rPr>
              <w:t>Patient must be assessed through a cystic fibrosis clinic/centre which is under the control of specialist respiratory physicians with experience and expertise in the management of cystic fibrosis. If attendance at such a unit is not possible because of geographical isolation, management (including prescribing) may be in consultation with such a unit</w:t>
            </w:r>
          </w:p>
        </w:tc>
      </w:tr>
      <w:tr w:rsidR="004C710C" w:rsidRPr="004C710C" w14:paraId="3CC0FA6D" w14:textId="77777777" w:rsidTr="00101108">
        <w:tc>
          <w:tcPr>
            <w:tcW w:w="8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726870" w14:textId="77777777" w:rsidR="001C19B6" w:rsidRPr="004C710C" w:rsidRDefault="001C19B6" w:rsidP="00101108">
            <w:pPr>
              <w:jc w:val="center"/>
              <w:rPr>
                <w:rFonts w:ascii="Arial Narrow" w:hAnsi="Arial Narrow"/>
                <w:sz w:val="20"/>
                <w:szCs w:val="20"/>
              </w:rPr>
            </w:pPr>
          </w:p>
        </w:tc>
        <w:tc>
          <w:tcPr>
            <w:tcW w:w="41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1D5133" w14:textId="77777777" w:rsidR="001C19B6" w:rsidRPr="004C710C" w:rsidRDefault="001C19B6" w:rsidP="00101108">
            <w:pPr>
              <w:rPr>
                <w:rFonts w:ascii="Arial Narrow" w:hAnsi="Arial Narrow"/>
                <w:i/>
                <w:iCs/>
                <w:sz w:val="20"/>
                <w:szCs w:val="20"/>
              </w:rPr>
            </w:pPr>
            <w:r w:rsidRPr="004C710C">
              <w:rPr>
                <w:rFonts w:ascii="Arial Narrow" w:hAnsi="Arial Narrow"/>
                <w:b/>
                <w:bCs/>
                <w:sz w:val="20"/>
                <w:szCs w:val="20"/>
              </w:rPr>
              <w:t>AND</w:t>
            </w:r>
          </w:p>
        </w:tc>
      </w:tr>
      <w:tr w:rsidR="004C710C" w:rsidRPr="004C710C" w14:paraId="3B383D31" w14:textId="77777777" w:rsidTr="00101108">
        <w:tc>
          <w:tcPr>
            <w:tcW w:w="8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540CD3" w14:textId="77777777" w:rsidR="001C19B6" w:rsidRPr="004C710C" w:rsidRDefault="001C19B6" w:rsidP="00101108">
            <w:pPr>
              <w:jc w:val="center"/>
              <w:rPr>
                <w:rFonts w:ascii="Arial Narrow" w:hAnsi="Arial Narrow"/>
                <w:sz w:val="20"/>
                <w:szCs w:val="20"/>
              </w:rPr>
            </w:pPr>
          </w:p>
        </w:tc>
        <w:tc>
          <w:tcPr>
            <w:tcW w:w="41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7CE3B3" w14:textId="77777777" w:rsidR="001C19B6" w:rsidRPr="004C710C" w:rsidRDefault="001C19B6" w:rsidP="00101108">
            <w:pPr>
              <w:rPr>
                <w:rFonts w:ascii="Arial Narrow" w:hAnsi="Arial Narrow"/>
                <w:b/>
                <w:bCs/>
                <w:sz w:val="20"/>
                <w:szCs w:val="20"/>
              </w:rPr>
            </w:pPr>
            <w:r w:rsidRPr="004C710C">
              <w:rPr>
                <w:rFonts w:ascii="Arial Narrow" w:hAnsi="Arial Narrow"/>
                <w:b/>
                <w:bCs/>
                <w:sz w:val="20"/>
                <w:szCs w:val="20"/>
              </w:rPr>
              <w:t>Clinical criteria:</w:t>
            </w:r>
          </w:p>
        </w:tc>
      </w:tr>
      <w:tr w:rsidR="004C710C" w:rsidRPr="004C710C" w14:paraId="1B4DAD5D" w14:textId="77777777" w:rsidTr="00101108">
        <w:tc>
          <w:tcPr>
            <w:tcW w:w="8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9061AE" w14:textId="350A10A3" w:rsidR="001C19B6" w:rsidRPr="004C710C" w:rsidRDefault="001C19B6" w:rsidP="00101108">
            <w:pPr>
              <w:jc w:val="center"/>
              <w:rPr>
                <w:rFonts w:ascii="Arial Narrow" w:hAnsi="Arial Narrow"/>
                <w:strike/>
                <w:sz w:val="20"/>
                <w:szCs w:val="20"/>
              </w:rPr>
            </w:pPr>
          </w:p>
        </w:tc>
        <w:tc>
          <w:tcPr>
            <w:tcW w:w="41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004B17" w14:textId="77777777" w:rsidR="001C19B6" w:rsidRPr="004C710C" w:rsidRDefault="001C19B6" w:rsidP="00101108">
            <w:pPr>
              <w:rPr>
                <w:rFonts w:ascii="Arial Narrow" w:hAnsi="Arial Narrow"/>
                <w:b/>
                <w:bCs/>
                <w:strike/>
                <w:sz w:val="20"/>
                <w:szCs w:val="20"/>
              </w:rPr>
            </w:pPr>
            <w:r w:rsidRPr="004C710C">
              <w:rPr>
                <w:rFonts w:ascii="Arial Narrow" w:hAnsi="Arial Narrow"/>
                <w:strike/>
                <w:sz w:val="20"/>
                <w:szCs w:val="20"/>
              </w:rPr>
              <w:t>Patient must have G551D mutation in the cystic fibrosis transmembrane conductance regulator (CFTR) gene on at least 1 allele; or</w:t>
            </w:r>
          </w:p>
        </w:tc>
      </w:tr>
      <w:tr w:rsidR="004C710C" w:rsidRPr="004C710C" w14:paraId="53DB49EE" w14:textId="77777777" w:rsidTr="00101108">
        <w:tc>
          <w:tcPr>
            <w:tcW w:w="8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0093F1" w14:textId="5E2D0FEF" w:rsidR="001C19B6" w:rsidRPr="004C710C" w:rsidRDefault="001C19B6" w:rsidP="00101108">
            <w:pPr>
              <w:jc w:val="center"/>
              <w:rPr>
                <w:rFonts w:ascii="Arial Narrow" w:hAnsi="Arial Narrow"/>
                <w:strike/>
                <w:sz w:val="20"/>
                <w:szCs w:val="20"/>
              </w:rPr>
            </w:pPr>
          </w:p>
        </w:tc>
        <w:tc>
          <w:tcPr>
            <w:tcW w:w="41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383F25" w14:textId="188972E6" w:rsidR="001C19B6" w:rsidRPr="004C710C" w:rsidRDefault="001C19B6" w:rsidP="00101108">
            <w:pPr>
              <w:rPr>
                <w:rFonts w:ascii="Arial Narrow" w:hAnsi="Arial Narrow"/>
                <w:b/>
                <w:bCs/>
                <w:strike/>
                <w:sz w:val="20"/>
                <w:szCs w:val="20"/>
              </w:rPr>
            </w:pPr>
            <w:r w:rsidRPr="004C710C">
              <w:rPr>
                <w:rFonts w:ascii="Arial Narrow" w:hAnsi="Arial Narrow"/>
                <w:strike/>
                <w:sz w:val="20"/>
                <w:szCs w:val="20"/>
              </w:rPr>
              <w:t>Patient must have other gating (class III) mutation in the CFTR gene on at least 1 allele;</w:t>
            </w:r>
          </w:p>
        </w:tc>
      </w:tr>
      <w:tr w:rsidR="004C710C" w:rsidRPr="004C710C" w14:paraId="05D4C979" w14:textId="77777777" w:rsidTr="00101108">
        <w:tc>
          <w:tcPr>
            <w:tcW w:w="8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B000FC" w14:textId="01C9320C" w:rsidR="001C19B6" w:rsidRPr="004C710C" w:rsidRDefault="001C19B6" w:rsidP="00101108">
            <w:pPr>
              <w:jc w:val="center"/>
              <w:rPr>
                <w:rFonts w:ascii="Arial Narrow" w:hAnsi="Arial Narrow"/>
                <w:i/>
                <w:iCs/>
                <w:sz w:val="20"/>
                <w:szCs w:val="20"/>
              </w:rPr>
            </w:pPr>
          </w:p>
        </w:tc>
        <w:tc>
          <w:tcPr>
            <w:tcW w:w="41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228EFF" w14:textId="77777777" w:rsidR="001C19B6" w:rsidRPr="004C710C" w:rsidRDefault="001C19B6" w:rsidP="00101108">
            <w:pPr>
              <w:rPr>
                <w:rFonts w:ascii="Arial Narrow" w:hAnsi="Arial Narrow"/>
                <w:i/>
                <w:iCs/>
                <w:sz w:val="20"/>
                <w:szCs w:val="20"/>
              </w:rPr>
            </w:pPr>
            <w:r w:rsidRPr="004C710C">
              <w:rPr>
                <w:rFonts w:ascii="Arial Narrow" w:hAnsi="Arial Narrow"/>
                <w:i/>
                <w:iCs/>
                <w:sz w:val="20"/>
                <w:szCs w:val="20"/>
              </w:rPr>
              <w:t>Patient must have at least one mutation in the CFTR gene that is responsive to ivacaftor potentiation based on clinical and/or in vitro assay data</w:t>
            </w:r>
          </w:p>
        </w:tc>
      </w:tr>
      <w:tr w:rsidR="004C710C" w:rsidRPr="004C710C" w14:paraId="08281AAE" w14:textId="77777777" w:rsidTr="00101108">
        <w:tc>
          <w:tcPr>
            <w:tcW w:w="8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41CB99" w14:textId="77777777" w:rsidR="001C19B6" w:rsidRPr="004C710C" w:rsidRDefault="001C19B6" w:rsidP="00101108">
            <w:pPr>
              <w:jc w:val="center"/>
              <w:rPr>
                <w:rFonts w:ascii="Arial Narrow" w:hAnsi="Arial Narrow"/>
                <w:sz w:val="20"/>
                <w:szCs w:val="20"/>
              </w:rPr>
            </w:pPr>
          </w:p>
        </w:tc>
        <w:tc>
          <w:tcPr>
            <w:tcW w:w="41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2C7F9B" w14:textId="77777777" w:rsidR="001C19B6" w:rsidRPr="004C710C" w:rsidRDefault="001C19B6" w:rsidP="00101108">
            <w:pPr>
              <w:rPr>
                <w:rFonts w:ascii="Arial Narrow" w:hAnsi="Arial Narrow"/>
                <w:sz w:val="20"/>
                <w:szCs w:val="20"/>
              </w:rPr>
            </w:pPr>
            <w:r w:rsidRPr="004C710C">
              <w:rPr>
                <w:rFonts w:ascii="Arial Narrow" w:hAnsi="Arial Narrow"/>
                <w:b/>
                <w:bCs/>
                <w:sz w:val="20"/>
                <w:szCs w:val="20"/>
              </w:rPr>
              <w:t>AND</w:t>
            </w:r>
          </w:p>
        </w:tc>
      </w:tr>
      <w:tr w:rsidR="004C710C" w:rsidRPr="004C710C" w14:paraId="4116F24B" w14:textId="77777777" w:rsidTr="00101108">
        <w:tc>
          <w:tcPr>
            <w:tcW w:w="8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942FA0" w14:textId="77777777" w:rsidR="001C19B6" w:rsidRPr="004C710C" w:rsidRDefault="001C19B6" w:rsidP="00101108">
            <w:pPr>
              <w:jc w:val="center"/>
              <w:rPr>
                <w:rFonts w:ascii="Arial Narrow" w:hAnsi="Arial Narrow"/>
                <w:strike/>
                <w:sz w:val="20"/>
                <w:szCs w:val="20"/>
              </w:rPr>
            </w:pPr>
          </w:p>
        </w:tc>
        <w:tc>
          <w:tcPr>
            <w:tcW w:w="41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F3B943" w14:textId="51A0CCC7" w:rsidR="001C19B6" w:rsidRPr="004C710C" w:rsidRDefault="001C19B6" w:rsidP="00101108">
            <w:pPr>
              <w:rPr>
                <w:rFonts w:ascii="Arial Narrow" w:hAnsi="Arial Narrow"/>
                <w:b/>
                <w:bCs/>
                <w:strike/>
                <w:sz w:val="20"/>
                <w:szCs w:val="20"/>
              </w:rPr>
            </w:pPr>
            <w:r w:rsidRPr="004C710C">
              <w:rPr>
                <w:rFonts w:ascii="Arial Narrow" w:hAnsi="Arial Narrow"/>
                <w:b/>
                <w:bCs/>
                <w:strike/>
                <w:sz w:val="20"/>
                <w:szCs w:val="20"/>
              </w:rPr>
              <w:t>Clinical criteria:</w:t>
            </w:r>
          </w:p>
        </w:tc>
      </w:tr>
      <w:tr w:rsidR="004C710C" w:rsidRPr="004C710C" w14:paraId="60801043" w14:textId="77777777" w:rsidTr="00101108">
        <w:tc>
          <w:tcPr>
            <w:tcW w:w="8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59EE81" w14:textId="1E91B141" w:rsidR="001C19B6" w:rsidRPr="004C710C" w:rsidRDefault="001C19B6" w:rsidP="00101108">
            <w:pPr>
              <w:jc w:val="center"/>
              <w:rPr>
                <w:rFonts w:ascii="Arial Narrow" w:hAnsi="Arial Narrow"/>
                <w:strike/>
                <w:sz w:val="20"/>
                <w:szCs w:val="20"/>
              </w:rPr>
            </w:pPr>
          </w:p>
        </w:tc>
        <w:tc>
          <w:tcPr>
            <w:tcW w:w="41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1F9ABD" w14:textId="547769AC" w:rsidR="001C19B6" w:rsidRPr="004C710C" w:rsidRDefault="001C19B6" w:rsidP="00101108">
            <w:pPr>
              <w:rPr>
                <w:rFonts w:ascii="Arial Narrow" w:hAnsi="Arial Narrow"/>
                <w:b/>
                <w:bCs/>
                <w:strike/>
                <w:sz w:val="20"/>
                <w:szCs w:val="20"/>
              </w:rPr>
            </w:pPr>
            <w:r w:rsidRPr="004C710C">
              <w:rPr>
                <w:rFonts w:ascii="Arial Narrow" w:hAnsi="Arial Narrow"/>
                <w:strike/>
                <w:sz w:val="20"/>
                <w:szCs w:val="20"/>
              </w:rPr>
              <w:t>Patient must have a sweat chloride value of at least 60 mmol/L by quantitative pilocarpine iontophoresis</w:t>
            </w:r>
          </w:p>
        </w:tc>
      </w:tr>
      <w:tr w:rsidR="004C710C" w:rsidRPr="004C710C" w14:paraId="015E4D94" w14:textId="77777777" w:rsidTr="00101108">
        <w:tc>
          <w:tcPr>
            <w:tcW w:w="8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FCBEBF" w14:textId="77777777" w:rsidR="001C19B6" w:rsidRPr="004C710C" w:rsidRDefault="001C19B6" w:rsidP="00101108">
            <w:pPr>
              <w:jc w:val="center"/>
              <w:rPr>
                <w:rFonts w:ascii="Arial Narrow" w:hAnsi="Arial Narrow"/>
                <w:sz w:val="20"/>
                <w:szCs w:val="20"/>
              </w:rPr>
            </w:pPr>
          </w:p>
        </w:tc>
        <w:tc>
          <w:tcPr>
            <w:tcW w:w="41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2E6827" w14:textId="77777777" w:rsidR="001C19B6" w:rsidRPr="004C710C" w:rsidRDefault="001C19B6" w:rsidP="00101108">
            <w:pPr>
              <w:rPr>
                <w:rFonts w:ascii="Arial Narrow" w:hAnsi="Arial Narrow"/>
                <w:b/>
                <w:bCs/>
                <w:sz w:val="20"/>
                <w:szCs w:val="20"/>
              </w:rPr>
            </w:pPr>
            <w:r w:rsidRPr="004C710C">
              <w:rPr>
                <w:rFonts w:ascii="Arial Narrow" w:hAnsi="Arial Narrow"/>
                <w:b/>
                <w:bCs/>
                <w:sz w:val="20"/>
                <w:szCs w:val="20"/>
              </w:rPr>
              <w:t>AND</w:t>
            </w:r>
          </w:p>
        </w:tc>
      </w:tr>
      <w:tr w:rsidR="004C710C" w:rsidRPr="004C710C" w14:paraId="303770E7" w14:textId="77777777" w:rsidTr="00101108">
        <w:tc>
          <w:tcPr>
            <w:tcW w:w="8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D2DD17" w14:textId="77777777" w:rsidR="001C19B6" w:rsidRPr="004C710C" w:rsidRDefault="001C19B6" w:rsidP="00101108">
            <w:pPr>
              <w:jc w:val="center"/>
              <w:rPr>
                <w:rFonts w:ascii="Arial Narrow" w:hAnsi="Arial Narrow"/>
                <w:sz w:val="20"/>
                <w:szCs w:val="20"/>
              </w:rPr>
            </w:pPr>
          </w:p>
        </w:tc>
        <w:tc>
          <w:tcPr>
            <w:tcW w:w="41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788948" w14:textId="77777777" w:rsidR="001C19B6" w:rsidRPr="004C710C" w:rsidRDefault="001C19B6" w:rsidP="00101108">
            <w:pPr>
              <w:rPr>
                <w:rFonts w:ascii="Arial Narrow" w:hAnsi="Arial Narrow"/>
                <w:b/>
                <w:bCs/>
                <w:sz w:val="20"/>
                <w:szCs w:val="20"/>
              </w:rPr>
            </w:pPr>
            <w:r w:rsidRPr="004C710C">
              <w:rPr>
                <w:rFonts w:ascii="Arial Narrow" w:hAnsi="Arial Narrow"/>
                <w:b/>
                <w:bCs/>
                <w:sz w:val="20"/>
                <w:szCs w:val="20"/>
              </w:rPr>
              <w:t>Clinical criteria:</w:t>
            </w:r>
          </w:p>
        </w:tc>
      </w:tr>
      <w:tr w:rsidR="004C710C" w:rsidRPr="004C710C" w14:paraId="4D1E8969" w14:textId="77777777" w:rsidTr="00101108">
        <w:tc>
          <w:tcPr>
            <w:tcW w:w="8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21537D" w14:textId="5649DB9D" w:rsidR="001C19B6" w:rsidRPr="004C710C" w:rsidRDefault="001C19B6" w:rsidP="00101108">
            <w:pPr>
              <w:jc w:val="center"/>
              <w:rPr>
                <w:rFonts w:ascii="Arial Narrow" w:hAnsi="Arial Narrow"/>
                <w:sz w:val="20"/>
                <w:szCs w:val="20"/>
              </w:rPr>
            </w:pPr>
          </w:p>
        </w:tc>
        <w:tc>
          <w:tcPr>
            <w:tcW w:w="41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8CC2EA" w14:textId="6B8EC044" w:rsidR="001C19B6" w:rsidRPr="004C710C" w:rsidRDefault="001C19B6" w:rsidP="00101108">
            <w:pPr>
              <w:rPr>
                <w:rFonts w:ascii="Arial Narrow" w:hAnsi="Arial Narrow"/>
                <w:sz w:val="20"/>
                <w:szCs w:val="20"/>
              </w:rPr>
            </w:pPr>
            <w:r w:rsidRPr="004C710C">
              <w:rPr>
                <w:rFonts w:ascii="Arial Narrow" w:hAnsi="Arial Narrow"/>
                <w:sz w:val="20"/>
                <w:szCs w:val="20"/>
              </w:rPr>
              <w:t xml:space="preserve">Patient must not receive more than 24 weeks of treatment under this restriction </w:t>
            </w:r>
          </w:p>
        </w:tc>
      </w:tr>
      <w:tr w:rsidR="004C710C" w:rsidRPr="004C710C" w14:paraId="2AE29ECA" w14:textId="77777777" w:rsidTr="00101108">
        <w:tc>
          <w:tcPr>
            <w:tcW w:w="8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8A6B65" w14:textId="77777777" w:rsidR="001C19B6" w:rsidRPr="004C710C" w:rsidRDefault="001C19B6" w:rsidP="00101108">
            <w:pPr>
              <w:jc w:val="center"/>
              <w:rPr>
                <w:rFonts w:ascii="Arial Narrow" w:hAnsi="Arial Narrow"/>
                <w:sz w:val="20"/>
                <w:szCs w:val="20"/>
              </w:rPr>
            </w:pPr>
          </w:p>
        </w:tc>
        <w:tc>
          <w:tcPr>
            <w:tcW w:w="41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46CAE6" w14:textId="77777777" w:rsidR="001C19B6" w:rsidRPr="004C710C" w:rsidRDefault="001C19B6" w:rsidP="00101108">
            <w:pPr>
              <w:rPr>
                <w:rFonts w:ascii="Arial Narrow" w:hAnsi="Arial Narrow"/>
                <w:b/>
                <w:bCs/>
                <w:sz w:val="20"/>
                <w:szCs w:val="20"/>
              </w:rPr>
            </w:pPr>
            <w:r w:rsidRPr="004C710C">
              <w:rPr>
                <w:rFonts w:ascii="Arial Narrow" w:hAnsi="Arial Narrow"/>
                <w:b/>
                <w:bCs/>
                <w:sz w:val="20"/>
                <w:szCs w:val="20"/>
              </w:rPr>
              <w:t>AND</w:t>
            </w:r>
          </w:p>
        </w:tc>
      </w:tr>
      <w:tr w:rsidR="004C710C" w:rsidRPr="004C710C" w14:paraId="56067CD0" w14:textId="77777777" w:rsidTr="00101108">
        <w:tc>
          <w:tcPr>
            <w:tcW w:w="8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F27EED" w14:textId="77777777" w:rsidR="001C19B6" w:rsidRPr="004C710C" w:rsidRDefault="001C19B6" w:rsidP="00101108">
            <w:pPr>
              <w:jc w:val="center"/>
              <w:rPr>
                <w:rFonts w:ascii="Arial Narrow" w:hAnsi="Arial Narrow"/>
                <w:sz w:val="20"/>
                <w:szCs w:val="20"/>
              </w:rPr>
            </w:pPr>
          </w:p>
        </w:tc>
        <w:tc>
          <w:tcPr>
            <w:tcW w:w="41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FC383E" w14:textId="77777777" w:rsidR="001C19B6" w:rsidRPr="004C710C" w:rsidRDefault="001C19B6" w:rsidP="00101108">
            <w:pPr>
              <w:rPr>
                <w:rFonts w:ascii="Arial Narrow" w:hAnsi="Arial Narrow"/>
                <w:sz w:val="20"/>
                <w:szCs w:val="20"/>
              </w:rPr>
            </w:pPr>
            <w:r w:rsidRPr="004C710C">
              <w:rPr>
                <w:rFonts w:ascii="Arial Narrow" w:hAnsi="Arial Narrow"/>
                <w:b/>
                <w:bCs/>
                <w:sz w:val="20"/>
                <w:szCs w:val="20"/>
              </w:rPr>
              <w:t>Clinical criteria:</w:t>
            </w:r>
          </w:p>
        </w:tc>
      </w:tr>
      <w:tr w:rsidR="004C710C" w:rsidRPr="004C710C" w14:paraId="05E732A3" w14:textId="77777777" w:rsidTr="00101108">
        <w:tc>
          <w:tcPr>
            <w:tcW w:w="8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EF0CAE" w14:textId="6A7AEE13" w:rsidR="001C19B6" w:rsidRPr="004C710C" w:rsidRDefault="001C19B6" w:rsidP="00101108">
            <w:pPr>
              <w:jc w:val="center"/>
              <w:rPr>
                <w:rFonts w:ascii="Arial Narrow" w:hAnsi="Arial Narrow"/>
                <w:sz w:val="20"/>
                <w:szCs w:val="20"/>
              </w:rPr>
            </w:pPr>
          </w:p>
        </w:tc>
        <w:tc>
          <w:tcPr>
            <w:tcW w:w="41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C6563C" w14:textId="77777777" w:rsidR="001C19B6" w:rsidRPr="004C710C" w:rsidRDefault="001C19B6" w:rsidP="00101108">
            <w:pPr>
              <w:rPr>
                <w:rFonts w:ascii="Arial Narrow" w:hAnsi="Arial Narrow"/>
                <w:sz w:val="20"/>
                <w:szCs w:val="20"/>
              </w:rPr>
            </w:pPr>
            <w:r w:rsidRPr="004C710C">
              <w:rPr>
                <w:rFonts w:ascii="Arial Narrow" w:hAnsi="Arial Narrow"/>
                <w:sz w:val="20"/>
                <w:szCs w:val="20"/>
              </w:rPr>
              <w:t>The treatment must be given concomitantly with standard therapy for this condition.</w:t>
            </w:r>
          </w:p>
        </w:tc>
      </w:tr>
      <w:tr w:rsidR="004C710C" w:rsidRPr="004C710C" w14:paraId="724E3E40" w14:textId="77777777" w:rsidTr="00101108">
        <w:tc>
          <w:tcPr>
            <w:tcW w:w="8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8E4DD7" w14:textId="77777777" w:rsidR="001C19B6" w:rsidRPr="004C710C" w:rsidRDefault="001C19B6" w:rsidP="00101108">
            <w:pPr>
              <w:jc w:val="center"/>
              <w:rPr>
                <w:rFonts w:ascii="Arial Narrow" w:hAnsi="Arial Narrow"/>
                <w:sz w:val="20"/>
                <w:szCs w:val="20"/>
              </w:rPr>
            </w:pPr>
          </w:p>
        </w:tc>
        <w:tc>
          <w:tcPr>
            <w:tcW w:w="41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4CF48B" w14:textId="77777777" w:rsidR="001C19B6" w:rsidRPr="004C710C" w:rsidRDefault="001C19B6" w:rsidP="00101108">
            <w:pPr>
              <w:rPr>
                <w:rFonts w:ascii="Arial Narrow" w:hAnsi="Arial Narrow"/>
                <w:b/>
                <w:bCs/>
                <w:sz w:val="20"/>
                <w:szCs w:val="20"/>
              </w:rPr>
            </w:pPr>
            <w:r w:rsidRPr="004C710C">
              <w:rPr>
                <w:rFonts w:ascii="Arial Narrow" w:hAnsi="Arial Narrow"/>
                <w:b/>
                <w:bCs/>
                <w:sz w:val="20"/>
                <w:szCs w:val="20"/>
              </w:rPr>
              <w:t>AND</w:t>
            </w:r>
          </w:p>
        </w:tc>
      </w:tr>
      <w:tr w:rsidR="004C710C" w:rsidRPr="004C710C" w14:paraId="330BD0AE" w14:textId="77777777" w:rsidTr="00101108">
        <w:tc>
          <w:tcPr>
            <w:tcW w:w="8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B72193" w14:textId="77777777" w:rsidR="001C19B6" w:rsidRPr="004C710C" w:rsidRDefault="001C19B6" w:rsidP="00101108">
            <w:pPr>
              <w:jc w:val="center"/>
              <w:rPr>
                <w:rFonts w:ascii="Arial Narrow" w:hAnsi="Arial Narrow"/>
                <w:sz w:val="20"/>
                <w:szCs w:val="20"/>
              </w:rPr>
            </w:pPr>
          </w:p>
        </w:tc>
        <w:tc>
          <w:tcPr>
            <w:tcW w:w="41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8FD5DA" w14:textId="77777777" w:rsidR="001C19B6" w:rsidRPr="004C710C" w:rsidRDefault="001C19B6" w:rsidP="00101108">
            <w:pPr>
              <w:rPr>
                <w:rFonts w:ascii="Arial Narrow" w:hAnsi="Arial Narrow"/>
                <w:sz w:val="20"/>
                <w:szCs w:val="20"/>
              </w:rPr>
            </w:pPr>
            <w:r w:rsidRPr="004C710C">
              <w:rPr>
                <w:rFonts w:ascii="Arial Narrow" w:hAnsi="Arial Narrow"/>
                <w:b/>
                <w:bCs/>
                <w:sz w:val="20"/>
                <w:szCs w:val="20"/>
              </w:rPr>
              <w:t>Population criteria:</w:t>
            </w:r>
          </w:p>
        </w:tc>
      </w:tr>
      <w:tr w:rsidR="004C710C" w:rsidRPr="004C710C" w14:paraId="5328F6E2" w14:textId="77777777" w:rsidTr="00101108">
        <w:tc>
          <w:tcPr>
            <w:tcW w:w="8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53EC1A" w14:textId="090C3928" w:rsidR="001C19B6" w:rsidRPr="004C710C" w:rsidRDefault="001C19B6" w:rsidP="00101108">
            <w:pPr>
              <w:jc w:val="center"/>
              <w:rPr>
                <w:rFonts w:ascii="Arial Narrow" w:hAnsi="Arial Narrow"/>
                <w:i/>
                <w:iCs/>
                <w:sz w:val="20"/>
                <w:szCs w:val="20"/>
              </w:rPr>
            </w:pPr>
          </w:p>
        </w:tc>
        <w:tc>
          <w:tcPr>
            <w:tcW w:w="41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9577FC" w14:textId="77777777" w:rsidR="001C19B6" w:rsidRPr="004C710C" w:rsidRDefault="001C19B6" w:rsidP="00101108">
            <w:pPr>
              <w:rPr>
                <w:rFonts w:ascii="Arial Narrow" w:hAnsi="Arial Narrow"/>
                <w:sz w:val="20"/>
                <w:szCs w:val="20"/>
              </w:rPr>
            </w:pPr>
            <w:r w:rsidRPr="004C710C">
              <w:rPr>
                <w:rFonts w:ascii="Arial Narrow" w:hAnsi="Arial Narrow"/>
                <w:sz w:val="20"/>
                <w:szCs w:val="20"/>
              </w:rPr>
              <w:t xml:space="preserve">Patient must be aged </w:t>
            </w:r>
            <w:r w:rsidRPr="004C710C">
              <w:rPr>
                <w:rFonts w:ascii="Arial Narrow" w:hAnsi="Arial Narrow"/>
                <w:i/>
                <w:iCs/>
                <w:sz w:val="20"/>
                <w:szCs w:val="20"/>
              </w:rPr>
              <w:t>4</w:t>
            </w:r>
            <w:r w:rsidRPr="004C710C">
              <w:rPr>
                <w:rFonts w:ascii="Arial Narrow" w:hAnsi="Arial Narrow"/>
                <w:sz w:val="20"/>
                <w:szCs w:val="20"/>
              </w:rPr>
              <w:t xml:space="preserve"> </w:t>
            </w:r>
            <w:r w:rsidRPr="004C710C">
              <w:rPr>
                <w:rFonts w:ascii="Arial Narrow" w:hAnsi="Arial Narrow"/>
                <w:strike/>
                <w:sz w:val="20"/>
                <w:szCs w:val="20"/>
              </w:rPr>
              <w:t>12</w:t>
            </w:r>
            <w:r w:rsidRPr="004C710C">
              <w:rPr>
                <w:rFonts w:ascii="Arial Narrow" w:hAnsi="Arial Narrow"/>
                <w:sz w:val="20"/>
                <w:szCs w:val="20"/>
              </w:rPr>
              <w:t xml:space="preserve"> months or older</w:t>
            </w:r>
          </w:p>
        </w:tc>
      </w:tr>
      <w:tr w:rsidR="004C710C" w:rsidRPr="004C710C" w14:paraId="778023D7" w14:textId="77777777" w:rsidTr="00101108">
        <w:tc>
          <w:tcPr>
            <w:tcW w:w="8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940B26" w14:textId="77777777" w:rsidR="001C19B6" w:rsidRPr="004C710C" w:rsidRDefault="001C19B6" w:rsidP="00101108">
            <w:pPr>
              <w:jc w:val="center"/>
              <w:rPr>
                <w:rFonts w:ascii="Arial Narrow" w:hAnsi="Arial Narrow"/>
                <w:sz w:val="20"/>
                <w:szCs w:val="20"/>
              </w:rPr>
            </w:pPr>
          </w:p>
        </w:tc>
        <w:tc>
          <w:tcPr>
            <w:tcW w:w="41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7CA2D8" w14:textId="77777777" w:rsidR="001C19B6" w:rsidRPr="004C710C" w:rsidRDefault="001C19B6" w:rsidP="00101108">
            <w:pPr>
              <w:rPr>
                <w:rFonts w:ascii="Arial Narrow" w:hAnsi="Arial Narrow"/>
                <w:sz w:val="20"/>
                <w:szCs w:val="20"/>
              </w:rPr>
            </w:pPr>
            <w:r w:rsidRPr="004C710C">
              <w:rPr>
                <w:rFonts w:ascii="Arial Narrow" w:hAnsi="Arial Narrow"/>
                <w:b/>
                <w:bCs/>
                <w:sz w:val="20"/>
                <w:szCs w:val="20"/>
              </w:rPr>
              <w:t>Prescribing Instructions:</w:t>
            </w:r>
            <w:r w:rsidRPr="004C710C">
              <w:rPr>
                <w:rFonts w:ascii="Arial Narrow" w:hAnsi="Arial Narrow"/>
                <w:sz w:val="20"/>
                <w:szCs w:val="20"/>
              </w:rPr>
              <w:t xml:space="preserve"> </w:t>
            </w:r>
          </w:p>
        </w:tc>
      </w:tr>
      <w:tr w:rsidR="004C710C" w:rsidRPr="004C710C" w14:paraId="7722E859" w14:textId="77777777" w:rsidTr="00101108">
        <w:tc>
          <w:tcPr>
            <w:tcW w:w="8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EBD430" w14:textId="34F95660" w:rsidR="001C19B6" w:rsidRPr="004C710C" w:rsidRDefault="001C19B6" w:rsidP="00101108">
            <w:pPr>
              <w:jc w:val="center"/>
              <w:rPr>
                <w:rFonts w:ascii="Arial Narrow" w:hAnsi="Arial Narrow"/>
                <w:sz w:val="20"/>
                <w:szCs w:val="20"/>
              </w:rPr>
            </w:pPr>
          </w:p>
        </w:tc>
        <w:tc>
          <w:tcPr>
            <w:tcW w:w="41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37EA43" w14:textId="77777777" w:rsidR="001C19B6" w:rsidRPr="004C710C" w:rsidRDefault="001C19B6" w:rsidP="00101108">
            <w:pPr>
              <w:rPr>
                <w:rFonts w:ascii="Arial Narrow" w:hAnsi="Arial Narrow"/>
                <w:b/>
                <w:bCs/>
                <w:sz w:val="20"/>
                <w:szCs w:val="20"/>
              </w:rPr>
            </w:pPr>
            <w:r w:rsidRPr="004C710C">
              <w:rPr>
                <w:rFonts w:ascii="Arial Narrow" w:hAnsi="Arial Narrow"/>
                <w:i/>
                <w:iCs/>
                <w:sz w:val="20"/>
                <w:szCs w:val="20"/>
              </w:rPr>
              <w:t>For the purposes of this restriction, the list of mutations considered to be responsive to ivacaftor is defined in the TGA approved product information.</w:t>
            </w:r>
          </w:p>
        </w:tc>
      </w:tr>
      <w:tr w:rsidR="004C710C" w:rsidRPr="004C710C" w14:paraId="49AD8BD8" w14:textId="77777777" w:rsidTr="00101108">
        <w:trPr>
          <w:trHeight w:val="2145"/>
        </w:trPr>
        <w:tc>
          <w:tcPr>
            <w:tcW w:w="844" w:type="pc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1138A0A3" w14:textId="5C73661B" w:rsidR="001C19B6" w:rsidRPr="004C710C" w:rsidRDefault="001C19B6" w:rsidP="00101108">
            <w:pPr>
              <w:jc w:val="center"/>
              <w:rPr>
                <w:rFonts w:ascii="Arial Narrow" w:hAnsi="Arial Narrow"/>
                <w:sz w:val="20"/>
                <w:szCs w:val="20"/>
              </w:rPr>
            </w:pPr>
          </w:p>
        </w:tc>
        <w:tc>
          <w:tcPr>
            <w:tcW w:w="4156" w:type="pc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44773BE5" w14:textId="77777777" w:rsidR="001C19B6" w:rsidRPr="004C710C" w:rsidRDefault="001C19B6" w:rsidP="00101108">
            <w:pPr>
              <w:rPr>
                <w:rFonts w:ascii="Arial Narrow" w:hAnsi="Arial Narrow"/>
                <w:sz w:val="20"/>
                <w:szCs w:val="20"/>
              </w:rPr>
            </w:pPr>
            <w:r w:rsidRPr="004C710C">
              <w:rPr>
                <w:rFonts w:ascii="Arial Narrow" w:hAnsi="Arial Narrow"/>
                <w:sz w:val="20"/>
                <w:szCs w:val="20"/>
              </w:rPr>
              <w:t>Dosage of ivacaftor must not exceed the dose of one tablet (150 mg) or one sachet twice a week, if the patient is concomitantly receiving one of the following strong CYP3A4 drugs inhibitors: boceprevir, clarithromycin, conivaptan, indinavir, itraconazole, ketoconazole, lopinavir/ritonavir, mibefradil, nefazodone, nelfinavir, posaconazole, ritonavir, saquinavir, telaprevir, telithromycin, voriconazole. Where a patient is concomitantly receiving a strong CYP3A4 inhibitor, a single supply of 56 tablets or sachets of ivacaftor will last for 28 weeks.</w:t>
            </w:r>
          </w:p>
          <w:p w14:paraId="2D41A040" w14:textId="77777777" w:rsidR="001C19B6" w:rsidRPr="004C710C" w:rsidRDefault="001C19B6" w:rsidP="00101108">
            <w:pPr>
              <w:rPr>
                <w:rFonts w:ascii="Arial Narrow" w:hAnsi="Arial Narrow"/>
                <w:sz w:val="20"/>
                <w:szCs w:val="20"/>
              </w:rPr>
            </w:pPr>
            <w:r w:rsidRPr="004C710C">
              <w:rPr>
                <w:rFonts w:ascii="Arial Narrow" w:hAnsi="Arial Narrow"/>
                <w:sz w:val="20"/>
                <w:szCs w:val="20"/>
              </w:rPr>
              <w:t>Dosage of ivacaftor must not exceed the dose of one tablet (150 mg) or one sachet once daily, if the patient is concomitantly receiving one of the following moderate CYP3A4 inhibitors: amprenavir, aprepitant, atazanavir, darunavir/ritonavir, diltiazem, erythromycin, fluconazole, fosamprenavir, imatinib, verapamil. Where a patient is concomitantly receiving a moderate CYP3A4 inhibitor, a single supply of 56 tablets or sachets of ivacaftor will last for 8 weeks.</w:t>
            </w:r>
          </w:p>
        </w:tc>
      </w:tr>
      <w:tr w:rsidR="004C710C" w:rsidRPr="004C710C" w14:paraId="2929E4AD" w14:textId="77777777" w:rsidTr="00101108">
        <w:tc>
          <w:tcPr>
            <w:tcW w:w="8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DABA15" w14:textId="522113B7" w:rsidR="001C19B6" w:rsidRPr="004C710C" w:rsidRDefault="001C19B6" w:rsidP="00101108">
            <w:pPr>
              <w:jc w:val="center"/>
              <w:rPr>
                <w:rFonts w:ascii="Arial Narrow" w:hAnsi="Arial Narrow"/>
                <w:sz w:val="20"/>
                <w:szCs w:val="20"/>
              </w:rPr>
            </w:pPr>
          </w:p>
        </w:tc>
        <w:tc>
          <w:tcPr>
            <w:tcW w:w="41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217E96" w14:textId="77777777" w:rsidR="001C19B6" w:rsidRPr="004C710C" w:rsidRDefault="001C19B6" w:rsidP="00101108">
            <w:pPr>
              <w:rPr>
                <w:rFonts w:ascii="Arial Narrow" w:hAnsi="Arial Narrow"/>
                <w:sz w:val="20"/>
                <w:szCs w:val="20"/>
              </w:rPr>
            </w:pPr>
            <w:r w:rsidRPr="004C710C">
              <w:rPr>
                <w:rFonts w:ascii="Arial Narrow" w:hAnsi="Arial Narrow"/>
                <w:sz w:val="20"/>
                <w:szCs w:val="20"/>
              </w:rPr>
              <w:t>Ivacaftor is not PBS-subsidised for this condition as a sole therapy.</w:t>
            </w:r>
          </w:p>
          <w:p w14:paraId="23021ADC" w14:textId="77777777" w:rsidR="001C19B6" w:rsidRPr="004C710C" w:rsidRDefault="001C19B6" w:rsidP="00101108">
            <w:pPr>
              <w:rPr>
                <w:rFonts w:ascii="Arial Narrow" w:hAnsi="Arial Narrow"/>
                <w:sz w:val="20"/>
                <w:szCs w:val="20"/>
              </w:rPr>
            </w:pPr>
            <w:r w:rsidRPr="004C710C">
              <w:rPr>
                <w:rFonts w:ascii="Arial Narrow" w:hAnsi="Arial Narrow"/>
                <w:sz w:val="20"/>
                <w:szCs w:val="20"/>
              </w:rPr>
              <w:t>Ivacaftor is not PBS-subsidised for this condition in a patient who is currently receiving one of the following CYP3A4 inducers:</w:t>
            </w:r>
          </w:p>
          <w:p w14:paraId="22CD1FA6" w14:textId="77777777" w:rsidR="001C19B6" w:rsidRPr="004C710C" w:rsidRDefault="001C19B6" w:rsidP="00101108">
            <w:pPr>
              <w:rPr>
                <w:rFonts w:ascii="Arial Narrow" w:hAnsi="Arial Narrow"/>
                <w:sz w:val="20"/>
                <w:szCs w:val="20"/>
              </w:rPr>
            </w:pPr>
            <w:r w:rsidRPr="004C710C">
              <w:rPr>
                <w:rFonts w:ascii="Arial Narrow" w:hAnsi="Arial Narrow"/>
                <w:sz w:val="20"/>
                <w:szCs w:val="20"/>
              </w:rPr>
              <w:t>Strong CYP3A4 inducers: avasimibe, carbamazepine, phenobarbital, phenytoin, rifabutin, rifampicin, St. John's wort</w:t>
            </w:r>
          </w:p>
          <w:p w14:paraId="3243DFD9" w14:textId="77777777" w:rsidR="001C19B6" w:rsidRPr="004C710C" w:rsidRDefault="001C19B6" w:rsidP="00101108">
            <w:pPr>
              <w:rPr>
                <w:rFonts w:ascii="Arial Narrow" w:hAnsi="Arial Narrow"/>
                <w:sz w:val="20"/>
                <w:szCs w:val="20"/>
              </w:rPr>
            </w:pPr>
            <w:r w:rsidRPr="004C710C">
              <w:rPr>
                <w:rFonts w:ascii="Arial Narrow" w:hAnsi="Arial Narrow"/>
                <w:sz w:val="20"/>
                <w:szCs w:val="20"/>
              </w:rPr>
              <w:t>Moderate CYP3A4 inducers: bosentan, efavirenz, etravirine, modafinil, nafcillin</w:t>
            </w:r>
          </w:p>
          <w:p w14:paraId="70EF58AD" w14:textId="77777777" w:rsidR="001C19B6" w:rsidRPr="004C710C" w:rsidRDefault="001C19B6" w:rsidP="00101108">
            <w:pPr>
              <w:rPr>
                <w:rFonts w:ascii="Arial Narrow" w:hAnsi="Arial Narrow"/>
                <w:sz w:val="20"/>
                <w:szCs w:val="20"/>
              </w:rPr>
            </w:pPr>
            <w:r w:rsidRPr="004C710C">
              <w:rPr>
                <w:rFonts w:ascii="Arial Narrow" w:hAnsi="Arial Narrow"/>
                <w:sz w:val="20"/>
                <w:szCs w:val="20"/>
              </w:rPr>
              <w:t>Weak CYP3A4 inducers: armodafinil, echinacea, pioglitazone, rufinamide.</w:t>
            </w:r>
          </w:p>
        </w:tc>
      </w:tr>
      <w:tr w:rsidR="004C710C" w:rsidRPr="004C710C" w14:paraId="2B50B13E" w14:textId="77777777" w:rsidTr="00101108">
        <w:trPr>
          <w:trHeight w:val="831"/>
        </w:trPr>
        <w:tc>
          <w:tcPr>
            <w:tcW w:w="8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2CAB5F" w14:textId="59FE41A0" w:rsidR="001C19B6" w:rsidRPr="004C710C" w:rsidRDefault="001C19B6" w:rsidP="00101108">
            <w:pPr>
              <w:jc w:val="center"/>
              <w:rPr>
                <w:rFonts w:ascii="Arial Narrow" w:hAnsi="Arial Narrow"/>
                <w:strike/>
                <w:sz w:val="20"/>
                <w:szCs w:val="20"/>
              </w:rPr>
            </w:pPr>
          </w:p>
        </w:tc>
        <w:tc>
          <w:tcPr>
            <w:tcW w:w="41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B71FA0" w14:textId="77777777" w:rsidR="001C19B6" w:rsidRPr="004C710C" w:rsidRDefault="001C19B6" w:rsidP="00101108">
            <w:pPr>
              <w:rPr>
                <w:rFonts w:ascii="Arial Narrow" w:hAnsi="Arial Narrow"/>
                <w:sz w:val="20"/>
                <w:szCs w:val="20"/>
              </w:rPr>
            </w:pPr>
            <w:r w:rsidRPr="004C710C">
              <w:rPr>
                <w:rFonts w:ascii="Arial Narrow" w:hAnsi="Arial Narrow"/>
                <w:sz w:val="20"/>
                <w:szCs w:val="20"/>
              </w:rPr>
              <w:t>The authority application must be in writing and must include:</w:t>
            </w:r>
          </w:p>
          <w:p w14:paraId="5C44F4DF" w14:textId="77777777" w:rsidR="001C19B6" w:rsidRPr="004C710C" w:rsidRDefault="001C19B6" w:rsidP="00101108">
            <w:pPr>
              <w:rPr>
                <w:rFonts w:ascii="Arial Narrow" w:hAnsi="Arial Narrow"/>
                <w:sz w:val="20"/>
                <w:szCs w:val="20"/>
              </w:rPr>
            </w:pPr>
            <w:r w:rsidRPr="004C710C">
              <w:rPr>
                <w:rFonts w:ascii="Arial Narrow" w:hAnsi="Arial Narrow"/>
                <w:sz w:val="20"/>
                <w:szCs w:val="20"/>
              </w:rPr>
              <w:t>(1) a completed authority prescription; and</w:t>
            </w:r>
          </w:p>
          <w:p w14:paraId="5C72EE3F" w14:textId="77777777" w:rsidR="001C19B6" w:rsidRPr="004C710C" w:rsidRDefault="001C19B6" w:rsidP="00101108">
            <w:pPr>
              <w:rPr>
                <w:rFonts w:ascii="Arial Narrow" w:hAnsi="Arial Narrow"/>
                <w:sz w:val="20"/>
                <w:szCs w:val="20"/>
              </w:rPr>
            </w:pPr>
            <w:r w:rsidRPr="004C710C">
              <w:rPr>
                <w:rFonts w:ascii="Arial Narrow" w:hAnsi="Arial Narrow"/>
                <w:sz w:val="20"/>
                <w:szCs w:val="20"/>
              </w:rPr>
              <w:t>(2) a completed Cystic Fibrosis Authority Application Supporting Information Form; and</w:t>
            </w:r>
          </w:p>
          <w:p w14:paraId="402ABB8E" w14:textId="59A3E721" w:rsidR="001C19B6" w:rsidRPr="004C710C" w:rsidRDefault="001C19B6" w:rsidP="00101108">
            <w:pPr>
              <w:rPr>
                <w:rFonts w:ascii="Arial Narrow" w:hAnsi="Arial Narrow"/>
                <w:sz w:val="20"/>
                <w:szCs w:val="20"/>
              </w:rPr>
            </w:pPr>
            <w:r w:rsidRPr="004C710C">
              <w:rPr>
                <w:rFonts w:ascii="Arial Narrow" w:hAnsi="Arial Narrow"/>
                <w:sz w:val="20"/>
                <w:szCs w:val="20"/>
              </w:rPr>
              <w:t xml:space="preserve">(3) details of the pathology report substantiating </w:t>
            </w:r>
            <w:r w:rsidRPr="004C710C">
              <w:rPr>
                <w:rFonts w:ascii="Arial Narrow" w:hAnsi="Arial Narrow"/>
                <w:i/>
                <w:iCs/>
                <w:sz w:val="20"/>
                <w:szCs w:val="20"/>
              </w:rPr>
              <w:t xml:space="preserve">the specific mutation considered to be responsive to ivacaftor as listed in the TGA approved PI </w:t>
            </w:r>
            <w:r w:rsidRPr="004C710C">
              <w:rPr>
                <w:rFonts w:ascii="Arial Narrow" w:hAnsi="Arial Narrow"/>
                <w:strike/>
                <w:sz w:val="20"/>
                <w:szCs w:val="20"/>
              </w:rPr>
              <w:t>G551D mutation or other gating (Class III) mutation on the CFTR gene -</w:t>
            </w:r>
            <w:r w:rsidRPr="004C710C">
              <w:rPr>
                <w:rFonts w:ascii="Arial Narrow" w:hAnsi="Arial Narrow"/>
                <w:sz w:val="20"/>
                <w:szCs w:val="20"/>
              </w:rPr>
              <w:t xml:space="preserve"> .Quote each of the: (i) </w:t>
            </w:r>
            <w:r w:rsidRPr="004C710C">
              <w:rPr>
                <w:rFonts w:ascii="Arial Narrow" w:hAnsi="Arial Narrow"/>
                <w:i/>
                <w:iCs/>
                <w:sz w:val="20"/>
                <w:szCs w:val="20"/>
              </w:rPr>
              <w:t>the</w:t>
            </w:r>
            <w:r w:rsidR="00897395" w:rsidRPr="004C710C">
              <w:rPr>
                <w:rFonts w:ascii="Arial Narrow" w:hAnsi="Arial Narrow"/>
                <w:i/>
                <w:iCs/>
                <w:sz w:val="20"/>
                <w:szCs w:val="20"/>
              </w:rPr>
              <w:t xml:space="preserve"> specific CFTR</w:t>
            </w:r>
            <w:r w:rsidRPr="004C710C">
              <w:rPr>
                <w:rFonts w:ascii="Arial Narrow" w:hAnsi="Arial Narrow"/>
                <w:i/>
                <w:iCs/>
                <w:sz w:val="20"/>
                <w:szCs w:val="20"/>
              </w:rPr>
              <w:t xml:space="preserve"> mutation</w:t>
            </w:r>
            <w:r w:rsidR="005E11E8" w:rsidRPr="004C710C">
              <w:rPr>
                <w:rFonts w:ascii="Arial Narrow" w:hAnsi="Arial Narrow"/>
                <w:i/>
                <w:iCs/>
                <w:sz w:val="20"/>
                <w:szCs w:val="20"/>
              </w:rPr>
              <w:t xml:space="preserve"> listed in </w:t>
            </w:r>
            <w:r w:rsidR="00897395" w:rsidRPr="004C710C">
              <w:rPr>
                <w:rFonts w:ascii="Arial Narrow" w:hAnsi="Arial Narrow"/>
                <w:i/>
                <w:iCs/>
                <w:sz w:val="20"/>
                <w:szCs w:val="20"/>
              </w:rPr>
              <w:t>the TGA approved PI</w:t>
            </w:r>
            <w:r w:rsidRPr="004C710C">
              <w:rPr>
                <w:rFonts w:ascii="Arial Narrow" w:hAnsi="Arial Narrow"/>
                <w:sz w:val="20"/>
                <w:szCs w:val="20"/>
              </w:rPr>
              <w:t xml:space="preserve"> (ii) name of the pathology report provider, (iii) date of pathology report, (iv) unique identifying number/code that links the pathology result to the individual patient</w:t>
            </w:r>
            <w:r w:rsidRPr="004C710C">
              <w:rPr>
                <w:rFonts w:ascii="Arial Narrow" w:hAnsi="Arial Narrow"/>
                <w:i/>
                <w:iCs/>
                <w:sz w:val="20"/>
                <w:szCs w:val="20"/>
              </w:rPr>
              <w:t xml:space="preserve">, </w:t>
            </w:r>
            <w:r w:rsidRPr="004C710C">
              <w:rPr>
                <w:rFonts w:ascii="Arial Narrow" w:hAnsi="Arial Narrow"/>
                <w:sz w:val="20"/>
                <w:szCs w:val="20"/>
              </w:rPr>
              <w:t>and</w:t>
            </w:r>
          </w:p>
          <w:p w14:paraId="426A1A2A" w14:textId="77777777" w:rsidR="001C19B6" w:rsidRPr="004C710C" w:rsidRDefault="001C19B6" w:rsidP="00101108">
            <w:pPr>
              <w:rPr>
                <w:rFonts w:ascii="Arial Narrow" w:hAnsi="Arial Narrow"/>
                <w:sz w:val="20"/>
                <w:szCs w:val="20"/>
              </w:rPr>
            </w:pPr>
            <w:r w:rsidRPr="004C710C">
              <w:rPr>
                <w:rFonts w:ascii="Arial Narrow" w:hAnsi="Arial Narrow"/>
                <w:sz w:val="20"/>
                <w:szCs w:val="20"/>
              </w:rPr>
              <w:t>(4) current CYP3A4 inhibitors, CYP3A4 inducers and IV antibiotics; and</w:t>
            </w:r>
          </w:p>
          <w:p w14:paraId="7B7AA674" w14:textId="77777777" w:rsidR="001C19B6" w:rsidRPr="004C710C" w:rsidRDefault="001C19B6" w:rsidP="00101108">
            <w:pPr>
              <w:rPr>
                <w:rFonts w:ascii="Arial Narrow" w:hAnsi="Arial Narrow"/>
                <w:strike/>
                <w:sz w:val="20"/>
                <w:szCs w:val="20"/>
              </w:rPr>
            </w:pPr>
            <w:r w:rsidRPr="004C710C">
              <w:rPr>
                <w:rFonts w:ascii="Arial Narrow" w:hAnsi="Arial Narrow"/>
                <w:strike/>
                <w:sz w:val="20"/>
                <w:szCs w:val="20"/>
              </w:rPr>
              <w:t>(5) sweat chloride result.</w:t>
            </w:r>
          </w:p>
        </w:tc>
      </w:tr>
    </w:tbl>
    <w:tbl>
      <w:tblPr>
        <w:tblStyle w:val="SummaryTable1"/>
        <w:tblW w:w="9210" w:type="dxa"/>
        <w:tblInd w:w="0" w:type="dxa"/>
        <w:tblLayout w:type="fixed"/>
        <w:tblLook w:val="04A0" w:firstRow="1" w:lastRow="0" w:firstColumn="1" w:lastColumn="0" w:noHBand="0" w:noVBand="1"/>
      </w:tblPr>
      <w:tblGrid>
        <w:gridCol w:w="9210"/>
      </w:tblGrid>
      <w:tr w:rsidR="004C710C" w:rsidRPr="004C710C" w14:paraId="5F57D086" w14:textId="77777777" w:rsidTr="00101108">
        <w:tc>
          <w:tcPr>
            <w:tcW w:w="9210" w:type="dxa"/>
            <w:tcBorders>
              <w:top w:val="single" w:sz="4" w:space="0" w:color="auto"/>
              <w:left w:val="single" w:sz="4" w:space="0" w:color="auto"/>
              <w:bottom w:val="single" w:sz="4" w:space="0" w:color="auto"/>
              <w:right w:val="single" w:sz="4" w:space="0" w:color="auto"/>
            </w:tcBorders>
          </w:tcPr>
          <w:p w14:paraId="51AC702A" w14:textId="77777777" w:rsidR="001C19B6" w:rsidRPr="004C710C" w:rsidRDefault="001C19B6" w:rsidP="00101108">
            <w:pPr>
              <w:jc w:val="center"/>
              <w:rPr>
                <w:rFonts w:ascii="Arial Narrow" w:hAnsi="Arial Narrow"/>
                <w:b/>
                <w:bCs/>
                <w:sz w:val="20"/>
                <w:szCs w:val="20"/>
              </w:rPr>
            </w:pPr>
          </w:p>
        </w:tc>
      </w:tr>
      <w:tr w:rsidR="004C710C" w:rsidRPr="004C710C" w14:paraId="57CBD0B8" w14:textId="77777777" w:rsidTr="00101108">
        <w:tc>
          <w:tcPr>
            <w:tcW w:w="9210" w:type="dxa"/>
            <w:tcBorders>
              <w:top w:val="single" w:sz="4" w:space="0" w:color="auto"/>
              <w:left w:val="single" w:sz="4" w:space="0" w:color="auto"/>
              <w:bottom w:val="single" w:sz="4" w:space="0" w:color="auto"/>
              <w:right w:val="single" w:sz="4" w:space="0" w:color="auto"/>
            </w:tcBorders>
          </w:tcPr>
          <w:p w14:paraId="46E799A5" w14:textId="5424A435" w:rsidR="001C19B6" w:rsidRPr="004C710C" w:rsidRDefault="001C19B6" w:rsidP="00101108">
            <w:pPr>
              <w:ind w:left="-57"/>
              <w:rPr>
                <w:rFonts w:ascii="Arial Narrow" w:hAnsi="Arial Narrow"/>
                <w:b/>
                <w:sz w:val="20"/>
                <w:szCs w:val="20"/>
              </w:rPr>
            </w:pPr>
            <w:r w:rsidRPr="004C710C">
              <w:rPr>
                <w:rFonts w:ascii="Arial Narrow" w:hAnsi="Arial Narrow"/>
                <w:b/>
                <w:sz w:val="20"/>
                <w:szCs w:val="20"/>
              </w:rPr>
              <w:t>Restriction Summary / Treatment of Concept: Authority Required</w:t>
            </w:r>
            <w:r w:rsidRPr="004C710C">
              <w:rPr>
                <w:rFonts w:ascii="Arial Narrow" w:hAnsi="Arial Narrow"/>
                <w:bCs/>
                <w:sz w:val="20"/>
                <w:szCs w:val="20"/>
              </w:rPr>
              <w:t xml:space="preserve"> </w:t>
            </w:r>
          </w:p>
          <w:p w14:paraId="3DFE172C" w14:textId="77777777" w:rsidR="001C19B6" w:rsidRPr="004C710C" w:rsidRDefault="001C19B6" w:rsidP="00101108">
            <w:pPr>
              <w:ind w:left="-57"/>
              <w:textAlignment w:val="baseline"/>
              <w:rPr>
                <w:rFonts w:ascii="Arial Narrow" w:hAnsi="Arial Narrow" w:cs="Open Sans"/>
                <w:b/>
                <w:bCs/>
                <w:sz w:val="20"/>
                <w:szCs w:val="20"/>
                <w:bdr w:val="none" w:sz="0" w:space="0" w:color="auto" w:frame="1"/>
              </w:rPr>
            </w:pPr>
          </w:p>
        </w:tc>
      </w:tr>
    </w:tbl>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5"/>
      </w:tblGrid>
      <w:tr w:rsidR="004C710C" w:rsidRPr="004C710C" w14:paraId="4EA31F7B" w14:textId="77777777" w:rsidTr="00101108">
        <w:tc>
          <w:tcPr>
            <w:tcW w:w="844"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6965E44" w14:textId="243A06BB" w:rsidR="001C19B6" w:rsidRPr="004C710C" w:rsidRDefault="001C19B6" w:rsidP="00101108">
            <w:pPr>
              <w:jc w:val="center"/>
              <w:rPr>
                <w:rFonts w:ascii="Arial Narrow" w:hAnsi="Arial Narrow"/>
                <w:b/>
                <w:sz w:val="20"/>
                <w:szCs w:val="20"/>
              </w:rPr>
            </w:pPr>
          </w:p>
        </w:tc>
        <w:tc>
          <w:tcPr>
            <w:tcW w:w="41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AB2B25" w14:textId="77777777" w:rsidR="001C19B6" w:rsidRPr="004C710C" w:rsidRDefault="001C19B6" w:rsidP="00101108">
            <w:pPr>
              <w:rPr>
                <w:rFonts w:ascii="Arial Narrow" w:hAnsi="Arial Narrow"/>
                <w:sz w:val="20"/>
                <w:szCs w:val="20"/>
              </w:rPr>
            </w:pPr>
            <w:r w:rsidRPr="004C710C">
              <w:rPr>
                <w:rFonts w:ascii="Arial Narrow" w:hAnsi="Arial Narrow"/>
                <w:b/>
                <w:sz w:val="20"/>
                <w:szCs w:val="20"/>
              </w:rPr>
              <w:t xml:space="preserve">Category / Program: </w:t>
            </w:r>
            <w:r w:rsidRPr="004C710C">
              <w:rPr>
                <w:rFonts w:ascii="Arial Narrow" w:hAnsi="Arial Narrow"/>
                <w:sz w:val="20"/>
                <w:szCs w:val="20"/>
              </w:rPr>
              <w:t xml:space="preserve">Section 100 – Highly Specialised Drugs Program </w:t>
            </w:r>
          </w:p>
        </w:tc>
      </w:tr>
      <w:tr w:rsidR="004C710C" w:rsidRPr="004C710C" w14:paraId="2BCF1E65" w14:textId="77777777" w:rsidTr="00101108">
        <w:trPr>
          <w:trHeight w:val="240"/>
        </w:trPr>
        <w:tc>
          <w:tcPr>
            <w:tcW w:w="844" w:type="pct"/>
            <w:vMerge/>
            <w:tcBorders>
              <w:top w:val="single" w:sz="4" w:space="0" w:color="auto"/>
              <w:left w:val="single" w:sz="4" w:space="0" w:color="auto"/>
              <w:bottom w:val="single" w:sz="4" w:space="0" w:color="auto"/>
              <w:right w:val="single" w:sz="4" w:space="0" w:color="auto"/>
            </w:tcBorders>
            <w:vAlign w:val="center"/>
            <w:hideMark/>
          </w:tcPr>
          <w:p w14:paraId="62FB8108" w14:textId="77777777" w:rsidR="001C19B6" w:rsidRPr="004C710C" w:rsidRDefault="001C19B6" w:rsidP="00101108">
            <w:pPr>
              <w:rPr>
                <w:rFonts w:ascii="Arial Narrow" w:hAnsi="Arial Narrow"/>
                <w:b/>
                <w:sz w:val="20"/>
                <w:szCs w:val="20"/>
              </w:rPr>
            </w:pPr>
          </w:p>
        </w:tc>
        <w:tc>
          <w:tcPr>
            <w:tcW w:w="41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91F775" w14:textId="77777777" w:rsidR="001C19B6" w:rsidRPr="004C710C" w:rsidRDefault="001C19B6" w:rsidP="00101108">
            <w:pPr>
              <w:rPr>
                <w:rFonts w:ascii="Arial Narrow" w:hAnsi="Arial Narrow"/>
                <w:b/>
                <w:sz w:val="20"/>
                <w:szCs w:val="20"/>
              </w:rPr>
            </w:pPr>
            <w:r w:rsidRPr="004C710C">
              <w:rPr>
                <w:rFonts w:ascii="Arial Narrow" w:hAnsi="Arial Narrow"/>
                <w:b/>
                <w:sz w:val="20"/>
                <w:szCs w:val="20"/>
              </w:rPr>
              <w:t xml:space="preserve">Prescriber type: </w:t>
            </w:r>
            <w:r w:rsidRPr="004C710C">
              <w:rPr>
                <w:rFonts w:ascii="Arial Narrow" w:hAnsi="Arial Narrow"/>
                <w:sz w:val="20"/>
                <w:szCs w:val="20"/>
              </w:rPr>
              <w:fldChar w:fldCharType="begin">
                <w:ffData>
                  <w:name w:val=""/>
                  <w:enabled/>
                  <w:calcOnExit w:val="0"/>
                  <w:checkBox>
                    <w:sizeAuto/>
                    <w:default w:val="1"/>
                  </w:checkBox>
                </w:ffData>
              </w:fldChar>
            </w:r>
            <w:r w:rsidRPr="004C710C">
              <w:rPr>
                <w:rFonts w:ascii="Arial Narrow" w:hAnsi="Arial Narrow"/>
                <w:sz w:val="20"/>
                <w:szCs w:val="20"/>
              </w:rPr>
              <w:instrText xml:space="preserve"> FORMCHECKBOX </w:instrText>
            </w:r>
            <w:r w:rsidR="008D6198">
              <w:rPr>
                <w:rFonts w:ascii="Arial Narrow" w:hAnsi="Arial Narrow"/>
                <w:sz w:val="20"/>
                <w:szCs w:val="20"/>
              </w:rPr>
            </w:r>
            <w:r w:rsidR="008D6198">
              <w:rPr>
                <w:rFonts w:ascii="Arial Narrow" w:hAnsi="Arial Narrow"/>
                <w:sz w:val="20"/>
                <w:szCs w:val="20"/>
              </w:rPr>
              <w:fldChar w:fldCharType="separate"/>
            </w:r>
            <w:r w:rsidRPr="004C710C">
              <w:rPr>
                <w:rFonts w:ascii="Arial Narrow" w:hAnsi="Arial Narrow"/>
                <w:sz w:val="20"/>
                <w:szCs w:val="20"/>
              </w:rPr>
              <w:fldChar w:fldCharType="end"/>
            </w:r>
            <w:r w:rsidRPr="004C710C">
              <w:rPr>
                <w:rFonts w:ascii="Arial Narrow" w:hAnsi="Arial Narrow"/>
                <w:sz w:val="20"/>
                <w:szCs w:val="20"/>
              </w:rPr>
              <w:t xml:space="preserve">Medical Practitioners </w:t>
            </w:r>
          </w:p>
        </w:tc>
      </w:tr>
      <w:tr w:rsidR="004C710C" w:rsidRPr="004C710C" w14:paraId="7DD9F127" w14:textId="77777777" w:rsidTr="00101108">
        <w:trPr>
          <w:trHeight w:val="392"/>
        </w:trPr>
        <w:tc>
          <w:tcPr>
            <w:tcW w:w="844" w:type="pct"/>
            <w:vMerge/>
            <w:tcBorders>
              <w:top w:val="single" w:sz="4" w:space="0" w:color="auto"/>
              <w:left w:val="single" w:sz="4" w:space="0" w:color="auto"/>
              <w:bottom w:val="single" w:sz="4" w:space="0" w:color="auto"/>
              <w:right w:val="single" w:sz="4" w:space="0" w:color="auto"/>
            </w:tcBorders>
            <w:vAlign w:val="center"/>
            <w:hideMark/>
          </w:tcPr>
          <w:p w14:paraId="43CDC8D5" w14:textId="77777777" w:rsidR="001C19B6" w:rsidRPr="004C710C" w:rsidRDefault="001C19B6" w:rsidP="00101108">
            <w:pPr>
              <w:rPr>
                <w:rFonts w:ascii="Arial Narrow" w:hAnsi="Arial Narrow"/>
                <w:b/>
                <w:sz w:val="20"/>
                <w:szCs w:val="20"/>
              </w:rPr>
            </w:pPr>
          </w:p>
        </w:tc>
        <w:tc>
          <w:tcPr>
            <w:tcW w:w="41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89E5970" w14:textId="77777777" w:rsidR="001C19B6" w:rsidRPr="004C710C" w:rsidRDefault="001C19B6" w:rsidP="00101108">
            <w:pPr>
              <w:rPr>
                <w:rFonts w:ascii="Arial Narrow" w:hAnsi="Arial Narrow"/>
                <w:sz w:val="20"/>
                <w:szCs w:val="20"/>
              </w:rPr>
            </w:pPr>
            <w:r w:rsidRPr="004C710C">
              <w:rPr>
                <w:rFonts w:ascii="Arial Narrow" w:hAnsi="Arial Narrow"/>
                <w:b/>
                <w:sz w:val="20"/>
                <w:szCs w:val="20"/>
              </w:rPr>
              <w:t xml:space="preserve">Restriction Type – </w:t>
            </w:r>
            <w:r w:rsidRPr="004C710C">
              <w:rPr>
                <w:rFonts w:ascii="Arial Narrow" w:hAnsi="Arial Narrow"/>
                <w:sz w:val="20"/>
                <w:szCs w:val="20"/>
              </w:rPr>
              <w:fldChar w:fldCharType="begin">
                <w:ffData>
                  <w:name w:val=""/>
                  <w:enabled/>
                  <w:calcOnExit w:val="0"/>
                  <w:checkBox>
                    <w:sizeAuto/>
                    <w:default w:val="1"/>
                  </w:checkBox>
                </w:ffData>
              </w:fldChar>
            </w:r>
            <w:r w:rsidRPr="004C710C">
              <w:rPr>
                <w:rFonts w:ascii="Arial Narrow" w:hAnsi="Arial Narrow"/>
                <w:sz w:val="20"/>
                <w:szCs w:val="20"/>
              </w:rPr>
              <w:instrText xml:space="preserve"> FORMCHECKBOX </w:instrText>
            </w:r>
            <w:r w:rsidR="008D6198">
              <w:rPr>
                <w:rFonts w:ascii="Arial Narrow" w:hAnsi="Arial Narrow"/>
                <w:sz w:val="20"/>
                <w:szCs w:val="20"/>
              </w:rPr>
            </w:r>
            <w:r w:rsidR="008D6198">
              <w:rPr>
                <w:rFonts w:ascii="Arial Narrow" w:hAnsi="Arial Narrow"/>
                <w:sz w:val="20"/>
                <w:szCs w:val="20"/>
              </w:rPr>
              <w:fldChar w:fldCharType="separate"/>
            </w:r>
            <w:r w:rsidRPr="004C710C">
              <w:rPr>
                <w:rFonts w:ascii="Arial Narrow" w:hAnsi="Arial Narrow"/>
                <w:sz w:val="20"/>
                <w:szCs w:val="20"/>
              </w:rPr>
              <w:fldChar w:fldCharType="end"/>
            </w:r>
            <w:r w:rsidRPr="004C710C">
              <w:rPr>
                <w:rFonts w:ascii="Arial Narrow" w:hAnsi="Arial Narrow"/>
                <w:sz w:val="20"/>
                <w:szCs w:val="20"/>
              </w:rPr>
              <w:t xml:space="preserve">Authority Required – non-immediate/delayed assessment by Services Australia </w:t>
            </w:r>
          </w:p>
        </w:tc>
      </w:tr>
    </w:tbl>
    <w:tbl>
      <w:tblPr>
        <w:tblStyle w:val="SummaryTable1"/>
        <w:tblW w:w="9214" w:type="dxa"/>
        <w:tblInd w:w="-5" w:type="dxa"/>
        <w:tblLook w:val="04A0" w:firstRow="1" w:lastRow="0" w:firstColumn="1" w:lastColumn="0" w:noHBand="0" w:noVBand="1"/>
      </w:tblPr>
      <w:tblGrid>
        <w:gridCol w:w="1560"/>
        <w:gridCol w:w="7654"/>
      </w:tblGrid>
      <w:tr w:rsidR="004C710C" w:rsidRPr="004C710C" w14:paraId="54C1C7DF" w14:textId="77777777" w:rsidTr="004C710C">
        <w:trPr>
          <w:trHeight w:val="93"/>
        </w:trPr>
        <w:tc>
          <w:tcPr>
            <w:tcW w:w="1560" w:type="dxa"/>
          </w:tcPr>
          <w:p w14:paraId="2D0572B6" w14:textId="6E027A37" w:rsidR="001C19B6" w:rsidRPr="004C710C" w:rsidRDefault="001C19B6" w:rsidP="00101108">
            <w:pPr>
              <w:jc w:val="center"/>
              <w:rPr>
                <w:rFonts w:ascii="Arial Narrow" w:hAnsi="Arial Narrow"/>
                <w:sz w:val="20"/>
                <w:szCs w:val="20"/>
              </w:rPr>
            </w:pPr>
          </w:p>
        </w:tc>
        <w:tc>
          <w:tcPr>
            <w:tcW w:w="7654" w:type="dxa"/>
            <w:hideMark/>
          </w:tcPr>
          <w:p w14:paraId="450E683D" w14:textId="77777777" w:rsidR="001C19B6" w:rsidRPr="004C710C" w:rsidRDefault="001C19B6" w:rsidP="00101108">
            <w:pPr>
              <w:textAlignment w:val="baseline"/>
              <w:rPr>
                <w:rFonts w:ascii="Arial Narrow" w:hAnsi="Arial Narrow" w:cs="Open Sans"/>
                <w:sz w:val="20"/>
                <w:szCs w:val="20"/>
              </w:rPr>
            </w:pPr>
            <w:r w:rsidRPr="004C710C">
              <w:rPr>
                <w:rFonts w:ascii="Arial Narrow" w:hAnsi="Arial Narrow" w:cs="Open Sans"/>
                <w:b/>
                <w:bCs/>
                <w:sz w:val="20"/>
                <w:szCs w:val="20"/>
                <w:bdr w:val="none" w:sz="0" w:space="0" w:color="auto" w:frame="1"/>
              </w:rPr>
              <w:t xml:space="preserve">Indication: </w:t>
            </w:r>
            <w:r w:rsidRPr="004C710C">
              <w:rPr>
                <w:rFonts w:ascii="Arial Narrow" w:hAnsi="Arial Narrow" w:cs="Open Sans"/>
                <w:sz w:val="20"/>
                <w:szCs w:val="20"/>
              </w:rPr>
              <w:t>Cystic fibrosis</w:t>
            </w:r>
          </w:p>
        </w:tc>
      </w:tr>
      <w:tr w:rsidR="004C710C" w:rsidRPr="004C710C" w14:paraId="6519EEAB" w14:textId="77777777" w:rsidTr="004C710C">
        <w:trPr>
          <w:trHeight w:val="45"/>
        </w:trPr>
        <w:tc>
          <w:tcPr>
            <w:tcW w:w="1560" w:type="dxa"/>
          </w:tcPr>
          <w:p w14:paraId="291D9C71" w14:textId="77777777" w:rsidR="001C19B6" w:rsidRPr="004C710C" w:rsidRDefault="001C19B6" w:rsidP="00101108">
            <w:pPr>
              <w:spacing w:line="259" w:lineRule="auto"/>
              <w:jc w:val="center"/>
              <w:rPr>
                <w:rFonts w:ascii="Arial Narrow" w:eastAsiaTheme="minorHAnsi" w:hAnsi="Arial Narrow"/>
                <w:sz w:val="20"/>
                <w:szCs w:val="20"/>
                <w:lang w:eastAsia="en-US"/>
              </w:rPr>
            </w:pPr>
          </w:p>
        </w:tc>
        <w:tc>
          <w:tcPr>
            <w:tcW w:w="7654" w:type="dxa"/>
            <w:hideMark/>
          </w:tcPr>
          <w:p w14:paraId="70075A23" w14:textId="77777777" w:rsidR="001C19B6" w:rsidRPr="004C710C" w:rsidRDefault="001C19B6" w:rsidP="00101108">
            <w:pPr>
              <w:textAlignment w:val="baseline"/>
              <w:rPr>
                <w:rFonts w:ascii="Arial Narrow" w:hAnsi="Arial Narrow" w:cs="Open Sans"/>
                <w:sz w:val="20"/>
                <w:szCs w:val="20"/>
              </w:rPr>
            </w:pPr>
            <w:r w:rsidRPr="004C710C">
              <w:rPr>
                <w:rFonts w:ascii="Arial Narrow" w:hAnsi="Arial Narrow" w:cs="Open Sans"/>
                <w:b/>
                <w:bCs/>
                <w:sz w:val="20"/>
                <w:szCs w:val="20"/>
                <w:bdr w:val="none" w:sz="0" w:space="0" w:color="auto" w:frame="1"/>
              </w:rPr>
              <w:t xml:space="preserve">Treatment Phase: </w:t>
            </w:r>
            <w:r w:rsidRPr="004C710C">
              <w:rPr>
                <w:rFonts w:ascii="Arial Narrow" w:hAnsi="Arial Narrow" w:cs="Open Sans"/>
                <w:sz w:val="20"/>
                <w:szCs w:val="20"/>
              </w:rPr>
              <w:t>Continuing treatment</w:t>
            </w:r>
          </w:p>
        </w:tc>
      </w:tr>
      <w:tr w:rsidR="004C710C" w:rsidRPr="004C710C" w14:paraId="34EC8C00" w14:textId="77777777" w:rsidTr="004C710C">
        <w:trPr>
          <w:trHeight w:val="234"/>
        </w:trPr>
        <w:tc>
          <w:tcPr>
            <w:tcW w:w="1560" w:type="dxa"/>
          </w:tcPr>
          <w:p w14:paraId="2EE5FD00" w14:textId="701777AE" w:rsidR="001C19B6" w:rsidRPr="004C710C" w:rsidRDefault="001C19B6" w:rsidP="00101108">
            <w:pPr>
              <w:spacing w:line="259" w:lineRule="auto"/>
              <w:jc w:val="center"/>
              <w:rPr>
                <w:rFonts w:ascii="Arial Narrow" w:eastAsiaTheme="minorHAnsi" w:hAnsi="Arial Narrow"/>
                <w:sz w:val="20"/>
                <w:szCs w:val="20"/>
                <w:lang w:eastAsia="en-US"/>
              </w:rPr>
            </w:pPr>
          </w:p>
        </w:tc>
        <w:tc>
          <w:tcPr>
            <w:tcW w:w="7654" w:type="dxa"/>
            <w:hideMark/>
          </w:tcPr>
          <w:p w14:paraId="4827AB89" w14:textId="77777777" w:rsidR="001C19B6" w:rsidRPr="004C710C" w:rsidRDefault="001C19B6" w:rsidP="00101108">
            <w:pPr>
              <w:textAlignment w:val="baseline"/>
              <w:rPr>
                <w:rFonts w:ascii="Arial Narrow" w:hAnsi="Arial Narrow" w:cs="Open Sans"/>
                <w:sz w:val="20"/>
                <w:szCs w:val="20"/>
              </w:rPr>
            </w:pPr>
            <w:r w:rsidRPr="004C710C">
              <w:rPr>
                <w:rFonts w:ascii="Arial Narrow" w:hAnsi="Arial Narrow" w:cs="Open Sans"/>
                <w:b/>
                <w:bCs/>
                <w:sz w:val="20"/>
                <w:szCs w:val="20"/>
                <w:bdr w:val="none" w:sz="0" w:space="0" w:color="auto" w:frame="1"/>
              </w:rPr>
              <w:t>Clinical criteria:</w:t>
            </w:r>
          </w:p>
        </w:tc>
      </w:tr>
      <w:tr w:rsidR="004C710C" w:rsidRPr="004C710C" w14:paraId="69293D8A" w14:textId="77777777" w:rsidTr="004C710C">
        <w:trPr>
          <w:trHeight w:val="468"/>
        </w:trPr>
        <w:tc>
          <w:tcPr>
            <w:tcW w:w="1560" w:type="dxa"/>
          </w:tcPr>
          <w:p w14:paraId="71C39EAF" w14:textId="4F573709" w:rsidR="001C19B6" w:rsidRPr="004C710C" w:rsidRDefault="001C19B6" w:rsidP="00101108">
            <w:pPr>
              <w:spacing w:line="259" w:lineRule="auto"/>
              <w:jc w:val="center"/>
              <w:rPr>
                <w:rFonts w:ascii="Arial Narrow" w:eastAsiaTheme="minorHAnsi" w:hAnsi="Arial Narrow"/>
                <w:sz w:val="20"/>
                <w:szCs w:val="20"/>
                <w:lang w:eastAsia="en-US"/>
              </w:rPr>
            </w:pPr>
          </w:p>
        </w:tc>
        <w:tc>
          <w:tcPr>
            <w:tcW w:w="7654" w:type="dxa"/>
            <w:hideMark/>
          </w:tcPr>
          <w:p w14:paraId="78AB92BC" w14:textId="77777777" w:rsidR="001C19B6" w:rsidRPr="004C710C" w:rsidRDefault="001C19B6" w:rsidP="00101108">
            <w:pPr>
              <w:rPr>
                <w:rFonts w:ascii="Arial Narrow" w:hAnsi="Arial Narrow" w:cs="Open Sans"/>
                <w:sz w:val="20"/>
                <w:szCs w:val="20"/>
              </w:rPr>
            </w:pPr>
            <w:r w:rsidRPr="004C710C">
              <w:rPr>
                <w:rFonts w:ascii="Arial Narrow" w:hAnsi="Arial Narrow" w:cs="Open Sans"/>
                <w:sz w:val="20"/>
                <w:szCs w:val="20"/>
              </w:rPr>
              <w:t>Patient must be assessed through a cystic fibrosis clinic/centre which is under the control of specialist respiratory physicians with experience and expertise in the management of cystic fibrosis. If attendance at such a unit is not possible because of geographical isolation, management (including prescribing) may be in consultation with such a unit</w:t>
            </w:r>
          </w:p>
        </w:tc>
      </w:tr>
      <w:tr w:rsidR="004C710C" w:rsidRPr="004C710C" w14:paraId="265B290E" w14:textId="77777777" w:rsidTr="004C710C">
        <w:trPr>
          <w:trHeight w:val="223"/>
        </w:trPr>
        <w:tc>
          <w:tcPr>
            <w:tcW w:w="1560" w:type="dxa"/>
          </w:tcPr>
          <w:p w14:paraId="6E2AD216" w14:textId="77777777" w:rsidR="001C19B6" w:rsidRPr="004C710C" w:rsidRDefault="001C19B6" w:rsidP="00101108">
            <w:pPr>
              <w:jc w:val="center"/>
              <w:rPr>
                <w:rFonts w:ascii="Arial Narrow" w:hAnsi="Arial Narrow"/>
                <w:sz w:val="20"/>
                <w:szCs w:val="20"/>
              </w:rPr>
            </w:pPr>
          </w:p>
        </w:tc>
        <w:tc>
          <w:tcPr>
            <w:tcW w:w="7654" w:type="dxa"/>
            <w:hideMark/>
          </w:tcPr>
          <w:p w14:paraId="7BCA98F7" w14:textId="77777777" w:rsidR="001C19B6" w:rsidRPr="004C710C" w:rsidRDefault="001C19B6" w:rsidP="00101108">
            <w:pPr>
              <w:rPr>
                <w:rFonts w:ascii="Arial Narrow" w:hAnsi="Arial Narrow" w:cs="Open Sans"/>
                <w:sz w:val="20"/>
                <w:szCs w:val="20"/>
              </w:rPr>
            </w:pPr>
            <w:r w:rsidRPr="004C710C">
              <w:rPr>
                <w:rFonts w:ascii="Arial Narrow" w:hAnsi="Arial Narrow" w:cs="Open Sans"/>
                <w:b/>
                <w:bCs/>
                <w:sz w:val="20"/>
                <w:szCs w:val="20"/>
                <w:bdr w:val="none" w:sz="0" w:space="0" w:color="auto" w:frame="1"/>
              </w:rPr>
              <w:t>AND</w:t>
            </w:r>
          </w:p>
        </w:tc>
      </w:tr>
      <w:tr w:rsidR="004C710C" w:rsidRPr="004C710C" w14:paraId="25EC9610" w14:textId="77777777" w:rsidTr="004C710C">
        <w:trPr>
          <w:trHeight w:val="234"/>
        </w:trPr>
        <w:tc>
          <w:tcPr>
            <w:tcW w:w="1560" w:type="dxa"/>
          </w:tcPr>
          <w:p w14:paraId="1242B22A" w14:textId="5FE7329A" w:rsidR="001C19B6" w:rsidRPr="004C710C" w:rsidRDefault="001C19B6" w:rsidP="00101108">
            <w:pPr>
              <w:jc w:val="center"/>
              <w:rPr>
                <w:rFonts w:ascii="Arial Narrow" w:hAnsi="Arial Narrow"/>
                <w:sz w:val="20"/>
                <w:szCs w:val="20"/>
              </w:rPr>
            </w:pPr>
          </w:p>
        </w:tc>
        <w:tc>
          <w:tcPr>
            <w:tcW w:w="7654" w:type="dxa"/>
            <w:hideMark/>
          </w:tcPr>
          <w:p w14:paraId="23B9B1F4" w14:textId="77777777" w:rsidR="001C19B6" w:rsidRPr="004C710C" w:rsidRDefault="001C19B6" w:rsidP="00101108">
            <w:pPr>
              <w:textAlignment w:val="baseline"/>
              <w:rPr>
                <w:rFonts w:ascii="Arial Narrow" w:hAnsi="Arial Narrow" w:cs="Open Sans"/>
                <w:sz w:val="20"/>
                <w:szCs w:val="20"/>
              </w:rPr>
            </w:pPr>
            <w:r w:rsidRPr="004C710C">
              <w:rPr>
                <w:rFonts w:ascii="Arial Narrow" w:hAnsi="Arial Narrow" w:cs="Open Sans"/>
                <w:b/>
                <w:bCs/>
                <w:sz w:val="20"/>
                <w:szCs w:val="20"/>
                <w:bdr w:val="none" w:sz="0" w:space="0" w:color="auto" w:frame="1"/>
              </w:rPr>
              <w:t>Clinical criteria:</w:t>
            </w:r>
          </w:p>
        </w:tc>
      </w:tr>
      <w:tr w:rsidR="004C710C" w:rsidRPr="004C710C" w14:paraId="42922E92" w14:textId="77777777" w:rsidTr="004C710C">
        <w:trPr>
          <w:trHeight w:val="234"/>
        </w:trPr>
        <w:tc>
          <w:tcPr>
            <w:tcW w:w="1560" w:type="dxa"/>
          </w:tcPr>
          <w:p w14:paraId="0045B50A" w14:textId="438D3216" w:rsidR="001C19B6" w:rsidRPr="004C710C" w:rsidRDefault="001C19B6" w:rsidP="00101108">
            <w:pPr>
              <w:spacing w:line="259" w:lineRule="auto"/>
              <w:jc w:val="center"/>
              <w:rPr>
                <w:rFonts w:ascii="Arial Narrow" w:eastAsiaTheme="minorHAnsi" w:hAnsi="Arial Narrow"/>
                <w:sz w:val="20"/>
                <w:szCs w:val="20"/>
                <w:lang w:eastAsia="en-US"/>
              </w:rPr>
            </w:pPr>
          </w:p>
        </w:tc>
        <w:tc>
          <w:tcPr>
            <w:tcW w:w="7654" w:type="dxa"/>
            <w:hideMark/>
          </w:tcPr>
          <w:p w14:paraId="0D3EF037" w14:textId="77777777" w:rsidR="001C19B6" w:rsidRPr="004C710C" w:rsidRDefault="001C19B6" w:rsidP="00101108">
            <w:pPr>
              <w:rPr>
                <w:rFonts w:ascii="Arial Narrow" w:hAnsi="Arial Narrow" w:cs="Open Sans"/>
                <w:sz w:val="20"/>
                <w:szCs w:val="20"/>
              </w:rPr>
            </w:pPr>
            <w:r w:rsidRPr="004C710C">
              <w:rPr>
                <w:rFonts w:ascii="Arial Narrow" w:hAnsi="Arial Narrow" w:cs="Open Sans"/>
                <w:sz w:val="20"/>
                <w:szCs w:val="20"/>
              </w:rPr>
              <w:t>Patient must have received PBS-subsidised initial therapy with ivacaftor, given concomitantly with standard therapy, for this condition</w:t>
            </w:r>
          </w:p>
        </w:tc>
      </w:tr>
      <w:tr w:rsidR="004C710C" w:rsidRPr="004C710C" w14:paraId="44CAA830" w14:textId="77777777" w:rsidTr="004C710C">
        <w:trPr>
          <w:trHeight w:val="223"/>
        </w:trPr>
        <w:tc>
          <w:tcPr>
            <w:tcW w:w="1560" w:type="dxa"/>
          </w:tcPr>
          <w:p w14:paraId="7D116EEB" w14:textId="77777777" w:rsidR="001C19B6" w:rsidRPr="004C710C" w:rsidRDefault="001C19B6" w:rsidP="00101108">
            <w:pPr>
              <w:jc w:val="center"/>
              <w:rPr>
                <w:rFonts w:ascii="Arial Narrow" w:hAnsi="Arial Narrow"/>
                <w:sz w:val="20"/>
                <w:szCs w:val="20"/>
              </w:rPr>
            </w:pPr>
          </w:p>
        </w:tc>
        <w:tc>
          <w:tcPr>
            <w:tcW w:w="7654" w:type="dxa"/>
            <w:hideMark/>
          </w:tcPr>
          <w:p w14:paraId="20D920C3" w14:textId="77777777" w:rsidR="001C19B6" w:rsidRPr="004C710C" w:rsidRDefault="001C19B6" w:rsidP="00101108">
            <w:pPr>
              <w:rPr>
                <w:rFonts w:ascii="Arial Narrow" w:hAnsi="Arial Narrow" w:cs="Open Sans"/>
                <w:sz w:val="20"/>
                <w:szCs w:val="20"/>
              </w:rPr>
            </w:pPr>
            <w:r w:rsidRPr="004C710C">
              <w:rPr>
                <w:rFonts w:ascii="Arial Narrow" w:hAnsi="Arial Narrow" w:cs="Open Sans"/>
                <w:b/>
                <w:bCs/>
                <w:sz w:val="20"/>
                <w:szCs w:val="20"/>
                <w:bdr w:val="none" w:sz="0" w:space="0" w:color="auto" w:frame="1"/>
              </w:rPr>
              <w:t>AND</w:t>
            </w:r>
          </w:p>
        </w:tc>
      </w:tr>
      <w:tr w:rsidR="004C710C" w:rsidRPr="004C710C" w14:paraId="2968CC9D" w14:textId="77777777" w:rsidTr="004C710C">
        <w:trPr>
          <w:trHeight w:val="234"/>
        </w:trPr>
        <w:tc>
          <w:tcPr>
            <w:tcW w:w="1560" w:type="dxa"/>
          </w:tcPr>
          <w:p w14:paraId="2DA320FD" w14:textId="1AC73E4D" w:rsidR="001C19B6" w:rsidRPr="004C710C" w:rsidRDefault="001C19B6" w:rsidP="00101108">
            <w:pPr>
              <w:jc w:val="center"/>
              <w:rPr>
                <w:rFonts w:ascii="Arial Narrow" w:hAnsi="Arial Narrow"/>
                <w:sz w:val="20"/>
                <w:szCs w:val="20"/>
              </w:rPr>
            </w:pPr>
          </w:p>
        </w:tc>
        <w:tc>
          <w:tcPr>
            <w:tcW w:w="7654" w:type="dxa"/>
            <w:hideMark/>
          </w:tcPr>
          <w:p w14:paraId="663564CC" w14:textId="77777777" w:rsidR="001C19B6" w:rsidRPr="004C710C" w:rsidRDefault="001C19B6" w:rsidP="00101108">
            <w:pPr>
              <w:textAlignment w:val="baseline"/>
              <w:rPr>
                <w:rFonts w:ascii="Arial Narrow" w:hAnsi="Arial Narrow" w:cs="Open Sans"/>
                <w:sz w:val="20"/>
                <w:szCs w:val="20"/>
              </w:rPr>
            </w:pPr>
            <w:r w:rsidRPr="004C710C">
              <w:rPr>
                <w:rFonts w:ascii="Arial Narrow" w:hAnsi="Arial Narrow" w:cs="Open Sans"/>
                <w:b/>
                <w:bCs/>
                <w:sz w:val="20"/>
                <w:szCs w:val="20"/>
                <w:bdr w:val="none" w:sz="0" w:space="0" w:color="auto" w:frame="1"/>
              </w:rPr>
              <w:t>Clinical criteria:</w:t>
            </w:r>
          </w:p>
        </w:tc>
      </w:tr>
      <w:tr w:rsidR="004C710C" w:rsidRPr="004C710C" w14:paraId="3421F685" w14:textId="77777777" w:rsidTr="004C710C">
        <w:trPr>
          <w:trHeight w:val="234"/>
        </w:trPr>
        <w:tc>
          <w:tcPr>
            <w:tcW w:w="1560" w:type="dxa"/>
          </w:tcPr>
          <w:p w14:paraId="70929130" w14:textId="68ADCE50" w:rsidR="001C19B6" w:rsidRPr="004C710C" w:rsidRDefault="001C19B6" w:rsidP="00101108">
            <w:pPr>
              <w:spacing w:line="259" w:lineRule="auto"/>
              <w:jc w:val="center"/>
              <w:rPr>
                <w:rFonts w:ascii="Arial Narrow" w:eastAsiaTheme="minorHAnsi" w:hAnsi="Arial Narrow"/>
                <w:sz w:val="20"/>
                <w:szCs w:val="20"/>
                <w:lang w:eastAsia="en-US"/>
              </w:rPr>
            </w:pPr>
          </w:p>
        </w:tc>
        <w:tc>
          <w:tcPr>
            <w:tcW w:w="7654" w:type="dxa"/>
            <w:hideMark/>
          </w:tcPr>
          <w:p w14:paraId="41D8C59D" w14:textId="77777777" w:rsidR="001C19B6" w:rsidRPr="004C710C" w:rsidRDefault="001C19B6" w:rsidP="00101108">
            <w:pPr>
              <w:rPr>
                <w:rFonts w:ascii="Arial Narrow" w:hAnsi="Arial Narrow" w:cs="Open Sans"/>
                <w:sz w:val="20"/>
                <w:szCs w:val="20"/>
              </w:rPr>
            </w:pPr>
            <w:r w:rsidRPr="004C710C">
              <w:rPr>
                <w:rFonts w:ascii="Arial Narrow" w:hAnsi="Arial Narrow" w:cs="Open Sans"/>
                <w:sz w:val="20"/>
                <w:szCs w:val="20"/>
              </w:rPr>
              <w:t xml:space="preserve">Patient must not receive more than 24 weeks of treatment under this restriction </w:t>
            </w:r>
            <w:r w:rsidRPr="004C710C">
              <w:rPr>
                <w:rFonts w:ascii="Arial Narrow" w:hAnsi="Arial Narrow"/>
                <w:i/>
                <w:iCs/>
                <w:sz w:val="20"/>
                <w:szCs w:val="20"/>
              </w:rPr>
              <w:t>per authority application</w:t>
            </w:r>
          </w:p>
        </w:tc>
      </w:tr>
      <w:tr w:rsidR="004C710C" w:rsidRPr="004C710C" w14:paraId="07E9618D" w14:textId="77777777" w:rsidTr="004C710C">
        <w:trPr>
          <w:trHeight w:val="223"/>
        </w:trPr>
        <w:tc>
          <w:tcPr>
            <w:tcW w:w="1560" w:type="dxa"/>
          </w:tcPr>
          <w:p w14:paraId="15FB2808" w14:textId="77777777" w:rsidR="001C19B6" w:rsidRPr="004C710C" w:rsidRDefault="001C19B6" w:rsidP="00101108">
            <w:pPr>
              <w:jc w:val="center"/>
              <w:rPr>
                <w:rFonts w:ascii="Arial Narrow" w:hAnsi="Arial Narrow"/>
                <w:sz w:val="20"/>
                <w:szCs w:val="20"/>
              </w:rPr>
            </w:pPr>
          </w:p>
        </w:tc>
        <w:tc>
          <w:tcPr>
            <w:tcW w:w="7654" w:type="dxa"/>
            <w:hideMark/>
          </w:tcPr>
          <w:p w14:paraId="5F3B7AF8" w14:textId="77777777" w:rsidR="001C19B6" w:rsidRPr="004C710C" w:rsidRDefault="001C19B6" w:rsidP="00101108">
            <w:pPr>
              <w:rPr>
                <w:rFonts w:ascii="Arial Narrow" w:hAnsi="Arial Narrow" w:cs="Open Sans"/>
                <w:sz w:val="20"/>
                <w:szCs w:val="20"/>
              </w:rPr>
            </w:pPr>
            <w:r w:rsidRPr="004C710C">
              <w:rPr>
                <w:rFonts w:ascii="Arial Narrow" w:hAnsi="Arial Narrow" w:cs="Open Sans"/>
                <w:b/>
                <w:bCs/>
                <w:sz w:val="20"/>
                <w:szCs w:val="20"/>
                <w:bdr w:val="none" w:sz="0" w:space="0" w:color="auto" w:frame="1"/>
              </w:rPr>
              <w:t>AND</w:t>
            </w:r>
          </w:p>
        </w:tc>
      </w:tr>
      <w:tr w:rsidR="004C710C" w:rsidRPr="004C710C" w14:paraId="501030B2" w14:textId="77777777" w:rsidTr="004C710C">
        <w:trPr>
          <w:trHeight w:val="234"/>
        </w:trPr>
        <w:tc>
          <w:tcPr>
            <w:tcW w:w="1560" w:type="dxa"/>
          </w:tcPr>
          <w:p w14:paraId="1F500F74" w14:textId="6ED0B1B2" w:rsidR="001C19B6" w:rsidRPr="004C710C" w:rsidRDefault="001C19B6" w:rsidP="00101108">
            <w:pPr>
              <w:jc w:val="center"/>
              <w:rPr>
                <w:rFonts w:ascii="Arial Narrow" w:hAnsi="Arial Narrow"/>
                <w:sz w:val="20"/>
                <w:szCs w:val="20"/>
              </w:rPr>
            </w:pPr>
          </w:p>
        </w:tc>
        <w:tc>
          <w:tcPr>
            <w:tcW w:w="7654" w:type="dxa"/>
            <w:hideMark/>
          </w:tcPr>
          <w:p w14:paraId="5D6D9594" w14:textId="77777777" w:rsidR="001C19B6" w:rsidRPr="004C710C" w:rsidRDefault="001C19B6" w:rsidP="00101108">
            <w:pPr>
              <w:textAlignment w:val="baseline"/>
              <w:rPr>
                <w:rFonts w:ascii="Arial Narrow" w:hAnsi="Arial Narrow" w:cs="Open Sans"/>
                <w:sz w:val="20"/>
                <w:szCs w:val="20"/>
              </w:rPr>
            </w:pPr>
            <w:r w:rsidRPr="004C710C">
              <w:rPr>
                <w:rFonts w:ascii="Arial Narrow" w:hAnsi="Arial Narrow" w:cs="Open Sans"/>
                <w:b/>
                <w:bCs/>
                <w:sz w:val="20"/>
                <w:szCs w:val="20"/>
                <w:bdr w:val="none" w:sz="0" w:space="0" w:color="auto" w:frame="1"/>
              </w:rPr>
              <w:t>Clinical criteria:</w:t>
            </w:r>
          </w:p>
        </w:tc>
      </w:tr>
      <w:tr w:rsidR="004C710C" w:rsidRPr="004C710C" w14:paraId="2629F487" w14:textId="77777777" w:rsidTr="004C710C">
        <w:trPr>
          <w:trHeight w:val="234"/>
        </w:trPr>
        <w:tc>
          <w:tcPr>
            <w:tcW w:w="1560" w:type="dxa"/>
          </w:tcPr>
          <w:p w14:paraId="18290604" w14:textId="573DE350" w:rsidR="001C19B6" w:rsidRPr="004C710C" w:rsidRDefault="001C19B6" w:rsidP="00101108">
            <w:pPr>
              <w:spacing w:line="259" w:lineRule="auto"/>
              <w:jc w:val="center"/>
              <w:rPr>
                <w:rFonts w:ascii="Arial Narrow" w:eastAsiaTheme="minorHAnsi" w:hAnsi="Arial Narrow"/>
                <w:sz w:val="20"/>
                <w:szCs w:val="20"/>
                <w:lang w:eastAsia="en-US"/>
              </w:rPr>
            </w:pPr>
          </w:p>
        </w:tc>
        <w:tc>
          <w:tcPr>
            <w:tcW w:w="7654" w:type="dxa"/>
            <w:hideMark/>
          </w:tcPr>
          <w:p w14:paraId="78D889C3" w14:textId="77777777" w:rsidR="001C19B6" w:rsidRPr="004C710C" w:rsidRDefault="001C19B6" w:rsidP="00101108">
            <w:pPr>
              <w:rPr>
                <w:rFonts w:ascii="Arial Narrow" w:hAnsi="Arial Narrow" w:cs="Open Sans"/>
                <w:sz w:val="20"/>
                <w:szCs w:val="20"/>
              </w:rPr>
            </w:pPr>
            <w:r w:rsidRPr="004C710C">
              <w:rPr>
                <w:rFonts w:ascii="Arial Narrow" w:hAnsi="Arial Narrow" w:cs="Open Sans"/>
                <w:sz w:val="20"/>
                <w:szCs w:val="20"/>
              </w:rPr>
              <w:t>The treatment must be given concomitantly with standard therapy for this condition</w:t>
            </w:r>
          </w:p>
        </w:tc>
      </w:tr>
      <w:tr w:rsidR="004C710C" w:rsidRPr="004C710C" w14:paraId="27AD0011" w14:textId="77777777" w:rsidTr="004C710C">
        <w:trPr>
          <w:trHeight w:val="223"/>
        </w:trPr>
        <w:tc>
          <w:tcPr>
            <w:tcW w:w="1560" w:type="dxa"/>
          </w:tcPr>
          <w:p w14:paraId="3296AE18" w14:textId="7C465265" w:rsidR="001C19B6" w:rsidRPr="004C710C" w:rsidRDefault="001C19B6" w:rsidP="00101108">
            <w:pPr>
              <w:jc w:val="center"/>
              <w:rPr>
                <w:rFonts w:ascii="Arial Narrow" w:hAnsi="Arial Narrow"/>
                <w:sz w:val="20"/>
                <w:szCs w:val="20"/>
              </w:rPr>
            </w:pPr>
          </w:p>
        </w:tc>
        <w:tc>
          <w:tcPr>
            <w:tcW w:w="7654" w:type="dxa"/>
            <w:hideMark/>
          </w:tcPr>
          <w:p w14:paraId="59A19A65" w14:textId="77777777" w:rsidR="001C19B6" w:rsidRPr="004C710C" w:rsidRDefault="001C19B6" w:rsidP="00101108">
            <w:pPr>
              <w:textAlignment w:val="baseline"/>
              <w:rPr>
                <w:rFonts w:ascii="Arial Narrow" w:hAnsi="Arial Narrow" w:cs="Open Sans"/>
                <w:sz w:val="20"/>
                <w:szCs w:val="20"/>
              </w:rPr>
            </w:pPr>
            <w:r w:rsidRPr="004C710C">
              <w:rPr>
                <w:rFonts w:ascii="Arial Narrow" w:hAnsi="Arial Narrow" w:cs="Open Sans"/>
                <w:b/>
                <w:bCs/>
                <w:sz w:val="20"/>
                <w:szCs w:val="20"/>
                <w:bdr w:val="none" w:sz="0" w:space="0" w:color="auto" w:frame="1"/>
              </w:rPr>
              <w:t>Population criteria:</w:t>
            </w:r>
          </w:p>
        </w:tc>
      </w:tr>
      <w:tr w:rsidR="004C710C" w:rsidRPr="004C710C" w14:paraId="7C80A012" w14:textId="77777777" w:rsidTr="004C710C">
        <w:trPr>
          <w:trHeight w:val="234"/>
        </w:trPr>
        <w:tc>
          <w:tcPr>
            <w:tcW w:w="1560" w:type="dxa"/>
          </w:tcPr>
          <w:p w14:paraId="148B0813" w14:textId="30D3E0D5" w:rsidR="001C19B6" w:rsidRPr="004C710C" w:rsidRDefault="001C19B6" w:rsidP="00101108">
            <w:pPr>
              <w:spacing w:line="259" w:lineRule="auto"/>
              <w:jc w:val="center"/>
              <w:rPr>
                <w:rFonts w:ascii="Arial Narrow" w:eastAsiaTheme="minorHAnsi" w:hAnsi="Arial Narrow"/>
                <w:sz w:val="20"/>
                <w:szCs w:val="20"/>
                <w:lang w:eastAsia="en-US"/>
              </w:rPr>
            </w:pPr>
          </w:p>
        </w:tc>
        <w:tc>
          <w:tcPr>
            <w:tcW w:w="7654" w:type="dxa"/>
            <w:hideMark/>
          </w:tcPr>
          <w:p w14:paraId="34C173B4" w14:textId="77777777" w:rsidR="001C19B6" w:rsidRPr="004C710C" w:rsidRDefault="001C19B6" w:rsidP="00101108">
            <w:pPr>
              <w:rPr>
                <w:rFonts w:ascii="Arial Narrow" w:hAnsi="Arial Narrow" w:cs="Open Sans"/>
                <w:sz w:val="20"/>
                <w:szCs w:val="20"/>
              </w:rPr>
            </w:pPr>
            <w:r w:rsidRPr="004C710C">
              <w:rPr>
                <w:rFonts w:ascii="Arial Narrow" w:hAnsi="Arial Narrow" w:cs="Open Sans"/>
                <w:sz w:val="20"/>
                <w:szCs w:val="20"/>
              </w:rPr>
              <w:t xml:space="preserve">Patient must be aged </w:t>
            </w:r>
            <w:r w:rsidRPr="004C710C">
              <w:rPr>
                <w:rFonts w:ascii="Arial Narrow" w:hAnsi="Arial Narrow" w:cs="Open Sans"/>
                <w:i/>
                <w:iCs/>
                <w:sz w:val="20"/>
                <w:szCs w:val="20"/>
              </w:rPr>
              <w:t xml:space="preserve">4 </w:t>
            </w:r>
            <w:r w:rsidRPr="004C710C">
              <w:rPr>
                <w:rFonts w:ascii="Arial Narrow" w:hAnsi="Arial Narrow" w:cs="Open Sans"/>
                <w:strike/>
                <w:sz w:val="20"/>
                <w:szCs w:val="20"/>
              </w:rPr>
              <w:t>12</w:t>
            </w:r>
            <w:r w:rsidRPr="004C710C">
              <w:rPr>
                <w:rFonts w:ascii="Arial Narrow" w:hAnsi="Arial Narrow" w:cs="Open Sans"/>
                <w:sz w:val="20"/>
                <w:szCs w:val="20"/>
              </w:rPr>
              <w:t xml:space="preserve"> months or older</w:t>
            </w:r>
          </w:p>
        </w:tc>
      </w:tr>
      <w:tr w:rsidR="004C710C" w:rsidRPr="004C710C" w14:paraId="5E36DE38" w14:textId="77777777" w:rsidTr="004C710C">
        <w:trPr>
          <w:trHeight w:val="1639"/>
        </w:trPr>
        <w:tc>
          <w:tcPr>
            <w:tcW w:w="1560" w:type="dxa"/>
          </w:tcPr>
          <w:p w14:paraId="6D89D104" w14:textId="4B6513D6" w:rsidR="001C19B6" w:rsidRPr="004C710C" w:rsidRDefault="001C19B6" w:rsidP="00101108">
            <w:pPr>
              <w:jc w:val="center"/>
              <w:rPr>
                <w:rFonts w:ascii="Arial Narrow" w:hAnsi="Arial Narrow"/>
                <w:sz w:val="20"/>
                <w:szCs w:val="20"/>
              </w:rPr>
            </w:pPr>
          </w:p>
        </w:tc>
        <w:tc>
          <w:tcPr>
            <w:tcW w:w="7654" w:type="dxa"/>
            <w:hideMark/>
          </w:tcPr>
          <w:p w14:paraId="5B2477AB" w14:textId="77777777" w:rsidR="001C19B6" w:rsidRPr="004C710C" w:rsidRDefault="001C19B6" w:rsidP="00101108">
            <w:pPr>
              <w:textAlignment w:val="baseline"/>
              <w:rPr>
                <w:rFonts w:ascii="Arial Narrow" w:hAnsi="Arial Narrow" w:cs="Open Sans"/>
                <w:sz w:val="20"/>
                <w:szCs w:val="20"/>
              </w:rPr>
            </w:pPr>
            <w:r w:rsidRPr="004C710C">
              <w:rPr>
                <w:rFonts w:ascii="Arial Narrow" w:hAnsi="Arial Narrow" w:cs="Open Sans"/>
                <w:b/>
                <w:bCs/>
                <w:sz w:val="20"/>
                <w:szCs w:val="20"/>
                <w:bdr w:val="none" w:sz="0" w:space="0" w:color="auto" w:frame="1"/>
              </w:rPr>
              <w:t>Prescribing Instructions:</w:t>
            </w:r>
          </w:p>
          <w:p w14:paraId="210FC6A5" w14:textId="77777777" w:rsidR="001C19B6" w:rsidRPr="004C710C" w:rsidRDefault="001C19B6" w:rsidP="00101108">
            <w:pPr>
              <w:textAlignment w:val="baseline"/>
              <w:rPr>
                <w:rFonts w:ascii="Arial Narrow" w:hAnsi="Arial Narrow" w:cs="Open Sans"/>
                <w:sz w:val="20"/>
                <w:szCs w:val="20"/>
              </w:rPr>
            </w:pPr>
            <w:r w:rsidRPr="004C710C">
              <w:rPr>
                <w:rFonts w:ascii="Arial Narrow" w:hAnsi="Arial Narrow" w:cs="Open Sans"/>
                <w:sz w:val="20"/>
                <w:szCs w:val="20"/>
              </w:rPr>
              <w:t>Dosage of ivacaftor must not exceed the dose of one tablet (150 mg) or one sachet twice a week, if the patient is concomitantly receiving one of the following strong CYP3A4 drugs inhibitors: boceprevir, clarithromycin, conivaptan, indinavir, itraconazole, ketoconazole, lopinavir/ritonavir, mibefradil, nefazodone, nelfinavir, posaconazole, ritonavir, saquinavir, telaprevir, telithromycin, voriconazole. Where a patient is concomitantly receiving a strong CYP3A4 inhibitor, a single supply of 56 tablets or sachets of ivacaftor will last for 28 weeks.</w:t>
            </w:r>
          </w:p>
          <w:p w14:paraId="75447484" w14:textId="77777777" w:rsidR="001C19B6" w:rsidRPr="004C710C" w:rsidRDefault="001C19B6" w:rsidP="00101108">
            <w:pPr>
              <w:textAlignment w:val="baseline"/>
              <w:rPr>
                <w:rFonts w:ascii="Arial Narrow" w:hAnsi="Arial Narrow" w:cs="Open Sans"/>
                <w:sz w:val="20"/>
                <w:szCs w:val="20"/>
              </w:rPr>
            </w:pPr>
            <w:r w:rsidRPr="004C710C">
              <w:rPr>
                <w:rFonts w:ascii="Arial Narrow" w:hAnsi="Arial Narrow" w:cs="Open Sans"/>
                <w:sz w:val="20"/>
                <w:szCs w:val="20"/>
              </w:rPr>
              <w:t>Dosage of ivacaftor must not exceed the dose of one tablet (150 mg) or one sachet once daily, if the patient is concomitantly receiving one of the following moderate CYP3A4 inhibitors: amprenavir, aprepitant, atazanavir, darunavir/ritonavir, diltiazem, erythromycin, fluconazole, fosamprenavir, imatinib, verapamil. Where a patient is concomitantly receiving a moderate CYP3A4 inhibitor, a single supply of 56 tablets or sachets of ivacaftor will last for 8 weeks.</w:t>
            </w:r>
          </w:p>
        </w:tc>
      </w:tr>
      <w:tr w:rsidR="004C710C" w:rsidRPr="004C710C" w14:paraId="0F4FD71D" w14:textId="77777777" w:rsidTr="004C710C">
        <w:trPr>
          <w:trHeight w:val="1394"/>
        </w:trPr>
        <w:tc>
          <w:tcPr>
            <w:tcW w:w="1560" w:type="dxa"/>
          </w:tcPr>
          <w:p w14:paraId="79F7E454" w14:textId="7FB6C504" w:rsidR="001C19B6" w:rsidRPr="004C710C" w:rsidRDefault="001C19B6" w:rsidP="00101108">
            <w:pPr>
              <w:spacing w:line="259" w:lineRule="auto"/>
              <w:jc w:val="center"/>
              <w:rPr>
                <w:rFonts w:ascii="Arial Narrow" w:eastAsiaTheme="minorHAnsi" w:hAnsi="Arial Narrow"/>
                <w:sz w:val="20"/>
                <w:szCs w:val="20"/>
                <w:lang w:eastAsia="en-US"/>
              </w:rPr>
            </w:pPr>
          </w:p>
        </w:tc>
        <w:tc>
          <w:tcPr>
            <w:tcW w:w="7654" w:type="dxa"/>
            <w:hideMark/>
          </w:tcPr>
          <w:p w14:paraId="35FF707D" w14:textId="77777777" w:rsidR="001C19B6" w:rsidRPr="004C710C" w:rsidRDefault="001C19B6" w:rsidP="00101108">
            <w:pPr>
              <w:textAlignment w:val="baseline"/>
              <w:rPr>
                <w:rFonts w:ascii="Arial Narrow" w:hAnsi="Arial Narrow" w:cs="Open Sans"/>
                <w:sz w:val="20"/>
                <w:szCs w:val="20"/>
              </w:rPr>
            </w:pPr>
            <w:r w:rsidRPr="004C710C">
              <w:rPr>
                <w:rFonts w:ascii="Arial Narrow" w:hAnsi="Arial Narrow" w:cs="Open Sans"/>
                <w:b/>
                <w:bCs/>
                <w:sz w:val="20"/>
                <w:szCs w:val="20"/>
                <w:bdr w:val="none" w:sz="0" w:space="0" w:color="auto" w:frame="1"/>
              </w:rPr>
              <w:t>Prescribing Instructions:</w:t>
            </w:r>
          </w:p>
          <w:p w14:paraId="238B3C8F" w14:textId="77777777" w:rsidR="001C19B6" w:rsidRPr="004C710C" w:rsidRDefault="001C19B6" w:rsidP="00101108">
            <w:pPr>
              <w:textAlignment w:val="baseline"/>
              <w:rPr>
                <w:rFonts w:ascii="Arial Narrow" w:hAnsi="Arial Narrow" w:cs="Open Sans"/>
                <w:sz w:val="20"/>
                <w:szCs w:val="20"/>
              </w:rPr>
            </w:pPr>
            <w:r w:rsidRPr="004C710C">
              <w:rPr>
                <w:rFonts w:ascii="Arial Narrow" w:hAnsi="Arial Narrow" w:cs="Open Sans"/>
                <w:sz w:val="20"/>
                <w:szCs w:val="20"/>
              </w:rPr>
              <w:t>Ivacaftor is not PBS-subsidised for this condition as a sole therapy.</w:t>
            </w:r>
          </w:p>
          <w:p w14:paraId="2F9F08ED" w14:textId="77777777" w:rsidR="001C19B6" w:rsidRPr="004C710C" w:rsidRDefault="001C19B6" w:rsidP="00101108">
            <w:pPr>
              <w:textAlignment w:val="baseline"/>
              <w:rPr>
                <w:rFonts w:ascii="Arial Narrow" w:hAnsi="Arial Narrow" w:cs="Open Sans"/>
                <w:sz w:val="20"/>
                <w:szCs w:val="20"/>
              </w:rPr>
            </w:pPr>
            <w:r w:rsidRPr="004C710C">
              <w:rPr>
                <w:rFonts w:ascii="Arial Narrow" w:hAnsi="Arial Narrow" w:cs="Open Sans"/>
                <w:sz w:val="20"/>
                <w:szCs w:val="20"/>
              </w:rPr>
              <w:t>Ivacaftor is not PBS-subsidised for this condition in a patient who is currently receiving one of the following CYP3A4 inducers:</w:t>
            </w:r>
          </w:p>
          <w:p w14:paraId="032630D0" w14:textId="77777777" w:rsidR="001C19B6" w:rsidRPr="004C710C" w:rsidRDefault="001C19B6" w:rsidP="00101108">
            <w:pPr>
              <w:textAlignment w:val="baseline"/>
              <w:rPr>
                <w:rFonts w:ascii="Arial Narrow" w:hAnsi="Arial Narrow" w:cs="Open Sans"/>
                <w:sz w:val="20"/>
                <w:szCs w:val="20"/>
              </w:rPr>
            </w:pPr>
            <w:r w:rsidRPr="004C710C">
              <w:rPr>
                <w:rFonts w:ascii="Arial Narrow" w:hAnsi="Arial Narrow" w:cs="Open Sans"/>
                <w:sz w:val="20"/>
                <w:szCs w:val="20"/>
              </w:rPr>
              <w:t>Strong CYP3A4 inducers: avasimibe, carbamazepine, phenobarbital, phenytoin, rifabutin, rifampicin, St. John's wort</w:t>
            </w:r>
          </w:p>
          <w:p w14:paraId="6B2B3E54" w14:textId="77777777" w:rsidR="001C19B6" w:rsidRPr="004C710C" w:rsidRDefault="001C19B6" w:rsidP="00101108">
            <w:pPr>
              <w:textAlignment w:val="baseline"/>
              <w:rPr>
                <w:rFonts w:ascii="Arial Narrow" w:hAnsi="Arial Narrow" w:cs="Open Sans"/>
                <w:sz w:val="20"/>
                <w:szCs w:val="20"/>
              </w:rPr>
            </w:pPr>
            <w:r w:rsidRPr="004C710C">
              <w:rPr>
                <w:rFonts w:ascii="Arial Narrow" w:hAnsi="Arial Narrow" w:cs="Open Sans"/>
                <w:sz w:val="20"/>
                <w:szCs w:val="20"/>
              </w:rPr>
              <w:t>Moderate CYP3A4 inducers: bosentan, efavirenz, etravirine, modafinil, nafcillin</w:t>
            </w:r>
          </w:p>
          <w:p w14:paraId="75030125" w14:textId="77777777" w:rsidR="001C19B6" w:rsidRPr="004C710C" w:rsidRDefault="001C19B6" w:rsidP="00101108">
            <w:pPr>
              <w:textAlignment w:val="baseline"/>
              <w:rPr>
                <w:rFonts w:ascii="Arial Narrow" w:hAnsi="Arial Narrow" w:cs="Open Sans"/>
                <w:sz w:val="20"/>
                <w:szCs w:val="20"/>
              </w:rPr>
            </w:pPr>
            <w:r w:rsidRPr="004C710C">
              <w:rPr>
                <w:rFonts w:ascii="Arial Narrow" w:hAnsi="Arial Narrow" w:cs="Open Sans"/>
                <w:sz w:val="20"/>
                <w:szCs w:val="20"/>
              </w:rPr>
              <w:t>Weak CYP3A4 inducers: armodafinil, echinacea, pioglitazone, rufinamide.</w:t>
            </w:r>
          </w:p>
        </w:tc>
      </w:tr>
      <w:tr w:rsidR="004C710C" w:rsidRPr="004C710C" w14:paraId="64B28CD4" w14:textId="77777777" w:rsidTr="004C710C">
        <w:trPr>
          <w:trHeight w:val="924"/>
        </w:trPr>
        <w:tc>
          <w:tcPr>
            <w:tcW w:w="1560" w:type="dxa"/>
          </w:tcPr>
          <w:p w14:paraId="5A151CE1" w14:textId="77777777" w:rsidR="001C19B6" w:rsidRPr="004C710C" w:rsidRDefault="001C19B6" w:rsidP="00101108">
            <w:pPr>
              <w:spacing w:line="259" w:lineRule="auto"/>
              <w:jc w:val="center"/>
              <w:rPr>
                <w:rFonts w:ascii="Arial Narrow" w:eastAsiaTheme="minorHAnsi" w:hAnsi="Arial Narrow"/>
                <w:sz w:val="20"/>
                <w:szCs w:val="20"/>
                <w:lang w:eastAsia="en-US"/>
              </w:rPr>
            </w:pPr>
          </w:p>
        </w:tc>
        <w:tc>
          <w:tcPr>
            <w:tcW w:w="7654" w:type="dxa"/>
            <w:hideMark/>
          </w:tcPr>
          <w:p w14:paraId="7701C943" w14:textId="77777777" w:rsidR="001C19B6" w:rsidRPr="004C710C" w:rsidRDefault="001C19B6" w:rsidP="00101108">
            <w:pPr>
              <w:textAlignment w:val="baseline"/>
              <w:rPr>
                <w:rFonts w:ascii="Arial Narrow" w:hAnsi="Arial Narrow" w:cs="Open Sans"/>
                <w:sz w:val="20"/>
                <w:szCs w:val="20"/>
              </w:rPr>
            </w:pPr>
            <w:r w:rsidRPr="004C710C">
              <w:rPr>
                <w:rFonts w:ascii="Arial Narrow" w:hAnsi="Arial Narrow" w:cs="Open Sans"/>
                <w:b/>
                <w:bCs/>
                <w:sz w:val="20"/>
                <w:szCs w:val="20"/>
                <w:bdr w:val="none" w:sz="0" w:space="0" w:color="auto" w:frame="1"/>
              </w:rPr>
              <w:t>Prescribing Instructions:</w:t>
            </w:r>
          </w:p>
          <w:p w14:paraId="1A931444" w14:textId="77777777" w:rsidR="001C19B6" w:rsidRPr="004C710C" w:rsidRDefault="001C19B6" w:rsidP="00101108">
            <w:pPr>
              <w:textAlignment w:val="baseline"/>
              <w:rPr>
                <w:rFonts w:ascii="Arial Narrow" w:hAnsi="Arial Narrow" w:cs="Open Sans"/>
                <w:sz w:val="20"/>
                <w:szCs w:val="20"/>
              </w:rPr>
            </w:pPr>
            <w:r w:rsidRPr="004C710C">
              <w:rPr>
                <w:rFonts w:ascii="Arial Narrow" w:hAnsi="Arial Narrow" w:cs="Open Sans"/>
                <w:sz w:val="20"/>
                <w:szCs w:val="20"/>
              </w:rPr>
              <w:t>The authority application must be in writing and must include:</w:t>
            </w:r>
          </w:p>
          <w:p w14:paraId="177D312C" w14:textId="77777777" w:rsidR="001C19B6" w:rsidRPr="004C710C" w:rsidRDefault="001C19B6" w:rsidP="00101108">
            <w:pPr>
              <w:textAlignment w:val="baseline"/>
              <w:rPr>
                <w:rFonts w:ascii="Arial Narrow" w:hAnsi="Arial Narrow" w:cs="Open Sans"/>
                <w:sz w:val="20"/>
                <w:szCs w:val="20"/>
              </w:rPr>
            </w:pPr>
            <w:r w:rsidRPr="004C710C">
              <w:rPr>
                <w:rFonts w:ascii="Arial Narrow" w:hAnsi="Arial Narrow" w:cs="Open Sans"/>
                <w:sz w:val="20"/>
                <w:szCs w:val="20"/>
              </w:rPr>
              <w:t>(1) a completed authority prescription; and</w:t>
            </w:r>
          </w:p>
          <w:p w14:paraId="38D42EDD" w14:textId="77777777" w:rsidR="001C19B6" w:rsidRPr="004C710C" w:rsidRDefault="001C19B6" w:rsidP="00101108">
            <w:pPr>
              <w:textAlignment w:val="baseline"/>
              <w:rPr>
                <w:rFonts w:ascii="Arial Narrow" w:hAnsi="Arial Narrow" w:cs="Open Sans"/>
                <w:sz w:val="20"/>
                <w:szCs w:val="20"/>
              </w:rPr>
            </w:pPr>
            <w:r w:rsidRPr="004C710C">
              <w:rPr>
                <w:rFonts w:ascii="Arial Narrow" w:hAnsi="Arial Narrow" w:cs="Open Sans"/>
                <w:sz w:val="20"/>
                <w:szCs w:val="20"/>
              </w:rPr>
              <w:t>(2) a completed Cystic Fibrosis Continuing Authority Application Supporting Information Form; and</w:t>
            </w:r>
          </w:p>
          <w:p w14:paraId="3F16B1DF" w14:textId="77777777" w:rsidR="001C19B6" w:rsidRPr="004C710C" w:rsidRDefault="001C19B6" w:rsidP="00101108">
            <w:pPr>
              <w:textAlignment w:val="baseline"/>
              <w:rPr>
                <w:rFonts w:ascii="Arial Narrow" w:hAnsi="Arial Narrow" w:cs="Open Sans"/>
                <w:sz w:val="20"/>
                <w:szCs w:val="20"/>
              </w:rPr>
            </w:pPr>
            <w:r w:rsidRPr="004C710C">
              <w:rPr>
                <w:rFonts w:ascii="Arial Narrow" w:hAnsi="Arial Narrow" w:cs="Open Sans"/>
                <w:sz w:val="20"/>
                <w:szCs w:val="20"/>
              </w:rPr>
              <w:t>(3) current CYP3A4 inhibitors, CYP3A4 inducers and IV antibiotics.</w:t>
            </w:r>
          </w:p>
        </w:tc>
      </w:tr>
    </w:tbl>
    <w:p w14:paraId="0DC4B6FA" w14:textId="5C833048" w:rsidR="00C5436C" w:rsidRPr="00F91CC3" w:rsidRDefault="00C5436C" w:rsidP="005F70AA">
      <w:pPr>
        <w:spacing w:before="120"/>
        <w:rPr>
          <w:rFonts w:asciiTheme="minorHAnsi" w:hAnsiTheme="minorHAnsi" w:cstheme="minorHAnsi"/>
          <w:b/>
          <w:i/>
        </w:rPr>
      </w:pPr>
      <w:r w:rsidRPr="00F91CC3">
        <w:rPr>
          <w:rFonts w:asciiTheme="minorHAnsi" w:hAnsiTheme="minorHAnsi" w:cstheme="minorHAnsi"/>
          <w:b/>
          <w:i/>
        </w:rPr>
        <w:t>This restriction may be subject to further review. Should there be any changes made to the restriction the Sponsor will be informed.</w:t>
      </w:r>
    </w:p>
    <w:bookmarkEnd w:id="74"/>
    <w:bookmarkEnd w:id="75"/>
    <w:bookmarkEnd w:id="73"/>
    <w:bookmarkEnd w:id="76"/>
    <w:bookmarkEnd w:id="2"/>
    <w:bookmarkEnd w:id="3"/>
    <w:bookmarkEnd w:id="4"/>
    <w:bookmarkEnd w:id="5"/>
    <w:bookmarkEnd w:id="6"/>
    <w:p w14:paraId="317A5AE7" w14:textId="1C965D0E" w:rsidR="004C710C" w:rsidRPr="004C710C" w:rsidRDefault="004C710C" w:rsidP="004C710C">
      <w:pPr>
        <w:pStyle w:val="2-SectionHeading"/>
      </w:pPr>
      <w:r w:rsidRPr="00C07617">
        <w:t>Context for Decision</w:t>
      </w:r>
    </w:p>
    <w:p w14:paraId="3DFE2F3A" w14:textId="77777777" w:rsidR="004C710C" w:rsidRPr="00311EEF" w:rsidRDefault="004C710C" w:rsidP="004C710C">
      <w:pPr>
        <w:spacing w:after="120"/>
        <w:ind w:left="720"/>
        <w:rPr>
          <w:rFonts w:asciiTheme="minorHAnsi" w:hAnsiTheme="minorHAnsi"/>
          <w:bCs/>
          <w:lang w:val="en-GB"/>
        </w:rPr>
      </w:pPr>
      <w:r w:rsidRPr="00311EEF">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B669FB5" w14:textId="110044F7" w:rsidR="004C710C" w:rsidRPr="00311EEF" w:rsidRDefault="004C710C" w:rsidP="004C710C">
      <w:pPr>
        <w:pStyle w:val="2-SectionHeading"/>
      </w:pPr>
      <w:r w:rsidRPr="00311EEF">
        <w:t>Sponsor’s Comment</w:t>
      </w:r>
    </w:p>
    <w:p w14:paraId="06520851" w14:textId="310F4EF6" w:rsidR="00301286" w:rsidRPr="006F72F7" w:rsidRDefault="00301286" w:rsidP="00301286">
      <w:pPr>
        <w:spacing w:after="120"/>
        <w:ind w:left="720"/>
        <w:rPr>
          <w:rFonts w:asciiTheme="minorHAnsi" w:hAnsiTheme="minorHAnsi"/>
          <w:bCs/>
          <w:lang w:val="en-GB"/>
        </w:rPr>
      </w:pPr>
      <w:r w:rsidRPr="006F72F7">
        <w:rPr>
          <w:rFonts w:asciiTheme="minorHAnsi" w:hAnsiTheme="minorHAnsi"/>
          <w:bCs/>
          <w:lang w:val="en-GB"/>
        </w:rPr>
        <w:t>Vertex welcomes the positive recommendation by the Pharmaceutical Benefits Advisory Committee (PBAC), to extend the listing of Kalydeco® (ivacaftor) to include:</w:t>
      </w:r>
    </w:p>
    <w:p w14:paraId="1415BD42" w14:textId="77777777" w:rsidR="00301286" w:rsidRPr="00B97D39" w:rsidRDefault="00301286" w:rsidP="00301286">
      <w:pPr>
        <w:pStyle w:val="ListParagraph"/>
        <w:ind w:left="1134"/>
      </w:pPr>
      <w:r w:rsidRPr="00B97D39">
        <w:t xml:space="preserve">patients aged 4-12 months with a gating mutation in the cystic fibrosis transmembrane conductance regulator (CFTR) gene, and </w:t>
      </w:r>
    </w:p>
    <w:p w14:paraId="210A3870" w14:textId="77777777" w:rsidR="00301286" w:rsidRPr="009518FF" w:rsidRDefault="00301286" w:rsidP="00301286">
      <w:pPr>
        <w:pStyle w:val="ListParagraph"/>
        <w:ind w:left="1134"/>
        <w:rPr>
          <w:bCs/>
          <w:lang w:val="en-GB"/>
        </w:rPr>
      </w:pPr>
      <w:r w:rsidRPr="00B97D39">
        <w:lastRenderedPageBreak/>
        <w:t>those aged 4 months and older who have at least one mutation in the CFTR gene that is responsive to ivacaftor potentiation based on clinical and/ or in vitro assay data (including patients with R117H, residual function (RF) and rare mutations).</w:t>
      </w:r>
    </w:p>
    <w:p w14:paraId="3F1B9237" w14:textId="27EDF7D9" w:rsidR="001D3241" w:rsidRPr="00F91CC3" w:rsidRDefault="00301286" w:rsidP="00301286">
      <w:pPr>
        <w:ind w:left="720"/>
      </w:pPr>
      <w:r w:rsidRPr="006F72F7">
        <w:rPr>
          <w:rFonts w:asciiTheme="minorHAnsi" w:hAnsiTheme="minorHAnsi"/>
          <w:bCs/>
          <w:lang w:val="en-GB"/>
        </w:rPr>
        <w:t>Vertex is committed to working with The Department of Health and Aged Care to enact the recommendation, giving approximately 100 people in Australia access to a medicine to treat the underlying cause of their disease for the first time.</w:t>
      </w:r>
    </w:p>
    <w:sectPr w:rsidR="001D3241" w:rsidRPr="00F91CC3" w:rsidSect="00DE6778">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AD7ED" w14:textId="77777777" w:rsidR="00F63300" w:rsidRDefault="00F63300" w:rsidP="00124A51">
      <w:r>
        <w:separator/>
      </w:r>
    </w:p>
    <w:p w14:paraId="6D5A66F4" w14:textId="77777777" w:rsidR="00F63300" w:rsidRDefault="00F63300"/>
  </w:endnote>
  <w:endnote w:type="continuationSeparator" w:id="0">
    <w:p w14:paraId="06336BB5" w14:textId="77777777" w:rsidR="00F63300" w:rsidRDefault="00F63300" w:rsidP="00124A51">
      <w:r>
        <w:continuationSeparator/>
      </w:r>
    </w:p>
    <w:p w14:paraId="7DB7A75D" w14:textId="77777777" w:rsidR="00F63300" w:rsidRDefault="00F63300"/>
  </w:endnote>
  <w:endnote w:type="continuationNotice" w:id="1">
    <w:p w14:paraId="4B80C459" w14:textId="77777777" w:rsidR="006A1168" w:rsidRDefault="006A11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1" w:usb1="09070000" w:usb2="00000010" w:usb3="00000000" w:csb0="000A0000"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560A" w14:textId="77777777" w:rsidR="004E53B2" w:rsidRDefault="004E53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77777777" w:rsidR="00D96086" w:rsidRDefault="00D96086" w:rsidP="00753B29">
    <w:pPr>
      <w:pStyle w:val="Footer"/>
      <w:jc w:val="center"/>
    </w:pPr>
  </w:p>
  <w:p w14:paraId="37484CD3" w14:textId="139FCE6B" w:rsidR="00D96086" w:rsidRPr="007C1CD9" w:rsidRDefault="00D96086" w:rsidP="00753B29">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9A09" w14:textId="77777777" w:rsidR="004E53B2" w:rsidRDefault="004E5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B2D24" w14:textId="77777777" w:rsidR="00F63300" w:rsidRDefault="00F63300" w:rsidP="00124A51">
      <w:r>
        <w:separator/>
      </w:r>
    </w:p>
    <w:p w14:paraId="762F9897" w14:textId="77777777" w:rsidR="00F63300" w:rsidRDefault="00F63300"/>
  </w:footnote>
  <w:footnote w:type="continuationSeparator" w:id="0">
    <w:p w14:paraId="142A0C7B" w14:textId="77777777" w:rsidR="00F63300" w:rsidRDefault="00F63300" w:rsidP="00124A51">
      <w:r>
        <w:continuationSeparator/>
      </w:r>
    </w:p>
    <w:p w14:paraId="2C2D7CE3" w14:textId="77777777" w:rsidR="00F63300" w:rsidRDefault="00F63300"/>
  </w:footnote>
  <w:footnote w:type="continuationNotice" w:id="1">
    <w:p w14:paraId="15FD3F7A" w14:textId="77777777" w:rsidR="006A1168" w:rsidRDefault="006A1168"/>
  </w:footnote>
  <w:footnote w:id="2">
    <w:p w14:paraId="4448DA67" w14:textId="77777777" w:rsidR="00D96086" w:rsidRDefault="00D96086" w:rsidP="00712DD7">
      <w:pPr>
        <w:pStyle w:val="EndNoteBibliography"/>
        <w:spacing w:after="0"/>
        <w:rPr>
          <w:rFonts w:asciiTheme="minorHAnsi" w:hAnsiTheme="minorHAnsi" w:cstheme="minorHAnsi"/>
          <w:sz w:val="24"/>
          <w:szCs w:val="24"/>
        </w:rPr>
      </w:pPr>
      <w:r>
        <w:rPr>
          <w:rStyle w:val="FootnoteReference"/>
          <w:rFonts w:asciiTheme="minorHAnsi" w:hAnsiTheme="minorHAnsi" w:cstheme="minorHAnsi"/>
          <w:sz w:val="24"/>
          <w:szCs w:val="24"/>
        </w:rPr>
        <w:footnoteRef/>
      </w:r>
      <w:r>
        <w:rPr>
          <w:rFonts w:asciiTheme="minorHAnsi" w:hAnsiTheme="minorHAnsi" w:cstheme="minorHAnsi"/>
          <w:sz w:val="24"/>
          <w:szCs w:val="24"/>
        </w:rPr>
        <w:t xml:space="preserve"> Southern, K. W.</w:t>
      </w:r>
      <w:r>
        <w:rPr>
          <w:rFonts w:asciiTheme="minorHAnsi" w:hAnsiTheme="minorHAnsi" w:cstheme="minorHAnsi"/>
          <w:i/>
          <w:sz w:val="24"/>
          <w:szCs w:val="24"/>
        </w:rPr>
        <w:t>, et al.</w:t>
      </w:r>
      <w:r>
        <w:rPr>
          <w:rFonts w:asciiTheme="minorHAnsi" w:hAnsiTheme="minorHAnsi" w:cstheme="minorHAnsi"/>
          <w:sz w:val="24"/>
          <w:szCs w:val="24"/>
        </w:rPr>
        <w:t xml:space="preserve"> (2023). Standards of care for CFTR variant-specific therapy (including modulators) for people with cystic fibrosis. </w:t>
      </w:r>
      <w:r>
        <w:rPr>
          <w:rFonts w:asciiTheme="minorHAnsi" w:hAnsiTheme="minorHAnsi" w:cstheme="minorHAnsi"/>
          <w:i/>
          <w:iCs/>
          <w:sz w:val="24"/>
          <w:szCs w:val="24"/>
        </w:rPr>
        <w:t>Journal of Cystic Fibrosis</w:t>
      </w:r>
      <w:r>
        <w:rPr>
          <w:rFonts w:asciiTheme="minorHAnsi" w:hAnsiTheme="minorHAnsi" w:cstheme="minorHAnsi"/>
          <w:sz w:val="24"/>
          <w:szCs w:val="24"/>
        </w:rPr>
        <w:t xml:space="preserve"> </w:t>
      </w:r>
      <w:r>
        <w:rPr>
          <w:rFonts w:asciiTheme="minorHAnsi" w:hAnsiTheme="minorHAnsi" w:cstheme="minorHAnsi"/>
          <w:bCs/>
          <w:sz w:val="24"/>
          <w:szCs w:val="24"/>
        </w:rPr>
        <w:t>22</w:t>
      </w:r>
      <w:r>
        <w:rPr>
          <w:rFonts w:asciiTheme="minorHAnsi" w:hAnsiTheme="minorHAnsi" w:cstheme="minorHAnsi"/>
          <w:sz w:val="24"/>
          <w:szCs w:val="24"/>
        </w:rPr>
        <w:t>(1): 17-30.</w:t>
      </w:r>
    </w:p>
    <w:p w14:paraId="39EF8A9E" w14:textId="77777777" w:rsidR="00D96086" w:rsidRDefault="00D96086" w:rsidP="00712DD7">
      <w:pPr>
        <w:pStyle w:val="FootnoteText"/>
        <w:rPr>
          <w:lang w:val="en-US"/>
        </w:rPr>
      </w:pPr>
    </w:p>
  </w:footnote>
  <w:footnote w:id="3">
    <w:p w14:paraId="3FFAF613" w14:textId="77777777" w:rsidR="001C46BD" w:rsidRDefault="001C46BD" w:rsidP="001C46BD">
      <w:pPr>
        <w:pStyle w:val="FootnoteText"/>
      </w:pPr>
      <w:r>
        <w:rPr>
          <w:rStyle w:val="FootnoteReference"/>
        </w:rPr>
        <w:footnoteRef/>
      </w:r>
      <w:r>
        <w:t xml:space="preserve"> Ivacaftor PI, </w:t>
      </w:r>
      <w:hyperlink r:id="rId1" w:history="1">
        <w:r w:rsidRPr="006B7BAF">
          <w:rPr>
            <w:rStyle w:val="Hyperlink"/>
          </w:rPr>
          <w:t>https://www.ebs.tga.gov.au/ebs/picmi/picmirepository.nsf/PICMI?OpenForm&amp;t=&amp;q=ivacaftor</w:t>
        </w:r>
      </w:hyperlink>
    </w:p>
  </w:footnote>
  <w:footnote w:id="4">
    <w:p w14:paraId="663DE1CE" w14:textId="77777777" w:rsidR="00D96086" w:rsidRDefault="00D96086" w:rsidP="00034A31">
      <w:pPr>
        <w:pStyle w:val="FootnoteText"/>
      </w:pPr>
      <w:r>
        <w:rPr>
          <w:rStyle w:val="FootnoteReference"/>
        </w:rPr>
        <w:footnoteRef/>
      </w:r>
      <w:r>
        <w:t xml:space="preserve"> </w:t>
      </w:r>
      <w:r w:rsidRPr="00BD141D">
        <w:t>https://respiratory-research.biomedcentral.com/articles/10.1186/s12931-017-0592-z</w:t>
      </w:r>
    </w:p>
  </w:footnote>
  <w:footnote w:id="5">
    <w:p w14:paraId="6F0C9957" w14:textId="77777777" w:rsidR="00D96086" w:rsidRDefault="00D96086" w:rsidP="00034A31">
      <w:pPr>
        <w:pStyle w:val="FootnoteText"/>
      </w:pPr>
      <w:r>
        <w:rPr>
          <w:rStyle w:val="FootnoteReference"/>
        </w:rPr>
        <w:footnoteRef/>
      </w:r>
      <w:r>
        <w:t xml:space="preserve"> NHS England, 2015, Clinical Commissioning Policy: Ivacaftor for Cystic Fibrosis (named mutations).</w:t>
      </w:r>
    </w:p>
  </w:footnote>
  <w:footnote w:id="6">
    <w:p w14:paraId="516381F6" w14:textId="77777777" w:rsidR="00D96086" w:rsidRDefault="00D96086" w:rsidP="00034A31">
      <w:pPr>
        <w:pStyle w:val="FootnoteText"/>
      </w:pPr>
      <w:r>
        <w:rPr>
          <w:rStyle w:val="FootnoteReference"/>
        </w:rPr>
        <w:footnoteRef/>
      </w:r>
      <w:r>
        <w:t xml:space="preserve"> Singh &amp; Schwarzenberg (2017). </w:t>
      </w:r>
      <w:r w:rsidRPr="00704FA3">
        <w:t>Pancreatic insufficiency in Cystic Fibrosis</w:t>
      </w:r>
      <w:r>
        <w:t>. Journal of Cystic Fibrosis. 16 (2), S70-S78.</w:t>
      </w:r>
    </w:p>
  </w:footnote>
  <w:footnote w:id="7">
    <w:p w14:paraId="0E5DDF2F" w14:textId="77777777" w:rsidR="006F24B9" w:rsidRDefault="006F24B9" w:rsidP="006F24B9">
      <w:pPr>
        <w:pStyle w:val="FootnoteText"/>
      </w:pPr>
      <w:r w:rsidRPr="00134E36">
        <w:t>R117H Gene Mutation</w:t>
      </w:r>
      <w:r>
        <w:t xml:space="preserve">. </w:t>
      </w:r>
      <w:r w:rsidRPr="00134E36">
        <w:t>J Cyst Fibros. 2018 Jul; 17(4): 503–510.</w:t>
      </w:r>
    </w:p>
  </w:footnote>
  <w:footnote w:id="8">
    <w:p w14:paraId="78DC903C" w14:textId="77777777" w:rsidR="00D96086" w:rsidRDefault="00D96086" w:rsidP="00034A31">
      <w:pPr>
        <w:pStyle w:val="FooterTableFigure"/>
      </w:pPr>
      <w:r>
        <w:rPr>
          <w:rStyle w:val="FootnoteReference"/>
        </w:rPr>
        <w:footnoteRef/>
      </w:r>
      <w:r>
        <w:t xml:space="preserve"> Van Goor, F.</w:t>
      </w:r>
      <w:r>
        <w:rPr>
          <w:i/>
        </w:rPr>
        <w:t>, et al.</w:t>
      </w:r>
      <w:r>
        <w:t xml:space="preserve"> (2011), Correction of the F508del-CFTR protein processing defect </w:t>
      </w:r>
      <w:r>
        <w:rPr>
          <w:i/>
        </w:rPr>
        <w:t>in vitro</w:t>
      </w:r>
      <w:r>
        <w:t xml:space="preserve"> by the investigational drug VX-809, </w:t>
      </w:r>
      <w:r w:rsidRPr="00740EE6">
        <w:t>Proc Natl Acad Sci USA</w:t>
      </w:r>
      <w:r>
        <w:t xml:space="preserve"> </w:t>
      </w:r>
      <w:r w:rsidRPr="00740EE6">
        <w:t>108</w:t>
      </w:r>
      <w:r>
        <w:t>(46): 18843-18848.</w:t>
      </w:r>
    </w:p>
  </w:footnote>
  <w:footnote w:id="9">
    <w:p w14:paraId="40964382" w14:textId="77777777" w:rsidR="00D96086" w:rsidRDefault="00D96086" w:rsidP="00034A31">
      <w:pPr>
        <w:pStyle w:val="FooterTableFigure"/>
      </w:pPr>
      <w:r>
        <w:rPr>
          <w:rStyle w:val="FootnoteReference"/>
        </w:rPr>
        <w:footnoteRef/>
      </w:r>
      <w:r>
        <w:t xml:space="preserve"> Veit, G.</w:t>
      </w:r>
      <w:r>
        <w:rPr>
          <w:i/>
        </w:rPr>
        <w:t>, et al.</w:t>
      </w:r>
      <w:r>
        <w:t xml:space="preserve"> (2018), Structure-guided combination therapy to potently improve the function of mutant CFTRs, </w:t>
      </w:r>
      <w:r w:rsidRPr="00740EE6">
        <w:t>Nat Med 24</w:t>
      </w:r>
      <w:r>
        <w:t>(11): 1732-1742.</w:t>
      </w:r>
    </w:p>
  </w:footnote>
  <w:footnote w:id="10">
    <w:p w14:paraId="5FA8B9DA" w14:textId="77777777" w:rsidR="00D96086" w:rsidRDefault="00D96086" w:rsidP="00034A31">
      <w:pPr>
        <w:pStyle w:val="FootnoteText"/>
      </w:pPr>
      <w:r>
        <w:rPr>
          <w:rStyle w:val="FootnoteReference"/>
        </w:rPr>
        <w:footnoteRef/>
      </w:r>
      <w:r>
        <w:t xml:space="preserve"> </w:t>
      </w:r>
      <w:r w:rsidRPr="002542B2">
        <w:rPr>
          <w:rFonts w:ascii="Arial Narrow" w:hAnsi="Arial Narrow"/>
          <w:sz w:val="18"/>
          <w:szCs w:val="18"/>
        </w:rPr>
        <w:t xml:space="preserve">Kalydeko (ivacaftor), Clinical trials for patients age 6 years or older, </w:t>
      </w:r>
      <w:hyperlink r:id="rId2" w:history="1">
        <w:r w:rsidRPr="002542B2">
          <w:rPr>
            <w:rStyle w:val="Hyperlink"/>
            <w:rFonts w:ascii="Arial Narrow" w:hAnsi="Arial Narrow"/>
            <w:sz w:val="18"/>
            <w:szCs w:val="18"/>
          </w:rPr>
          <w:t>https://www.kalydecohcp.com/trials-2-4-5</w:t>
        </w:r>
      </w:hyperlink>
    </w:p>
  </w:footnote>
  <w:footnote w:id="11">
    <w:p w14:paraId="66EEC20D" w14:textId="77777777" w:rsidR="00D96086" w:rsidRDefault="00D96086" w:rsidP="00034A31">
      <w:pPr>
        <w:pStyle w:val="FooterTableFigure"/>
      </w:pPr>
      <w:r>
        <w:rPr>
          <w:rStyle w:val="FootnoteReference"/>
        </w:rPr>
        <w:footnoteRef/>
      </w:r>
      <w:r>
        <w:t xml:space="preserve"> Pedemonte et al. (2010), </w:t>
      </w:r>
      <w:r w:rsidRPr="00D93455">
        <w:t>Influence of cell background on pharmacological rescue of mutant CFTR</w:t>
      </w:r>
      <w:r>
        <w:t xml:space="preserve">, </w:t>
      </w:r>
      <w:r w:rsidRPr="00D93455">
        <w:rPr>
          <w:i/>
        </w:rPr>
        <w:t>Am J Physiol Cell Physiol 298: C866–C874</w:t>
      </w:r>
      <w:r>
        <w:rPr>
          <w:i/>
        </w:rPr>
        <w:t>.</w:t>
      </w:r>
    </w:p>
  </w:footnote>
  <w:footnote w:id="12">
    <w:p w14:paraId="70974F1A" w14:textId="77777777" w:rsidR="00D96086" w:rsidRDefault="00D96086" w:rsidP="00034A31">
      <w:pPr>
        <w:pStyle w:val="FooterTableFigure"/>
      </w:pPr>
      <w:r>
        <w:rPr>
          <w:rStyle w:val="FootnoteReference"/>
        </w:rPr>
        <w:footnoteRef/>
      </w:r>
      <w:r>
        <w:t xml:space="preserve"> Haggie et al. (2017), Correctors and Potentiators Rescue Function of the Truncated W1282X-Cystic Fibrosis Transmembrane Regulator (CFTR) Translation Product, The Journal of Biological Chemistry, </w:t>
      </w:r>
      <w:r w:rsidRPr="00D93455">
        <w:t>292</w:t>
      </w:r>
      <w:r>
        <w:t>(3)</w:t>
      </w:r>
      <w:r w:rsidRPr="00D93455">
        <w:t>, pp. 771–785</w:t>
      </w:r>
      <w:r>
        <w:t>.</w:t>
      </w:r>
    </w:p>
  </w:footnote>
  <w:footnote w:id="13">
    <w:p w14:paraId="77C2853D" w14:textId="77777777" w:rsidR="00D96086" w:rsidRPr="00D93455" w:rsidRDefault="00D96086" w:rsidP="00034A31">
      <w:pPr>
        <w:pStyle w:val="FooterTableFigure"/>
        <w:rPr>
          <w:i/>
        </w:rPr>
      </w:pPr>
      <w:r>
        <w:rPr>
          <w:rStyle w:val="FootnoteReference"/>
        </w:rPr>
        <w:footnoteRef/>
      </w:r>
      <w:r>
        <w:t xml:space="preserve"> Cholon &amp; Gentzsch (2018), Recent progress in translational cystic fibrosis research using precision medicine strategies, </w:t>
      </w:r>
      <w:r w:rsidRPr="00D93455">
        <w:rPr>
          <w:i/>
        </w:rPr>
        <w:t>Journal of Cystic Fibrosis 17 (2018) S52–S60.</w:t>
      </w:r>
    </w:p>
  </w:footnote>
  <w:footnote w:id="14">
    <w:p w14:paraId="7C7E6B78" w14:textId="77777777" w:rsidR="00D96086" w:rsidRDefault="00D96086" w:rsidP="00034A31">
      <w:pPr>
        <w:pStyle w:val="FooterTableFigure"/>
      </w:pPr>
      <w:r>
        <w:rPr>
          <w:rStyle w:val="FootnoteReference"/>
        </w:rPr>
        <w:footnoteRef/>
      </w:r>
      <w:r>
        <w:t xml:space="preserve"> Berkers et al. (2019), Rectal Organoids Enable Personalized Treatment of Cystic Fibrosis, </w:t>
      </w:r>
      <w:r w:rsidRPr="00E555E5">
        <w:rPr>
          <w:i/>
        </w:rPr>
        <w:t>Cell Reports 26, 1701–1708</w:t>
      </w:r>
      <w:r>
        <w:rPr>
          <w:i/>
        </w:rPr>
        <w:t>.</w:t>
      </w:r>
    </w:p>
  </w:footnote>
  <w:footnote w:id="15">
    <w:p w14:paraId="18EDD39B" w14:textId="77777777" w:rsidR="00D96086" w:rsidRDefault="00D96086" w:rsidP="00034A31">
      <w:pPr>
        <w:pStyle w:val="FooterTableFigure"/>
      </w:pPr>
      <w:r>
        <w:rPr>
          <w:rStyle w:val="FootnoteReference"/>
        </w:rPr>
        <w:footnoteRef/>
      </w:r>
      <w:r>
        <w:t xml:space="preserve"> Dekkers et al. (2016), Characterizing responses to CFTR-modulating drugs using rectal organoids derived from subjects with cystic fibrosis, </w:t>
      </w:r>
      <w:r w:rsidRPr="00A9264E">
        <w:rPr>
          <w:i/>
        </w:rPr>
        <w:t>Sci</w:t>
      </w:r>
      <w:r>
        <w:rPr>
          <w:i/>
        </w:rPr>
        <w:t>.</w:t>
      </w:r>
      <w:r w:rsidRPr="00A9264E">
        <w:rPr>
          <w:i/>
        </w:rPr>
        <w:t xml:space="preserve"> Trans</w:t>
      </w:r>
      <w:r>
        <w:rPr>
          <w:i/>
        </w:rPr>
        <w:t>.</w:t>
      </w:r>
      <w:r w:rsidRPr="00A9264E">
        <w:rPr>
          <w:i/>
        </w:rPr>
        <w:t xml:space="preserve"> Med</w:t>
      </w:r>
      <w:r>
        <w:rPr>
          <w:i/>
        </w:rPr>
        <w:t>.</w:t>
      </w:r>
      <w:r w:rsidRPr="00A9264E">
        <w:rPr>
          <w:i/>
        </w:rPr>
        <w:t xml:space="preserve"> 8</w:t>
      </w:r>
      <w:r>
        <w:rPr>
          <w:i/>
        </w:rPr>
        <w:t>(</w:t>
      </w:r>
      <w:r w:rsidRPr="00A9264E">
        <w:rPr>
          <w:i/>
        </w:rPr>
        <w:t>344</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FADB" w14:textId="77777777" w:rsidR="004E53B2" w:rsidRDefault="004E53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E204" w14:textId="17877252" w:rsidR="00D96086" w:rsidRPr="00195452" w:rsidRDefault="004C710C" w:rsidP="00D822E2">
    <w:pPr>
      <w:pStyle w:val="Header"/>
      <w:rPr>
        <w:rFonts w:asciiTheme="minorHAnsi" w:hAnsiTheme="minorHAnsi"/>
        <w:i/>
        <w:color w:val="808080"/>
      </w:rPr>
    </w:pPr>
    <w:r>
      <w:rPr>
        <w:rFonts w:asciiTheme="minorHAnsi" w:hAnsiTheme="minorHAnsi"/>
        <w:i/>
        <w:color w:val="808080"/>
      </w:rPr>
      <w:t>Public Summary Document</w:t>
    </w:r>
    <w:r w:rsidR="0007621A">
      <w:rPr>
        <w:rFonts w:asciiTheme="minorHAnsi" w:hAnsiTheme="minorHAnsi"/>
        <w:i/>
        <w:color w:val="808080"/>
      </w:rPr>
      <w:t xml:space="preserve"> - </w:t>
    </w:r>
    <w:r w:rsidR="00D96086">
      <w:rPr>
        <w:rFonts w:asciiTheme="minorHAnsi" w:hAnsiTheme="minorHAnsi"/>
        <w:i/>
        <w:color w:val="808080"/>
      </w:rPr>
      <w:t xml:space="preserve">November 2023 </w:t>
    </w:r>
    <w:r w:rsidR="00D96086" w:rsidRPr="00195452">
      <w:rPr>
        <w:rFonts w:asciiTheme="minorHAnsi" w:hAnsiTheme="minorHAnsi"/>
        <w:i/>
        <w:color w:val="808080"/>
      </w:rPr>
      <w:t>PBAC Meeting</w:t>
    </w:r>
  </w:p>
  <w:p w14:paraId="03AF943B" w14:textId="77777777" w:rsidR="00D96086" w:rsidRPr="008C7ECB" w:rsidRDefault="00D960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35F97" w14:textId="77777777" w:rsidR="004E53B2" w:rsidRDefault="004E5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7F2EC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7054B"/>
    <w:multiLevelType w:val="hybridMultilevel"/>
    <w:tmpl w:val="7690CE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32021AE"/>
    <w:multiLevelType w:val="hybridMultilevel"/>
    <w:tmpl w:val="89CA9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E57D49"/>
    <w:multiLevelType w:val="hybridMultilevel"/>
    <w:tmpl w:val="3CA62EB4"/>
    <w:lvl w:ilvl="0" w:tplc="F75AC54E">
      <w:start w:val="1"/>
      <w:numFmt w:val="bullet"/>
      <w:lvlText w:val="•"/>
      <w:lvlJc w:val="left"/>
      <w:pPr>
        <w:tabs>
          <w:tab w:val="num" w:pos="720"/>
        </w:tabs>
        <w:ind w:left="720" w:hanging="360"/>
      </w:pPr>
      <w:rPr>
        <w:rFonts w:ascii="Arial" w:hAnsi="Arial" w:hint="default"/>
      </w:rPr>
    </w:lvl>
    <w:lvl w:ilvl="1" w:tplc="F58CB0BE" w:tentative="1">
      <w:start w:val="1"/>
      <w:numFmt w:val="bullet"/>
      <w:lvlText w:val="•"/>
      <w:lvlJc w:val="left"/>
      <w:pPr>
        <w:tabs>
          <w:tab w:val="num" w:pos="1440"/>
        </w:tabs>
        <w:ind w:left="1440" w:hanging="360"/>
      </w:pPr>
      <w:rPr>
        <w:rFonts w:ascii="Arial" w:hAnsi="Arial" w:hint="default"/>
      </w:rPr>
    </w:lvl>
    <w:lvl w:ilvl="2" w:tplc="EB689022" w:tentative="1">
      <w:start w:val="1"/>
      <w:numFmt w:val="bullet"/>
      <w:lvlText w:val="•"/>
      <w:lvlJc w:val="left"/>
      <w:pPr>
        <w:tabs>
          <w:tab w:val="num" w:pos="2160"/>
        </w:tabs>
        <w:ind w:left="2160" w:hanging="360"/>
      </w:pPr>
      <w:rPr>
        <w:rFonts w:ascii="Arial" w:hAnsi="Arial" w:hint="default"/>
      </w:rPr>
    </w:lvl>
    <w:lvl w:ilvl="3" w:tplc="D572010E" w:tentative="1">
      <w:start w:val="1"/>
      <w:numFmt w:val="bullet"/>
      <w:lvlText w:val="•"/>
      <w:lvlJc w:val="left"/>
      <w:pPr>
        <w:tabs>
          <w:tab w:val="num" w:pos="2880"/>
        </w:tabs>
        <w:ind w:left="2880" w:hanging="360"/>
      </w:pPr>
      <w:rPr>
        <w:rFonts w:ascii="Arial" w:hAnsi="Arial" w:hint="default"/>
      </w:rPr>
    </w:lvl>
    <w:lvl w:ilvl="4" w:tplc="F38835C6" w:tentative="1">
      <w:start w:val="1"/>
      <w:numFmt w:val="bullet"/>
      <w:lvlText w:val="•"/>
      <w:lvlJc w:val="left"/>
      <w:pPr>
        <w:tabs>
          <w:tab w:val="num" w:pos="3600"/>
        </w:tabs>
        <w:ind w:left="3600" w:hanging="360"/>
      </w:pPr>
      <w:rPr>
        <w:rFonts w:ascii="Arial" w:hAnsi="Arial" w:hint="default"/>
      </w:rPr>
    </w:lvl>
    <w:lvl w:ilvl="5" w:tplc="78389240" w:tentative="1">
      <w:start w:val="1"/>
      <w:numFmt w:val="bullet"/>
      <w:lvlText w:val="•"/>
      <w:lvlJc w:val="left"/>
      <w:pPr>
        <w:tabs>
          <w:tab w:val="num" w:pos="4320"/>
        </w:tabs>
        <w:ind w:left="4320" w:hanging="360"/>
      </w:pPr>
      <w:rPr>
        <w:rFonts w:ascii="Arial" w:hAnsi="Arial" w:hint="default"/>
      </w:rPr>
    </w:lvl>
    <w:lvl w:ilvl="6" w:tplc="2098C094" w:tentative="1">
      <w:start w:val="1"/>
      <w:numFmt w:val="bullet"/>
      <w:lvlText w:val="•"/>
      <w:lvlJc w:val="left"/>
      <w:pPr>
        <w:tabs>
          <w:tab w:val="num" w:pos="5040"/>
        </w:tabs>
        <w:ind w:left="5040" w:hanging="360"/>
      </w:pPr>
      <w:rPr>
        <w:rFonts w:ascii="Arial" w:hAnsi="Arial" w:hint="default"/>
      </w:rPr>
    </w:lvl>
    <w:lvl w:ilvl="7" w:tplc="794AAD54" w:tentative="1">
      <w:start w:val="1"/>
      <w:numFmt w:val="bullet"/>
      <w:lvlText w:val="•"/>
      <w:lvlJc w:val="left"/>
      <w:pPr>
        <w:tabs>
          <w:tab w:val="num" w:pos="5760"/>
        </w:tabs>
        <w:ind w:left="5760" w:hanging="360"/>
      </w:pPr>
      <w:rPr>
        <w:rFonts w:ascii="Arial" w:hAnsi="Arial" w:hint="default"/>
      </w:rPr>
    </w:lvl>
    <w:lvl w:ilvl="8" w:tplc="123034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1C1140"/>
    <w:multiLevelType w:val="hybridMultilevel"/>
    <w:tmpl w:val="E73C7BF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0053F11"/>
    <w:multiLevelType w:val="multilevel"/>
    <w:tmpl w:val="575CEDBE"/>
    <w:styleLink w:val="NumberBullet"/>
    <w:lvl w:ilvl="0">
      <w:start w:val="1"/>
      <w:numFmt w:val="decimal"/>
      <w:pStyle w:val="COMH1numbered"/>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6" w15:restartNumberingAfterBreak="0">
    <w:nsid w:val="126C60F9"/>
    <w:multiLevelType w:val="hybridMultilevel"/>
    <w:tmpl w:val="D5F23B2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345"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8425C39"/>
    <w:multiLevelType w:val="hybridMultilevel"/>
    <w:tmpl w:val="A06A6D2E"/>
    <w:styleLink w:val="Style2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DC62EC"/>
    <w:multiLevelType w:val="hybridMultilevel"/>
    <w:tmpl w:val="6DDE58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B41EC1"/>
    <w:multiLevelType w:val="hybridMultilevel"/>
    <w:tmpl w:val="235C04CC"/>
    <w:lvl w:ilvl="0" w:tplc="08090001">
      <w:start w:val="1"/>
      <w:numFmt w:val="bullet"/>
      <w:lvlText w:val=""/>
      <w:lvlJc w:val="left"/>
      <w:pPr>
        <w:ind w:left="773" w:hanging="360"/>
      </w:pPr>
      <w:rPr>
        <w:rFonts w:ascii="Symbol" w:hAnsi="Symbol" w:hint="default"/>
      </w:rPr>
    </w:lvl>
    <w:lvl w:ilvl="1" w:tplc="08090003">
      <w:start w:val="1"/>
      <w:numFmt w:val="bullet"/>
      <w:lvlText w:val="o"/>
      <w:lvlJc w:val="left"/>
      <w:pPr>
        <w:ind w:left="1493" w:hanging="360"/>
      </w:pPr>
      <w:rPr>
        <w:rFonts w:ascii="Courier New" w:hAnsi="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0" w15:restartNumberingAfterBreak="0">
    <w:nsid w:val="2D3A32C1"/>
    <w:multiLevelType w:val="hybridMultilevel"/>
    <w:tmpl w:val="984C05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0B513DB"/>
    <w:multiLevelType w:val="hybridMultilevel"/>
    <w:tmpl w:val="D71A94BA"/>
    <w:lvl w:ilvl="0" w:tplc="25EC19E2">
      <w:start w:val="1"/>
      <w:numFmt w:val="bullet"/>
      <w:lvlText w:val=""/>
      <w:lvlJc w:val="left"/>
      <w:pPr>
        <w:ind w:left="720" w:hanging="360"/>
      </w:pPr>
      <w:rPr>
        <w:rFonts w:ascii="Symbol" w:hAnsi="Symbol"/>
      </w:rPr>
    </w:lvl>
    <w:lvl w:ilvl="1" w:tplc="36A25C7E">
      <w:start w:val="1"/>
      <w:numFmt w:val="bullet"/>
      <w:lvlText w:val=""/>
      <w:lvlJc w:val="left"/>
      <w:pPr>
        <w:ind w:left="720" w:hanging="360"/>
      </w:pPr>
      <w:rPr>
        <w:rFonts w:ascii="Symbol" w:hAnsi="Symbol"/>
      </w:rPr>
    </w:lvl>
    <w:lvl w:ilvl="2" w:tplc="B5EE0078">
      <w:start w:val="1"/>
      <w:numFmt w:val="bullet"/>
      <w:lvlText w:val=""/>
      <w:lvlJc w:val="left"/>
      <w:pPr>
        <w:ind w:left="720" w:hanging="360"/>
      </w:pPr>
      <w:rPr>
        <w:rFonts w:ascii="Symbol" w:hAnsi="Symbol"/>
      </w:rPr>
    </w:lvl>
    <w:lvl w:ilvl="3" w:tplc="46DCCBA2">
      <w:start w:val="1"/>
      <w:numFmt w:val="bullet"/>
      <w:lvlText w:val=""/>
      <w:lvlJc w:val="left"/>
      <w:pPr>
        <w:ind w:left="720" w:hanging="360"/>
      </w:pPr>
      <w:rPr>
        <w:rFonts w:ascii="Symbol" w:hAnsi="Symbol"/>
      </w:rPr>
    </w:lvl>
    <w:lvl w:ilvl="4" w:tplc="7AE6327C">
      <w:start w:val="1"/>
      <w:numFmt w:val="bullet"/>
      <w:lvlText w:val=""/>
      <w:lvlJc w:val="left"/>
      <w:pPr>
        <w:ind w:left="720" w:hanging="360"/>
      </w:pPr>
      <w:rPr>
        <w:rFonts w:ascii="Symbol" w:hAnsi="Symbol"/>
      </w:rPr>
    </w:lvl>
    <w:lvl w:ilvl="5" w:tplc="3848B0A2">
      <w:start w:val="1"/>
      <w:numFmt w:val="bullet"/>
      <w:lvlText w:val=""/>
      <w:lvlJc w:val="left"/>
      <w:pPr>
        <w:ind w:left="720" w:hanging="360"/>
      </w:pPr>
      <w:rPr>
        <w:rFonts w:ascii="Symbol" w:hAnsi="Symbol"/>
      </w:rPr>
    </w:lvl>
    <w:lvl w:ilvl="6" w:tplc="EB4C66EC">
      <w:start w:val="1"/>
      <w:numFmt w:val="bullet"/>
      <w:lvlText w:val=""/>
      <w:lvlJc w:val="left"/>
      <w:pPr>
        <w:ind w:left="720" w:hanging="360"/>
      </w:pPr>
      <w:rPr>
        <w:rFonts w:ascii="Symbol" w:hAnsi="Symbol"/>
      </w:rPr>
    </w:lvl>
    <w:lvl w:ilvl="7" w:tplc="CEE478C6">
      <w:start w:val="1"/>
      <w:numFmt w:val="bullet"/>
      <w:lvlText w:val=""/>
      <w:lvlJc w:val="left"/>
      <w:pPr>
        <w:ind w:left="720" w:hanging="360"/>
      </w:pPr>
      <w:rPr>
        <w:rFonts w:ascii="Symbol" w:hAnsi="Symbol"/>
      </w:rPr>
    </w:lvl>
    <w:lvl w:ilvl="8" w:tplc="DF08CDFC">
      <w:start w:val="1"/>
      <w:numFmt w:val="bullet"/>
      <w:lvlText w:val=""/>
      <w:lvlJc w:val="left"/>
      <w:pPr>
        <w:ind w:left="720" w:hanging="360"/>
      </w:pPr>
      <w:rPr>
        <w:rFonts w:ascii="Symbol" w:hAnsi="Symbol"/>
      </w:rPr>
    </w:lvl>
  </w:abstractNum>
  <w:abstractNum w:abstractNumId="12" w15:restartNumberingAfterBreak="0">
    <w:nsid w:val="43D3389D"/>
    <w:multiLevelType w:val="hybridMultilevel"/>
    <w:tmpl w:val="43EE8066"/>
    <w:lvl w:ilvl="0" w:tplc="4ECC5720">
      <w:start w:val="1"/>
      <w:numFmt w:val="bullet"/>
      <w:lvlText w:val=""/>
      <w:lvlJc w:val="left"/>
      <w:pPr>
        <w:ind w:left="720" w:hanging="360"/>
      </w:pPr>
      <w:rPr>
        <w:rFonts w:ascii="Symbol" w:hAnsi="Symbol"/>
      </w:rPr>
    </w:lvl>
    <w:lvl w:ilvl="1" w:tplc="EC38A8D0">
      <w:start w:val="1"/>
      <w:numFmt w:val="bullet"/>
      <w:lvlText w:val=""/>
      <w:lvlJc w:val="left"/>
      <w:pPr>
        <w:ind w:left="720" w:hanging="360"/>
      </w:pPr>
      <w:rPr>
        <w:rFonts w:ascii="Symbol" w:hAnsi="Symbol"/>
      </w:rPr>
    </w:lvl>
    <w:lvl w:ilvl="2" w:tplc="B6F45DFE">
      <w:start w:val="1"/>
      <w:numFmt w:val="bullet"/>
      <w:lvlText w:val=""/>
      <w:lvlJc w:val="left"/>
      <w:pPr>
        <w:ind w:left="720" w:hanging="360"/>
      </w:pPr>
      <w:rPr>
        <w:rFonts w:ascii="Symbol" w:hAnsi="Symbol"/>
      </w:rPr>
    </w:lvl>
    <w:lvl w:ilvl="3" w:tplc="3E7209A4">
      <w:start w:val="1"/>
      <w:numFmt w:val="bullet"/>
      <w:lvlText w:val=""/>
      <w:lvlJc w:val="left"/>
      <w:pPr>
        <w:ind w:left="720" w:hanging="360"/>
      </w:pPr>
      <w:rPr>
        <w:rFonts w:ascii="Symbol" w:hAnsi="Symbol"/>
      </w:rPr>
    </w:lvl>
    <w:lvl w:ilvl="4" w:tplc="59BE3D94">
      <w:start w:val="1"/>
      <w:numFmt w:val="bullet"/>
      <w:lvlText w:val=""/>
      <w:lvlJc w:val="left"/>
      <w:pPr>
        <w:ind w:left="720" w:hanging="360"/>
      </w:pPr>
      <w:rPr>
        <w:rFonts w:ascii="Symbol" w:hAnsi="Symbol"/>
      </w:rPr>
    </w:lvl>
    <w:lvl w:ilvl="5" w:tplc="AFF4A4D8">
      <w:start w:val="1"/>
      <w:numFmt w:val="bullet"/>
      <w:lvlText w:val=""/>
      <w:lvlJc w:val="left"/>
      <w:pPr>
        <w:ind w:left="720" w:hanging="360"/>
      </w:pPr>
      <w:rPr>
        <w:rFonts w:ascii="Symbol" w:hAnsi="Symbol"/>
      </w:rPr>
    </w:lvl>
    <w:lvl w:ilvl="6" w:tplc="60728A7A">
      <w:start w:val="1"/>
      <w:numFmt w:val="bullet"/>
      <w:lvlText w:val=""/>
      <w:lvlJc w:val="left"/>
      <w:pPr>
        <w:ind w:left="720" w:hanging="360"/>
      </w:pPr>
      <w:rPr>
        <w:rFonts w:ascii="Symbol" w:hAnsi="Symbol"/>
      </w:rPr>
    </w:lvl>
    <w:lvl w:ilvl="7" w:tplc="F9421694">
      <w:start w:val="1"/>
      <w:numFmt w:val="bullet"/>
      <w:lvlText w:val=""/>
      <w:lvlJc w:val="left"/>
      <w:pPr>
        <w:ind w:left="720" w:hanging="360"/>
      </w:pPr>
      <w:rPr>
        <w:rFonts w:ascii="Symbol" w:hAnsi="Symbol"/>
      </w:rPr>
    </w:lvl>
    <w:lvl w:ilvl="8" w:tplc="B04281E0">
      <w:start w:val="1"/>
      <w:numFmt w:val="bullet"/>
      <w:lvlText w:val=""/>
      <w:lvlJc w:val="left"/>
      <w:pPr>
        <w:ind w:left="720" w:hanging="360"/>
      </w:pPr>
      <w:rPr>
        <w:rFonts w:ascii="Symbol" w:hAnsi="Symbol"/>
      </w:rPr>
    </w:lvl>
  </w:abstractNum>
  <w:abstractNum w:abstractNumId="13"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F0EDC"/>
    <w:multiLevelType w:val="hybridMultilevel"/>
    <w:tmpl w:val="72C0A80A"/>
    <w:lvl w:ilvl="0" w:tplc="62805CDA">
      <w:start w:val="1"/>
      <w:numFmt w:val="bullet"/>
      <w:pStyle w:val="Tablebulletlist"/>
      <w:lvlText w:val="•"/>
      <w:lvlJc w:val="left"/>
      <w:pPr>
        <w:ind w:left="468" w:hanging="360"/>
      </w:pPr>
      <w:rPr>
        <w:rFonts w:hint="default"/>
        <w:sz w:val="20"/>
        <w:szCs w:val="20"/>
      </w:rPr>
    </w:lvl>
    <w:lvl w:ilvl="1" w:tplc="B0A8C722">
      <w:start w:val="1"/>
      <w:numFmt w:val="bullet"/>
      <w:lvlText w:val="•"/>
      <w:lvlJc w:val="left"/>
      <w:pPr>
        <w:ind w:left="1061" w:hanging="356"/>
      </w:pPr>
      <w:rPr>
        <w:rFonts w:hint="default"/>
      </w:rPr>
    </w:lvl>
    <w:lvl w:ilvl="2" w:tplc="E0BC4358">
      <w:start w:val="1"/>
      <w:numFmt w:val="bullet"/>
      <w:lvlText w:val="•"/>
      <w:lvlJc w:val="left"/>
      <w:pPr>
        <w:ind w:left="1659" w:hanging="356"/>
      </w:pPr>
      <w:rPr>
        <w:rFonts w:hint="default"/>
      </w:rPr>
    </w:lvl>
    <w:lvl w:ilvl="3" w:tplc="EB8CDDD0">
      <w:start w:val="1"/>
      <w:numFmt w:val="bullet"/>
      <w:lvlText w:val="•"/>
      <w:lvlJc w:val="left"/>
      <w:pPr>
        <w:ind w:left="2257" w:hanging="356"/>
      </w:pPr>
      <w:rPr>
        <w:rFonts w:hint="default"/>
      </w:rPr>
    </w:lvl>
    <w:lvl w:ilvl="4" w:tplc="173E1550">
      <w:start w:val="1"/>
      <w:numFmt w:val="bullet"/>
      <w:lvlText w:val="•"/>
      <w:lvlJc w:val="left"/>
      <w:pPr>
        <w:ind w:left="2854" w:hanging="356"/>
      </w:pPr>
      <w:rPr>
        <w:rFonts w:hint="default"/>
      </w:rPr>
    </w:lvl>
    <w:lvl w:ilvl="5" w:tplc="08865432">
      <w:start w:val="1"/>
      <w:numFmt w:val="bullet"/>
      <w:lvlText w:val="•"/>
      <w:lvlJc w:val="left"/>
      <w:pPr>
        <w:ind w:left="3452" w:hanging="356"/>
      </w:pPr>
      <w:rPr>
        <w:rFonts w:hint="default"/>
      </w:rPr>
    </w:lvl>
    <w:lvl w:ilvl="6" w:tplc="677C8074">
      <w:start w:val="1"/>
      <w:numFmt w:val="bullet"/>
      <w:lvlText w:val="•"/>
      <w:lvlJc w:val="left"/>
      <w:pPr>
        <w:ind w:left="4050" w:hanging="356"/>
      </w:pPr>
      <w:rPr>
        <w:rFonts w:hint="default"/>
      </w:rPr>
    </w:lvl>
    <w:lvl w:ilvl="7" w:tplc="7082A91C">
      <w:start w:val="1"/>
      <w:numFmt w:val="bullet"/>
      <w:lvlText w:val="•"/>
      <w:lvlJc w:val="left"/>
      <w:pPr>
        <w:ind w:left="4648" w:hanging="356"/>
      </w:pPr>
      <w:rPr>
        <w:rFonts w:hint="default"/>
      </w:rPr>
    </w:lvl>
    <w:lvl w:ilvl="8" w:tplc="46545CBA">
      <w:start w:val="1"/>
      <w:numFmt w:val="bullet"/>
      <w:lvlText w:val="•"/>
      <w:lvlJc w:val="left"/>
      <w:pPr>
        <w:ind w:left="5245" w:hanging="356"/>
      </w:pPr>
      <w:rPr>
        <w:rFonts w:hint="default"/>
      </w:rPr>
    </w:lvl>
  </w:abstractNum>
  <w:abstractNum w:abstractNumId="16" w15:restartNumberingAfterBreak="0">
    <w:nsid w:val="608516CB"/>
    <w:multiLevelType w:val="multilevel"/>
    <w:tmpl w:val="047A177A"/>
    <w:styleLink w:val="Style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2082B55"/>
    <w:multiLevelType w:val="hybridMultilevel"/>
    <w:tmpl w:val="196C870A"/>
    <w:lvl w:ilvl="0" w:tplc="24A29C3E">
      <w:start w:val="1"/>
      <w:numFmt w:val="bullet"/>
      <w:lvlText w:val=""/>
      <w:lvlJc w:val="left"/>
      <w:pPr>
        <w:ind w:left="720" w:hanging="360"/>
      </w:pPr>
      <w:rPr>
        <w:rFonts w:ascii="Symbol" w:hAnsi="Symbol"/>
      </w:rPr>
    </w:lvl>
    <w:lvl w:ilvl="1" w:tplc="741A87C8">
      <w:start w:val="1"/>
      <w:numFmt w:val="bullet"/>
      <w:lvlText w:val=""/>
      <w:lvlJc w:val="left"/>
      <w:pPr>
        <w:ind w:left="720" w:hanging="360"/>
      </w:pPr>
      <w:rPr>
        <w:rFonts w:ascii="Symbol" w:hAnsi="Symbol"/>
      </w:rPr>
    </w:lvl>
    <w:lvl w:ilvl="2" w:tplc="AB6CE478">
      <w:start w:val="1"/>
      <w:numFmt w:val="bullet"/>
      <w:lvlText w:val=""/>
      <w:lvlJc w:val="left"/>
      <w:pPr>
        <w:ind w:left="720" w:hanging="360"/>
      </w:pPr>
      <w:rPr>
        <w:rFonts w:ascii="Symbol" w:hAnsi="Symbol"/>
      </w:rPr>
    </w:lvl>
    <w:lvl w:ilvl="3" w:tplc="6AEAECAA">
      <w:start w:val="1"/>
      <w:numFmt w:val="bullet"/>
      <w:lvlText w:val=""/>
      <w:lvlJc w:val="left"/>
      <w:pPr>
        <w:ind w:left="720" w:hanging="360"/>
      </w:pPr>
      <w:rPr>
        <w:rFonts w:ascii="Symbol" w:hAnsi="Symbol"/>
      </w:rPr>
    </w:lvl>
    <w:lvl w:ilvl="4" w:tplc="B43849A8">
      <w:start w:val="1"/>
      <w:numFmt w:val="bullet"/>
      <w:lvlText w:val=""/>
      <w:lvlJc w:val="left"/>
      <w:pPr>
        <w:ind w:left="720" w:hanging="360"/>
      </w:pPr>
      <w:rPr>
        <w:rFonts w:ascii="Symbol" w:hAnsi="Symbol"/>
      </w:rPr>
    </w:lvl>
    <w:lvl w:ilvl="5" w:tplc="0520EA06">
      <w:start w:val="1"/>
      <w:numFmt w:val="bullet"/>
      <w:lvlText w:val=""/>
      <w:lvlJc w:val="left"/>
      <w:pPr>
        <w:ind w:left="720" w:hanging="360"/>
      </w:pPr>
      <w:rPr>
        <w:rFonts w:ascii="Symbol" w:hAnsi="Symbol"/>
      </w:rPr>
    </w:lvl>
    <w:lvl w:ilvl="6" w:tplc="6E74E5CA">
      <w:start w:val="1"/>
      <w:numFmt w:val="bullet"/>
      <w:lvlText w:val=""/>
      <w:lvlJc w:val="left"/>
      <w:pPr>
        <w:ind w:left="720" w:hanging="360"/>
      </w:pPr>
      <w:rPr>
        <w:rFonts w:ascii="Symbol" w:hAnsi="Symbol"/>
      </w:rPr>
    </w:lvl>
    <w:lvl w:ilvl="7" w:tplc="1B500B14">
      <w:start w:val="1"/>
      <w:numFmt w:val="bullet"/>
      <w:lvlText w:val=""/>
      <w:lvlJc w:val="left"/>
      <w:pPr>
        <w:ind w:left="720" w:hanging="360"/>
      </w:pPr>
      <w:rPr>
        <w:rFonts w:ascii="Symbol" w:hAnsi="Symbol"/>
      </w:rPr>
    </w:lvl>
    <w:lvl w:ilvl="8" w:tplc="5FF6F802">
      <w:start w:val="1"/>
      <w:numFmt w:val="bullet"/>
      <w:lvlText w:val=""/>
      <w:lvlJc w:val="left"/>
      <w:pPr>
        <w:ind w:left="720" w:hanging="360"/>
      </w:pPr>
      <w:rPr>
        <w:rFonts w:ascii="Symbol" w:hAnsi="Symbol"/>
      </w:rPr>
    </w:lvl>
  </w:abstractNum>
  <w:abstractNum w:abstractNumId="18"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6ED30DB"/>
    <w:multiLevelType w:val="hybridMultilevel"/>
    <w:tmpl w:val="DD629C02"/>
    <w:lvl w:ilvl="0" w:tplc="0C090001">
      <w:start w:val="1"/>
      <w:numFmt w:val="bullet"/>
      <w:lvlText w:val=""/>
      <w:lvlJc w:val="left"/>
      <w:pPr>
        <w:ind w:left="1490" w:hanging="360"/>
      </w:pPr>
      <w:rPr>
        <w:rFonts w:ascii="Symbol" w:hAnsi="Symbol" w:hint="default"/>
      </w:rPr>
    </w:lvl>
    <w:lvl w:ilvl="1" w:tplc="0C090003">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22"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9EC272B"/>
    <w:multiLevelType w:val="hybridMultilevel"/>
    <w:tmpl w:val="1C8466F0"/>
    <w:lvl w:ilvl="0" w:tplc="812033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45259808">
    <w:abstractNumId w:val="22"/>
  </w:num>
  <w:num w:numId="2" w16cid:durableId="2126188835">
    <w:abstractNumId w:val="13"/>
  </w:num>
  <w:num w:numId="3" w16cid:durableId="1868331328">
    <w:abstractNumId w:val="14"/>
  </w:num>
  <w:num w:numId="4" w16cid:durableId="820582227">
    <w:abstractNumId w:val="0"/>
  </w:num>
  <w:num w:numId="5" w16cid:durableId="54547228">
    <w:abstractNumId w:val="22"/>
  </w:num>
  <w:num w:numId="6" w16cid:durableId="216012362">
    <w:abstractNumId w:val="18"/>
  </w:num>
  <w:num w:numId="7" w16cid:durableId="981692386">
    <w:abstractNumId w:val="7"/>
  </w:num>
  <w:num w:numId="8" w16cid:durableId="1469669909">
    <w:abstractNumId w:val="16"/>
  </w:num>
  <w:num w:numId="9" w16cid:durableId="1571385713">
    <w:abstractNumId w:val="15"/>
  </w:num>
  <w:num w:numId="10" w16cid:durableId="984702264">
    <w:abstractNumId w:val="22"/>
  </w:num>
  <w:num w:numId="11" w16cid:durableId="2131320834">
    <w:abstractNumId w:val="23"/>
  </w:num>
  <w:num w:numId="12" w16cid:durableId="1089077335">
    <w:abstractNumId w:val="8"/>
  </w:num>
  <w:num w:numId="13" w16cid:durableId="453254924">
    <w:abstractNumId w:val="10"/>
  </w:num>
  <w:num w:numId="14" w16cid:durableId="936063155">
    <w:abstractNumId w:val="21"/>
  </w:num>
  <w:num w:numId="15" w16cid:durableId="1942178101">
    <w:abstractNumId w:val="6"/>
  </w:num>
  <w:num w:numId="16" w16cid:durableId="182550273">
    <w:abstractNumId w:val="9"/>
  </w:num>
  <w:num w:numId="17" w16cid:durableId="875236476">
    <w:abstractNumId w:val="22"/>
    <w:lvlOverride w:ilvl="0"/>
    <w:lvlOverride w:ilvl="1"/>
  </w:num>
  <w:num w:numId="18" w16cid:durableId="615260395">
    <w:abstractNumId w:val="4"/>
  </w:num>
  <w:num w:numId="19" w16cid:durableId="1121460468">
    <w:abstractNumId w:val="19"/>
  </w:num>
  <w:num w:numId="20" w16cid:durableId="88164433">
    <w:abstractNumId w:val="2"/>
  </w:num>
  <w:num w:numId="21" w16cid:durableId="1882277981">
    <w:abstractNumId w:val="12"/>
  </w:num>
  <w:num w:numId="22" w16cid:durableId="1921407797">
    <w:abstractNumId w:val="11"/>
  </w:num>
  <w:num w:numId="23" w16cid:durableId="1935671917">
    <w:abstractNumId w:val="17"/>
  </w:num>
  <w:num w:numId="24" w16cid:durableId="797140288">
    <w:abstractNumId w:val="22"/>
  </w:num>
  <w:num w:numId="25" w16cid:durableId="1279335748">
    <w:abstractNumId w:val="20"/>
  </w:num>
  <w:num w:numId="26" w16cid:durableId="1432432070">
    <w:abstractNumId w:val="3"/>
  </w:num>
  <w:num w:numId="27" w16cid:durableId="60831636">
    <w:abstractNumId w:val="22"/>
  </w:num>
  <w:num w:numId="28" w16cid:durableId="1055395186">
    <w:abstractNumId w:val="1"/>
  </w:num>
  <w:num w:numId="29" w16cid:durableId="299388552">
    <w:abstractNumId w:val="5"/>
  </w:num>
  <w:num w:numId="30" w16cid:durableId="93866958">
    <w:abstractNumId w:val="22"/>
  </w:num>
  <w:num w:numId="31" w16cid:durableId="1537545573">
    <w:abstractNumId w:val="22"/>
  </w:num>
  <w:num w:numId="32" w16cid:durableId="1722317652">
    <w:abstractNumId w:val="22"/>
  </w:num>
  <w:num w:numId="33" w16cid:durableId="467092439">
    <w:abstractNumId w:val="22"/>
  </w:num>
  <w:num w:numId="34" w16cid:durableId="2002000950">
    <w:abstractNumId w:val="22"/>
  </w:num>
  <w:num w:numId="35" w16cid:durableId="1681927651">
    <w:abstractNumId w:val="22"/>
  </w:num>
  <w:num w:numId="36" w16cid:durableId="1582252561">
    <w:abstractNumId w:val="22"/>
  </w:num>
  <w:num w:numId="37" w16cid:durableId="153643750">
    <w:abstractNumId w:val="22"/>
  </w:num>
  <w:num w:numId="38" w16cid:durableId="1985546452">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318"/>
    <w:rsid w:val="00000790"/>
    <w:rsid w:val="00000D17"/>
    <w:rsid w:val="0000110B"/>
    <w:rsid w:val="00001235"/>
    <w:rsid w:val="000014E6"/>
    <w:rsid w:val="00001CF9"/>
    <w:rsid w:val="00002529"/>
    <w:rsid w:val="00002F01"/>
    <w:rsid w:val="00003499"/>
    <w:rsid w:val="000039B7"/>
    <w:rsid w:val="00003F64"/>
    <w:rsid w:val="00004B85"/>
    <w:rsid w:val="000056B9"/>
    <w:rsid w:val="0000639A"/>
    <w:rsid w:val="000068A4"/>
    <w:rsid w:val="0001313E"/>
    <w:rsid w:val="00013247"/>
    <w:rsid w:val="00014674"/>
    <w:rsid w:val="00015886"/>
    <w:rsid w:val="000162EF"/>
    <w:rsid w:val="00017B51"/>
    <w:rsid w:val="000207C9"/>
    <w:rsid w:val="00021137"/>
    <w:rsid w:val="0002225F"/>
    <w:rsid w:val="00022A7A"/>
    <w:rsid w:val="00023763"/>
    <w:rsid w:val="00024EB5"/>
    <w:rsid w:val="00025F79"/>
    <w:rsid w:val="000274B8"/>
    <w:rsid w:val="000308ED"/>
    <w:rsid w:val="00030BB4"/>
    <w:rsid w:val="0003110C"/>
    <w:rsid w:val="00031E4A"/>
    <w:rsid w:val="00032E31"/>
    <w:rsid w:val="00033863"/>
    <w:rsid w:val="00033CF3"/>
    <w:rsid w:val="00034A31"/>
    <w:rsid w:val="00034CA9"/>
    <w:rsid w:val="00035DC0"/>
    <w:rsid w:val="00036829"/>
    <w:rsid w:val="00036E6C"/>
    <w:rsid w:val="000378D0"/>
    <w:rsid w:val="00040895"/>
    <w:rsid w:val="000410A0"/>
    <w:rsid w:val="0004175A"/>
    <w:rsid w:val="000435EE"/>
    <w:rsid w:val="00043C37"/>
    <w:rsid w:val="00045017"/>
    <w:rsid w:val="00045A2B"/>
    <w:rsid w:val="0004698F"/>
    <w:rsid w:val="00046C51"/>
    <w:rsid w:val="00046D64"/>
    <w:rsid w:val="00047E09"/>
    <w:rsid w:val="000508C2"/>
    <w:rsid w:val="00051521"/>
    <w:rsid w:val="00051EF9"/>
    <w:rsid w:val="00052F02"/>
    <w:rsid w:val="000539D0"/>
    <w:rsid w:val="00054621"/>
    <w:rsid w:val="000546D7"/>
    <w:rsid w:val="0005494B"/>
    <w:rsid w:val="00054996"/>
    <w:rsid w:val="00054A8D"/>
    <w:rsid w:val="00054D04"/>
    <w:rsid w:val="00056D70"/>
    <w:rsid w:val="00056ECF"/>
    <w:rsid w:val="000578A3"/>
    <w:rsid w:val="000604DF"/>
    <w:rsid w:val="0006051D"/>
    <w:rsid w:val="00061767"/>
    <w:rsid w:val="000618F9"/>
    <w:rsid w:val="00062324"/>
    <w:rsid w:val="00062AF4"/>
    <w:rsid w:val="00062BC6"/>
    <w:rsid w:val="000638F3"/>
    <w:rsid w:val="00063D90"/>
    <w:rsid w:val="000653B5"/>
    <w:rsid w:val="0006616B"/>
    <w:rsid w:val="00066360"/>
    <w:rsid w:val="00066AF8"/>
    <w:rsid w:val="0006761D"/>
    <w:rsid w:val="00071248"/>
    <w:rsid w:val="00071B9F"/>
    <w:rsid w:val="000720B9"/>
    <w:rsid w:val="000737F7"/>
    <w:rsid w:val="000750AE"/>
    <w:rsid w:val="0007621A"/>
    <w:rsid w:val="0007672F"/>
    <w:rsid w:val="00076B54"/>
    <w:rsid w:val="000774F0"/>
    <w:rsid w:val="00080909"/>
    <w:rsid w:val="00080AFA"/>
    <w:rsid w:val="00080F41"/>
    <w:rsid w:val="000812CA"/>
    <w:rsid w:val="000819B2"/>
    <w:rsid w:val="00081E63"/>
    <w:rsid w:val="000822A5"/>
    <w:rsid w:val="0008258D"/>
    <w:rsid w:val="00083E99"/>
    <w:rsid w:val="000845D3"/>
    <w:rsid w:val="00084A89"/>
    <w:rsid w:val="00084FA8"/>
    <w:rsid w:val="000856C5"/>
    <w:rsid w:val="00085C31"/>
    <w:rsid w:val="00087EF7"/>
    <w:rsid w:val="000902D9"/>
    <w:rsid w:val="00090C7E"/>
    <w:rsid w:val="000911AC"/>
    <w:rsid w:val="00092600"/>
    <w:rsid w:val="0009262B"/>
    <w:rsid w:val="00093291"/>
    <w:rsid w:val="00093310"/>
    <w:rsid w:val="0009445C"/>
    <w:rsid w:val="00094E05"/>
    <w:rsid w:val="00095200"/>
    <w:rsid w:val="00095FE5"/>
    <w:rsid w:val="00096284"/>
    <w:rsid w:val="000964ED"/>
    <w:rsid w:val="000A0645"/>
    <w:rsid w:val="000A0F24"/>
    <w:rsid w:val="000A1122"/>
    <w:rsid w:val="000A190A"/>
    <w:rsid w:val="000A1BC0"/>
    <w:rsid w:val="000A1F8F"/>
    <w:rsid w:val="000A2F9E"/>
    <w:rsid w:val="000A30C3"/>
    <w:rsid w:val="000A3BCB"/>
    <w:rsid w:val="000A3E47"/>
    <w:rsid w:val="000A4CCB"/>
    <w:rsid w:val="000A522B"/>
    <w:rsid w:val="000A589C"/>
    <w:rsid w:val="000A5A05"/>
    <w:rsid w:val="000A5B79"/>
    <w:rsid w:val="000A6039"/>
    <w:rsid w:val="000A7453"/>
    <w:rsid w:val="000A7D08"/>
    <w:rsid w:val="000B0121"/>
    <w:rsid w:val="000B0670"/>
    <w:rsid w:val="000B06F5"/>
    <w:rsid w:val="000B0E75"/>
    <w:rsid w:val="000B157C"/>
    <w:rsid w:val="000B2C90"/>
    <w:rsid w:val="000B2DCB"/>
    <w:rsid w:val="000B334B"/>
    <w:rsid w:val="000B44CD"/>
    <w:rsid w:val="000B5CE0"/>
    <w:rsid w:val="000B62EB"/>
    <w:rsid w:val="000B6BF3"/>
    <w:rsid w:val="000B6CAC"/>
    <w:rsid w:val="000B7612"/>
    <w:rsid w:val="000B78AE"/>
    <w:rsid w:val="000B7DF4"/>
    <w:rsid w:val="000C08B2"/>
    <w:rsid w:val="000C0E25"/>
    <w:rsid w:val="000C1849"/>
    <w:rsid w:val="000C187B"/>
    <w:rsid w:val="000C1EB2"/>
    <w:rsid w:val="000C3833"/>
    <w:rsid w:val="000C3DF9"/>
    <w:rsid w:val="000C4CF2"/>
    <w:rsid w:val="000C6713"/>
    <w:rsid w:val="000C68E0"/>
    <w:rsid w:val="000D16C6"/>
    <w:rsid w:val="000D1BFC"/>
    <w:rsid w:val="000D1D5D"/>
    <w:rsid w:val="000D281A"/>
    <w:rsid w:val="000D2848"/>
    <w:rsid w:val="000D2ABF"/>
    <w:rsid w:val="000D2DEC"/>
    <w:rsid w:val="000D326A"/>
    <w:rsid w:val="000D38FB"/>
    <w:rsid w:val="000D46D5"/>
    <w:rsid w:val="000D5120"/>
    <w:rsid w:val="000D51FB"/>
    <w:rsid w:val="000D617F"/>
    <w:rsid w:val="000D6E5E"/>
    <w:rsid w:val="000E0640"/>
    <w:rsid w:val="000E135D"/>
    <w:rsid w:val="000E19CA"/>
    <w:rsid w:val="000E5031"/>
    <w:rsid w:val="000E5AFF"/>
    <w:rsid w:val="000E5E32"/>
    <w:rsid w:val="000E6218"/>
    <w:rsid w:val="000E6CFB"/>
    <w:rsid w:val="000E7085"/>
    <w:rsid w:val="000E76BE"/>
    <w:rsid w:val="000F00BA"/>
    <w:rsid w:val="000F037A"/>
    <w:rsid w:val="000F1460"/>
    <w:rsid w:val="000F316A"/>
    <w:rsid w:val="000F3C74"/>
    <w:rsid w:val="000F4BB8"/>
    <w:rsid w:val="000F4FA9"/>
    <w:rsid w:val="000F53FB"/>
    <w:rsid w:val="000F7127"/>
    <w:rsid w:val="000F7B54"/>
    <w:rsid w:val="001000B3"/>
    <w:rsid w:val="001008F1"/>
    <w:rsid w:val="00100F8A"/>
    <w:rsid w:val="00101512"/>
    <w:rsid w:val="001015E9"/>
    <w:rsid w:val="001027B3"/>
    <w:rsid w:val="00103C81"/>
    <w:rsid w:val="00104392"/>
    <w:rsid w:val="0010452E"/>
    <w:rsid w:val="00105941"/>
    <w:rsid w:val="00105AE2"/>
    <w:rsid w:val="00106051"/>
    <w:rsid w:val="001060C6"/>
    <w:rsid w:val="00106B80"/>
    <w:rsid w:val="0011032E"/>
    <w:rsid w:val="00111709"/>
    <w:rsid w:val="00111C1A"/>
    <w:rsid w:val="0011348B"/>
    <w:rsid w:val="0011408B"/>
    <w:rsid w:val="00114758"/>
    <w:rsid w:val="00115982"/>
    <w:rsid w:val="00116150"/>
    <w:rsid w:val="00116C53"/>
    <w:rsid w:val="00121031"/>
    <w:rsid w:val="00121709"/>
    <w:rsid w:val="00121799"/>
    <w:rsid w:val="00121961"/>
    <w:rsid w:val="00121BAA"/>
    <w:rsid w:val="001222FC"/>
    <w:rsid w:val="001232FB"/>
    <w:rsid w:val="0012350A"/>
    <w:rsid w:val="00123902"/>
    <w:rsid w:val="001239E1"/>
    <w:rsid w:val="00123FB7"/>
    <w:rsid w:val="00124A51"/>
    <w:rsid w:val="00126621"/>
    <w:rsid w:val="00126B1D"/>
    <w:rsid w:val="001301E9"/>
    <w:rsid w:val="00130B34"/>
    <w:rsid w:val="00131D82"/>
    <w:rsid w:val="00132B22"/>
    <w:rsid w:val="00133D36"/>
    <w:rsid w:val="00134644"/>
    <w:rsid w:val="00137645"/>
    <w:rsid w:val="0014015A"/>
    <w:rsid w:val="001405CC"/>
    <w:rsid w:val="00140E99"/>
    <w:rsid w:val="00143F67"/>
    <w:rsid w:val="00145234"/>
    <w:rsid w:val="0014533A"/>
    <w:rsid w:val="00145540"/>
    <w:rsid w:val="001456B0"/>
    <w:rsid w:val="00145CE7"/>
    <w:rsid w:val="001467C7"/>
    <w:rsid w:val="00150ADE"/>
    <w:rsid w:val="001537DA"/>
    <w:rsid w:val="00153B56"/>
    <w:rsid w:val="001540EC"/>
    <w:rsid w:val="001547AB"/>
    <w:rsid w:val="001550DA"/>
    <w:rsid w:val="0015511C"/>
    <w:rsid w:val="0015572A"/>
    <w:rsid w:val="00156E89"/>
    <w:rsid w:val="00156F8F"/>
    <w:rsid w:val="00157130"/>
    <w:rsid w:val="001576B1"/>
    <w:rsid w:val="0015779B"/>
    <w:rsid w:val="0016047B"/>
    <w:rsid w:val="001606CE"/>
    <w:rsid w:val="00160A4C"/>
    <w:rsid w:val="00162913"/>
    <w:rsid w:val="001638A7"/>
    <w:rsid w:val="00163EFF"/>
    <w:rsid w:val="00163F66"/>
    <w:rsid w:val="0016478E"/>
    <w:rsid w:val="00165AAE"/>
    <w:rsid w:val="00165EC4"/>
    <w:rsid w:val="001661FB"/>
    <w:rsid w:val="00166611"/>
    <w:rsid w:val="00166C57"/>
    <w:rsid w:val="001671A0"/>
    <w:rsid w:val="0016767F"/>
    <w:rsid w:val="00167F27"/>
    <w:rsid w:val="001729A8"/>
    <w:rsid w:val="00172E61"/>
    <w:rsid w:val="00173565"/>
    <w:rsid w:val="00173B07"/>
    <w:rsid w:val="001740D4"/>
    <w:rsid w:val="001746B4"/>
    <w:rsid w:val="001751FA"/>
    <w:rsid w:val="00181A72"/>
    <w:rsid w:val="00181C10"/>
    <w:rsid w:val="00181D9C"/>
    <w:rsid w:val="00182893"/>
    <w:rsid w:val="00182D2A"/>
    <w:rsid w:val="001837FF"/>
    <w:rsid w:val="00183E5E"/>
    <w:rsid w:val="00184548"/>
    <w:rsid w:val="00184B0E"/>
    <w:rsid w:val="00186468"/>
    <w:rsid w:val="00186BBF"/>
    <w:rsid w:val="0018752F"/>
    <w:rsid w:val="00193838"/>
    <w:rsid w:val="00194AD8"/>
    <w:rsid w:val="00195222"/>
    <w:rsid w:val="00195452"/>
    <w:rsid w:val="0019690E"/>
    <w:rsid w:val="001975D8"/>
    <w:rsid w:val="001A178E"/>
    <w:rsid w:val="001A2004"/>
    <w:rsid w:val="001A30E7"/>
    <w:rsid w:val="001A35EC"/>
    <w:rsid w:val="001A3976"/>
    <w:rsid w:val="001A43FA"/>
    <w:rsid w:val="001A47C5"/>
    <w:rsid w:val="001A59FB"/>
    <w:rsid w:val="001A5E9E"/>
    <w:rsid w:val="001A6354"/>
    <w:rsid w:val="001A6366"/>
    <w:rsid w:val="001A656C"/>
    <w:rsid w:val="001A789E"/>
    <w:rsid w:val="001A7AE8"/>
    <w:rsid w:val="001B204E"/>
    <w:rsid w:val="001B2080"/>
    <w:rsid w:val="001B2372"/>
    <w:rsid w:val="001B3443"/>
    <w:rsid w:val="001B4D20"/>
    <w:rsid w:val="001B6186"/>
    <w:rsid w:val="001B6A04"/>
    <w:rsid w:val="001B6D86"/>
    <w:rsid w:val="001B7D5F"/>
    <w:rsid w:val="001B7F84"/>
    <w:rsid w:val="001C0C05"/>
    <w:rsid w:val="001C19B6"/>
    <w:rsid w:val="001C21A0"/>
    <w:rsid w:val="001C2839"/>
    <w:rsid w:val="001C2A9B"/>
    <w:rsid w:val="001C2DB9"/>
    <w:rsid w:val="001C3DD6"/>
    <w:rsid w:val="001C4299"/>
    <w:rsid w:val="001C46BD"/>
    <w:rsid w:val="001C4874"/>
    <w:rsid w:val="001C5F94"/>
    <w:rsid w:val="001C6442"/>
    <w:rsid w:val="001C6E66"/>
    <w:rsid w:val="001C7A47"/>
    <w:rsid w:val="001D08B7"/>
    <w:rsid w:val="001D1100"/>
    <w:rsid w:val="001D1391"/>
    <w:rsid w:val="001D25D7"/>
    <w:rsid w:val="001D2A97"/>
    <w:rsid w:val="001D3241"/>
    <w:rsid w:val="001D5056"/>
    <w:rsid w:val="001D50B2"/>
    <w:rsid w:val="001D5B24"/>
    <w:rsid w:val="001D5E98"/>
    <w:rsid w:val="001D655D"/>
    <w:rsid w:val="001D71F4"/>
    <w:rsid w:val="001D7645"/>
    <w:rsid w:val="001E035A"/>
    <w:rsid w:val="001E03B1"/>
    <w:rsid w:val="001E1E86"/>
    <w:rsid w:val="001E238E"/>
    <w:rsid w:val="001E2483"/>
    <w:rsid w:val="001E28B2"/>
    <w:rsid w:val="001E2A69"/>
    <w:rsid w:val="001E2B1E"/>
    <w:rsid w:val="001E2CFF"/>
    <w:rsid w:val="001E2F24"/>
    <w:rsid w:val="001E30D4"/>
    <w:rsid w:val="001E34DF"/>
    <w:rsid w:val="001E52EB"/>
    <w:rsid w:val="001E5525"/>
    <w:rsid w:val="001E61D2"/>
    <w:rsid w:val="001E6536"/>
    <w:rsid w:val="001E740C"/>
    <w:rsid w:val="001E7649"/>
    <w:rsid w:val="001F1235"/>
    <w:rsid w:val="001F1CB3"/>
    <w:rsid w:val="001F2F57"/>
    <w:rsid w:val="001F38B5"/>
    <w:rsid w:val="001F3C36"/>
    <w:rsid w:val="001F4081"/>
    <w:rsid w:val="001F7361"/>
    <w:rsid w:val="001F7410"/>
    <w:rsid w:val="002011B0"/>
    <w:rsid w:val="0020149A"/>
    <w:rsid w:val="00202C3E"/>
    <w:rsid w:val="00203181"/>
    <w:rsid w:val="00203472"/>
    <w:rsid w:val="00203783"/>
    <w:rsid w:val="0020385F"/>
    <w:rsid w:val="002059C3"/>
    <w:rsid w:val="00205A6B"/>
    <w:rsid w:val="002061A1"/>
    <w:rsid w:val="002068A0"/>
    <w:rsid w:val="00207021"/>
    <w:rsid w:val="0020732F"/>
    <w:rsid w:val="00207D00"/>
    <w:rsid w:val="002105C1"/>
    <w:rsid w:val="002116FD"/>
    <w:rsid w:val="00211C95"/>
    <w:rsid w:val="00213DFC"/>
    <w:rsid w:val="00213EA1"/>
    <w:rsid w:val="00213EF5"/>
    <w:rsid w:val="0021432A"/>
    <w:rsid w:val="0021465A"/>
    <w:rsid w:val="00216BF5"/>
    <w:rsid w:val="002202F0"/>
    <w:rsid w:val="002225A6"/>
    <w:rsid w:val="00223B49"/>
    <w:rsid w:val="00223D5A"/>
    <w:rsid w:val="00224DD4"/>
    <w:rsid w:val="00225F3E"/>
    <w:rsid w:val="0022650B"/>
    <w:rsid w:val="002275C9"/>
    <w:rsid w:val="002278A0"/>
    <w:rsid w:val="0022796E"/>
    <w:rsid w:val="002301BB"/>
    <w:rsid w:val="00230522"/>
    <w:rsid w:val="002309CC"/>
    <w:rsid w:val="00230B67"/>
    <w:rsid w:val="00231BA9"/>
    <w:rsid w:val="0023209F"/>
    <w:rsid w:val="00233C01"/>
    <w:rsid w:val="0023413C"/>
    <w:rsid w:val="0023427E"/>
    <w:rsid w:val="002346F0"/>
    <w:rsid w:val="00234CD0"/>
    <w:rsid w:val="002356F7"/>
    <w:rsid w:val="0023629D"/>
    <w:rsid w:val="002366A6"/>
    <w:rsid w:val="00237255"/>
    <w:rsid w:val="00237307"/>
    <w:rsid w:val="00237EEA"/>
    <w:rsid w:val="002400A3"/>
    <w:rsid w:val="00240151"/>
    <w:rsid w:val="002424AF"/>
    <w:rsid w:val="002439DC"/>
    <w:rsid w:val="00243DEE"/>
    <w:rsid w:val="002441D2"/>
    <w:rsid w:val="00244DC8"/>
    <w:rsid w:val="002450CB"/>
    <w:rsid w:val="002458BA"/>
    <w:rsid w:val="00245CE9"/>
    <w:rsid w:val="0024636C"/>
    <w:rsid w:val="00247925"/>
    <w:rsid w:val="00251006"/>
    <w:rsid w:val="00251B74"/>
    <w:rsid w:val="002524D5"/>
    <w:rsid w:val="00253B1D"/>
    <w:rsid w:val="002542B2"/>
    <w:rsid w:val="00254DCF"/>
    <w:rsid w:val="00254E2A"/>
    <w:rsid w:val="0025534B"/>
    <w:rsid w:val="00255BB7"/>
    <w:rsid w:val="00255D65"/>
    <w:rsid w:val="00255E60"/>
    <w:rsid w:val="0025676F"/>
    <w:rsid w:val="00257541"/>
    <w:rsid w:val="00257A39"/>
    <w:rsid w:val="00257A3B"/>
    <w:rsid w:val="00257AC4"/>
    <w:rsid w:val="00257BBE"/>
    <w:rsid w:val="002610E7"/>
    <w:rsid w:val="00261EB4"/>
    <w:rsid w:val="00261EEF"/>
    <w:rsid w:val="0026249B"/>
    <w:rsid w:val="00262A1A"/>
    <w:rsid w:val="00262A87"/>
    <w:rsid w:val="00262B41"/>
    <w:rsid w:val="0026371F"/>
    <w:rsid w:val="00264CE1"/>
    <w:rsid w:val="00264D26"/>
    <w:rsid w:val="00265486"/>
    <w:rsid w:val="00265F0F"/>
    <w:rsid w:val="00266E4C"/>
    <w:rsid w:val="00267642"/>
    <w:rsid w:val="002676CB"/>
    <w:rsid w:val="00267AEA"/>
    <w:rsid w:val="002700E6"/>
    <w:rsid w:val="00270276"/>
    <w:rsid w:val="00270C35"/>
    <w:rsid w:val="0027156F"/>
    <w:rsid w:val="00271856"/>
    <w:rsid w:val="0027294B"/>
    <w:rsid w:val="00272F3F"/>
    <w:rsid w:val="002731B0"/>
    <w:rsid w:val="00273AAB"/>
    <w:rsid w:val="00273EB4"/>
    <w:rsid w:val="00274588"/>
    <w:rsid w:val="00274682"/>
    <w:rsid w:val="00275158"/>
    <w:rsid w:val="00275C5A"/>
    <w:rsid w:val="00276E7C"/>
    <w:rsid w:val="002770BE"/>
    <w:rsid w:val="00280219"/>
    <w:rsid w:val="00281014"/>
    <w:rsid w:val="002824BE"/>
    <w:rsid w:val="00283396"/>
    <w:rsid w:val="00285BCE"/>
    <w:rsid w:val="0028665D"/>
    <w:rsid w:val="00287ACF"/>
    <w:rsid w:val="002909B0"/>
    <w:rsid w:val="002911B7"/>
    <w:rsid w:val="002918CF"/>
    <w:rsid w:val="00292261"/>
    <w:rsid w:val="00293E63"/>
    <w:rsid w:val="00295DF7"/>
    <w:rsid w:val="00296B9D"/>
    <w:rsid w:val="002A14AB"/>
    <w:rsid w:val="002A2AB2"/>
    <w:rsid w:val="002A2ADE"/>
    <w:rsid w:val="002A2D8B"/>
    <w:rsid w:val="002A2F50"/>
    <w:rsid w:val="002A4870"/>
    <w:rsid w:val="002A4D91"/>
    <w:rsid w:val="002A6768"/>
    <w:rsid w:val="002A6850"/>
    <w:rsid w:val="002A7394"/>
    <w:rsid w:val="002A73AD"/>
    <w:rsid w:val="002A7943"/>
    <w:rsid w:val="002B05A1"/>
    <w:rsid w:val="002B09A4"/>
    <w:rsid w:val="002B1C1F"/>
    <w:rsid w:val="002B27FB"/>
    <w:rsid w:val="002B3632"/>
    <w:rsid w:val="002B3811"/>
    <w:rsid w:val="002B3C95"/>
    <w:rsid w:val="002B432F"/>
    <w:rsid w:val="002B51DD"/>
    <w:rsid w:val="002B62B3"/>
    <w:rsid w:val="002B6754"/>
    <w:rsid w:val="002B6CCE"/>
    <w:rsid w:val="002C0542"/>
    <w:rsid w:val="002C2510"/>
    <w:rsid w:val="002C2775"/>
    <w:rsid w:val="002C27C1"/>
    <w:rsid w:val="002C2FE5"/>
    <w:rsid w:val="002C2FF7"/>
    <w:rsid w:val="002C36E3"/>
    <w:rsid w:val="002C3F03"/>
    <w:rsid w:val="002C5099"/>
    <w:rsid w:val="002C5889"/>
    <w:rsid w:val="002C71CE"/>
    <w:rsid w:val="002D0594"/>
    <w:rsid w:val="002D05B1"/>
    <w:rsid w:val="002D08F8"/>
    <w:rsid w:val="002D1AA0"/>
    <w:rsid w:val="002D577C"/>
    <w:rsid w:val="002D7832"/>
    <w:rsid w:val="002D7FFC"/>
    <w:rsid w:val="002E1071"/>
    <w:rsid w:val="002E10D5"/>
    <w:rsid w:val="002E15B9"/>
    <w:rsid w:val="002E1D8D"/>
    <w:rsid w:val="002E2158"/>
    <w:rsid w:val="002E317E"/>
    <w:rsid w:val="002E4F02"/>
    <w:rsid w:val="002E5C2A"/>
    <w:rsid w:val="002E7482"/>
    <w:rsid w:val="002E74E0"/>
    <w:rsid w:val="002E7722"/>
    <w:rsid w:val="002E7B4B"/>
    <w:rsid w:val="002F07BA"/>
    <w:rsid w:val="002F0DA9"/>
    <w:rsid w:val="002F1014"/>
    <w:rsid w:val="002F152C"/>
    <w:rsid w:val="002F1E3B"/>
    <w:rsid w:val="002F382C"/>
    <w:rsid w:val="002F409C"/>
    <w:rsid w:val="002F643C"/>
    <w:rsid w:val="002F66CE"/>
    <w:rsid w:val="002F71C0"/>
    <w:rsid w:val="002F74F1"/>
    <w:rsid w:val="002F78E0"/>
    <w:rsid w:val="00301017"/>
    <w:rsid w:val="00301286"/>
    <w:rsid w:val="00301319"/>
    <w:rsid w:val="0030155F"/>
    <w:rsid w:val="00302E6A"/>
    <w:rsid w:val="0030389A"/>
    <w:rsid w:val="00304BA8"/>
    <w:rsid w:val="00304C62"/>
    <w:rsid w:val="0030587B"/>
    <w:rsid w:val="00305E0D"/>
    <w:rsid w:val="0030657B"/>
    <w:rsid w:val="00306D98"/>
    <w:rsid w:val="0030786C"/>
    <w:rsid w:val="00307C34"/>
    <w:rsid w:val="0031031A"/>
    <w:rsid w:val="003104A0"/>
    <w:rsid w:val="00310810"/>
    <w:rsid w:val="00310981"/>
    <w:rsid w:val="00311D9B"/>
    <w:rsid w:val="003124D9"/>
    <w:rsid w:val="00312594"/>
    <w:rsid w:val="00312C60"/>
    <w:rsid w:val="00312E8C"/>
    <w:rsid w:val="00314248"/>
    <w:rsid w:val="003143A3"/>
    <w:rsid w:val="00315498"/>
    <w:rsid w:val="00316474"/>
    <w:rsid w:val="003177E4"/>
    <w:rsid w:val="00322107"/>
    <w:rsid w:val="00322355"/>
    <w:rsid w:val="00322846"/>
    <w:rsid w:val="00323701"/>
    <w:rsid w:val="00326817"/>
    <w:rsid w:val="00326DA7"/>
    <w:rsid w:val="003270E4"/>
    <w:rsid w:val="00327FF1"/>
    <w:rsid w:val="0033065E"/>
    <w:rsid w:val="00330DAA"/>
    <w:rsid w:val="00330E1A"/>
    <w:rsid w:val="00330F5C"/>
    <w:rsid w:val="00331066"/>
    <w:rsid w:val="0033223D"/>
    <w:rsid w:val="00333B83"/>
    <w:rsid w:val="003354ED"/>
    <w:rsid w:val="00336139"/>
    <w:rsid w:val="003363C2"/>
    <w:rsid w:val="003366C9"/>
    <w:rsid w:val="003371B0"/>
    <w:rsid w:val="00340DF1"/>
    <w:rsid w:val="00340F2A"/>
    <w:rsid w:val="00343F31"/>
    <w:rsid w:val="00344BF6"/>
    <w:rsid w:val="003517F9"/>
    <w:rsid w:val="00351BA9"/>
    <w:rsid w:val="00354F64"/>
    <w:rsid w:val="003559D0"/>
    <w:rsid w:val="0035620E"/>
    <w:rsid w:val="0035738F"/>
    <w:rsid w:val="003575BA"/>
    <w:rsid w:val="003575BE"/>
    <w:rsid w:val="00360345"/>
    <w:rsid w:val="003605FF"/>
    <w:rsid w:val="00361A05"/>
    <w:rsid w:val="00361B7F"/>
    <w:rsid w:val="00362209"/>
    <w:rsid w:val="003624C4"/>
    <w:rsid w:val="00363B00"/>
    <w:rsid w:val="003653D2"/>
    <w:rsid w:val="003654AC"/>
    <w:rsid w:val="003661D7"/>
    <w:rsid w:val="00367101"/>
    <w:rsid w:val="003710CF"/>
    <w:rsid w:val="003710E4"/>
    <w:rsid w:val="00372E1D"/>
    <w:rsid w:val="0037358A"/>
    <w:rsid w:val="003750F6"/>
    <w:rsid w:val="003757C4"/>
    <w:rsid w:val="00375DF0"/>
    <w:rsid w:val="00375E78"/>
    <w:rsid w:val="00375FA1"/>
    <w:rsid w:val="003760FC"/>
    <w:rsid w:val="003766EF"/>
    <w:rsid w:val="0037726E"/>
    <w:rsid w:val="003801F7"/>
    <w:rsid w:val="003802C3"/>
    <w:rsid w:val="0038033C"/>
    <w:rsid w:val="003806AE"/>
    <w:rsid w:val="00382777"/>
    <w:rsid w:val="0038290E"/>
    <w:rsid w:val="00382943"/>
    <w:rsid w:val="0038305B"/>
    <w:rsid w:val="0038365C"/>
    <w:rsid w:val="0038369B"/>
    <w:rsid w:val="00383B78"/>
    <w:rsid w:val="00385A54"/>
    <w:rsid w:val="00385A9D"/>
    <w:rsid w:val="00385F60"/>
    <w:rsid w:val="00387121"/>
    <w:rsid w:val="003902B1"/>
    <w:rsid w:val="00391008"/>
    <w:rsid w:val="0039179C"/>
    <w:rsid w:val="00392C22"/>
    <w:rsid w:val="00393BA2"/>
    <w:rsid w:val="0039457F"/>
    <w:rsid w:val="00395C9E"/>
    <w:rsid w:val="00396896"/>
    <w:rsid w:val="00396FD0"/>
    <w:rsid w:val="003A169C"/>
    <w:rsid w:val="003A1A7A"/>
    <w:rsid w:val="003A1C2B"/>
    <w:rsid w:val="003A2392"/>
    <w:rsid w:val="003A2831"/>
    <w:rsid w:val="003A3172"/>
    <w:rsid w:val="003A357B"/>
    <w:rsid w:val="003A3CB6"/>
    <w:rsid w:val="003A3ED1"/>
    <w:rsid w:val="003A44DB"/>
    <w:rsid w:val="003A4C14"/>
    <w:rsid w:val="003A591C"/>
    <w:rsid w:val="003A6DC6"/>
    <w:rsid w:val="003B214A"/>
    <w:rsid w:val="003B393C"/>
    <w:rsid w:val="003B3971"/>
    <w:rsid w:val="003B55D1"/>
    <w:rsid w:val="003B5B61"/>
    <w:rsid w:val="003C156D"/>
    <w:rsid w:val="003C1654"/>
    <w:rsid w:val="003C1C80"/>
    <w:rsid w:val="003C1DE0"/>
    <w:rsid w:val="003C2045"/>
    <w:rsid w:val="003C2285"/>
    <w:rsid w:val="003C26DF"/>
    <w:rsid w:val="003C34A2"/>
    <w:rsid w:val="003C5542"/>
    <w:rsid w:val="003C7161"/>
    <w:rsid w:val="003C7C15"/>
    <w:rsid w:val="003C7D19"/>
    <w:rsid w:val="003C7D2F"/>
    <w:rsid w:val="003D0C5A"/>
    <w:rsid w:val="003D1828"/>
    <w:rsid w:val="003D199D"/>
    <w:rsid w:val="003D1DE4"/>
    <w:rsid w:val="003D1E9A"/>
    <w:rsid w:val="003D2422"/>
    <w:rsid w:val="003D2644"/>
    <w:rsid w:val="003D2B68"/>
    <w:rsid w:val="003D39A1"/>
    <w:rsid w:val="003D3FBF"/>
    <w:rsid w:val="003D4A30"/>
    <w:rsid w:val="003D5E06"/>
    <w:rsid w:val="003D6819"/>
    <w:rsid w:val="003D6A56"/>
    <w:rsid w:val="003D7452"/>
    <w:rsid w:val="003D79BB"/>
    <w:rsid w:val="003D7C98"/>
    <w:rsid w:val="003D7D9D"/>
    <w:rsid w:val="003E0435"/>
    <w:rsid w:val="003E0543"/>
    <w:rsid w:val="003E2FF1"/>
    <w:rsid w:val="003E5603"/>
    <w:rsid w:val="003E6AB4"/>
    <w:rsid w:val="003E708A"/>
    <w:rsid w:val="003E749E"/>
    <w:rsid w:val="003E7D59"/>
    <w:rsid w:val="003F2760"/>
    <w:rsid w:val="003F3EAE"/>
    <w:rsid w:val="003F4156"/>
    <w:rsid w:val="003F42B7"/>
    <w:rsid w:val="003F580F"/>
    <w:rsid w:val="003F5ADF"/>
    <w:rsid w:val="00400B29"/>
    <w:rsid w:val="00401162"/>
    <w:rsid w:val="00402812"/>
    <w:rsid w:val="004032CA"/>
    <w:rsid w:val="0040504B"/>
    <w:rsid w:val="004059F4"/>
    <w:rsid w:val="00406CEF"/>
    <w:rsid w:val="0040708F"/>
    <w:rsid w:val="00407FE5"/>
    <w:rsid w:val="004101B0"/>
    <w:rsid w:val="00410326"/>
    <w:rsid w:val="00410579"/>
    <w:rsid w:val="00410708"/>
    <w:rsid w:val="00410EC7"/>
    <w:rsid w:val="00411B39"/>
    <w:rsid w:val="004127A7"/>
    <w:rsid w:val="00413A1D"/>
    <w:rsid w:val="00413A1E"/>
    <w:rsid w:val="00414154"/>
    <w:rsid w:val="00414476"/>
    <w:rsid w:val="00414C2E"/>
    <w:rsid w:val="00414EEF"/>
    <w:rsid w:val="004151CF"/>
    <w:rsid w:val="0041600C"/>
    <w:rsid w:val="00416364"/>
    <w:rsid w:val="00416C9B"/>
    <w:rsid w:val="00417A8F"/>
    <w:rsid w:val="0042047F"/>
    <w:rsid w:val="0042051B"/>
    <w:rsid w:val="00420AA6"/>
    <w:rsid w:val="00420B9F"/>
    <w:rsid w:val="00420F5E"/>
    <w:rsid w:val="0042192C"/>
    <w:rsid w:val="00421F73"/>
    <w:rsid w:val="00422260"/>
    <w:rsid w:val="004224A4"/>
    <w:rsid w:val="00422C4C"/>
    <w:rsid w:val="0042413F"/>
    <w:rsid w:val="004242BF"/>
    <w:rsid w:val="0042684B"/>
    <w:rsid w:val="004319F8"/>
    <w:rsid w:val="00431E55"/>
    <w:rsid w:val="004321F6"/>
    <w:rsid w:val="00433044"/>
    <w:rsid w:val="00434088"/>
    <w:rsid w:val="00435340"/>
    <w:rsid w:val="004370AD"/>
    <w:rsid w:val="004375B9"/>
    <w:rsid w:val="004423D1"/>
    <w:rsid w:val="004428D0"/>
    <w:rsid w:val="00444185"/>
    <w:rsid w:val="004443A7"/>
    <w:rsid w:val="0044442C"/>
    <w:rsid w:val="004447ED"/>
    <w:rsid w:val="00445941"/>
    <w:rsid w:val="00445F3F"/>
    <w:rsid w:val="00446018"/>
    <w:rsid w:val="004464EB"/>
    <w:rsid w:val="00447D26"/>
    <w:rsid w:val="00447DFC"/>
    <w:rsid w:val="004509FF"/>
    <w:rsid w:val="00455D45"/>
    <w:rsid w:val="00456163"/>
    <w:rsid w:val="004566B4"/>
    <w:rsid w:val="004568E1"/>
    <w:rsid w:val="004576BB"/>
    <w:rsid w:val="0046186B"/>
    <w:rsid w:val="00462B57"/>
    <w:rsid w:val="00463D2A"/>
    <w:rsid w:val="00464595"/>
    <w:rsid w:val="00465119"/>
    <w:rsid w:val="004658B5"/>
    <w:rsid w:val="00466154"/>
    <w:rsid w:val="00466953"/>
    <w:rsid w:val="00467733"/>
    <w:rsid w:val="00467A10"/>
    <w:rsid w:val="00471EA5"/>
    <w:rsid w:val="00472A79"/>
    <w:rsid w:val="00473B14"/>
    <w:rsid w:val="00473F19"/>
    <w:rsid w:val="00473FB6"/>
    <w:rsid w:val="00475E22"/>
    <w:rsid w:val="004762F6"/>
    <w:rsid w:val="0047662F"/>
    <w:rsid w:val="004777C9"/>
    <w:rsid w:val="0048088E"/>
    <w:rsid w:val="00480F2B"/>
    <w:rsid w:val="0048203A"/>
    <w:rsid w:val="004824D1"/>
    <w:rsid w:val="00482720"/>
    <w:rsid w:val="004835E7"/>
    <w:rsid w:val="00483826"/>
    <w:rsid w:val="00483B62"/>
    <w:rsid w:val="00484AAB"/>
    <w:rsid w:val="004859E1"/>
    <w:rsid w:val="004867E2"/>
    <w:rsid w:val="004879BF"/>
    <w:rsid w:val="00490B17"/>
    <w:rsid w:val="004917DD"/>
    <w:rsid w:val="00491B3A"/>
    <w:rsid w:val="00492CFD"/>
    <w:rsid w:val="004936A6"/>
    <w:rsid w:val="0049371A"/>
    <w:rsid w:val="00494207"/>
    <w:rsid w:val="00494AC4"/>
    <w:rsid w:val="00494DD5"/>
    <w:rsid w:val="00495204"/>
    <w:rsid w:val="004962D2"/>
    <w:rsid w:val="00496A1F"/>
    <w:rsid w:val="004A0DA1"/>
    <w:rsid w:val="004A102A"/>
    <w:rsid w:val="004A13D6"/>
    <w:rsid w:val="004A1A67"/>
    <w:rsid w:val="004A2942"/>
    <w:rsid w:val="004A2977"/>
    <w:rsid w:val="004A2EB3"/>
    <w:rsid w:val="004A3449"/>
    <w:rsid w:val="004A3B7C"/>
    <w:rsid w:val="004A50FA"/>
    <w:rsid w:val="004A52E9"/>
    <w:rsid w:val="004A6040"/>
    <w:rsid w:val="004A6597"/>
    <w:rsid w:val="004A70C9"/>
    <w:rsid w:val="004A7848"/>
    <w:rsid w:val="004A793B"/>
    <w:rsid w:val="004B06C4"/>
    <w:rsid w:val="004B0D42"/>
    <w:rsid w:val="004B0FBF"/>
    <w:rsid w:val="004B1CB4"/>
    <w:rsid w:val="004B223A"/>
    <w:rsid w:val="004B2698"/>
    <w:rsid w:val="004B2F18"/>
    <w:rsid w:val="004B3DDB"/>
    <w:rsid w:val="004B44FD"/>
    <w:rsid w:val="004B5CFC"/>
    <w:rsid w:val="004B697F"/>
    <w:rsid w:val="004B6F79"/>
    <w:rsid w:val="004B774D"/>
    <w:rsid w:val="004C20A6"/>
    <w:rsid w:val="004C28E2"/>
    <w:rsid w:val="004C2AC2"/>
    <w:rsid w:val="004C4733"/>
    <w:rsid w:val="004C4AED"/>
    <w:rsid w:val="004C507B"/>
    <w:rsid w:val="004C710C"/>
    <w:rsid w:val="004C773B"/>
    <w:rsid w:val="004D120A"/>
    <w:rsid w:val="004D24B5"/>
    <w:rsid w:val="004D277F"/>
    <w:rsid w:val="004D2C2D"/>
    <w:rsid w:val="004D306F"/>
    <w:rsid w:val="004D313B"/>
    <w:rsid w:val="004D46E1"/>
    <w:rsid w:val="004D694D"/>
    <w:rsid w:val="004D69B5"/>
    <w:rsid w:val="004D7227"/>
    <w:rsid w:val="004D7B5E"/>
    <w:rsid w:val="004E0E7F"/>
    <w:rsid w:val="004E0EB8"/>
    <w:rsid w:val="004E159D"/>
    <w:rsid w:val="004E18E9"/>
    <w:rsid w:val="004E284E"/>
    <w:rsid w:val="004E2ADC"/>
    <w:rsid w:val="004E3126"/>
    <w:rsid w:val="004E3962"/>
    <w:rsid w:val="004E3DEC"/>
    <w:rsid w:val="004E425E"/>
    <w:rsid w:val="004E43B2"/>
    <w:rsid w:val="004E49BC"/>
    <w:rsid w:val="004E53B2"/>
    <w:rsid w:val="004E6108"/>
    <w:rsid w:val="004E6E48"/>
    <w:rsid w:val="004F08DC"/>
    <w:rsid w:val="004F13D8"/>
    <w:rsid w:val="004F1D02"/>
    <w:rsid w:val="004F2679"/>
    <w:rsid w:val="004F2F21"/>
    <w:rsid w:val="004F31E8"/>
    <w:rsid w:val="004F3DE5"/>
    <w:rsid w:val="004F4745"/>
    <w:rsid w:val="004F6913"/>
    <w:rsid w:val="004F7865"/>
    <w:rsid w:val="005012BD"/>
    <w:rsid w:val="0050174E"/>
    <w:rsid w:val="00501854"/>
    <w:rsid w:val="0050219B"/>
    <w:rsid w:val="005021BA"/>
    <w:rsid w:val="0050391E"/>
    <w:rsid w:val="00503F17"/>
    <w:rsid w:val="00503F3A"/>
    <w:rsid w:val="005053EB"/>
    <w:rsid w:val="005063C9"/>
    <w:rsid w:val="00506928"/>
    <w:rsid w:val="005069A4"/>
    <w:rsid w:val="005077EF"/>
    <w:rsid w:val="0051040D"/>
    <w:rsid w:val="00510938"/>
    <w:rsid w:val="00511AD5"/>
    <w:rsid w:val="00511DC7"/>
    <w:rsid w:val="00513712"/>
    <w:rsid w:val="0051384F"/>
    <w:rsid w:val="005142A2"/>
    <w:rsid w:val="005142C5"/>
    <w:rsid w:val="00514CE4"/>
    <w:rsid w:val="0051501B"/>
    <w:rsid w:val="005152B5"/>
    <w:rsid w:val="00515886"/>
    <w:rsid w:val="0052007E"/>
    <w:rsid w:val="0052123C"/>
    <w:rsid w:val="00521319"/>
    <w:rsid w:val="00521897"/>
    <w:rsid w:val="00522BC8"/>
    <w:rsid w:val="00523C28"/>
    <w:rsid w:val="00525F42"/>
    <w:rsid w:val="00526273"/>
    <w:rsid w:val="00531024"/>
    <w:rsid w:val="0053176B"/>
    <w:rsid w:val="00532CBE"/>
    <w:rsid w:val="00533B96"/>
    <w:rsid w:val="00533F42"/>
    <w:rsid w:val="005341B3"/>
    <w:rsid w:val="00534F42"/>
    <w:rsid w:val="00536F42"/>
    <w:rsid w:val="00537182"/>
    <w:rsid w:val="00540E2A"/>
    <w:rsid w:val="005417C4"/>
    <w:rsid w:val="00541EDD"/>
    <w:rsid w:val="00542743"/>
    <w:rsid w:val="0054296B"/>
    <w:rsid w:val="00542C2D"/>
    <w:rsid w:val="00545AA5"/>
    <w:rsid w:val="00545F3C"/>
    <w:rsid w:val="005462F5"/>
    <w:rsid w:val="00546ED3"/>
    <w:rsid w:val="005478BD"/>
    <w:rsid w:val="005479E3"/>
    <w:rsid w:val="00551985"/>
    <w:rsid w:val="00552BD3"/>
    <w:rsid w:val="005532A0"/>
    <w:rsid w:val="00553EFF"/>
    <w:rsid w:val="00555109"/>
    <w:rsid w:val="00555DAA"/>
    <w:rsid w:val="00556B35"/>
    <w:rsid w:val="0055741A"/>
    <w:rsid w:val="0055777D"/>
    <w:rsid w:val="00557C42"/>
    <w:rsid w:val="00560A02"/>
    <w:rsid w:val="00560BAA"/>
    <w:rsid w:val="005611B7"/>
    <w:rsid w:val="005618D4"/>
    <w:rsid w:val="00563552"/>
    <w:rsid w:val="0056473C"/>
    <w:rsid w:val="00564867"/>
    <w:rsid w:val="00565C79"/>
    <w:rsid w:val="00565DF0"/>
    <w:rsid w:val="005666A3"/>
    <w:rsid w:val="0056696F"/>
    <w:rsid w:val="00567195"/>
    <w:rsid w:val="005671EC"/>
    <w:rsid w:val="00567370"/>
    <w:rsid w:val="00572269"/>
    <w:rsid w:val="0057244A"/>
    <w:rsid w:val="0057260A"/>
    <w:rsid w:val="00572F26"/>
    <w:rsid w:val="00573079"/>
    <w:rsid w:val="00573161"/>
    <w:rsid w:val="0057355F"/>
    <w:rsid w:val="0057377D"/>
    <w:rsid w:val="005750C5"/>
    <w:rsid w:val="005752DE"/>
    <w:rsid w:val="00575D60"/>
    <w:rsid w:val="00575D8D"/>
    <w:rsid w:val="00576784"/>
    <w:rsid w:val="00576972"/>
    <w:rsid w:val="00577248"/>
    <w:rsid w:val="00580FA4"/>
    <w:rsid w:val="00581867"/>
    <w:rsid w:val="00583699"/>
    <w:rsid w:val="00583C59"/>
    <w:rsid w:val="0058528A"/>
    <w:rsid w:val="00585CDD"/>
    <w:rsid w:val="00587058"/>
    <w:rsid w:val="00591957"/>
    <w:rsid w:val="005934D5"/>
    <w:rsid w:val="00593506"/>
    <w:rsid w:val="005948FC"/>
    <w:rsid w:val="00596A48"/>
    <w:rsid w:val="00596FD6"/>
    <w:rsid w:val="005972E4"/>
    <w:rsid w:val="00597BF9"/>
    <w:rsid w:val="005A0472"/>
    <w:rsid w:val="005A0C11"/>
    <w:rsid w:val="005A0D04"/>
    <w:rsid w:val="005A309A"/>
    <w:rsid w:val="005A33BF"/>
    <w:rsid w:val="005A373D"/>
    <w:rsid w:val="005A37B9"/>
    <w:rsid w:val="005A4502"/>
    <w:rsid w:val="005A5019"/>
    <w:rsid w:val="005A79DB"/>
    <w:rsid w:val="005B0B58"/>
    <w:rsid w:val="005B0D39"/>
    <w:rsid w:val="005B4E53"/>
    <w:rsid w:val="005B5857"/>
    <w:rsid w:val="005C19C4"/>
    <w:rsid w:val="005C1B83"/>
    <w:rsid w:val="005C20A1"/>
    <w:rsid w:val="005C25FF"/>
    <w:rsid w:val="005C2D55"/>
    <w:rsid w:val="005C346B"/>
    <w:rsid w:val="005C4188"/>
    <w:rsid w:val="005C432F"/>
    <w:rsid w:val="005C5761"/>
    <w:rsid w:val="005C5ABC"/>
    <w:rsid w:val="005C6500"/>
    <w:rsid w:val="005D044D"/>
    <w:rsid w:val="005D092E"/>
    <w:rsid w:val="005D0ABD"/>
    <w:rsid w:val="005D0E26"/>
    <w:rsid w:val="005D17E2"/>
    <w:rsid w:val="005D18AD"/>
    <w:rsid w:val="005D26B4"/>
    <w:rsid w:val="005D30DB"/>
    <w:rsid w:val="005D713F"/>
    <w:rsid w:val="005E04DF"/>
    <w:rsid w:val="005E11E8"/>
    <w:rsid w:val="005E1995"/>
    <w:rsid w:val="005E23B0"/>
    <w:rsid w:val="005E4065"/>
    <w:rsid w:val="005E5807"/>
    <w:rsid w:val="005E6599"/>
    <w:rsid w:val="005E6B39"/>
    <w:rsid w:val="005E6CBC"/>
    <w:rsid w:val="005E6CFE"/>
    <w:rsid w:val="005E72FF"/>
    <w:rsid w:val="005E73C0"/>
    <w:rsid w:val="005F07ED"/>
    <w:rsid w:val="005F2706"/>
    <w:rsid w:val="005F5CFE"/>
    <w:rsid w:val="005F636F"/>
    <w:rsid w:val="005F6440"/>
    <w:rsid w:val="005F6A8F"/>
    <w:rsid w:val="005F6BB7"/>
    <w:rsid w:val="005F70AA"/>
    <w:rsid w:val="005F7588"/>
    <w:rsid w:val="005F7F80"/>
    <w:rsid w:val="0060149B"/>
    <w:rsid w:val="0060199A"/>
    <w:rsid w:val="00602336"/>
    <w:rsid w:val="0060248C"/>
    <w:rsid w:val="00602ECC"/>
    <w:rsid w:val="00603442"/>
    <w:rsid w:val="00603D8A"/>
    <w:rsid w:val="00603DB9"/>
    <w:rsid w:val="006045F2"/>
    <w:rsid w:val="00606852"/>
    <w:rsid w:val="00606FBA"/>
    <w:rsid w:val="0060715B"/>
    <w:rsid w:val="006075A1"/>
    <w:rsid w:val="00607669"/>
    <w:rsid w:val="006076F4"/>
    <w:rsid w:val="00607AFD"/>
    <w:rsid w:val="00607FBD"/>
    <w:rsid w:val="00610031"/>
    <w:rsid w:val="00610580"/>
    <w:rsid w:val="00610FC5"/>
    <w:rsid w:val="00611B12"/>
    <w:rsid w:val="00612F97"/>
    <w:rsid w:val="006133E7"/>
    <w:rsid w:val="0061345D"/>
    <w:rsid w:val="00614E9B"/>
    <w:rsid w:val="0061549B"/>
    <w:rsid w:val="00616802"/>
    <w:rsid w:val="00617E12"/>
    <w:rsid w:val="00620C25"/>
    <w:rsid w:val="00621477"/>
    <w:rsid w:val="00621ADA"/>
    <w:rsid w:val="00622514"/>
    <w:rsid w:val="00623D53"/>
    <w:rsid w:val="00623F7B"/>
    <w:rsid w:val="00624BD4"/>
    <w:rsid w:val="006261C6"/>
    <w:rsid w:val="00626F0E"/>
    <w:rsid w:val="00630257"/>
    <w:rsid w:val="0063158F"/>
    <w:rsid w:val="00631D6B"/>
    <w:rsid w:val="00632183"/>
    <w:rsid w:val="00632C4B"/>
    <w:rsid w:val="006330A1"/>
    <w:rsid w:val="006331CA"/>
    <w:rsid w:val="00633230"/>
    <w:rsid w:val="0063479F"/>
    <w:rsid w:val="006353F0"/>
    <w:rsid w:val="006357B5"/>
    <w:rsid w:val="006364A1"/>
    <w:rsid w:val="0063678E"/>
    <w:rsid w:val="00637A5E"/>
    <w:rsid w:val="00637BFD"/>
    <w:rsid w:val="00637C5C"/>
    <w:rsid w:val="00641C4E"/>
    <w:rsid w:val="00641FB3"/>
    <w:rsid w:val="006424D7"/>
    <w:rsid w:val="00643109"/>
    <w:rsid w:val="006432BF"/>
    <w:rsid w:val="0064434C"/>
    <w:rsid w:val="006462E7"/>
    <w:rsid w:val="006471CC"/>
    <w:rsid w:val="006472FE"/>
    <w:rsid w:val="00647A29"/>
    <w:rsid w:val="00650180"/>
    <w:rsid w:val="0065079F"/>
    <w:rsid w:val="006507FB"/>
    <w:rsid w:val="00650A88"/>
    <w:rsid w:val="00651795"/>
    <w:rsid w:val="0065187C"/>
    <w:rsid w:val="00652A28"/>
    <w:rsid w:val="00652FF2"/>
    <w:rsid w:val="00653186"/>
    <w:rsid w:val="0065379F"/>
    <w:rsid w:val="00653CC6"/>
    <w:rsid w:val="00656188"/>
    <w:rsid w:val="00656CC4"/>
    <w:rsid w:val="0065715A"/>
    <w:rsid w:val="00660D80"/>
    <w:rsid w:val="006610F1"/>
    <w:rsid w:val="00661C6B"/>
    <w:rsid w:val="00662D3E"/>
    <w:rsid w:val="00665864"/>
    <w:rsid w:val="00666A28"/>
    <w:rsid w:val="00667BE3"/>
    <w:rsid w:val="00667C85"/>
    <w:rsid w:val="00667FAD"/>
    <w:rsid w:val="006701E5"/>
    <w:rsid w:val="00670808"/>
    <w:rsid w:val="00671004"/>
    <w:rsid w:val="00672646"/>
    <w:rsid w:val="006731C9"/>
    <w:rsid w:val="00673E33"/>
    <w:rsid w:val="00674122"/>
    <w:rsid w:val="00674B19"/>
    <w:rsid w:val="00674E42"/>
    <w:rsid w:val="00676563"/>
    <w:rsid w:val="00677523"/>
    <w:rsid w:val="00677EF7"/>
    <w:rsid w:val="006813F8"/>
    <w:rsid w:val="00681AD2"/>
    <w:rsid w:val="00682112"/>
    <w:rsid w:val="006828DF"/>
    <w:rsid w:val="00682BA6"/>
    <w:rsid w:val="00682C47"/>
    <w:rsid w:val="00683039"/>
    <w:rsid w:val="006833CA"/>
    <w:rsid w:val="00683B02"/>
    <w:rsid w:val="00684775"/>
    <w:rsid w:val="00684BBC"/>
    <w:rsid w:val="00685EF4"/>
    <w:rsid w:val="00686957"/>
    <w:rsid w:val="00686B86"/>
    <w:rsid w:val="006872BA"/>
    <w:rsid w:val="00690795"/>
    <w:rsid w:val="00691648"/>
    <w:rsid w:val="006917D7"/>
    <w:rsid w:val="00692AE5"/>
    <w:rsid w:val="0069434C"/>
    <w:rsid w:val="0069446E"/>
    <w:rsid w:val="00694F44"/>
    <w:rsid w:val="00695439"/>
    <w:rsid w:val="00695CE3"/>
    <w:rsid w:val="00696EF9"/>
    <w:rsid w:val="00696F51"/>
    <w:rsid w:val="006979A5"/>
    <w:rsid w:val="006A016F"/>
    <w:rsid w:val="006A0DF7"/>
    <w:rsid w:val="006A1168"/>
    <w:rsid w:val="006A24E9"/>
    <w:rsid w:val="006A3389"/>
    <w:rsid w:val="006A3EC6"/>
    <w:rsid w:val="006A4321"/>
    <w:rsid w:val="006A43D9"/>
    <w:rsid w:val="006A4661"/>
    <w:rsid w:val="006A6B99"/>
    <w:rsid w:val="006A6BFD"/>
    <w:rsid w:val="006A75E0"/>
    <w:rsid w:val="006A7674"/>
    <w:rsid w:val="006A7E5F"/>
    <w:rsid w:val="006B0D26"/>
    <w:rsid w:val="006B178B"/>
    <w:rsid w:val="006B2134"/>
    <w:rsid w:val="006B261B"/>
    <w:rsid w:val="006B2C90"/>
    <w:rsid w:val="006B35E6"/>
    <w:rsid w:val="006B465A"/>
    <w:rsid w:val="006B5011"/>
    <w:rsid w:val="006B6306"/>
    <w:rsid w:val="006B67E0"/>
    <w:rsid w:val="006B6DD0"/>
    <w:rsid w:val="006B7263"/>
    <w:rsid w:val="006B7325"/>
    <w:rsid w:val="006B7A60"/>
    <w:rsid w:val="006B7B65"/>
    <w:rsid w:val="006C0399"/>
    <w:rsid w:val="006C1BA5"/>
    <w:rsid w:val="006C2326"/>
    <w:rsid w:val="006C23B1"/>
    <w:rsid w:val="006C243E"/>
    <w:rsid w:val="006C2724"/>
    <w:rsid w:val="006C2A8E"/>
    <w:rsid w:val="006C3255"/>
    <w:rsid w:val="006C3F26"/>
    <w:rsid w:val="006C40A7"/>
    <w:rsid w:val="006C5AA7"/>
    <w:rsid w:val="006C5C9B"/>
    <w:rsid w:val="006D0D17"/>
    <w:rsid w:val="006D1C3D"/>
    <w:rsid w:val="006D3C7D"/>
    <w:rsid w:val="006D43B1"/>
    <w:rsid w:val="006D4485"/>
    <w:rsid w:val="006D4659"/>
    <w:rsid w:val="006D4CD0"/>
    <w:rsid w:val="006D571E"/>
    <w:rsid w:val="006D5D5F"/>
    <w:rsid w:val="006D667D"/>
    <w:rsid w:val="006D68FB"/>
    <w:rsid w:val="006D731B"/>
    <w:rsid w:val="006D7EE6"/>
    <w:rsid w:val="006D7F13"/>
    <w:rsid w:val="006E2526"/>
    <w:rsid w:val="006E2868"/>
    <w:rsid w:val="006E2F21"/>
    <w:rsid w:val="006E304E"/>
    <w:rsid w:val="006E426C"/>
    <w:rsid w:val="006E62E1"/>
    <w:rsid w:val="006E6A13"/>
    <w:rsid w:val="006E6ACF"/>
    <w:rsid w:val="006E7185"/>
    <w:rsid w:val="006E7F3A"/>
    <w:rsid w:val="006F24B9"/>
    <w:rsid w:val="006F2507"/>
    <w:rsid w:val="006F306C"/>
    <w:rsid w:val="006F63A5"/>
    <w:rsid w:val="006F7642"/>
    <w:rsid w:val="006F7F1F"/>
    <w:rsid w:val="007003E3"/>
    <w:rsid w:val="007005B0"/>
    <w:rsid w:val="007006C0"/>
    <w:rsid w:val="00700E34"/>
    <w:rsid w:val="00700F90"/>
    <w:rsid w:val="0070142B"/>
    <w:rsid w:val="0070276E"/>
    <w:rsid w:val="00702F64"/>
    <w:rsid w:val="00702F8F"/>
    <w:rsid w:val="00704317"/>
    <w:rsid w:val="00704561"/>
    <w:rsid w:val="00704FA3"/>
    <w:rsid w:val="00705E85"/>
    <w:rsid w:val="007063D0"/>
    <w:rsid w:val="00707426"/>
    <w:rsid w:val="007079FC"/>
    <w:rsid w:val="0071112F"/>
    <w:rsid w:val="00711A36"/>
    <w:rsid w:val="007125D3"/>
    <w:rsid w:val="00712DD7"/>
    <w:rsid w:val="00714352"/>
    <w:rsid w:val="00714C26"/>
    <w:rsid w:val="00715069"/>
    <w:rsid w:val="0071529C"/>
    <w:rsid w:val="007170DA"/>
    <w:rsid w:val="007172AD"/>
    <w:rsid w:val="00717546"/>
    <w:rsid w:val="00717E3E"/>
    <w:rsid w:val="00720801"/>
    <w:rsid w:val="0072239E"/>
    <w:rsid w:val="00722B1B"/>
    <w:rsid w:val="007240AF"/>
    <w:rsid w:val="0072416F"/>
    <w:rsid w:val="00724A1D"/>
    <w:rsid w:val="00727C94"/>
    <w:rsid w:val="007305BC"/>
    <w:rsid w:val="00730645"/>
    <w:rsid w:val="00731485"/>
    <w:rsid w:val="007315A2"/>
    <w:rsid w:val="00731B0A"/>
    <w:rsid w:val="00731EAE"/>
    <w:rsid w:val="00733073"/>
    <w:rsid w:val="00733851"/>
    <w:rsid w:val="00735033"/>
    <w:rsid w:val="00735223"/>
    <w:rsid w:val="00735328"/>
    <w:rsid w:val="0073685B"/>
    <w:rsid w:val="00736AEC"/>
    <w:rsid w:val="007449BF"/>
    <w:rsid w:val="007463FE"/>
    <w:rsid w:val="00746BC0"/>
    <w:rsid w:val="00747181"/>
    <w:rsid w:val="0074764D"/>
    <w:rsid w:val="00747886"/>
    <w:rsid w:val="00747A4F"/>
    <w:rsid w:val="00750679"/>
    <w:rsid w:val="00750C30"/>
    <w:rsid w:val="00750CE8"/>
    <w:rsid w:val="007510B4"/>
    <w:rsid w:val="00752142"/>
    <w:rsid w:val="007523F9"/>
    <w:rsid w:val="00752600"/>
    <w:rsid w:val="00753373"/>
    <w:rsid w:val="0075357E"/>
    <w:rsid w:val="00753B29"/>
    <w:rsid w:val="007540DE"/>
    <w:rsid w:val="00757108"/>
    <w:rsid w:val="007572A4"/>
    <w:rsid w:val="007573E8"/>
    <w:rsid w:val="00757CE7"/>
    <w:rsid w:val="00757D09"/>
    <w:rsid w:val="00760025"/>
    <w:rsid w:val="00760C4E"/>
    <w:rsid w:val="00760F9E"/>
    <w:rsid w:val="007616E6"/>
    <w:rsid w:val="007627BE"/>
    <w:rsid w:val="00764F03"/>
    <w:rsid w:val="007658F1"/>
    <w:rsid w:val="00765B1A"/>
    <w:rsid w:val="00765DC1"/>
    <w:rsid w:val="00766E9F"/>
    <w:rsid w:val="00772778"/>
    <w:rsid w:val="00774563"/>
    <w:rsid w:val="00776B53"/>
    <w:rsid w:val="00777335"/>
    <w:rsid w:val="00777A8A"/>
    <w:rsid w:val="0078063C"/>
    <w:rsid w:val="00780BB3"/>
    <w:rsid w:val="00781388"/>
    <w:rsid w:val="00782BB9"/>
    <w:rsid w:val="00783194"/>
    <w:rsid w:val="007832B6"/>
    <w:rsid w:val="007843F2"/>
    <w:rsid w:val="007846FA"/>
    <w:rsid w:val="00784F1C"/>
    <w:rsid w:val="00785798"/>
    <w:rsid w:val="00785831"/>
    <w:rsid w:val="00785A9F"/>
    <w:rsid w:val="00786954"/>
    <w:rsid w:val="00786A82"/>
    <w:rsid w:val="007900D3"/>
    <w:rsid w:val="00790ED6"/>
    <w:rsid w:val="00791089"/>
    <w:rsid w:val="007925DF"/>
    <w:rsid w:val="007944ED"/>
    <w:rsid w:val="00795312"/>
    <w:rsid w:val="00797D52"/>
    <w:rsid w:val="007A03E5"/>
    <w:rsid w:val="007A08AA"/>
    <w:rsid w:val="007A08B3"/>
    <w:rsid w:val="007A0A12"/>
    <w:rsid w:val="007A132D"/>
    <w:rsid w:val="007A1345"/>
    <w:rsid w:val="007A2B30"/>
    <w:rsid w:val="007A2DDB"/>
    <w:rsid w:val="007A3F43"/>
    <w:rsid w:val="007A4957"/>
    <w:rsid w:val="007A6133"/>
    <w:rsid w:val="007A6164"/>
    <w:rsid w:val="007A70BA"/>
    <w:rsid w:val="007A7F72"/>
    <w:rsid w:val="007A7FB4"/>
    <w:rsid w:val="007B0231"/>
    <w:rsid w:val="007B0435"/>
    <w:rsid w:val="007B0D68"/>
    <w:rsid w:val="007B13B7"/>
    <w:rsid w:val="007B251D"/>
    <w:rsid w:val="007B3533"/>
    <w:rsid w:val="007B4F58"/>
    <w:rsid w:val="007B4F59"/>
    <w:rsid w:val="007B528D"/>
    <w:rsid w:val="007B5627"/>
    <w:rsid w:val="007B63CA"/>
    <w:rsid w:val="007B77D1"/>
    <w:rsid w:val="007C07C7"/>
    <w:rsid w:val="007C1618"/>
    <w:rsid w:val="007C19EF"/>
    <w:rsid w:val="007C1CD9"/>
    <w:rsid w:val="007C1D6D"/>
    <w:rsid w:val="007C32EF"/>
    <w:rsid w:val="007C361D"/>
    <w:rsid w:val="007C3A7B"/>
    <w:rsid w:val="007C430B"/>
    <w:rsid w:val="007C4B84"/>
    <w:rsid w:val="007C70FF"/>
    <w:rsid w:val="007C7C25"/>
    <w:rsid w:val="007C7DF8"/>
    <w:rsid w:val="007D004F"/>
    <w:rsid w:val="007D035F"/>
    <w:rsid w:val="007D06B2"/>
    <w:rsid w:val="007D0B38"/>
    <w:rsid w:val="007D1123"/>
    <w:rsid w:val="007D2A8F"/>
    <w:rsid w:val="007D5317"/>
    <w:rsid w:val="007D5440"/>
    <w:rsid w:val="007D6331"/>
    <w:rsid w:val="007D69EB"/>
    <w:rsid w:val="007D6C9C"/>
    <w:rsid w:val="007D741A"/>
    <w:rsid w:val="007E128F"/>
    <w:rsid w:val="007E3524"/>
    <w:rsid w:val="007E3A6B"/>
    <w:rsid w:val="007E450B"/>
    <w:rsid w:val="007F1017"/>
    <w:rsid w:val="007F1B3C"/>
    <w:rsid w:val="007F3A79"/>
    <w:rsid w:val="007F4A3F"/>
    <w:rsid w:val="007F4A61"/>
    <w:rsid w:val="007F5255"/>
    <w:rsid w:val="007F56CC"/>
    <w:rsid w:val="007F5BDD"/>
    <w:rsid w:val="007F61C2"/>
    <w:rsid w:val="007F64C7"/>
    <w:rsid w:val="007F78B4"/>
    <w:rsid w:val="0080102C"/>
    <w:rsid w:val="00802933"/>
    <w:rsid w:val="008041FA"/>
    <w:rsid w:val="00804BA9"/>
    <w:rsid w:val="00804F4F"/>
    <w:rsid w:val="00805142"/>
    <w:rsid w:val="00805FCE"/>
    <w:rsid w:val="00807566"/>
    <w:rsid w:val="00807A8B"/>
    <w:rsid w:val="00811383"/>
    <w:rsid w:val="008115AB"/>
    <w:rsid w:val="00812149"/>
    <w:rsid w:val="00812CAC"/>
    <w:rsid w:val="00812E57"/>
    <w:rsid w:val="0081303B"/>
    <w:rsid w:val="0081447A"/>
    <w:rsid w:val="0081502B"/>
    <w:rsid w:val="008151C3"/>
    <w:rsid w:val="00816361"/>
    <w:rsid w:val="008166EF"/>
    <w:rsid w:val="00816FEF"/>
    <w:rsid w:val="00817FE7"/>
    <w:rsid w:val="00820A8C"/>
    <w:rsid w:val="008215FB"/>
    <w:rsid w:val="00821D12"/>
    <w:rsid w:val="008220CC"/>
    <w:rsid w:val="00822BAE"/>
    <w:rsid w:val="00823174"/>
    <w:rsid w:val="00823451"/>
    <w:rsid w:val="00824BC6"/>
    <w:rsid w:val="00825751"/>
    <w:rsid w:val="008264EB"/>
    <w:rsid w:val="008268CE"/>
    <w:rsid w:val="00827C23"/>
    <w:rsid w:val="00831AAB"/>
    <w:rsid w:val="00833B05"/>
    <w:rsid w:val="00834108"/>
    <w:rsid w:val="008362B4"/>
    <w:rsid w:val="00836508"/>
    <w:rsid w:val="00836AC5"/>
    <w:rsid w:val="008376B6"/>
    <w:rsid w:val="008400E9"/>
    <w:rsid w:val="00840CA2"/>
    <w:rsid w:val="00841A3A"/>
    <w:rsid w:val="008431BC"/>
    <w:rsid w:val="0084374F"/>
    <w:rsid w:val="0084378E"/>
    <w:rsid w:val="008446B3"/>
    <w:rsid w:val="00844A22"/>
    <w:rsid w:val="00844B70"/>
    <w:rsid w:val="00845229"/>
    <w:rsid w:val="00847703"/>
    <w:rsid w:val="00847DF5"/>
    <w:rsid w:val="00851205"/>
    <w:rsid w:val="0085159F"/>
    <w:rsid w:val="00852EF3"/>
    <w:rsid w:val="0085309D"/>
    <w:rsid w:val="00854174"/>
    <w:rsid w:val="0085497D"/>
    <w:rsid w:val="00854A96"/>
    <w:rsid w:val="00855757"/>
    <w:rsid w:val="008566A1"/>
    <w:rsid w:val="00856897"/>
    <w:rsid w:val="00856E9A"/>
    <w:rsid w:val="0086075D"/>
    <w:rsid w:val="00862502"/>
    <w:rsid w:val="00862CC1"/>
    <w:rsid w:val="008642A7"/>
    <w:rsid w:val="008660D4"/>
    <w:rsid w:val="0086662C"/>
    <w:rsid w:val="00871DAD"/>
    <w:rsid w:val="00871FA9"/>
    <w:rsid w:val="00872302"/>
    <w:rsid w:val="008728E9"/>
    <w:rsid w:val="00872902"/>
    <w:rsid w:val="00872BEE"/>
    <w:rsid w:val="00874041"/>
    <w:rsid w:val="00874CE0"/>
    <w:rsid w:val="00875033"/>
    <w:rsid w:val="0087505F"/>
    <w:rsid w:val="00875C45"/>
    <w:rsid w:val="00882874"/>
    <w:rsid w:val="00882E3C"/>
    <w:rsid w:val="0088308A"/>
    <w:rsid w:val="0088361D"/>
    <w:rsid w:val="00883787"/>
    <w:rsid w:val="00884F9D"/>
    <w:rsid w:val="0088535C"/>
    <w:rsid w:val="0088542E"/>
    <w:rsid w:val="008855E4"/>
    <w:rsid w:val="00886CD2"/>
    <w:rsid w:val="00890700"/>
    <w:rsid w:val="00890DE1"/>
    <w:rsid w:val="008911FF"/>
    <w:rsid w:val="008913BB"/>
    <w:rsid w:val="00891E6F"/>
    <w:rsid w:val="0089246B"/>
    <w:rsid w:val="0089275D"/>
    <w:rsid w:val="00892A36"/>
    <w:rsid w:val="00893239"/>
    <w:rsid w:val="00894489"/>
    <w:rsid w:val="00894CD6"/>
    <w:rsid w:val="00895A5D"/>
    <w:rsid w:val="008963A5"/>
    <w:rsid w:val="00896D5D"/>
    <w:rsid w:val="00896E22"/>
    <w:rsid w:val="00897395"/>
    <w:rsid w:val="008978E6"/>
    <w:rsid w:val="008A1ACB"/>
    <w:rsid w:val="008A2B60"/>
    <w:rsid w:val="008A3158"/>
    <w:rsid w:val="008A3363"/>
    <w:rsid w:val="008A3371"/>
    <w:rsid w:val="008A3C3E"/>
    <w:rsid w:val="008A5031"/>
    <w:rsid w:val="008A7556"/>
    <w:rsid w:val="008A77C9"/>
    <w:rsid w:val="008A79DE"/>
    <w:rsid w:val="008B1757"/>
    <w:rsid w:val="008B1C33"/>
    <w:rsid w:val="008B2825"/>
    <w:rsid w:val="008B31A5"/>
    <w:rsid w:val="008B37C9"/>
    <w:rsid w:val="008B4B6F"/>
    <w:rsid w:val="008B4F07"/>
    <w:rsid w:val="008B50B5"/>
    <w:rsid w:val="008B565C"/>
    <w:rsid w:val="008B5CB1"/>
    <w:rsid w:val="008B5D27"/>
    <w:rsid w:val="008B7992"/>
    <w:rsid w:val="008B7D7E"/>
    <w:rsid w:val="008C2FC4"/>
    <w:rsid w:val="008C4A1B"/>
    <w:rsid w:val="008C52D0"/>
    <w:rsid w:val="008C5610"/>
    <w:rsid w:val="008C5739"/>
    <w:rsid w:val="008C6653"/>
    <w:rsid w:val="008C6796"/>
    <w:rsid w:val="008C7282"/>
    <w:rsid w:val="008C7ECB"/>
    <w:rsid w:val="008D06CF"/>
    <w:rsid w:val="008D0EF6"/>
    <w:rsid w:val="008D2AFC"/>
    <w:rsid w:val="008D3B86"/>
    <w:rsid w:val="008D3F9D"/>
    <w:rsid w:val="008D43FD"/>
    <w:rsid w:val="008D4755"/>
    <w:rsid w:val="008D4C3D"/>
    <w:rsid w:val="008D6198"/>
    <w:rsid w:val="008D6A4C"/>
    <w:rsid w:val="008D743C"/>
    <w:rsid w:val="008D764E"/>
    <w:rsid w:val="008E0B16"/>
    <w:rsid w:val="008E0D26"/>
    <w:rsid w:val="008E0D3C"/>
    <w:rsid w:val="008E1B9E"/>
    <w:rsid w:val="008E1BFC"/>
    <w:rsid w:val="008E476A"/>
    <w:rsid w:val="008E5247"/>
    <w:rsid w:val="008E55AB"/>
    <w:rsid w:val="008E6090"/>
    <w:rsid w:val="008E6494"/>
    <w:rsid w:val="008E776A"/>
    <w:rsid w:val="008F008D"/>
    <w:rsid w:val="008F120A"/>
    <w:rsid w:val="008F1225"/>
    <w:rsid w:val="008F18A6"/>
    <w:rsid w:val="008F27AA"/>
    <w:rsid w:val="008F27E0"/>
    <w:rsid w:val="008F48EB"/>
    <w:rsid w:val="008F4F0B"/>
    <w:rsid w:val="008F4F60"/>
    <w:rsid w:val="008F5519"/>
    <w:rsid w:val="008F6DCE"/>
    <w:rsid w:val="008F79CC"/>
    <w:rsid w:val="00900A6F"/>
    <w:rsid w:val="009046C4"/>
    <w:rsid w:val="00906021"/>
    <w:rsid w:val="009062A5"/>
    <w:rsid w:val="0090648B"/>
    <w:rsid w:val="00907699"/>
    <w:rsid w:val="00910FA7"/>
    <w:rsid w:val="009110ED"/>
    <w:rsid w:val="00911272"/>
    <w:rsid w:val="00911339"/>
    <w:rsid w:val="00911626"/>
    <w:rsid w:val="009135D6"/>
    <w:rsid w:val="00913734"/>
    <w:rsid w:val="00914C77"/>
    <w:rsid w:val="00915C92"/>
    <w:rsid w:val="009200E8"/>
    <w:rsid w:val="009213EA"/>
    <w:rsid w:val="00921ACB"/>
    <w:rsid w:val="00923664"/>
    <w:rsid w:val="0092369B"/>
    <w:rsid w:val="00923D2C"/>
    <w:rsid w:val="009313EF"/>
    <w:rsid w:val="0093165B"/>
    <w:rsid w:val="00934988"/>
    <w:rsid w:val="0093529B"/>
    <w:rsid w:val="009358A9"/>
    <w:rsid w:val="00936F3A"/>
    <w:rsid w:val="00937089"/>
    <w:rsid w:val="00937626"/>
    <w:rsid w:val="00937AFF"/>
    <w:rsid w:val="00937FE7"/>
    <w:rsid w:val="00940104"/>
    <w:rsid w:val="0094129A"/>
    <w:rsid w:val="00941ABC"/>
    <w:rsid w:val="00942170"/>
    <w:rsid w:val="00942AF3"/>
    <w:rsid w:val="00942D74"/>
    <w:rsid w:val="00943FF5"/>
    <w:rsid w:val="00944F8A"/>
    <w:rsid w:val="009467DF"/>
    <w:rsid w:val="00946C35"/>
    <w:rsid w:val="00947BF0"/>
    <w:rsid w:val="00950347"/>
    <w:rsid w:val="009509FB"/>
    <w:rsid w:val="009510A2"/>
    <w:rsid w:val="00953257"/>
    <w:rsid w:val="00953D0D"/>
    <w:rsid w:val="0095474C"/>
    <w:rsid w:val="00956652"/>
    <w:rsid w:val="0095762B"/>
    <w:rsid w:val="00957D92"/>
    <w:rsid w:val="009609C2"/>
    <w:rsid w:val="0096138F"/>
    <w:rsid w:val="00962A6F"/>
    <w:rsid w:val="00962CB9"/>
    <w:rsid w:val="00962E27"/>
    <w:rsid w:val="00962F5C"/>
    <w:rsid w:val="00963D5D"/>
    <w:rsid w:val="00964312"/>
    <w:rsid w:val="009646CA"/>
    <w:rsid w:val="00964830"/>
    <w:rsid w:val="00965B8A"/>
    <w:rsid w:val="00966C90"/>
    <w:rsid w:val="0097071F"/>
    <w:rsid w:val="009717AC"/>
    <w:rsid w:val="00972394"/>
    <w:rsid w:val="009751C1"/>
    <w:rsid w:val="00977836"/>
    <w:rsid w:val="0097791C"/>
    <w:rsid w:val="009811F1"/>
    <w:rsid w:val="00982D29"/>
    <w:rsid w:val="00983A99"/>
    <w:rsid w:val="00983E57"/>
    <w:rsid w:val="00985DE2"/>
    <w:rsid w:val="00985DEF"/>
    <w:rsid w:val="0098675D"/>
    <w:rsid w:val="00987BA4"/>
    <w:rsid w:val="00991B99"/>
    <w:rsid w:val="00991E60"/>
    <w:rsid w:val="009926CE"/>
    <w:rsid w:val="009926E0"/>
    <w:rsid w:val="0099451E"/>
    <w:rsid w:val="00995EB4"/>
    <w:rsid w:val="0099697C"/>
    <w:rsid w:val="00996B1A"/>
    <w:rsid w:val="00997E36"/>
    <w:rsid w:val="009A18F6"/>
    <w:rsid w:val="009A1C29"/>
    <w:rsid w:val="009A2581"/>
    <w:rsid w:val="009A2846"/>
    <w:rsid w:val="009A2DCC"/>
    <w:rsid w:val="009A3C89"/>
    <w:rsid w:val="009A5ABC"/>
    <w:rsid w:val="009A6C79"/>
    <w:rsid w:val="009A6EA4"/>
    <w:rsid w:val="009A7F10"/>
    <w:rsid w:val="009B1115"/>
    <w:rsid w:val="009B3E26"/>
    <w:rsid w:val="009B44FC"/>
    <w:rsid w:val="009B4D1D"/>
    <w:rsid w:val="009B5717"/>
    <w:rsid w:val="009B5F89"/>
    <w:rsid w:val="009B65C7"/>
    <w:rsid w:val="009C01CD"/>
    <w:rsid w:val="009C1271"/>
    <w:rsid w:val="009C1ABF"/>
    <w:rsid w:val="009C3706"/>
    <w:rsid w:val="009C3A3A"/>
    <w:rsid w:val="009C46D1"/>
    <w:rsid w:val="009C47A7"/>
    <w:rsid w:val="009C4855"/>
    <w:rsid w:val="009C5A40"/>
    <w:rsid w:val="009C6CEA"/>
    <w:rsid w:val="009C7B85"/>
    <w:rsid w:val="009D0254"/>
    <w:rsid w:val="009D1A64"/>
    <w:rsid w:val="009D1B15"/>
    <w:rsid w:val="009D4AB7"/>
    <w:rsid w:val="009D5B91"/>
    <w:rsid w:val="009D74F6"/>
    <w:rsid w:val="009D792E"/>
    <w:rsid w:val="009E0DFE"/>
    <w:rsid w:val="009E243C"/>
    <w:rsid w:val="009E31F6"/>
    <w:rsid w:val="009E4413"/>
    <w:rsid w:val="009E4C07"/>
    <w:rsid w:val="009E4E7A"/>
    <w:rsid w:val="009E578B"/>
    <w:rsid w:val="009E6BE4"/>
    <w:rsid w:val="009E7462"/>
    <w:rsid w:val="009E777F"/>
    <w:rsid w:val="009F302A"/>
    <w:rsid w:val="009F36D9"/>
    <w:rsid w:val="009F45FC"/>
    <w:rsid w:val="009F5045"/>
    <w:rsid w:val="009F6120"/>
    <w:rsid w:val="009F680C"/>
    <w:rsid w:val="009F715C"/>
    <w:rsid w:val="00A00D76"/>
    <w:rsid w:val="00A01184"/>
    <w:rsid w:val="00A01449"/>
    <w:rsid w:val="00A037C2"/>
    <w:rsid w:val="00A03D43"/>
    <w:rsid w:val="00A04380"/>
    <w:rsid w:val="00A04786"/>
    <w:rsid w:val="00A04DD1"/>
    <w:rsid w:val="00A053DB"/>
    <w:rsid w:val="00A05472"/>
    <w:rsid w:val="00A05C32"/>
    <w:rsid w:val="00A0653F"/>
    <w:rsid w:val="00A066C6"/>
    <w:rsid w:val="00A1050A"/>
    <w:rsid w:val="00A11CD0"/>
    <w:rsid w:val="00A12936"/>
    <w:rsid w:val="00A13948"/>
    <w:rsid w:val="00A143D0"/>
    <w:rsid w:val="00A146B5"/>
    <w:rsid w:val="00A1555B"/>
    <w:rsid w:val="00A155C5"/>
    <w:rsid w:val="00A16AD8"/>
    <w:rsid w:val="00A2021E"/>
    <w:rsid w:val="00A204B2"/>
    <w:rsid w:val="00A21590"/>
    <w:rsid w:val="00A21C95"/>
    <w:rsid w:val="00A21CF3"/>
    <w:rsid w:val="00A23F84"/>
    <w:rsid w:val="00A24813"/>
    <w:rsid w:val="00A27AEC"/>
    <w:rsid w:val="00A27F9D"/>
    <w:rsid w:val="00A303DC"/>
    <w:rsid w:val="00A31432"/>
    <w:rsid w:val="00A31470"/>
    <w:rsid w:val="00A320DB"/>
    <w:rsid w:val="00A33608"/>
    <w:rsid w:val="00A33C27"/>
    <w:rsid w:val="00A3411F"/>
    <w:rsid w:val="00A35D16"/>
    <w:rsid w:val="00A37BCD"/>
    <w:rsid w:val="00A4014D"/>
    <w:rsid w:val="00A41689"/>
    <w:rsid w:val="00A42592"/>
    <w:rsid w:val="00A43409"/>
    <w:rsid w:val="00A43C59"/>
    <w:rsid w:val="00A459AF"/>
    <w:rsid w:val="00A45F07"/>
    <w:rsid w:val="00A500D9"/>
    <w:rsid w:val="00A50B5D"/>
    <w:rsid w:val="00A50ECD"/>
    <w:rsid w:val="00A518F3"/>
    <w:rsid w:val="00A52165"/>
    <w:rsid w:val="00A525AC"/>
    <w:rsid w:val="00A52729"/>
    <w:rsid w:val="00A53675"/>
    <w:rsid w:val="00A5372E"/>
    <w:rsid w:val="00A54A43"/>
    <w:rsid w:val="00A564D7"/>
    <w:rsid w:val="00A56B6A"/>
    <w:rsid w:val="00A578DC"/>
    <w:rsid w:val="00A57D99"/>
    <w:rsid w:val="00A57EDD"/>
    <w:rsid w:val="00A61B95"/>
    <w:rsid w:val="00A62448"/>
    <w:rsid w:val="00A635B7"/>
    <w:rsid w:val="00A640E2"/>
    <w:rsid w:val="00A64D65"/>
    <w:rsid w:val="00A662FF"/>
    <w:rsid w:val="00A66F4A"/>
    <w:rsid w:val="00A6725B"/>
    <w:rsid w:val="00A67448"/>
    <w:rsid w:val="00A70605"/>
    <w:rsid w:val="00A72E1F"/>
    <w:rsid w:val="00A73134"/>
    <w:rsid w:val="00A7365A"/>
    <w:rsid w:val="00A75183"/>
    <w:rsid w:val="00A76001"/>
    <w:rsid w:val="00A777B2"/>
    <w:rsid w:val="00A7797E"/>
    <w:rsid w:val="00A810EA"/>
    <w:rsid w:val="00A825D4"/>
    <w:rsid w:val="00A828F6"/>
    <w:rsid w:val="00A82B73"/>
    <w:rsid w:val="00A85769"/>
    <w:rsid w:val="00A860A8"/>
    <w:rsid w:val="00A86363"/>
    <w:rsid w:val="00A86751"/>
    <w:rsid w:val="00A86E8B"/>
    <w:rsid w:val="00A87164"/>
    <w:rsid w:val="00A8719C"/>
    <w:rsid w:val="00A871A9"/>
    <w:rsid w:val="00A90197"/>
    <w:rsid w:val="00A912C5"/>
    <w:rsid w:val="00A91A43"/>
    <w:rsid w:val="00A92F18"/>
    <w:rsid w:val="00A93072"/>
    <w:rsid w:val="00A938BD"/>
    <w:rsid w:val="00A93953"/>
    <w:rsid w:val="00A959D8"/>
    <w:rsid w:val="00A96928"/>
    <w:rsid w:val="00A97626"/>
    <w:rsid w:val="00AA113D"/>
    <w:rsid w:val="00AA1D3E"/>
    <w:rsid w:val="00AA4768"/>
    <w:rsid w:val="00AA6BD5"/>
    <w:rsid w:val="00AA6BD8"/>
    <w:rsid w:val="00AA6C7D"/>
    <w:rsid w:val="00AA7FD6"/>
    <w:rsid w:val="00AB042A"/>
    <w:rsid w:val="00AB11AD"/>
    <w:rsid w:val="00AB13F3"/>
    <w:rsid w:val="00AB19EF"/>
    <w:rsid w:val="00AB2495"/>
    <w:rsid w:val="00AB2D34"/>
    <w:rsid w:val="00AB32DE"/>
    <w:rsid w:val="00AB3430"/>
    <w:rsid w:val="00AB37B9"/>
    <w:rsid w:val="00AB4520"/>
    <w:rsid w:val="00AB4AD1"/>
    <w:rsid w:val="00AB5E07"/>
    <w:rsid w:val="00AB6ADE"/>
    <w:rsid w:val="00AB7CFA"/>
    <w:rsid w:val="00AC1539"/>
    <w:rsid w:val="00AC1C22"/>
    <w:rsid w:val="00AC21DC"/>
    <w:rsid w:val="00AC3B2C"/>
    <w:rsid w:val="00AC46FF"/>
    <w:rsid w:val="00AC5145"/>
    <w:rsid w:val="00AC5467"/>
    <w:rsid w:val="00AC5B42"/>
    <w:rsid w:val="00AC5B48"/>
    <w:rsid w:val="00AC60CF"/>
    <w:rsid w:val="00AC65C2"/>
    <w:rsid w:val="00AC6EEA"/>
    <w:rsid w:val="00AC7361"/>
    <w:rsid w:val="00AC73E1"/>
    <w:rsid w:val="00AD1450"/>
    <w:rsid w:val="00AD15E8"/>
    <w:rsid w:val="00AD356D"/>
    <w:rsid w:val="00AD3F96"/>
    <w:rsid w:val="00AD4FCC"/>
    <w:rsid w:val="00AD6361"/>
    <w:rsid w:val="00AD6502"/>
    <w:rsid w:val="00AD6B64"/>
    <w:rsid w:val="00AD6DA0"/>
    <w:rsid w:val="00AE0695"/>
    <w:rsid w:val="00AE0C06"/>
    <w:rsid w:val="00AE1062"/>
    <w:rsid w:val="00AE11E3"/>
    <w:rsid w:val="00AE1CBC"/>
    <w:rsid w:val="00AE1ED0"/>
    <w:rsid w:val="00AE2E57"/>
    <w:rsid w:val="00AE37E7"/>
    <w:rsid w:val="00AE3E7E"/>
    <w:rsid w:val="00AE4820"/>
    <w:rsid w:val="00AE497E"/>
    <w:rsid w:val="00AE52EE"/>
    <w:rsid w:val="00AE59A2"/>
    <w:rsid w:val="00AE7E53"/>
    <w:rsid w:val="00AF1315"/>
    <w:rsid w:val="00AF1829"/>
    <w:rsid w:val="00AF19BF"/>
    <w:rsid w:val="00AF26B7"/>
    <w:rsid w:val="00AF2DC3"/>
    <w:rsid w:val="00AF536A"/>
    <w:rsid w:val="00AF7FBB"/>
    <w:rsid w:val="00B0010D"/>
    <w:rsid w:val="00B01B07"/>
    <w:rsid w:val="00B0211A"/>
    <w:rsid w:val="00B02B9A"/>
    <w:rsid w:val="00B030BB"/>
    <w:rsid w:val="00B033E5"/>
    <w:rsid w:val="00B03A63"/>
    <w:rsid w:val="00B069D3"/>
    <w:rsid w:val="00B10450"/>
    <w:rsid w:val="00B10569"/>
    <w:rsid w:val="00B128DF"/>
    <w:rsid w:val="00B129A4"/>
    <w:rsid w:val="00B167C7"/>
    <w:rsid w:val="00B201A4"/>
    <w:rsid w:val="00B201D1"/>
    <w:rsid w:val="00B207EF"/>
    <w:rsid w:val="00B20FA1"/>
    <w:rsid w:val="00B212F7"/>
    <w:rsid w:val="00B213A6"/>
    <w:rsid w:val="00B21665"/>
    <w:rsid w:val="00B235B0"/>
    <w:rsid w:val="00B23B01"/>
    <w:rsid w:val="00B24DF6"/>
    <w:rsid w:val="00B25DD9"/>
    <w:rsid w:val="00B26C40"/>
    <w:rsid w:val="00B275AF"/>
    <w:rsid w:val="00B27969"/>
    <w:rsid w:val="00B27A61"/>
    <w:rsid w:val="00B308B6"/>
    <w:rsid w:val="00B32310"/>
    <w:rsid w:val="00B34193"/>
    <w:rsid w:val="00B34401"/>
    <w:rsid w:val="00B34D1A"/>
    <w:rsid w:val="00B34FE2"/>
    <w:rsid w:val="00B35166"/>
    <w:rsid w:val="00B357D8"/>
    <w:rsid w:val="00B35E8F"/>
    <w:rsid w:val="00B360F4"/>
    <w:rsid w:val="00B36A00"/>
    <w:rsid w:val="00B3776E"/>
    <w:rsid w:val="00B3792B"/>
    <w:rsid w:val="00B37BFC"/>
    <w:rsid w:val="00B40358"/>
    <w:rsid w:val="00B40FF6"/>
    <w:rsid w:val="00B41614"/>
    <w:rsid w:val="00B42851"/>
    <w:rsid w:val="00B42F80"/>
    <w:rsid w:val="00B435CB"/>
    <w:rsid w:val="00B437B4"/>
    <w:rsid w:val="00B44411"/>
    <w:rsid w:val="00B4462A"/>
    <w:rsid w:val="00B462A1"/>
    <w:rsid w:val="00B465EC"/>
    <w:rsid w:val="00B47F15"/>
    <w:rsid w:val="00B47F70"/>
    <w:rsid w:val="00B505C8"/>
    <w:rsid w:val="00B50AB8"/>
    <w:rsid w:val="00B50DB8"/>
    <w:rsid w:val="00B514A5"/>
    <w:rsid w:val="00B53654"/>
    <w:rsid w:val="00B53905"/>
    <w:rsid w:val="00B53C68"/>
    <w:rsid w:val="00B546DB"/>
    <w:rsid w:val="00B54B5B"/>
    <w:rsid w:val="00B54C12"/>
    <w:rsid w:val="00B5562E"/>
    <w:rsid w:val="00B55862"/>
    <w:rsid w:val="00B55D65"/>
    <w:rsid w:val="00B56305"/>
    <w:rsid w:val="00B57000"/>
    <w:rsid w:val="00B60939"/>
    <w:rsid w:val="00B60AFD"/>
    <w:rsid w:val="00B62715"/>
    <w:rsid w:val="00B63012"/>
    <w:rsid w:val="00B64A50"/>
    <w:rsid w:val="00B65611"/>
    <w:rsid w:val="00B66C33"/>
    <w:rsid w:val="00B7092B"/>
    <w:rsid w:val="00B70E8E"/>
    <w:rsid w:val="00B710A2"/>
    <w:rsid w:val="00B746D0"/>
    <w:rsid w:val="00B759DE"/>
    <w:rsid w:val="00B76C92"/>
    <w:rsid w:val="00B77088"/>
    <w:rsid w:val="00B770CD"/>
    <w:rsid w:val="00B80EFD"/>
    <w:rsid w:val="00B818A4"/>
    <w:rsid w:val="00B81EE5"/>
    <w:rsid w:val="00B83739"/>
    <w:rsid w:val="00B83A49"/>
    <w:rsid w:val="00B83ED6"/>
    <w:rsid w:val="00B84117"/>
    <w:rsid w:val="00B858F0"/>
    <w:rsid w:val="00B85AA2"/>
    <w:rsid w:val="00B85FF5"/>
    <w:rsid w:val="00B8649C"/>
    <w:rsid w:val="00B8695D"/>
    <w:rsid w:val="00B86F3E"/>
    <w:rsid w:val="00B87F0A"/>
    <w:rsid w:val="00B91447"/>
    <w:rsid w:val="00B91705"/>
    <w:rsid w:val="00B91B68"/>
    <w:rsid w:val="00B925DA"/>
    <w:rsid w:val="00B925DF"/>
    <w:rsid w:val="00B92D0B"/>
    <w:rsid w:val="00B93105"/>
    <w:rsid w:val="00B93D7B"/>
    <w:rsid w:val="00B93F1E"/>
    <w:rsid w:val="00B941BB"/>
    <w:rsid w:val="00B94945"/>
    <w:rsid w:val="00B94DD6"/>
    <w:rsid w:val="00B95D62"/>
    <w:rsid w:val="00BA322D"/>
    <w:rsid w:val="00BA34A2"/>
    <w:rsid w:val="00BA3E8E"/>
    <w:rsid w:val="00BA63FA"/>
    <w:rsid w:val="00BA66AC"/>
    <w:rsid w:val="00BB00B3"/>
    <w:rsid w:val="00BB0BDD"/>
    <w:rsid w:val="00BB176C"/>
    <w:rsid w:val="00BB1CAD"/>
    <w:rsid w:val="00BB2714"/>
    <w:rsid w:val="00BB28D5"/>
    <w:rsid w:val="00BB2A73"/>
    <w:rsid w:val="00BB3A45"/>
    <w:rsid w:val="00BB3FB3"/>
    <w:rsid w:val="00BB4ACC"/>
    <w:rsid w:val="00BB69D8"/>
    <w:rsid w:val="00BB6BBB"/>
    <w:rsid w:val="00BB703E"/>
    <w:rsid w:val="00BB732D"/>
    <w:rsid w:val="00BB7405"/>
    <w:rsid w:val="00BC127B"/>
    <w:rsid w:val="00BC307F"/>
    <w:rsid w:val="00BC3631"/>
    <w:rsid w:val="00BC3EC7"/>
    <w:rsid w:val="00BC42C0"/>
    <w:rsid w:val="00BC591F"/>
    <w:rsid w:val="00BC595F"/>
    <w:rsid w:val="00BC6F71"/>
    <w:rsid w:val="00BC7D6D"/>
    <w:rsid w:val="00BC7E3C"/>
    <w:rsid w:val="00BD0FB5"/>
    <w:rsid w:val="00BD141D"/>
    <w:rsid w:val="00BD2108"/>
    <w:rsid w:val="00BD308D"/>
    <w:rsid w:val="00BD30EC"/>
    <w:rsid w:val="00BD420A"/>
    <w:rsid w:val="00BD4DD0"/>
    <w:rsid w:val="00BD52CD"/>
    <w:rsid w:val="00BD68A3"/>
    <w:rsid w:val="00BD6938"/>
    <w:rsid w:val="00BD6CF3"/>
    <w:rsid w:val="00BD6D05"/>
    <w:rsid w:val="00BD7440"/>
    <w:rsid w:val="00BD7F72"/>
    <w:rsid w:val="00BE0A8A"/>
    <w:rsid w:val="00BE0ECA"/>
    <w:rsid w:val="00BE1321"/>
    <w:rsid w:val="00BE1C4D"/>
    <w:rsid w:val="00BE2180"/>
    <w:rsid w:val="00BE21F2"/>
    <w:rsid w:val="00BE2D18"/>
    <w:rsid w:val="00BE4275"/>
    <w:rsid w:val="00BF06AE"/>
    <w:rsid w:val="00BF07A6"/>
    <w:rsid w:val="00BF0F95"/>
    <w:rsid w:val="00BF1492"/>
    <w:rsid w:val="00BF2433"/>
    <w:rsid w:val="00BF2E6E"/>
    <w:rsid w:val="00BF4DFC"/>
    <w:rsid w:val="00BF4E65"/>
    <w:rsid w:val="00BF5BBD"/>
    <w:rsid w:val="00BF61C9"/>
    <w:rsid w:val="00BF6C94"/>
    <w:rsid w:val="00BF700B"/>
    <w:rsid w:val="00C00424"/>
    <w:rsid w:val="00C00BB0"/>
    <w:rsid w:val="00C0354F"/>
    <w:rsid w:val="00C059C3"/>
    <w:rsid w:val="00C05B99"/>
    <w:rsid w:val="00C063F3"/>
    <w:rsid w:val="00C06EA6"/>
    <w:rsid w:val="00C076C1"/>
    <w:rsid w:val="00C10934"/>
    <w:rsid w:val="00C1179F"/>
    <w:rsid w:val="00C11937"/>
    <w:rsid w:val="00C11AA3"/>
    <w:rsid w:val="00C120FA"/>
    <w:rsid w:val="00C127B9"/>
    <w:rsid w:val="00C128FA"/>
    <w:rsid w:val="00C12C14"/>
    <w:rsid w:val="00C14F66"/>
    <w:rsid w:val="00C1552E"/>
    <w:rsid w:val="00C15F04"/>
    <w:rsid w:val="00C17032"/>
    <w:rsid w:val="00C179B3"/>
    <w:rsid w:val="00C17E3F"/>
    <w:rsid w:val="00C200AA"/>
    <w:rsid w:val="00C2012F"/>
    <w:rsid w:val="00C20CB9"/>
    <w:rsid w:val="00C237ED"/>
    <w:rsid w:val="00C23F94"/>
    <w:rsid w:val="00C24632"/>
    <w:rsid w:val="00C25418"/>
    <w:rsid w:val="00C258D3"/>
    <w:rsid w:val="00C25D9C"/>
    <w:rsid w:val="00C2778B"/>
    <w:rsid w:val="00C27AAE"/>
    <w:rsid w:val="00C3063E"/>
    <w:rsid w:val="00C3103C"/>
    <w:rsid w:val="00C315C4"/>
    <w:rsid w:val="00C31649"/>
    <w:rsid w:val="00C31CEF"/>
    <w:rsid w:val="00C32998"/>
    <w:rsid w:val="00C33D13"/>
    <w:rsid w:val="00C3434C"/>
    <w:rsid w:val="00C354C2"/>
    <w:rsid w:val="00C358F1"/>
    <w:rsid w:val="00C377C3"/>
    <w:rsid w:val="00C40385"/>
    <w:rsid w:val="00C4106C"/>
    <w:rsid w:val="00C41768"/>
    <w:rsid w:val="00C44B2E"/>
    <w:rsid w:val="00C4565C"/>
    <w:rsid w:val="00C4565E"/>
    <w:rsid w:val="00C4584A"/>
    <w:rsid w:val="00C46595"/>
    <w:rsid w:val="00C475AA"/>
    <w:rsid w:val="00C50672"/>
    <w:rsid w:val="00C50FE9"/>
    <w:rsid w:val="00C526D7"/>
    <w:rsid w:val="00C527C7"/>
    <w:rsid w:val="00C53648"/>
    <w:rsid w:val="00C536C6"/>
    <w:rsid w:val="00C538DB"/>
    <w:rsid w:val="00C53C98"/>
    <w:rsid w:val="00C53CD0"/>
    <w:rsid w:val="00C53F49"/>
    <w:rsid w:val="00C5436C"/>
    <w:rsid w:val="00C54CC9"/>
    <w:rsid w:val="00C56FCF"/>
    <w:rsid w:val="00C57B6C"/>
    <w:rsid w:val="00C61A59"/>
    <w:rsid w:val="00C628A6"/>
    <w:rsid w:val="00C6317C"/>
    <w:rsid w:val="00C63474"/>
    <w:rsid w:val="00C63A4F"/>
    <w:rsid w:val="00C64344"/>
    <w:rsid w:val="00C64B74"/>
    <w:rsid w:val="00C65108"/>
    <w:rsid w:val="00C6517A"/>
    <w:rsid w:val="00C65576"/>
    <w:rsid w:val="00C66165"/>
    <w:rsid w:val="00C7060A"/>
    <w:rsid w:val="00C708DD"/>
    <w:rsid w:val="00C7151A"/>
    <w:rsid w:val="00C717E3"/>
    <w:rsid w:val="00C71A2E"/>
    <w:rsid w:val="00C71F60"/>
    <w:rsid w:val="00C72241"/>
    <w:rsid w:val="00C750C8"/>
    <w:rsid w:val="00C7560F"/>
    <w:rsid w:val="00C80A0E"/>
    <w:rsid w:val="00C811BA"/>
    <w:rsid w:val="00C8213F"/>
    <w:rsid w:val="00C82BEF"/>
    <w:rsid w:val="00C8303F"/>
    <w:rsid w:val="00C83591"/>
    <w:rsid w:val="00C83F07"/>
    <w:rsid w:val="00C84B01"/>
    <w:rsid w:val="00C85154"/>
    <w:rsid w:val="00C85A70"/>
    <w:rsid w:val="00C874B3"/>
    <w:rsid w:val="00C87688"/>
    <w:rsid w:val="00C8797A"/>
    <w:rsid w:val="00C900B8"/>
    <w:rsid w:val="00C90197"/>
    <w:rsid w:val="00C90C71"/>
    <w:rsid w:val="00C91FD1"/>
    <w:rsid w:val="00C920F6"/>
    <w:rsid w:val="00C931CF"/>
    <w:rsid w:val="00C93574"/>
    <w:rsid w:val="00C938CF"/>
    <w:rsid w:val="00C94053"/>
    <w:rsid w:val="00C9624D"/>
    <w:rsid w:val="00C969DA"/>
    <w:rsid w:val="00C96F1E"/>
    <w:rsid w:val="00C9784C"/>
    <w:rsid w:val="00CA1E56"/>
    <w:rsid w:val="00CA222F"/>
    <w:rsid w:val="00CA28CF"/>
    <w:rsid w:val="00CA2C77"/>
    <w:rsid w:val="00CA3970"/>
    <w:rsid w:val="00CA444F"/>
    <w:rsid w:val="00CA5245"/>
    <w:rsid w:val="00CA5496"/>
    <w:rsid w:val="00CA656E"/>
    <w:rsid w:val="00CA71F4"/>
    <w:rsid w:val="00CA72AA"/>
    <w:rsid w:val="00CA7671"/>
    <w:rsid w:val="00CA7859"/>
    <w:rsid w:val="00CA7B09"/>
    <w:rsid w:val="00CB12A5"/>
    <w:rsid w:val="00CB151A"/>
    <w:rsid w:val="00CB1CAC"/>
    <w:rsid w:val="00CB2F2A"/>
    <w:rsid w:val="00CB4532"/>
    <w:rsid w:val="00CB5B1A"/>
    <w:rsid w:val="00CB627D"/>
    <w:rsid w:val="00CB6B22"/>
    <w:rsid w:val="00CB705F"/>
    <w:rsid w:val="00CB7A4E"/>
    <w:rsid w:val="00CB7F5F"/>
    <w:rsid w:val="00CC1B39"/>
    <w:rsid w:val="00CC1BFA"/>
    <w:rsid w:val="00CC2E9F"/>
    <w:rsid w:val="00CC35EA"/>
    <w:rsid w:val="00CC3848"/>
    <w:rsid w:val="00CC3F6E"/>
    <w:rsid w:val="00CC6D5E"/>
    <w:rsid w:val="00CC7743"/>
    <w:rsid w:val="00CD0200"/>
    <w:rsid w:val="00CD12D3"/>
    <w:rsid w:val="00CD13D8"/>
    <w:rsid w:val="00CD1AD9"/>
    <w:rsid w:val="00CD1D4E"/>
    <w:rsid w:val="00CD3CC0"/>
    <w:rsid w:val="00CD3F68"/>
    <w:rsid w:val="00CD3F77"/>
    <w:rsid w:val="00CD62A4"/>
    <w:rsid w:val="00CD6ADC"/>
    <w:rsid w:val="00CD7193"/>
    <w:rsid w:val="00CD785F"/>
    <w:rsid w:val="00CE01D0"/>
    <w:rsid w:val="00CE168B"/>
    <w:rsid w:val="00CE26BC"/>
    <w:rsid w:val="00CE34C3"/>
    <w:rsid w:val="00CE38C8"/>
    <w:rsid w:val="00CE3D5C"/>
    <w:rsid w:val="00CE4F4F"/>
    <w:rsid w:val="00CE524F"/>
    <w:rsid w:val="00CE53FB"/>
    <w:rsid w:val="00CE58CC"/>
    <w:rsid w:val="00CE6274"/>
    <w:rsid w:val="00CE6512"/>
    <w:rsid w:val="00CE6CCD"/>
    <w:rsid w:val="00CE6EB6"/>
    <w:rsid w:val="00CE6EE8"/>
    <w:rsid w:val="00CE77B6"/>
    <w:rsid w:val="00CE7DC2"/>
    <w:rsid w:val="00CF0614"/>
    <w:rsid w:val="00CF078C"/>
    <w:rsid w:val="00CF0DF7"/>
    <w:rsid w:val="00CF10BA"/>
    <w:rsid w:val="00CF11EA"/>
    <w:rsid w:val="00CF2B8D"/>
    <w:rsid w:val="00CF3A1B"/>
    <w:rsid w:val="00CF4430"/>
    <w:rsid w:val="00CF456B"/>
    <w:rsid w:val="00CF5A22"/>
    <w:rsid w:val="00CF6C95"/>
    <w:rsid w:val="00D00904"/>
    <w:rsid w:val="00D00E2A"/>
    <w:rsid w:val="00D02394"/>
    <w:rsid w:val="00D0262E"/>
    <w:rsid w:val="00D02C05"/>
    <w:rsid w:val="00D035B0"/>
    <w:rsid w:val="00D03679"/>
    <w:rsid w:val="00D05E3D"/>
    <w:rsid w:val="00D05F61"/>
    <w:rsid w:val="00D06125"/>
    <w:rsid w:val="00D06139"/>
    <w:rsid w:val="00D06C6D"/>
    <w:rsid w:val="00D07430"/>
    <w:rsid w:val="00D110BD"/>
    <w:rsid w:val="00D131DA"/>
    <w:rsid w:val="00D13675"/>
    <w:rsid w:val="00D13D59"/>
    <w:rsid w:val="00D141E1"/>
    <w:rsid w:val="00D146CF"/>
    <w:rsid w:val="00D15314"/>
    <w:rsid w:val="00D15B48"/>
    <w:rsid w:val="00D15D16"/>
    <w:rsid w:val="00D16121"/>
    <w:rsid w:val="00D16247"/>
    <w:rsid w:val="00D16389"/>
    <w:rsid w:val="00D16506"/>
    <w:rsid w:val="00D16721"/>
    <w:rsid w:val="00D16F52"/>
    <w:rsid w:val="00D17D6C"/>
    <w:rsid w:val="00D17E2B"/>
    <w:rsid w:val="00D213CD"/>
    <w:rsid w:val="00D2155B"/>
    <w:rsid w:val="00D21BB4"/>
    <w:rsid w:val="00D22069"/>
    <w:rsid w:val="00D22C37"/>
    <w:rsid w:val="00D23895"/>
    <w:rsid w:val="00D23A2C"/>
    <w:rsid w:val="00D23D11"/>
    <w:rsid w:val="00D244B6"/>
    <w:rsid w:val="00D25317"/>
    <w:rsid w:val="00D2542A"/>
    <w:rsid w:val="00D2602E"/>
    <w:rsid w:val="00D2620D"/>
    <w:rsid w:val="00D27317"/>
    <w:rsid w:val="00D2754D"/>
    <w:rsid w:val="00D27B27"/>
    <w:rsid w:val="00D27DA4"/>
    <w:rsid w:val="00D3005F"/>
    <w:rsid w:val="00D300B6"/>
    <w:rsid w:val="00D30D5B"/>
    <w:rsid w:val="00D33BE9"/>
    <w:rsid w:val="00D33F93"/>
    <w:rsid w:val="00D357FF"/>
    <w:rsid w:val="00D40C5D"/>
    <w:rsid w:val="00D424C7"/>
    <w:rsid w:val="00D4269F"/>
    <w:rsid w:val="00D43109"/>
    <w:rsid w:val="00D43B2A"/>
    <w:rsid w:val="00D43CF1"/>
    <w:rsid w:val="00D43D83"/>
    <w:rsid w:val="00D44DA3"/>
    <w:rsid w:val="00D45F21"/>
    <w:rsid w:val="00D46CEA"/>
    <w:rsid w:val="00D470B9"/>
    <w:rsid w:val="00D47575"/>
    <w:rsid w:val="00D475FE"/>
    <w:rsid w:val="00D50F35"/>
    <w:rsid w:val="00D5243B"/>
    <w:rsid w:val="00D5261D"/>
    <w:rsid w:val="00D533EC"/>
    <w:rsid w:val="00D54128"/>
    <w:rsid w:val="00D56A95"/>
    <w:rsid w:val="00D6076E"/>
    <w:rsid w:val="00D60E2E"/>
    <w:rsid w:val="00D63B93"/>
    <w:rsid w:val="00D664B2"/>
    <w:rsid w:val="00D66F21"/>
    <w:rsid w:val="00D673B7"/>
    <w:rsid w:val="00D674D3"/>
    <w:rsid w:val="00D70549"/>
    <w:rsid w:val="00D705D8"/>
    <w:rsid w:val="00D70F16"/>
    <w:rsid w:val="00D7150D"/>
    <w:rsid w:val="00D71A55"/>
    <w:rsid w:val="00D71F5A"/>
    <w:rsid w:val="00D72617"/>
    <w:rsid w:val="00D72AE3"/>
    <w:rsid w:val="00D72C09"/>
    <w:rsid w:val="00D72F57"/>
    <w:rsid w:val="00D738D1"/>
    <w:rsid w:val="00D75D4F"/>
    <w:rsid w:val="00D76A44"/>
    <w:rsid w:val="00D77E12"/>
    <w:rsid w:val="00D8052C"/>
    <w:rsid w:val="00D80A8F"/>
    <w:rsid w:val="00D815EF"/>
    <w:rsid w:val="00D81949"/>
    <w:rsid w:val="00D81F26"/>
    <w:rsid w:val="00D822E2"/>
    <w:rsid w:val="00D843F2"/>
    <w:rsid w:val="00D84CFA"/>
    <w:rsid w:val="00D86231"/>
    <w:rsid w:val="00D912AB"/>
    <w:rsid w:val="00D91923"/>
    <w:rsid w:val="00D929B5"/>
    <w:rsid w:val="00D92E31"/>
    <w:rsid w:val="00D93753"/>
    <w:rsid w:val="00D9426D"/>
    <w:rsid w:val="00D94530"/>
    <w:rsid w:val="00D94EDF"/>
    <w:rsid w:val="00D96086"/>
    <w:rsid w:val="00D96482"/>
    <w:rsid w:val="00DA052B"/>
    <w:rsid w:val="00DA3167"/>
    <w:rsid w:val="00DA44FC"/>
    <w:rsid w:val="00DA46AC"/>
    <w:rsid w:val="00DA4AE7"/>
    <w:rsid w:val="00DA4DC3"/>
    <w:rsid w:val="00DA6D9C"/>
    <w:rsid w:val="00DA77A5"/>
    <w:rsid w:val="00DB054E"/>
    <w:rsid w:val="00DB0E36"/>
    <w:rsid w:val="00DB30EE"/>
    <w:rsid w:val="00DB3DBF"/>
    <w:rsid w:val="00DB484F"/>
    <w:rsid w:val="00DB7AA1"/>
    <w:rsid w:val="00DC04F6"/>
    <w:rsid w:val="00DC0690"/>
    <w:rsid w:val="00DC1D65"/>
    <w:rsid w:val="00DC2625"/>
    <w:rsid w:val="00DC2C9E"/>
    <w:rsid w:val="00DC2D90"/>
    <w:rsid w:val="00DC3C57"/>
    <w:rsid w:val="00DC5281"/>
    <w:rsid w:val="00DC5501"/>
    <w:rsid w:val="00DC5DE4"/>
    <w:rsid w:val="00DC7154"/>
    <w:rsid w:val="00DC770C"/>
    <w:rsid w:val="00DC7E8A"/>
    <w:rsid w:val="00DD0947"/>
    <w:rsid w:val="00DD0F78"/>
    <w:rsid w:val="00DD273C"/>
    <w:rsid w:val="00DD3E73"/>
    <w:rsid w:val="00DD3F28"/>
    <w:rsid w:val="00DD4446"/>
    <w:rsid w:val="00DD4537"/>
    <w:rsid w:val="00DD4D01"/>
    <w:rsid w:val="00DD4E15"/>
    <w:rsid w:val="00DD55DD"/>
    <w:rsid w:val="00DD586B"/>
    <w:rsid w:val="00DD614A"/>
    <w:rsid w:val="00DD6854"/>
    <w:rsid w:val="00DE2304"/>
    <w:rsid w:val="00DE3138"/>
    <w:rsid w:val="00DE3366"/>
    <w:rsid w:val="00DE37F8"/>
    <w:rsid w:val="00DE4273"/>
    <w:rsid w:val="00DE4FCB"/>
    <w:rsid w:val="00DE5D07"/>
    <w:rsid w:val="00DE6778"/>
    <w:rsid w:val="00DE72A7"/>
    <w:rsid w:val="00DE7832"/>
    <w:rsid w:val="00DF0C7E"/>
    <w:rsid w:val="00DF18FC"/>
    <w:rsid w:val="00DF2A4E"/>
    <w:rsid w:val="00DF57CE"/>
    <w:rsid w:val="00DF5D2B"/>
    <w:rsid w:val="00DF6341"/>
    <w:rsid w:val="00DF7809"/>
    <w:rsid w:val="00E0026A"/>
    <w:rsid w:val="00E009CA"/>
    <w:rsid w:val="00E00E8E"/>
    <w:rsid w:val="00E01C32"/>
    <w:rsid w:val="00E03097"/>
    <w:rsid w:val="00E05630"/>
    <w:rsid w:val="00E06DBB"/>
    <w:rsid w:val="00E074C0"/>
    <w:rsid w:val="00E0764B"/>
    <w:rsid w:val="00E10149"/>
    <w:rsid w:val="00E11340"/>
    <w:rsid w:val="00E122A1"/>
    <w:rsid w:val="00E150BC"/>
    <w:rsid w:val="00E16372"/>
    <w:rsid w:val="00E16AD8"/>
    <w:rsid w:val="00E178FE"/>
    <w:rsid w:val="00E17BB3"/>
    <w:rsid w:val="00E17FFA"/>
    <w:rsid w:val="00E20E4D"/>
    <w:rsid w:val="00E20ED6"/>
    <w:rsid w:val="00E21358"/>
    <w:rsid w:val="00E216B5"/>
    <w:rsid w:val="00E2249B"/>
    <w:rsid w:val="00E22A0D"/>
    <w:rsid w:val="00E235AB"/>
    <w:rsid w:val="00E244F6"/>
    <w:rsid w:val="00E258DB"/>
    <w:rsid w:val="00E25CFE"/>
    <w:rsid w:val="00E2721E"/>
    <w:rsid w:val="00E274FF"/>
    <w:rsid w:val="00E2771E"/>
    <w:rsid w:val="00E3004E"/>
    <w:rsid w:val="00E311EF"/>
    <w:rsid w:val="00E31578"/>
    <w:rsid w:val="00E32180"/>
    <w:rsid w:val="00E32415"/>
    <w:rsid w:val="00E330EB"/>
    <w:rsid w:val="00E336EC"/>
    <w:rsid w:val="00E3443A"/>
    <w:rsid w:val="00E34948"/>
    <w:rsid w:val="00E37569"/>
    <w:rsid w:val="00E37DB1"/>
    <w:rsid w:val="00E37DBA"/>
    <w:rsid w:val="00E37DEA"/>
    <w:rsid w:val="00E37E10"/>
    <w:rsid w:val="00E401B2"/>
    <w:rsid w:val="00E41E30"/>
    <w:rsid w:val="00E42DAD"/>
    <w:rsid w:val="00E42F73"/>
    <w:rsid w:val="00E43D70"/>
    <w:rsid w:val="00E442CC"/>
    <w:rsid w:val="00E44836"/>
    <w:rsid w:val="00E466F3"/>
    <w:rsid w:val="00E46C66"/>
    <w:rsid w:val="00E47B2C"/>
    <w:rsid w:val="00E508DA"/>
    <w:rsid w:val="00E51560"/>
    <w:rsid w:val="00E51821"/>
    <w:rsid w:val="00E523C6"/>
    <w:rsid w:val="00E525D4"/>
    <w:rsid w:val="00E52D9B"/>
    <w:rsid w:val="00E53FC8"/>
    <w:rsid w:val="00E540E1"/>
    <w:rsid w:val="00E54347"/>
    <w:rsid w:val="00E5450D"/>
    <w:rsid w:val="00E55424"/>
    <w:rsid w:val="00E55915"/>
    <w:rsid w:val="00E55BB5"/>
    <w:rsid w:val="00E56E7E"/>
    <w:rsid w:val="00E57367"/>
    <w:rsid w:val="00E576D3"/>
    <w:rsid w:val="00E57F92"/>
    <w:rsid w:val="00E6026B"/>
    <w:rsid w:val="00E6037D"/>
    <w:rsid w:val="00E611DF"/>
    <w:rsid w:val="00E630E0"/>
    <w:rsid w:val="00E642EA"/>
    <w:rsid w:val="00E6567E"/>
    <w:rsid w:val="00E65AF3"/>
    <w:rsid w:val="00E65E79"/>
    <w:rsid w:val="00E666F5"/>
    <w:rsid w:val="00E66BA2"/>
    <w:rsid w:val="00E67416"/>
    <w:rsid w:val="00E67B2C"/>
    <w:rsid w:val="00E701AC"/>
    <w:rsid w:val="00E710F8"/>
    <w:rsid w:val="00E718B6"/>
    <w:rsid w:val="00E723BA"/>
    <w:rsid w:val="00E72B63"/>
    <w:rsid w:val="00E73581"/>
    <w:rsid w:val="00E74331"/>
    <w:rsid w:val="00E74DBC"/>
    <w:rsid w:val="00E75339"/>
    <w:rsid w:val="00E754B7"/>
    <w:rsid w:val="00E762DC"/>
    <w:rsid w:val="00E7722A"/>
    <w:rsid w:val="00E775B7"/>
    <w:rsid w:val="00E8288A"/>
    <w:rsid w:val="00E82F4E"/>
    <w:rsid w:val="00E83086"/>
    <w:rsid w:val="00E833F7"/>
    <w:rsid w:val="00E8347E"/>
    <w:rsid w:val="00E83BDF"/>
    <w:rsid w:val="00E840DC"/>
    <w:rsid w:val="00E84334"/>
    <w:rsid w:val="00E848ED"/>
    <w:rsid w:val="00E84A25"/>
    <w:rsid w:val="00E86FCC"/>
    <w:rsid w:val="00E87A1D"/>
    <w:rsid w:val="00E9094A"/>
    <w:rsid w:val="00E90DBD"/>
    <w:rsid w:val="00E91B6F"/>
    <w:rsid w:val="00E91D35"/>
    <w:rsid w:val="00E926A5"/>
    <w:rsid w:val="00E962CC"/>
    <w:rsid w:val="00E96E39"/>
    <w:rsid w:val="00EA0271"/>
    <w:rsid w:val="00EA17C3"/>
    <w:rsid w:val="00EA1D88"/>
    <w:rsid w:val="00EA2BA1"/>
    <w:rsid w:val="00EA2CAA"/>
    <w:rsid w:val="00EA2F2F"/>
    <w:rsid w:val="00EA3864"/>
    <w:rsid w:val="00EA49F0"/>
    <w:rsid w:val="00EA6554"/>
    <w:rsid w:val="00EA6904"/>
    <w:rsid w:val="00EA6CD5"/>
    <w:rsid w:val="00EA7F1C"/>
    <w:rsid w:val="00EB09C6"/>
    <w:rsid w:val="00EB15B6"/>
    <w:rsid w:val="00EB17A2"/>
    <w:rsid w:val="00EB3D06"/>
    <w:rsid w:val="00EB3F24"/>
    <w:rsid w:val="00EB4916"/>
    <w:rsid w:val="00EB4AD1"/>
    <w:rsid w:val="00EB6294"/>
    <w:rsid w:val="00EB63DE"/>
    <w:rsid w:val="00EB6A0B"/>
    <w:rsid w:val="00EC00C9"/>
    <w:rsid w:val="00EC0695"/>
    <w:rsid w:val="00EC0DD9"/>
    <w:rsid w:val="00EC1A70"/>
    <w:rsid w:val="00EC2649"/>
    <w:rsid w:val="00EC273B"/>
    <w:rsid w:val="00EC2BC4"/>
    <w:rsid w:val="00EC31ED"/>
    <w:rsid w:val="00EC4CD4"/>
    <w:rsid w:val="00EC540B"/>
    <w:rsid w:val="00EC5836"/>
    <w:rsid w:val="00EC688C"/>
    <w:rsid w:val="00EC7647"/>
    <w:rsid w:val="00ED0EF8"/>
    <w:rsid w:val="00ED12E3"/>
    <w:rsid w:val="00ED34D9"/>
    <w:rsid w:val="00ED3E8D"/>
    <w:rsid w:val="00ED4A4B"/>
    <w:rsid w:val="00ED4B04"/>
    <w:rsid w:val="00ED546D"/>
    <w:rsid w:val="00ED57EA"/>
    <w:rsid w:val="00ED5BD4"/>
    <w:rsid w:val="00ED6691"/>
    <w:rsid w:val="00ED6718"/>
    <w:rsid w:val="00ED7278"/>
    <w:rsid w:val="00EE07D3"/>
    <w:rsid w:val="00EE1297"/>
    <w:rsid w:val="00EE1474"/>
    <w:rsid w:val="00EE1996"/>
    <w:rsid w:val="00EE1C01"/>
    <w:rsid w:val="00EE22AF"/>
    <w:rsid w:val="00EE4BF5"/>
    <w:rsid w:val="00EF0171"/>
    <w:rsid w:val="00EF10F2"/>
    <w:rsid w:val="00EF126E"/>
    <w:rsid w:val="00EF1B25"/>
    <w:rsid w:val="00EF1DA0"/>
    <w:rsid w:val="00EF25E8"/>
    <w:rsid w:val="00EF3126"/>
    <w:rsid w:val="00EF417E"/>
    <w:rsid w:val="00EF464A"/>
    <w:rsid w:val="00EF4747"/>
    <w:rsid w:val="00EF4BF8"/>
    <w:rsid w:val="00EF4D7A"/>
    <w:rsid w:val="00EF5A15"/>
    <w:rsid w:val="00EF68D1"/>
    <w:rsid w:val="00F0047D"/>
    <w:rsid w:val="00F00E83"/>
    <w:rsid w:val="00F02253"/>
    <w:rsid w:val="00F03C2E"/>
    <w:rsid w:val="00F04A66"/>
    <w:rsid w:val="00F04B4B"/>
    <w:rsid w:val="00F0516C"/>
    <w:rsid w:val="00F0640B"/>
    <w:rsid w:val="00F067A2"/>
    <w:rsid w:val="00F07396"/>
    <w:rsid w:val="00F07B9E"/>
    <w:rsid w:val="00F108D4"/>
    <w:rsid w:val="00F1116F"/>
    <w:rsid w:val="00F12035"/>
    <w:rsid w:val="00F1263A"/>
    <w:rsid w:val="00F1337D"/>
    <w:rsid w:val="00F139C5"/>
    <w:rsid w:val="00F139F3"/>
    <w:rsid w:val="00F154D0"/>
    <w:rsid w:val="00F15B77"/>
    <w:rsid w:val="00F15EDA"/>
    <w:rsid w:val="00F16D03"/>
    <w:rsid w:val="00F16D5E"/>
    <w:rsid w:val="00F21236"/>
    <w:rsid w:val="00F2231B"/>
    <w:rsid w:val="00F22E81"/>
    <w:rsid w:val="00F239DF"/>
    <w:rsid w:val="00F24837"/>
    <w:rsid w:val="00F2575F"/>
    <w:rsid w:val="00F25CD7"/>
    <w:rsid w:val="00F25E80"/>
    <w:rsid w:val="00F26E03"/>
    <w:rsid w:val="00F27565"/>
    <w:rsid w:val="00F27E82"/>
    <w:rsid w:val="00F3009B"/>
    <w:rsid w:val="00F30737"/>
    <w:rsid w:val="00F30F2C"/>
    <w:rsid w:val="00F310D4"/>
    <w:rsid w:val="00F31D5A"/>
    <w:rsid w:val="00F31DD1"/>
    <w:rsid w:val="00F32581"/>
    <w:rsid w:val="00F32963"/>
    <w:rsid w:val="00F333C3"/>
    <w:rsid w:val="00F335EB"/>
    <w:rsid w:val="00F33975"/>
    <w:rsid w:val="00F33DA4"/>
    <w:rsid w:val="00F33DDC"/>
    <w:rsid w:val="00F33DE9"/>
    <w:rsid w:val="00F33E83"/>
    <w:rsid w:val="00F34BFB"/>
    <w:rsid w:val="00F34DB7"/>
    <w:rsid w:val="00F35E02"/>
    <w:rsid w:val="00F35E6D"/>
    <w:rsid w:val="00F3607A"/>
    <w:rsid w:val="00F3619A"/>
    <w:rsid w:val="00F37EB0"/>
    <w:rsid w:val="00F40AAA"/>
    <w:rsid w:val="00F40BA7"/>
    <w:rsid w:val="00F40F9D"/>
    <w:rsid w:val="00F41ACD"/>
    <w:rsid w:val="00F41F34"/>
    <w:rsid w:val="00F42F20"/>
    <w:rsid w:val="00F45A68"/>
    <w:rsid w:val="00F45AFE"/>
    <w:rsid w:val="00F4698C"/>
    <w:rsid w:val="00F46CB6"/>
    <w:rsid w:val="00F4756D"/>
    <w:rsid w:val="00F4790F"/>
    <w:rsid w:val="00F47B3C"/>
    <w:rsid w:val="00F47BF1"/>
    <w:rsid w:val="00F47DE8"/>
    <w:rsid w:val="00F53625"/>
    <w:rsid w:val="00F542C1"/>
    <w:rsid w:val="00F545EC"/>
    <w:rsid w:val="00F54D26"/>
    <w:rsid w:val="00F550E3"/>
    <w:rsid w:val="00F55E73"/>
    <w:rsid w:val="00F55EDA"/>
    <w:rsid w:val="00F564FD"/>
    <w:rsid w:val="00F56533"/>
    <w:rsid w:val="00F56926"/>
    <w:rsid w:val="00F56C80"/>
    <w:rsid w:val="00F60092"/>
    <w:rsid w:val="00F60F20"/>
    <w:rsid w:val="00F6106D"/>
    <w:rsid w:val="00F61C18"/>
    <w:rsid w:val="00F62520"/>
    <w:rsid w:val="00F63300"/>
    <w:rsid w:val="00F63E47"/>
    <w:rsid w:val="00F644E6"/>
    <w:rsid w:val="00F650CE"/>
    <w:rsid w:val="00F656DF"/>
    <w:rsid w:val="00F65C1D"/>
    <w:rsid w:val="00F65CD0"/>
    <w:rsid w:val="00F65F4B"/>
    <w:rsid w:val="00F668F9"/>
    <w:rsid w:val="00F67A69"/>
    <w:rsid w:val="00F67F73"/>
    <w:rsid w:val="00F709B7"/>
    <w:rsid w:val="00F70BFF"/>
    <w:rsid w:val="00F70C30"/>
    <w:rsid w:val="00F70C9D"/>
    <w:rsid w:val="00F73B50"/>
    <w:rsid w:val="00F73E08"/>
    <w:rsid w:val="00F74CD9"/>
    <w:rsid w:val="00F77D9A"/>
    <w:rsid w:val="00F80A7B"/>
    <w:rsid w:val="00F80D1B"/>
    <w:rsid w:val="00F80E5D"/>
    <w:rsid w:val="00F81E78"/>
    <w:rsid w:val="00F832D2"/>
    <w:rsid w:val="00F834D0"/>
    <w:rsid w:val="00F83916"/>
    <w:rsid w:val="00F84831"/>
    <w:rsid w:val="00F851CE"/>
    <w:rsid w:val="00F8561D"/>
    <w:rsid w:val="00F878E0"/>
    <w:rsid w:val="00F91219"/>
    <w:rsid w:val="00F91AD2"/>
    <w:rsid w:val="00F91CC3"/>
    <w:rsid w:val="00F92444"/>
    <w:rsid w:val="00F9393E"/>
    <w:rsid w:val="00F95B62"/>
    <w:rsid w:val="00F96373"/>
    <w:rsid w:val="00F96FD0"/>
    <w:rsid w:val="00F97A78"/>
    <w:rsid w:val="00FA0B20"/>
    <w:rsid w:val="00FA13A5"/>
    <w:rsid w:val="00FA24E7"/>
    <w:rsid w:val="00FA4C0C"/>
    <w:rsid w:val="00FA4F37"/>
    <w:rsid w:val="00FA5A5C"/>
    <w:rsid w:val="00FA5EE6"/>
    <w:rsid w:val="00FA7956"/>
    <w:rsid w:val="00FA7FBB"/>
    <w:rsid w:val="00FB0824"/>
    <w:rsid w:val="00FB1312"/>
    <w:rsid w:val="00FB1DBF"/>
    <w:rsid w:val="00FB2405"/>
    <w:rsid w:val="00FB2FCB"/>
    <w:rsid w:val="00FB4C9C"/>
    <w:rsid w:val="00FB4CF1"/>
    <w:rsid w:val="00FB4F5B"/>
    <w:rsid w:val="00FB761F"/>
    <w:rsid w:val="00FB7C55"/>
    <w:rsid w:val="00FC001D"/>
    <w:rsid w:val="00FC099A"/>
    <w:rsid w:val="00FC1074"/>
    <w:rsid w:val="00FC1884"/>
    <w:rsid w:val="00FC212A"/>
    <w:rsid w:val="00FC371D"/>
    <w:rsid w:val="00FC3B7A"/>
    <w:rsid w:val="00FC5206"/>
    <w:rsid w:val="00FC5F0B"/>
    <w:rsid w:val="00FC6E9A"/>
    <w:rsid w:val="00FD2100"/>
    <w:rsid w:val="00FD2D49"/>
    <w:rsid w:val="00FD436C"/>
    <w:rsid w:val="00FD446D"/>
    <w:rsid w:val="00FD4708"/>
    <w:rsid w:val="00FD4D21"/>
    <w:rsid w:val="00FD4F2C"/>
    <w:rsid w:val="00FD601D"/>
    <w:rsid w:val="00FD6394"/>
    <w:rsid w:val="00FD6B7A"/>
    <w:rsid w:val="00FE0E6C"/>
    <w:rsid w:val="00FE1CDC"/>
    <w:rsid w:val="00FE5F94"/>
    <w:rsid w:val="00FE6B0D"/>
    <w:rsid w:val="00FE70C3"/>
    <w:rsid w:val="00FE7533"/>
    <w:rsid w:val="00FF1A8B"/>
    <w:rsid w:val="00FF269B"/>
    <w:rsid w:val="00FF2AD9"/>
    <w:rsid w:val="00FF359F"/>
    <w:rsid w:val="00FF3DCF"/>
    <w:rsid w:val="00FF3EA6"/>
    <w:rsid w:val="00FF435F"/>
    <w:rsid w:val="00FF492C"/>
    <w:rsid w:val="00FF4A21"/>
    <w:rsid w:val="00FF4EF4"/>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7"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FBB"/>
    <w:pPr>
      <w:jc w:val="both"/>
    </w:pPr>
    <w:rPr>
      <w:rFonts w:ascii="Calibri" w:hAnsi="Calibri" w:cs="Arial"/>
      <w:sz w:val="24"/>
      <w:szCs w:val="24"/>
    </w:rPr>
  </w:style>
  <w:style w:type="paragraph" w:styleId="Heading1">
    <w:name w:val="heading 1"/>
    <w:aliases w:val="Level 1,Outline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aliases w:val="Don'tUse,Don'tUse1,Don'tUse2,Don'tUse3,Don'tUse4,Don'tUse5,Don'tUse6,Don'tUse11,Don'tUse21,Don'tUse12,Don'tUse22,Don'tUse31,Don'tUse111,Don'tUse211,Don'tUse13,Don'tUse23,Don'tUse32,Don'tUse112,Don'tUse212,Don'tUse14,Don'tUse24,Don'tUse33"/>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aliases w:val="Don'tUse Char,Don'tUse1 Char,Don'tUse2 Char,Don'tUse3 Char,Don'tUse4 Char,Don'tUse5 Char,Don'tUse6 Char,Don'tUse11 Char,Don'tUse21 Char,Don'tUse12 Char,Don'tUse22 Char,Don'tUse31 Char,Don'tUse111 Char,Don'tUse211 Char,Don'tUse13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3,c,appendix,Caption 1,appendix Cha,Caption Char1 Char Char,Caption Char Char Char Char, Char Char Char Char Char,Caption Char Char1,Char Char Char Char Char,! Q,Caption Char1,Table and Figure Name,Bullet,- H17,Bayer Caption,IB Caption"/>
    <w:basedOn w:val="Normal"/>
    <w:next w:val="Normal"/>
    <w:link w:val="CaptionChar"/>
    <w:uiPriority w:val="35"/>
    <w:unhideWhenUsed/>
    <w:qFormat/>
    <w:rsid w:val="00E16AD8"/>
    <w:pPr>
      <w:keepNext/>
      <w:keepLines/>
    </w:pPr>
    <w:rPr>
      <w:rFonts w:ascii="Arial Narrow" w:hAnsi="Arial Narrow"/>
      <w:b/>
      <w:bCs/>
      <w:sz w:val="20"/>
      <w:szCs w:val="18"/>
    </w:rPr>
  </w:style>
  <w:style w:type="character" w:customStyle="1" w:styleId="CaptionChar">
    <w:name w:val="Caption Char"/>
    <w:aliases w:val="Caption 3 Char,c Char,appendix Char,Caption 1 Char,appendix Cha Char,Caption Char1 Char Char Char,Caption Char Char Char Char Char, Char Char Char Char Char Char,Caption Char Char1 Char,Char Char Char Char Char Char,! Q Char,Bullet Char"/>
    <w:link w:val="Caption"/>
    <w:uiPriority w:val="35"/>
    <w:rsid w:val="00E16AD8"/>
    <w:rPr>
      <w:rFonts w:ascii="Arial Narrow" w:hAnsi="Arial Narrow" w:cs="Arial"/>
      <w:b/>
      <w:bCs/>
      <w:szCs w:val="18"/>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 List,ES Paragraph,PBAC ES Paragraph,PBAC normal points"/>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 List Char,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PBAC table,new style,HTAtableplain"/>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jc w:val="left"/>
    </w:pPr>
    <w:rPr>
      <w:rFonts w:ascii="Arial Narrow" w:hAnsi="Arial Narrow" w:cs="Times New Roman"/>
      <w:snapToGrid w:val="0"/>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153B56"/>
    <w:pPr>
      <w:tabs>
        <w:tab w:val="left" w:pos="709"/>
        <w:tab w:val="right" w:leader="dot" w:pos="9016"/>
      </w:tabs>
      <w:spacing w:after="120"/>
      <w:jc w:val="left"/>
    </w:pPr>
    <w:rPr>
      <w:rFonts w:asciiTheme="minorHAnsi" w:hAnsiTheme="minorHAnsi" w:cstheme="minorHAnsi"/>
      <w:bCs/>
      <w:sz w:val="20"/>
      <w:szCs w:val="20"/>
    </w:rPr>
  </w:style>
  <w:style w:type="paragraph" w:styleId="TOC1">
    <w:name w:val="toc 1"/>
    <w:basedOn w:val="Normal"/>
    <w:next w:val="Normal"/>
    <w:autoRedefine/>
    <w:uiPriority w:val="39"/>
    <w:rsid w:val="00153B56"/>
    <w:pPr>
      <w:tabs>
        <w:tab w:val="left" w:pos="720"/>
        <w:tab w:val="right" w:leader="dot" w:pos="9016"/>
      </w:tabs>
      <w:spacing w:after="120"/>
      <w:jc w:val="left"/>
    </w:pPr>
    <w:rPr>
      <w:noProof/>
      <w:snapToGrid w:val="0"/>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153B56"/>
    <w:pPr>
      <w:spacing w:after="120"/>
      <w:ind w:left="238"/>
      <w:jc w:val="left"/>
    </w:pPr>
    <w:rPr>
      <w:rFonts w:asciiTheme="minorHAnsi" w:hAnsiTheme="minorHAnsi" w:cstheme="minorHAnsi"/>
      <w:sz w:val="20"/>
      <w:szCs w:val="20"/>
    </w:rPr>
  </w:style>
  <w:style w:type="paragraph" w:styleId="TOC4">
    <w:name w:val="toc 4"/>
    <w:basedOn w:val="Normal"/>
    <w:next w:val="Normal"/>
    <w:autoRedefine/>
    <w:rsid w:val="00D0262E"/>
    <w:pPr>
      <w:ind w:left="480"/>
      <w:jc w:val="left"/>
    </w:pPr>
    <w:rPr>
      <w:rFonts w:asciiTheme="minorHAnsi" w:hAnsiTheme="minorHAnsi" w:cstheme="minorHAnsi"/>
      <w:sz w:val="20"/>
      <w:szCs w:val="20"/>
    </w:rPr>
  </w:style>
  <w:style w:type="paragraph" w:styleId="TOC5">
    <w:name w:val="toc 5"/>
    <w:basedOn w:val="Normal"/>
    <w:next w:val="Normal"/>
    <w:autoRedefine/>
    <w:rsid w:val="00D0262E"/>
    <w:pPr>
      <w:ind w:left="720"/>
      <w:jc w:val="left"/>
    </w:pPr>
    <w:rPr>
      <w:rFonts w:asciiTheme="minorHAnsi" w:hAnsiTheme="minorHAnsi" w:cstheme="minorHAnsi"/>
      <w:sz w:val="20"/>
      <w:szCs w:val="20"/>
    </w:rPr>
  </w:style>
  <w:style w:type="paragraph" w:styleId="TOC6">
    <w:name w:val="toc 6"/>
    <w:basedOn w:val="Normal"/>
    <w:next w:val="Normal"/>
    <w:autoRedefine/>
    <w:rsid w:val="00D0262E"/>
    <w:pPr>
      <w:ind w:left="960"/>
      <w:jc w:val="left"/>
    </w:pPr>
    <w:rPr>
      <w:rFonts w:asciiTheme="minorHAnsi" w:hAnsiTheme="minorHAnsi" w:cstheme="minorHAnsi"/>
      <w:sz w:val="20"/>
      <w:szCs w:val="20"/>
    </w:rPr>
  </w:style>
  <w:style w:type="paragraph" w:styleId="TOC7">
    <w:name w:val="toc 7"/>
    <w:basedOn w:val="Normal"/>
    <w:next w:val="Normal"/>
    <w:autoRedefine/>
    <w:rsid w:val="00D0262E"/>
    <w:pPr>
      <w:ind w:left="1200"/>
      <w:jc w:val="left"/>
    </w:pPr>
    <w:rPr>
      <w:rFonts w:asciiTheme="minorHAnsi" w:hAnsiTheme="minorHAnsi" w:cstheme="minorHAnsi"/>
      <w:sz w:val="20"/>
      <w:szCs w:val="20"/>
    </w:rPr>
  </w:style>
  <w:style w:type="paragraph" w:styleId="TOC8">
    <w:name w:val="toc 8"/>
    <w:basedOn w:val="Normal"/>
    <w:next w:val="Normal"/>
    <w:autoRedefine/>
    <w:rsid w:val="00D0262E"/>
    <w:pPr>
      <w:ind w:left="1440"/>
      <w:jc w:val="left"/>
    </w:pPr>
    <w:rPr>
      <w:rFonts w:asciiTheme="minorHAnsi" w:hAnsiTheme="minorHAnsi" w:cstheme="minorHAnsi"/>
      <w:sz w:val="20"/>
      <w:szCs w:val="20"/>
    </w:rPr>
  </w:style>
  <w:style w:type="paragraph" w:styleId="TOC9">
    <w:name w:val="toc 9"/>
    <w:basedOn w:val="Normal"/>
    <w:next w:val="Normal"/>
    <w:autoRedefine/>
    <w:rsid w:val="00D0262E"/>
    <w:pPr>
      <w:ind w:left="1680"/>
      <w:jc w:val="left"/>
    </w:pPr>
    <w:rPr>
      <w:rFonts w:asciiTheme="minorHAnsi" w:hAnsiTheme="minorHAnsi" w:cstheme="minorHAnsi"/>
      <w:sz w:val="20"/>
      <w:szCs w:val="20"/>
    </w:rPr>
  </w:style>
  <w:style w:type="paragraph" w:styleId="CommentText">
    <w:name w:val="annotation text"/>
    <w:aliases w:val="- H19"/>
    <w:basedOn w:val="Normal"/>
    <w:link w:val="CommentTextChar"/>
    <w:uiPriority w:val="99"/>
    <w:rsid w:val="00FD2100"/>
    <w:rPr>
      <w:rFonts w:ascii="Times New Roman" w:hAnsi="Times New Roman" w:cs="Times New Roman"/>
      <w:sz w:val="20"/>
    </w:rPr>
  </w:style>
  <w:style w:type="character" w:customStyle="1" w:styleId="CommentTextChar">
    <w:name w:val="Comment Text Char"/>
    <w:aliases w:val="- H19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uiPriority w:val="11"/>
    <w:rsid w:val="00B50DB8"/>
    <w:rPr>
      <w:lang w:eastAsia="en-US"/>
    </w:rPr>
  </w:style>
  <w:style w:type="paragraph" w:styleId="Subtitle">
    <w:name w:val="Subtitle"/>
    <w:basedOn w:val="Normal"/>
    <w:link w:val="SubtitleChar"/>
    <w:uiPriority w:val="11"/>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link w:val="CommentitalicsChar"/>
    <w:qFormat/>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0"/>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6"/>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943FF5"/>
    <w:rPr>
      <w:color w:val="808080"/>
    </w:rPr>
  </w:style>
  <w:style w:type="character" w:customStyle="1" w:styleId="CommentitalicsChar">
    <w:name w:val="Comment (italics) Char"/>
    <w:basedOn w:val="DefaultParagraphFont"/>
    <w:link w:val="Commentitalics"/>
    <w:rsid w:val="00874CE0"/>
    <w:rPr>
      <w:rFonts w:ascii="Calibri" w:hAnsi="Calibri" w:cs="Arial"/>
      <w:i/>
      <w:sz w:val="24"/>
      <w:szCs w:val="24"/>
    </w:rPr>
  </w:style>
  <w:style w:type="numbering" w:customStyle="1" w:styleId="Style2">
    <w:name w:val="Style2"/>
    <w:uiPriority w:val="99"/>
    <w:rsid w:val="00302E6A"/>
    <w:pPr>
      <w:numPr>
        <w:numId w:val="8"/>
      </w:numPr>
    </w:pPr>
  </w:style>
  <w:style w:type="paragraph" w:customStyle="1" w:styleId="Tablebulletlist">
    <w:name w:val="Table bullet list"/>
    <w:basedOn w:val="Normal"/>
    <w:link w:val="TablebulletlistChar"/>
    <w:uiPriority w:val="99"/>
    <w:qFormat/>
    <w:rsid w:val="00CA656E"/>
    <w:pPr>
      <w:widowControl w:val="0"/>
      <w:numPr>
        <w:numId w:val="9"/>
      </w:numPr>
      <w:tabs>
        <w:tab w:val="left" w:pos="464"/>
      </w:tabs>
      <w:spacing w:before="34"/>
      <w:ind w:left="341" w:hanging="284"/>
      <w:jc w:val="left"/>
    </w:pPr>
    <w:rPr>
      <w:rFonts w:asciiTheme="minorHAnsi" w:hAnsiTheme="minorHAnsi" w:cs="Times New Roman"/>
      <w:sz w:val="18"/>
      <w:szCs w:val="18"/>
      <w:lang w:val="en-US"/>
    </w:rPr>
  </w:style>
  <w:style w:type="character" w:customStyle="1" w:styleId="TablebulletlistChar">
    <w:name w:val="Table bullet list Char"/>
    <w:basedOn w:val="DefaultParagraphFont"/>
    <w:link w:val="Tablebulletlist"/>
    <w:uiPriority w:val="99"/>
    <w:rsid w:val="00CA656E"/>
    <w:rPr>
      <w:rFonts w:asciiTheme="minorHAnsi" w:hAnsiTheme="minorHAnsi"/>
      <w:sz w:val="18"/>
      <w:szCs w:val="18"/>
      <w:lang w:val="en-US"/>
    </w:rPr>
  </w:style>
  <w:style w:type="character" w:customStyle="1" w:styleId="Heading1Char">
    <w:name w:val="Heading 1 Char"/>
    <w:aliases w:val="Level 1 Char,Outline1 Char"/>
    <w:basedOn w:val="DefaultParagraphFont"/>
    <w:link w:val="Heading1"/>
    <w:uiPriority w:val="1"/>
    <w:rsid w:val="00BF4DFC"/>
    <w:rPr>
      <w:rFonts w:ascii="Calibri" w:hAnsi="Calibri" w:cs="Arial"/>
      <w:b/>
      <w:caps/>
      <w:sz w:val="32"/>
      <w:szCs w:val="24"/>
    </w:rPr>
  </w:style>
  <w:style w:type="character" w:customStyle="1" w:styleId="Heading3Char">
    <w:name w:val="Heading 3 Char"/>
    <w:basedOn w:val="DefaultParagraphFont"/>
    <w:link w:val="Heading3"/>
    <w:rsid w:val="00BF4DFC"/>
    <w:rPr>
      <w:rFonts w:ascii="Calibri" w:hAnsi="Calibri" w:cs="Arial"/>
      <w:sz w:val="24"/>
      <w:szCs w:val="24"/>
      <w:u w:val="single"/>
    </w:rPr>
  </w:style>
  <w:style w:type="character" w:customStyle="1" w:styleId="Heading4Char">
    <w:name w:val="Heading 4 Char"/>
    <w:basedOn w:val="DefaultParagraphFont"/>
    <w:link w:val="Heading4"/>
    <w:rsid w:val="00BF4DFC"/>
    <w:rPr>
      <w:rFonts w:ascii="Calibri" w:hAnsi="Calibri" w:cs="Arial"/>
      <w:b/>
      <w:bCs/>
      <w:i/>
      <w:sz w:val="26"/>
      <w:szCs w:val="28"/>
    </w:rPr>
  </w:style>
  <w:style w:type="character" w:customStyle="1" w:styleId="Heading5Char">
    <w:name w:val="Heading 5 Char"/>
    <w:basedOn w:val="DefaultParagraphFont"/>
    <w:link w:val="Heading5"/>
    <w:rsid w:val="00BF4DFC"/>
    <w:rPr>
      <w:rFonts w:ascii="Calibri" w:hAnsi="Calibri" w:cs="Arial"/>
      <w:b/>
      <w:bCs/>
      <w:iCs/>
      <w:sz w:val="26"/>
      <w:szCs w:val="26"/>
    </w:rPr>
  </w:style>
  <w:style w:type="character" w:customStyle="1" w:styleId="Heading6Char">
    <w:name w:val="Heading 6 Char"/>
    <w:basedOn w:val="DefaultParagraphFont"/>
    <w:link w:val="Heading6"/>
    <w:rsid w:val="00BF4DFC"/>
    <w:rPr>
      <w:rFonts w:ascii="Calibri" w:hAnsi="Calibri" w:cs="Arial"/>
      <w:b/>
      <w:bCs/>
      <w:i/>
      <w:sz w:val="24"/>
      <w:szCs w:val="24"/>
    </w:rPr>
  </w:style>
  <w:style w:type="paragraph" w:customStyle="1" w:styleId="msonormal0">
    <w:name w:val="msonormal"/>
    <w:basedOn w:val="Normal"/>
    <w:rsid w:val="00BF4DFC"/>
    <w:pPr>
      <w:snapToGrid w:val="0"/>
      <w:spacing w:before="100" w:after="100"/>
      <w:jc w:val="left"/>
    </w:pPr>
    <w:rPr>
      <w:rFonts w:ascii="Times New Roman" w:hAnsi="Times New Roman" w:cs="Times New Roman"/>
      <w:lang w:val="en-GB"/>
    </w:rPr>
  </w:style>
  <w:style w:type="character" w:customStyle="1" w:styleId="HeaderChar1">
    <w:name w:val="Header Char1"/>
    <w:aliases w:val="Page Header Char1,Header title Char1,he=header Char1,cntr/bld Char1"/>
    <w:basedOn w:val="DefaultParagraphFont"/>
    <w:semiHidden/>
    <w:rsid w:val="00BF4DFC"/>
    <w:rPr>
      <w:rFonts w:ascii="Calibri" w:hAnsi="Calibri" w:cs="Arial"/>
      <w:sz w:val="24"/>
      <w:szCs w:val="24"/>
    </w:rPr>
  </w:style>
  <w:style w:type="paragraph" w:customStyle="1" w:styleId="Tableheadingcent">
    <w:name w:val="Table heading cent"/>
    <w:basedOn w:val="Normal"/>
    <w:qFormat/>
    <w:rsid w:val="00BF4DFC"/>
    <w:pPr>
      <w:spacing w:before="40" w:after="40"/>
      <w:jc w:val="center"/>
    </w:pPr>
    <w:rPr>
      <w:rFonts w:asciiTheme="minorHAnsi" w:eastAsiaTheme="minorHAnsi" w:hAnsiTheme="minorHAnsi" w:cs="Tahoma"/>
      <w:b/>
      <w:sz w:val="18"/>
      <w:szCs w:val="18"/>
      <w:lang w:val="de-DE" w:eastAsia="en-US"/>
    </w:rPr>
  </w:style>
  <w:style w:type="table" w:customStyle="1" w:styleId="HTATableshaded">
    <w:name w:val="HTA Table shaded"/>
    <w:basedOn w:val="TableNormal"/>
    <w:rsid w:val="00BF4DFC"/>
    <w:pPr>
      <w:spacing w:before="40" w:after="20"/>
    </w:pPr>
    <w:rPr>
      <w:rFonts w:ascii="Calibri" w:hAnsi="Calibri"/>
      <w:sz w:val="18"/>
      <w:szCs w:val="18"/>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cs="Calibri" w:hint="default"/>
        <w:b w:val="0"/>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font5">
    <w:name w:val="font5"/>
    <w:basedOn w:val="Normal"/>
    <w:rsid w:val="00DD4D01"/>
    <w:pPr>
      <w:spacing w:before="100" w:beforeAutospacing="1" w:after="100" w:afterAutospacing="1"/>
      <w:jc w:val="left"/>
    </w:pPr>
    <w:rPr>
      <w:rFonts w:ascii="Arial Narrow" w:hAnsi="Arial Narrow" w:cs="Times New Roman"/>
      <w:color w:val="000000"/>
      <w:sz w:val="20"/>
      <w:szCs w:val="20"/>
    </w:rPr>
  </w:style>
  <w:style w:type="paragraph" w:customStyle="1" w:styleId="font6">
    <w:name w:val="font6"/>
    <w:basedOn w:val="Normal"/>
    <w:rsid w:val="00DD4D01"/>
    <w:pPr>
      <w:spacing w:before="100" w:beforeAutospacing="1" w:after="100" w:afterAutospacing="1"/>
      <w:jc w:val="left"/>
    </w:pPr>
    <w:rPr>
      <w:rFonts w:ascii="Arial Narrow" w:hAnsi="Arial Narrow" w:cs="Times New Roman"/>
      <w:b/>
      <w:bCs/>
      <w:color w:val="000000"/>
      <w:sz w:val="20"/>
      <w:szCs w:val="20"/>
    </w:rPr>
  </w:style>
  <w:style w:type="paragraph" w:customStyle="1" w:styleId="font7">
    <w:name w:val="font7"/>
    <w:basedOn w:val="Normal"/>
    <w:rsid w:val="00DD4D01"/>
    <w:pPr>
      <w:spacing w:before="100" w:beforeAutospacing="1" w:after="100" w:afterAutospacing="1"/>
      <w:jc w:val="left"/>
    </w:pPr>
    <w:rPr>
      <w:rFonts w:ascii="Arial Narrow" w:hAnsi="Arial Narrow" w:cs="Times New Roman"/>
      <w:i/>
      <w:iCs/>
      <w:color w:val="000000"/>
      <w:sz w:val="20"/>
      <w:szCs w:val="20"/>
    </w:rPr>
  </w:style>
  <w:style w:type="paragraph" w:customStyle="1" w:styleId="font8">
    <w:name w:val="font8"/>
    <w:basedOn w:val="Normal"/>
    <w:rsid w:val="00DD4D01"/>
    <w:pPr>
      <w:spacing w:before="100" w:beforeAutospacing="1" w:after="100" w:afterAutospacing="1"/>
      <w:jc w:val="left"/>
    </w:pPr>
    <w:rPr>
      <w:rFonts w:ascii="Arial Narrow" w:hAnsi="Arial Narrow" w:cs="Times New Roman"/>
      <w:b/>
      <w:bCs/>
      <w:color w:val="000000"/>
      <w:sz w:val="20"/>
      <w:szCs w:val="20"/>
    </w:rPr>
  </w:style>
  <w:style w:type="paragraph" w:customStyle="1" w:styleId="xl63">
    <w:name w:val="xl63"/>
    <w:basedOn w:val="Normal"/>
    <w:rsid w:val="00DD4D0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cs="Times New Roman"/>
      <w:sz w:val="20"/>
      <w:szCs w:val="20"/>
    </w:rPr>
  </w:style>
  <w:style w:type="paragraph" w:customStyle="1" w:styleId="xl64">
    <w:name w:val="xl64"/>
    <w:basedOn w:val="Normal"/>
    <w:rsid w:val="00DD4D01"/>
    <w:pPr>
      <w:spacing w:before="100" w:beforeAutospacing="1" w:after="100" w:afterAutospacing="1"/>
      <w:jc w:val="left"/>
    </w:pPr>
    <w:rPr>
      <w:rFonts w:ascii="Times New Roman" w:hAnsi="Times New Roman" w:cs="Times New Roman"/>
    </w:rPr>
  </w:style>
  <w:style w:type="paragraph" w:customStyle="1" w:styleId="xl65">
    <w:name w:val="xl65"/>
    <w:basedOn w:val="Normal"/>
    <w:rsid w:val="00DD4D0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66">
    <w:name w:val="xl66"/>
    <w:basedOn w:val="Normal"/>
    <w:rsid w:val="00DD4D0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cs="Times New Roman"/>
      <w:b/>
      <w:bCs/>
      <w:sz w:val="20"/>
      <w:szCs w:val="20"/>
    </w:rPr>
  </w:style>
  <w:style w:type="paragraph" w:customStyle="1" w:styleId="xl67">
    <w:name w:val="xl67"/>
    <w:basedOn w:val="Normal"/>
    <w:rsid w:val="00DD4D0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cs="Times New Roman"/>
      <w:color w:val="000000"/>
      <w:sz w:val="20"/>
      <w:szCs w:val="20"/>
    </w:rPr>
  </w:style>
  <w:style w:type="paragraph" w:customStyle="1" w:styleId="xl68">
    <w:name w:val="xl68"/>
    <w:basedOn w:val="Normal"/>
    <w:rsid w:val="00DD4D01"/>
    <w:pPr>
      <w:pBdr>
        <w:top w:val="single" w:sz="4" w:space="0" w:color="auto"/>
        <w:left w:val="single" w:sz="4" w:space="0" w:color="auto"/>
        <w:right w:val="single" w:sz="4" w:space="0" w:color="auto"/>
      </w:pBdr>
      <w:spacing w:before="100" w:beforeAutospacing="1" w:after="100" w:afterAutospacing="1"/>
      <w:jc w:val="left"/>
      <w:textAlignment w:val="center"/>
    </w:pPr>
    <w:rPr>
      <w:rFonts w:ascii="Arial Narrow" w:hAnsi="Arial Narrow" w:cs="Times New Roman"/>
      <w:sz w:val="20"/>
      <w:szCs w:val="20"/>
    </w:rPr>
  </w:style>
  <w:style w:type="paragraph" w:customStyle="1" w:styleId="xl69">
    <w:name w:val="xl69"/>
    <w:basedOn w:val="Normal"/>
    <w:rsid w:val="00DD4D0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cs="Times New Roman"/>
      <w:i/>
      <w:iCs/>
      <w:sz w:val="20"/>
      <w:szCs w:val="20"/>
    </w:rPr>
  </w:style>
  <w:style w:type="paragraph" w:customStyle="1" w:styleId="xl70">
    <w:name w:val="xl70"/>
    <w:basedOn w:val="Normal"/>
    <w:rsid w:val="00DD4D0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Symbol" w:hAnsi="Symbol" w:cs="Times New Roman"/>
      <w:sz w:val="20"/>
      <w:szCs w:val="20"/>
    </w:rPr>
  </w:style>
  <w:style w:type="paragraph" w:customStyle="1" w:styleId="xl71">
    <w:name w:val="xl71"/>
    <w:basedOn w:val="Normal"/>
    <w:rsid w:val="00DD4D0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styleId="FootnoteText">
    <w:name w:val="footnote text"/>
    <w:basedOn w:val="Normal"/>
    <w:link w:val="FootnoteTextChar"/>
    <w:uiPriority w:val="99"/>
    <w:unhideWhenUsed/>
    <w:rsid w:val="007D6C9C"/>
    <w:rPr>
      <w:sz w:val="20"/>
      <w:szCs w:val="20"/>
    </w:rPr>
  </w:style>
  <w:style w:type="character" w:customStyle="1" w:styleId="FootnoteTextChar">
    <w:name w:val="Footnote Text Char"/>
    <w:basedOn w:val="DefaultParagraphFont"/>
    <w:link w:val="FootnoteText"/>
    <w:uiPriority w:val="99"/>
    <w:rsid w:val="007D6C9C"/>
    <w:rPr>
      <w:rFonts w:ascii="Calibri" w:hAnsi="Calibri" w:cs="Arial"/>
    </w:rPr>
  </w:style>
  <w:style w:type="character" w:styleId="FootnoteReference">
    <w:name w:val="footnote reference"/>
    <w:basedOn w:val="DefaultParagraphFont"/>
    <w:uiPriority w:val="99"/>
    <w:unhideWhenUsed/>
    <w:rsid w:val="007D6C9C"/>
    <w:rPr>
      <w:vertAlign w:val="superscript"/>
    </w:rPr>
  </w:style>
  <w:style w:type="character" w:styleId="UnresolvedMention">
    <w:name w:val="Unresolved Mention"/>
    <w:basedOn w:val="DefaultParagraphFont"/>
    <w:uiPriority w:val="99"/>
    <w:semiHidden/>
    <w:unhideWhenUsed/>
    <w:rsid w:val="007D6C9C"/>
    <w:rPr>
      <w:color w:val="605E5C"/>
      <w:shd w:val="clear" w:color="auto" w:fill="E1DFDD"/>
    </w:rPr>
  </w:style>
  <w:style w:type="paragraph" w:customStyle="1" w:styleId="TableFigureFooter">
    <w:name w:val="Table/Figure Footer"/>
    <w:basedOn w:val="Normal"/>
    <w:link w:val="TableFigureFooterChar"/>
    <w:qFormat/>
    <w:rsid w:val="00AB32DE"/>
    <w:pPr>
      <w:spacing w:after="120"/>
      <w:contextualSpacing/>
    </w:pPr>
    <w:rPr>
      <w:rFonts w:ascii="Arial Narrow" w:eastAsiaTheme="minorEastAsia" w:hAnsi="Arial Narrow"/>
      <w:snapToGrid w:val="0"/>
      <w:sz w:val="18"/>
      <w:szCs w:val="22"/>
    </w:rPr>
  </w:style>
  <w:style w:type="character" w:customStyle="1" w:styleId="TableFigureFooterChar">
    <w:name w:val="Table/Figure Footer Char"/>
    <w:link w:val="TableFigureFooter"/>
    <w:rsid w:val="00AB32DE"/>
    <w:rPr>
      <w:rFonts w:ascii="Arial Narrow" w:eastAsiaTheme="minorEastAsia" w:hAnsi="Arial Narrow" w:cs="Arial"/>
      <w:snapToGrid w:val="0"/>
      <w:sz w:val="18"/>
      <w:szCs w:val="22"/>
    </w:rPr>
  </w:style>
  <w:style w:type="paragraph" w:customStyle="1" w:styleId="Tabletextleft">
    <w:name w:val="Table text left"/>
    <w:basedOn w:val="Normal"/>
    <w:link w:val="TabletextleftChar"/>
    <w:qFormat/>
    <w:rsid w:val="00E216B5"/>
    <w:pPr>
      <w:spacing w:before="20" w:after="20"/>
      <w:jc w:val="left"/>
    </w:pPr>
    <w:rPr>
      <w:rFonts w:asciiTheme="minorHAnsi" w:hAnsiTheme="minorHAnsi" w:cs="Times New Roman"/>
      <w:sz w:val="18"/>
      <w:szCs w:val="20"/>
    </w:rPr>
  </w:style>
  <w:style w:type="character" w:customStyle="1" w:styleId="TabletextleftChar">
    <w:name w:val="Table text left Char"/>
    <w:basedOn w:val="DefaultParagraphFont"/>
    <w:link w:val="Tabletextleft"/>
    <w:rsid w:val="00E216B5"/>
    <w:rPr>
      <w:rFonts w:asciiTheme="minorHAnsi" w:hAnsiTheme="minorHAnsi"/>
      <w:sz w:val="18"/>
    </w:rPr>
  </w:style>
  <w:style w:type="paragraph" w:customStyle="1" w:styleId="TableHeadingleft">
    <w:name w:val="Table Heading left"/>
    <w:basedOn w:val="Normal"/>
    <w:next w:val="Tabletextleft"/>
    <w:uiPriority w:val="99"/>
    <w:qFormat/>
    <w:rsid w:val="00E216B5"/>
    <w:pPr>
      <w:spacing w:before="40" w:after="40"/>
      <w:jc w:val="left"/>
    </w:pPr>
    <w:rPr>
      <w:rFonts w:asciiTheme="minorHAnsi" w:eastAsiaTheme="minorHAnsi" w:hAnsiTheme="minorHAnsi" w:cs="Tahoma"/>
      <w:b/>
      <w:sz w:val="18"/>
      <w:szCs w:val="18"/>
      <w:lang w:val="de-DE" w:eastAsia="en-US"/>
    </w:rPr>
  </w:style>
  <w:style w:type="paragraph" w:customStyle="1" w:styleId="Tabletextcent">
    <w:name w:val="Table text cent"/>
    <w:basedOn w:val="Tabletextleft"/>
    <w:qFormat/>
    <w:rsid w:val="00E216B5"/>
    <w:pPr>
      <w:jc w:val="center"/>
    </w:pPr>
    <w:rPr>
      <w:lang w:val="de-DE"/>
    </w:rPr>
  </w:style>
  <w:style w:type="paragraph" w:customStyle="1" w:styleId="Bullet6">
    <w:name w:val="Bullet+6"/>
    <w:basedOn w:val="Normal"/>
    <w:next w:val="BodyText"/>
    <w:link w:val="Bullet6Char"/>
    <w:uiPriority w:val="2"/>
    <w:qFormat/>
    <w:rsid w:val="0022650B"/>
    <w:pPr>
      <w:spacing w:after="120" w:line="276" w:lineRule="auto"/>
      <w:ind w:left="720" w:hanging="360"/>
      <w:jc w:val="left"/>
    </w:pPr>
    <w:rPr>
      <w:rFonts w:asciiTheme="minorHAnsi" w:eastAsiaTheme="minorHAnsi" w:hAnsiTheme="minorHAnsi"/>
      <w:sz w:val="22"/>
      <w:szCs w:val="22"/>
      <w:lang w:eastAsia="en-US"/>
    </w:rPr>
  </w:style>
  <w:style w:type="character" w:customStyle="1" w:styleId="Bullet6Char">
    <w:name w:val="Bullet+6 Char"/>
    <w:basedOn w:val="DefaultParagraphFont"/>
    <w:link w:val="Bullet6"/>
    <w:uiPriority w:val="2"/>
    <w:rsid w:val="0022650B"/>
    <w:rPr>
      <w:rFonts w:asciiTheme="minorHAnsi" w:eastAsiaTheme="minorHAnsi" w:hAnsiTheme="minorHAnsi" w:cs="Arial"/>
      <w:sz w:val="22"/>
      <w:szCs w:val="22"/>
      <w:lang w:eastAsia="en-US"/>
    </w:rPr>
  </w:style>
  <w:style w:type="paragraph" w:styleId="EndnoteText">
    <w:name w:val="endnote text"/>
    <w:basedOn w:val="Normal"/>
    <w:link w:val="EndnoteTextChar"/>
    <w:semiHidden/>
    <w:unhideWhenUsed/>
    <w:rsid w:val="00B32310"/>
    <w:rPr>
      <w:sz w:val="20"/>
      <w:szCs w:val="20"/>
    </w:rPr>
  </w:style>
  <w:style w:type="character" w:customStyle="1" w:styleId="EndnoteTextChar">
    <w:name w:val="Endnote Text Char"/>
    <w:basedOn w:val="DefaultParagraphFont"/>
    <w:link w:val="EndnoteText"/>
    <w:semiHidden/>
    <w:rsid w:val="00B32310"/>
    <w:rPr>
      <w:rFonts w:ascii="Calibri" w:hAnsi="Calibri" w:cs="Arial"/>
    </w:rPr>
  </w:style>
  <w:style w:type="character" w:styleId="EndnoteReference">
    <w:name w:val="endnote reference"/>
    <w:basedOn w:val="DefaultParagraphFont"/>
    <w:semiHidden/>
    <w:unhideWhenUsed/>
    <w:rsid w:val="00B32310"/>
    <w:rPr>
      <w:vertAlign w:val="superscript"/>
    </w:rPr>
  </w:style>
  <w:style w:type="paragraph" w:customStyle="1" w:styleId="documenttext">
    <w:name w:val="document text"/>
    <w:link w:val="documenttextChar"/>
    <w:rsid w:val="000A5A05"/>
    <w:pPr>
      <w:spacing w:after="120"/>
    </w:pPr>
    <w:rPr>
      <w:sz w:val="24"/>
      <w:lang w:val="en-US" w:eastAsia="en-US"/>
    </w:rPr>
  </w:style>
  <w:style w:type="character" w:customStyle="1" w:styleId="documenttextChar">
    <w:name w:val="document text Char"/>
    <w:basedOn w:val="DefaultParagraphFont"/>
    <w:link w:val="documenttext"/>
    <w:rsid w:val="000A5A05"/>
    <w:rPr>
      <w:sz w:val="24"/>
      <w:lang w:val="en-US" w:eastAsia="en-US"/>
    </w:rPr>
  </w:style>
  <w:style w:type="paragraph" w:customStyle="1" w:styleId="Tabletextindent">
    <w:name w:val="Table text indent"/>
    <w:basedOn w:val="Tabletext"/>
    <w:uiPriority w:val="4"/>
    <w:qFormat/>
    <w:rsid w:val="00CD13D8"/>
    <w:pPr>
      <w:keepNext/>
      <w:keepLines/>
      <w:spacing w:before="20" w:after="20"/>
      <w:ind w:left="284"/>
    </w:pPr>
    <w:rPr>
      <w:rFonts w:ascii="Montserrat" w:eastAsia="Calibri" w:hAnsi="Montserrat" w:cs="Calibri"/>
      <w:snapToGrid/>
      <w:sz w:val="18"/>
      <w:szCs w:val="16"/>
      <w:lang w:eastAsia="en-US"/>
    </w:rPr>
  </w:style>
  <w:style w:type="paragraph" w:customStyle="1" w:styleId="tablefootnote">
    <w:name w:val="table footnote"/>
    <w:link w:val="tablefootnoteChar"/>
    <w:rsid w:val="00812E57"/>
    <w:pPr>
      <w:tabs>
        <w:tab w:val="left" w:pos="360"/>
      </w:tabs>
      <w:ind w:left="360" w:hanging="360"/>
    </w:pPr>
    <w:rPr>
      <w:lang w:val="en-US" w:eastAsia="en-US"/>
    </w:rPr>
  </w:style>
  <w:style w:type="paragraph" w:customStyle="1" w:styleId="tablefootnotelast">
    <w:name w:val="table footnote last"/>
    <w:basedOn w:val="tablefootnote"/>
    <w:link w:val="tablefootnotelastChar"/>
    <w:rsid w:val="00812E57"/>
    <w:pPr>
      <w:spacing w:after="240"/>
    </w:pPr>
  </w:style>
  <w:style w:type="paragraph" w:customStyle="1" w:styleId="tabletextcenterjustified">
    <w:name w:val="table text center justified"/>
    <w:link w:val="tabletextcenterjustifiedChar"/>
    <w:rsid w:val="00812E57"/>
    <w:pPr>
      <w:spacing w:before="20" w:after="20"/>
      <w:jc w:val="center"/>
    </w:pPr>
    <w:rPr>
      <w:lang w:val="en-US" w:eastAsia="en-US"/>
    </w:rPr>
  </w:style>
  <w:style w:type="paragraph" w:customStyle="1" w:styleId="tabletextleftjustified">
    <w:name w:val="table text left justified"/>
    <w:link w:val="tabletextleftjustifiedChar"/>
    <w:rsid w:val="00812E57"/>
    <w:pPr>
      <w:spacing w:before="20" w:after="20"/>
    </w:pPr>
    <w:rPr>
      <w:lang w:val="en-US" w:eastAsia="en-US"/>
    </w:rPr>
  </w:style>
  <w:style w:type="character" w:customStyle="1" w:styleId="tabletextleftjustifiedChar">
    <w:name w:val="table text left justified Char"/>
    <w:link w:val="tabletextleftjustified"/>
    <w:locked/>
    <w:rsid w:val="00812E57"/>
    <w:rPr>
      <w:lang w:val="en-US" w:eastAsia="en-US"/>
    </w:rPr>
  </w:style>
  <w:style w:type="character" w:customStyle="1" w:styleId="tablefootnoteChar">
    <w:name w:val="table footnote Char"/>
    <w:link w:val="tablefootnote"/>
    <w:locked/>
    <w:rsid w:val="00812E57"/>
    <w:rPr>
      <w:lang w:val="en-US" w:eastAsia="en-US"/>
    </w:rPr>
  </w:style>
  <w:style w:type="character" w:customStyle="1" w:styleId="tablefootnotelastChar">
    <w:name w:val="table footnote last Char"/>
    <w:basedOn w:val="tablefootnoteChar"/>
    <w:link w:val="tablefootnotelast"/>
    <w:locked/>
    <w:rsid w:val="00812E57"/>
    <w:rPr>
      <w:lang w:val="en-US" w:eastAsia="en-US"/>
    </w:rPr>
  </w:style>
  <w:style w:type="character" w:customStyle="1" w:styleId="tabletextcenterjustifiedChar">
    <w:name w:val="table text center justified Char"/>
    <w:link w:val="tabletextcenterjustified"/>
    <w:rsid w:val="00812E57"/>
    <w:rPr>
      <w:lang w:val="en-US" w:eastAsia="en-US"/>
    </w:rPr>
  </w:style>
  <w:style w:type="paragraph" w:customStyle="1" w:styleId="TableParagraph">
    <w:name w:val="Table Paragraph"/>
    <w:basedOn w:val="Normal"/>
    <w:uiPriority w:val="1"/>
    <w:qFormat/>
    <w:rsid w:val="00025F79"/>
    <w:pPr>
      <w:widowControl w:val="0"/>
      <w:autoSpaceDE w:val="0"/>
      <w:autoSpaceDN w:val="0"/>
      <w:jc w:val="left"/>
    </w:pPr>
    <w:rPr>
      <w:rFonts w:ascii="Times New Roman" w:hAnsi="Times New Roman" w:cs="Times New Roman"/>
      <w:sz w:val="22"/>
      <w:szCs w:val="22"/>
      <w:lang w:val="en-US" w:eastAsia="en-US"/>
    </w:rPr>
  </w:style>
  <w:style w:type="paragraph" w:customStyle="1" w:styleId="VRTXRTF">
    <w:name w:val="VRTXRTF"/>
    <w:rsid w:val="00F22E81"/>
    <w:pPr>
      <w:autoSpaceDE w:val="0"/>
      <w:autoSpaceDN w:val="0"/>
    </w:pPr>
    <w:rPr>
      <w:rFonts w:eastAsiaTheme="minorEastAsia"/>
      <w:lang w:val="en-US" w:eastAsia="en-US"/>
    </w:rPr>
  </w:style>
  <w:style w:type="character" w:customStyle="1" w:styleId="Frontpagedrugname">
    <w:name w:val="Front page drug name"/>
    <w:basedOn w:val="DefaultParagraphFont"/>
    <w:uiPriority w:val="1"/>
    <w:qFormat/>
    <w:rsid w:val="001A656C"/>
    <w:rPr>
      <w:rFonts w:ascii="Tahoma" w:hAnsi="Tahoma"/>
      <w:b/>
      <w:caps/>
      <w:sz w:val="32"/>
    </w:rPr>
  </w:style>
  <w:style w:type="character" w:styleId="Emphasis">
    <w:name w:val="Emphasis"/>
    <w:uiPriority w:val="20"/>
    <w:qFormat/>
    <w:rsid w:val="001A656C"/>
    <w:rPr>
      <w:i/>
      <w:iCs/>
    </w:rPr>
  </w:style>
  <w:style w:type="paragraph" w:customStyle="1" w:styleId="TableFigNotes18">
    <w:name w:val="TableFigNotes+18"/>
    <w:basedOn w:val="ListParagraph"/>
    <w:next w:val="BodyText"/>
    <w:link w:val="TableFigNotes18Char"/>
    <w:uiPriority w:val="4"/>
    <w:qFormat/>
    <w:rsid w:val="001A656C"/>
    <w:pPr>
      <w:numPr>
        <w:numId w:val="0"/>
      </w:numPr>
      <w:spacing w:before="60" w:after="360" w:line="276" w:lineRule="auto"/>
      <w:contextualSpacing/>
      <w:jc w:val="left"/>
    </w:pPr>
    <w:rPr>
      <w:rFonts w:eastAsia="Calibri" w:cs="Calibri"/>
      <w:snapToGrid/>
      <w:sz w:val="16"/>
      <w:szCs w:val="20"/>
      <w:lang w:eastAsia="en-US"/>
    </w:rPr>
  </w:style>
  <w:style w:type="character" w:customStyle="1" w:styleId="TableFigNotes18Char">
    <w:name w:val="TableFigNotes+18 Char"/>
    <w:basedOn w:val="DefaultParagraphFont"/>
    <w:link w:val="TableFigNotes18"/>
    <w:uiPriority w:val="4"/>
    <w:locked/>
    <w:rsid w:val="001A656C"/>
    <w:rPr>
      <w:rFonts w:asciiTheme="minorHAnsi" w:eastAsia="Calibri" w:hAnsiTheme="minorHAnsi" w:cs="Calibri"/>
      <w:sz w:val="16"/>
      <w:lang w:eastAsia="en-US"/>
    </w:rPr>
  </w:style>
  <w:style w:type="paragraph" w:customStyle="1" w:styleId="pf1">
    <w:name w:val="pf1"/>
    <w:basedOn w:val="Normal"/>
    <w:rsid w:val="001A656C"/>
    <w:pPr>
      <w:spacing w:before="100" w:beforeAutospacing="1" w:after="100" w:afterAutospacing="1"/>
      <w:jc w:val="left"/>
    </w:pPr>
    <w:rPr>
      <w:rFonts w:ascii="Times New Roman" w:hAnsi="Times New Roman" w:cs="Times New Roman"/>
      <w:lang w:eastAsia="en-GB"/>
    </w:rPr>
  </w:style>
  <w:style w:type="paragraph" w:customStyle="1" w:styleId="pf0">
    <w:name w:val="pf0"/>
    <w:basedOn w:val="Normal"/>
    <w:rsid w:val="001A656C"/>
    <w:pPr>
      <w:spacing w:before="100" w:beforeAutospacing="1" w:after="100" w:afterAutospacing="1"/>
      <w:jc w:val="left"/>
    </w:pPr>
    <w:rPr>
      <w:rFonts w:ascii="Times New Roman" w:hAnsi="Times New Roman" w:cs="Times New Roman"/>
      <w:lang w:eastAsia="en-GB"/>
    </w:rPr>
  </w:style>
  <w:style w:type="character" w:customStyle="1" w:styleId="cf01">
    <w:name w:val="cf01"/>
    <w:basedOn w:val="DefaultParagraphFont"/>
    <w:rsid w:val="001A656C"/>
    <w:rPr>
      <w:rFonts w:ascii="Segoe UI" w:hAnsi="Segoe UI" w:cs="Segoe UI" w:hint="default"/>
      <w:i/>
      <w:iCs/>
      <w:sz w:val="18"/>
      <w:szCs w:val="18"/>
    </w:rPr>
  </w:style>
  <w:style w:type="character" w:customStyle="1" w:styleId="cf21">
    <w:name w:val="cf21"/>
    <w:basedOn w:val="DefaultParagraphFont"/>
    <w:rsid w:val="001A656C"/>
    <w:rPr>
      <w:rFonts w:ascii="Segoe UI" w:hAnsi="Segoe UI" w:cs="Segoe UI" w:hint="default"/>
      <w:sz w:val="18"/>
      <w:szCs w:val="18"/>
    </w:rPr>
  </w:style>
  <w:style w:type="table" w:customStyle="1" w:styleId="PBACtable1">
    <w:name w:val="PBAC table1"/>
    <w:basedOn w:val="TableNormal"/>
    <w:next w:val="TableGrid"/>
    <w:uiPriority w:val="59"/>
    <w:rsid w:val="001A656C"/>
    <w:pPr>
      <w:spacing w:before="20" w:after="20"/>
      <w:ind w:left="113" w:right="113"/>
      <w:jc w:val="center"/>
    </w:pPr>
    <w:rPr>
      <w:rFonts w:ascii="Calibri" w:eastAsia="Calibri" w:hAnsi="Calibri"/>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rPr>
      <w:cantSplit/>
    </w:trPr>
    <w:tcPr>
      <w:tcMar>
        <w:top w:w="0" w:type="dxa"/>
        <w:bottom w:w="0" w:type="dxa"/>
      </w:tcMar>
      <w:vAlign w:val="center"/>
    </w:tcPr>
    <w:tblStylePr w:type="firstRow">
      <w:pPr>
        <w:jc w:val="center"/>
      </w:pPr>
      <w:rPr>
        <w:b/>
      </w:rPr>
      <w:tblPr/>
      <w:tcPr>
        <w:shd w:val="clear" w:color="auto" w:fill="D9D9D9"/>
        <w:vAlign w:val="top"/>
      </w:tcPr>
    </w:tblStylePr>
    <w:tblStylePr w:type="firstCol">
      <w:pPr>
        <w:jc w:val="left"/>
      </w:pPr>
    </w:tblStylePr>
    <w:tblStylePr w:type="nwCell">
      <w:pPr>
        <w:jc w:val="left"/>
      </w:pPr>
      <w:tblPr/>
      <w:tcPr>
        <w:vAlign w:val="top"/>
      </w:tcPr>
    </w:tblStylePr>
  </w:style>
  <w:style w:type="paragraph" w:customStyle="1" w:styleId="TableH1">
    <w:name w:val="Table H1"/>
    <w:basedOn w:val="BodyText"/>
    <w:uiPriority w:val="4"/>
    <w:qFormat/>
    <w:rsid w:val="001A656C"/>
    <w:pPr>
      <w:keepNext/>
      <w:keepLines/>
      <w:spacing w:before="20" w:after="20"/>
    </w:pPr>
    <w:rPr>
      <w:rFonts w:ascii="Montserrat" w:eastAsia="Calibri" w:hAnsi="Montserrat" w:cs="Calibri"/>
      <w:b/>
      <w:sz w:val="18"/>
      <w:szCs w:val="16"/>
      <w:lang w:val="en-US" w:eastAsia="en-US"/>
    </w:rPr>
  </w:style>
  <w:style w:type="paragraph" w:customStyle="1" w:styleId="TableFigNotes0">
    <w:name w:val="TableFigNotes+0"/>
    <w:basedOn w:val="Normal"/>
    <w:uiPriority w:val="4"/>
    <w:rsid w:val="001A656C"/>
    <w:pPr>
      <w:keepNext/>
      <w:keepLines/>
      <w:jc w:val="left"/>
    </w:pPr>
    <w:rPr>
      <w:rFonts w:ascii="Times New Roman" w:hAnsi="Times New Roman" w:cs="Tahoma"/>
      <w:color w:val="000000"/>
      <w:sz w:val="16"/>
      <w:szCs w:val="18"/>
      <w:lang w:val="en-US" w:eastAsia="en-GB"/>
    </w:rPr>
  </w:style>
  <w:style w:type="paragraph" w:styleId="DocumentMap">
    <w:name w:val="Document Map"/>
    <w:basedOn w:val="Normal"/>
    <w:link w:val="DocumentMapChar"/>
    <w:uiPriority w:val="99"/>
    <w:semiHidden/>
    <w:rsid w:val="001A656C"/>
    <w:pPr>
      <w:spacing w:after="120" w:line="276" w:lineRule="auto"/>
      <w:jc w:val="left"/>
    </w:pPr>
    <w:rPr>
      <w:rFonts w:ascii="Tahoma" w:eastAsia="Calibri" w:hAnsi="Tahoma" w:cs="Tahoma"/>
      <w:sz w:val="20"/>
      <w:szCs w:val="16"/>
      <w:lang w:eastAsia="en-US"/>
    </w:rPr>
  </w:style>
  <w:style w:type="character" w:customStyle="1" w:styleId="DocumentMapChar">
    <w:name w:val="Document Map Char"/>
    <w:basedOn w:val="DefaultParagraphFont"/>
    <w:link w:val="DocumentMap"/>
    <w:uiPriority w:val="99"/>
    <w:semiHidden/>
    <w:rsid w:val="001A656C"/>
    <w:rPr>
      <w:rFonts w:ascii="Tahoma" w:eastAsia="Calibri" w:hAnsi="Tahoma" w:cs="Tahoma"/>
      <w:szCs w:val="16"/>
      <w:lang w:eastAsia="en-US"/>
    </w:rPr>
  </w:style>
  <w:style w:type="paragraph" w:customStyle="1" w:styleId="EndNoteBibliography">
    <w:name w:val="EndNote Bibliography"/>
    <w:basedOn w:val="Normal"/>
    <w:link w:val="EndNoteBibliographyChar"/>
    <w:rsid w:val="00E576D3"/>
    <w:pPr>
      <w:spacing w:after="120"/>
      <w:jc w:val="left"/>
    </w:pPr>
    <w:rPr>
      <w:rFonts w:ascii="Montserrat" w:eastAsia="Calibri" w:hAnsi="Montserrat" w:cs="Calibri"/>
      <w:noProof/>
      <w:sz w:val="18"/>
      <w:szCs w:val="20"/>
      <w:lang w:val="en-US" w:eastAsia="en-US"/>
    </w:rPr>
  </w:style>
  <w:style w:type="character" w:customStyle="1" w:styleId="EndNoteBibliographyChar">
    <w:name w:val="EndNote Bibliography Char"/>
    <w:basedOn w:val="DefaultParagraphFont"/>
    <w:link w:val="EndNoteBibliography"/>
    <w:rsid w:val="00E576D3"/>
    <w:rPr>
      <w:rFonts w:ascii="Montserrat" w:eastAsia="Calibri" w:hAnsi="Montserrat" w:cs="Calibri"/>
      <w:noProof/>
      <w:sz w:val="18"/>
      <w:lang w:val="en-US" w:eastAsia="en-US"/>
    </w:rPr>
  </w:style>
  <w:style w:type="table" w:customStyle="1" w:styleId="HTATableshaded1">
    <w:name w:val="HTA Table shaded1"/>
    <w:basedOn w:val="TableNormal"/>
    <w:rsid w:val="00FD601D"/>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xl72">
    <w:name w:val="xl72"/>
    <w:basedOn w:val="Normal"/>
    <w:rsid w:val="000C08B2"/>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cs="Times New Roman"/>
      <w:b/>
      <w:bCs/>
      <w:sz w:val="20"/>
      <w:szCs w:val="20"/>
    </w:rPr>
  </w:style>
  <w:style w:type="paragraph" w:customStyle="1" w:styleId="xl73">
    <w:name w:val="xl73"/>
    <w:basedOn w:val="Normal"/>
    <w:rsid w:val="000C08B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Narrow" w:hAnsi="Arial Narrow" w:cs="Times New Roman"/>
      <w:b/>
      <w:bCs/>
      <w:sz w:val="20"/>
      <w:szCs w:val="20"/>
    </w:rPr>
  </w:style>
  <w:style w:type="paragraph" w:customStyle="1" w:styleId="xl74">
    <w:name w:val="xl74"/>
    <w:basedOn w:val="Normal"/>
    <w:rsid w:val="000C08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cs="Times New Roman"/>
      <w:b/>
      <w:bCs/>
      <w:sz w:val="20"/>
      <w:szCs w:val="20"/>
    </w:rPr>
  </w:style>
  <w:style w:type="paragraph" w:customStyle="1" w:styleId="xl75">
    <w:name w:val="xl75"/>
    <w:basedOn w:val="Normal"/>
    <w:rsid w:val="000C08B2"/>
    <w:pPr>
      <w:pBdr>
        <w:top w:val="single" w:sz="8" w:space="0" w:color="auto"/>
        <w:left w:val="single" w:sz="8" w:space="0" w:color="auto"/>
        <w:right w:val="single" w:sz="8" w:space="0" w:color="auto"/>
      </w:pBdr>
      <w:spacing w:before="100" w:beforeAutospacing="1" w:after="100" w:afterAutospacing="1"/>
      <w:jc w:val="left"/>
      <w:textAlignment w:val="center"/>
    </w:pPr>
    <w:rPr>
      <w:rFonts w:ascii="Arial Narrow" w:hAnsi="Arial Narrow" w:cs="Times New Roman"/>
      <w:sz w:val="20"/>
      <w:szCs w:val="20"/>
    </w:rPr>
  </w:style>
  <w:style w:type="paragraph" w:customStyle="1" w:styleId="xl76">
    <w:name w:val="xl76"/>
    <w:basedOn w:val="Normal"/>
    <w:rsid w:val="000C08B2"/>
    <w:pPr>
      <w:pBdr>
        <w:top w:val="single" w:sz="8" w:space="0" w:color="auto"/>
        <w:bottom w:val="single" w:sz="8" w:space="0" w:color="auto"/>
        <w:right w:val="single" w:sz="8" w:space="0" w:color="auto"/>
      </w:pBdr>
      <w:spacing w:before="100" w:beforeAutospacing="1" w:after="100" w:afterAutospacing="1"/>
      <w:jc w:val="left"/>
      <w:textAlignment w:val="center"/>
    </w:pPr>
    <w:rPr>
      <w:rFonts w:ascii="Arial Narrow" w:hAnsi="Arial Narrow" w:cs="Times New Roman"/>
      <w:sz w:val="20"/>
      <w:szCs w:val="20"/>
    </w:rPr>
  </w:style>
  <w:style w:type="paragraph" w:customStyle="1" w:styleId="xl77">
    <w:name w:val="xl77"/>
    <w:basedOn w:val="Normal"/>
    <w:rsid w:val="000C08B2"/>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cs="Times New Roman"/>
      <w:sz w:val="20"/>
      <w:szCs w:val="20"/>
    </w:rPr>
  </w:style>
  <w:style w:type="paragraph" w:customStyle="1" w:styleId="xl78">
    <w:name w:val="xl78"/>
    <w:basedOn w:val="Normal"/>
    <w:rsid w:val="000C08B2"/>
    <w:pPr>
      <w:pBdr>
        <w:left w:val="single" w:sz="8" w:space="0" w:color="auto"/>
        <w:bottom w:val="single" w:sz="8" w:space="0" w:color="auto"/>
        <w:right w:val="single" w:sz="8" w:space="0" w:color="auto"/>
      </w:pBdr>
      <w:spacing w:before="100" w:beforeAutospacing="1" w:after="100" w:afterAutospacing="1"/>
      <w:jc w:val="left"/>
      <w:textAlignment w:val="center"/>
    </w:pPr>
    <w:rPr>
      <w:rFonts w:ascii="Arial Narrow" w:hAnsi="Arial Narrow" w:cs="Times New Roman"/>
      <w:sz w:val="20"/>
      <w:szCs w:val="20"/>
    </w:rPr>
  </w:style>
  <w:style w:type="table" w:customStyle="1" w:styleId="HTATableshaded2">
    <w:name w:val="HTA Table shaded2"/>
    <w:basedOn w:val="TableNormal"/>
    <w:rsid w:val="00034A31"/>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numbering" w:customStyle="1" w:styleId="Style21">
    <w:name w:val="Style21"/>
    <w:uiPriority w:val="99"/>
    <w:rsid w:val="00034A31"/>
    <w:pPr>
      <w:numPr>
        <w:numId w:val="7"/>
      </w:numPr>
    </w:pPr>
  </w:style>
  <w:style w:type="table" w:customStyle="1" w:styleId="HTATableshaded11">
    <w:name w:val="HTA Table shaded11"/>
    <w:basedOn w:val="TableNormal"/>
    <w:rsid w:val="00034A31"/>
    <w:pPr>
      <w:spacing w:before="40" w:after="20"/>
    </w:pPr>
    <w:rPr>
      <w:rFonts w:ascii="Calibri" w:hAnsi="Calibri"/>
      <w:sz w:val="18"/>
      <w:szCs w:val="18"/>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cs="Calibri" w:hint="default"/>
        <w:b w:val="0"/>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3">
    <w:name w:val="HTA Table shaded3"/>
    <w:basedOn w:val="TableNormal"/>
    <w:rsid w:val="00790ED6"/>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12">
    <w:name w:val="HTA Table shaded12"/>
    <w:basedOn w:val="TableNormal"/>
    <w:rsid w:val="00804F4F"/>
    <w:pPr>
      <w:spacing w:before="40" w:after="20"/>
    </w:pPr>
    <w:rPr>
      <w:rFonts w:ascii="Calibri" w:eastAsiaTheme="minorEastAsia"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Grid1">
    <w:name w:val="Table Grid1"/>
    <w:basedOn w:val="TableNormal"/>
    <w:next w:val="TableGrid"/>
    <w:uiPriority w:val="39"/>
    <w:rsid w:val="00E37DEA"/>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37DEA"/>
    <w:rPr>
      <w:b/>
      <w:bCs/>
    </w:rPr>
  </w:style>
  <w:style w:type="paragraph" w:customStyle="1" w:styleId="3-SubsectionHeading">
    <w:name w:val="3-Subsection Heading"/>
    <w:basedOn w:val="Heading2"/>
    <w:next w:val="Normal"/>
    <w:link w:val="3-SubsectionHeadingChar"/>
    <w:qFormat/>
    <w:rsid w:val="0007621A"/>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07621A"/>
    <w:rPr>
      <w:rFonts w:asciiTheme="minorHAnsi" w:eastAsiaTheme="majorEastAsia" w:hAnsiTheme="minorHAnsi" w:cstheme="majorBidi"/>
      <w:b/>
      <w:i/>
      <w:snapToGrid/>
      <w:spacing w:val="5"/>
      <w:kern w:val="28"/>
      <w:sz w:val="28"/>
      <w:szCs w:val="36"/>
      <w:lang w:eastAsia="en-US"/>
    </w:rPr>
  </w:style>
  <w:style w:type="character" w:customStyle="1" w:styleId="CommentTextChar1">
    <w:name w:val="Comment Text Char1"/>
    <w:basedOn w:val="DefaultParagraphFont"/>
    <w:uiPriority w:val="99"/>
    <w:rsid w:val="001C19B6"/>
    <w:rPr>
      <w:sz w:val="20"/>
      <w:szCs w:val="20"/>
    </w:rPr>
  </w:style>
  <w:style w:type="table" w:customStyle="1" w:styleId="SummaryTable1">
    <w:name w:val="Summary Table1"/>
    <w:basedOn w:val="TableNormal"/>
    <w:next w:val="TableGrid"/>
    <w:uiPriority w:val="39"/>
    <w:rsid w:val="001C19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bullet2">
    <w:name w:val="Number bullet 2"/>
    <w:basedOn w:val="ListBullet2"/>
    <w:qFormat/>
    <w:rsid w:val="004C710C"/>
    <w:pPr>
      <w:numPr>
        <w:ilvl w:val="1"/>
      </w:numPr>
      <w:spacing w:before="120" w:after="180" w:line="240" w:lineRule="atLeast"/>
      <w:ind w:left="1080" w:hanging="360"/>
      <w:contextualSpacing w:val="0"/>
      <w:jc w:val="left"/>
    </w:pPr>
    <w:rPr>
      <w:rFonts w:ascii="Cambria" w:eastAsia="Cambria" w:hAnsi="Cambria" w:cs="Times New Roman"/>
      <w:sz w:val="22"/>
      <w:szCs w:val="22"/>
      <w:lang w:eastAsia="en-US"/>
    </w:rPr>
  </w:style>
  <w:style w:type="paragraph" w:customStyle="1" w:styleId="Numberbullet3">
    <w:name w:val="Number bullet 3"/>
    <w:basedOn w:val="ListBullet3"/>
    <w:qFormat/>
    <w:rsid w:val="004C710C"/>
    <w:pPr>
      <w:numPr>
        <w:ilvl w:val="2"/>
        <w:numId w:val="29"/>
      </w:numPr>
      <w:spacing w:before="120" w:after="180" w:line="240" w:lineRule="atLeast"/>
      <w:ind w:left="1800" w:hanging="180"/>
      <w:contextualSpacing w:val="0"/>
      <w:jc w:val="left"/>
    </w:pPr>
    <w:rPr>
      <w:rFonts w:ascii="Cambria" w:eastAsia="Cambria" w:hAnsi="Cambria" w:cs="Times New Roman"/>
      <w:sz w:val="22"/>
      <w:szCs w:val="22"/>
      <w:lang w:eastAsia="en-US"/>
    </w:rPr>
  </w:style>
  <w:style w:type="numbering" w:customStyle="1" w:styleId="NumberBullet">
    <w:name w:val="NumberBullet"/>
    <w:uiPriority w:val="99"/>
    <w:locked/>
    <w:rsid w:val="004C710C"/>
    <w:pPr>
      <w:numPr>
        <w:numId w:val="29"/>
      </w:numPr>
    </w:pPr>
  </w:style>
  <w:style w:type="paragraph" w:customStyle="1" w:styleId="COMH1numbered">
    <w:name w:val="COM H1 numbered"/>
    <w:next w:val="Normal"/>
    <w:link w:val="COMH1numberedChar"/>
    <w:qFormat/>
    <w:rsid w:val="004C710C"/>
    <w:pPr>
      <w:keepNext/>
      <w:numPr>
        <w:numId w:val="29"/>
      </w:numPr>
      <w:spacing w:before="240" w:after="120"/>
      <w:outlineLvl w:val="0"/>
    </w:pPr>
    <w:rPr>
      <w:rFonts w:asciiTheme="minorHAnsi" w:hAnsiTheme="minorHAnsi" w:cs="Arial"/>
      <w:b/>
      <w:snapToGrid w:val="0"/>
      <w:sz w:val="32"/>
      <w:szCs w:val="32"/>
    </w:rPr>
  </w:style>
  <w:style w:type="character" w:customStyle="1" w:styleId="COMH1numberedChar">
    <w:name w:val="COM H1 numbered Char"/>
    <w:basedOn w:val="DefaultParagraphFont"/>
    <w:link w:val="COMH1numbered"/>
    <w:rsid w:val="004C710C"/>
    <w:rPr>
      <w:rFonts w:asciiTheme="minorHAnsi" w:hAnsiTheme="minorHAnsi" w:cs="Arial"/>
      <w:b/>
      <w:snapToGrid w:val="0"/>
      <w:sz w:val="32"/>
      <w:szCs w:val="32"/>
    </w:rPr>
  </w:style>
  <w:style w:type="paragraph" w:styleId="ListBullet2">
    <w:name w:val="List Bullet 2"/>
    <w:basedOn w:val="Normal"/>
    <w:semiHidden/>
    <w:unhideWhenUsed/>
    <w:rsid w:val="004C710C"/>
    <w:pPr>
      <w:ind w:left="425" w:hanging="425"/>
      <w:contextualSpacing/>
    </w:pPr>
  </w:style>
  <w:style w:type="paragraph" w:styleId="ListBullet3">
    <w:name w:val="List Bullet 3"/>
    <w:basedOn w:val="Normal"/>
    <w:semiHidden/>
    <w:unhideWhenUsed/>
    <w:rsid w:val="004C710C"/>
    <w:pPr>
      <w:tabs>
        <w:tab w:val="num" w:pos="360"/>
      </w:tabs>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6498">
      <w:bodyDiv w:val="1"/>
      <w:marLeft w:val="0"/>
      <w:marRight w:val="0"/>
      <w:marTop w:val="0"/>
      <w:marBottom w:val="0"/>
      <w:divBdr>
        <w:top w:val="none" w:sz="0" w:space="0" w:color="auto"/>
        <w:left w:val="none" w:sz="0" w:space="0" w:color="auto"/>
        <w:bottom w:val="none" w:sz="0" w:space="0" w:color="auto"/>
        <w:right w:val="none" w:sz="0" w:space="0" w:color="auto"/>
      </w:divBdr>
      <w:divsChild>
        <w:div w:id="212010371">
          <w:marLeft w:val="0"/>
          <w:marRight w:val="0"/>
          <w:marTop w:val="0"/>
          <w:marBottom w:val="0"/>
          <w:divBdr>
            <w:top w:val="none" w:sz="0" w:space="0" w:color="auto"/>
            <w:left w:val="none" w:sz="0" w:space="0" w:color="auto"/>
            <w:bottom w:val="none" w:sz="0" w:space="0" w:color="auto"/>
            <w:right w:val="none" w:sz="0" w:space="0" w:color="auto"/>
          </w:divBdr>
          <w:divsChild>
            <w:div w:id="165401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0537">
      <w:bodyDiv w:val="1"/>
      <w:marLeft w:val="0"/>
      <w:marRight w:val="0"/>
      <w:marTop w:val="0"/>
      <w:marBottom w:val="0"/>
      <w:divBdr>
        <w:top w:val="none" w:sz="0" w:space="0" w:color="auto"/>
        <w:left w:val="none" w:sz="0" w:space="0" w:color="auto"/>
        <w:bottom w:val="none" w:sz="0" w:space="0" w:color="auto"/>
        <w:right w:val="none" w:sz="0" w:space="0" w:color="auto"/>
      </w:divBdr>
    </w:div>
    <w:div w:id="96874235">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24784807">
      <w:bodyDiv w:val="1"/>
      <w:marLeft w:val="0"/>
      <w:marRight w:val="0"/>
      <w:marTop w:val="0"/>
      <w:marBottom w:val="0"/>
      <w:divBdr>
        <w:top w:val="none" w:sz="0" w:space="0" w:color="auto"/>
        <w:left w:val="none" w:sz="0" w:space="0" w:color="auto"/>
        <w:bottom w:val="none" w:sz="0" w:space="0" w:color="auto"/>
        <w:right w:val="none" w:sz="0" w:space="0" w:color="auto"/>
      </w:divBdr>
    </w:div>
    <w:div w:id="145245639">
      <w:bodyDiv w:val="1"/>
      <w:marLeft w:val="0"/>
      <w:marRight w:val="0"/>
      <w:marTop w:val="0"/>
      <w:marBottom w:val="0"/>
      <w:divBdr>
        <w:top w:val="none" w:sz="0" w:space="0" w:color="auto"/>
        <w:left w:val="none" w:sz="0" w:space="0" w:color="auto"/>
        <w:bottom w:val="none" w:sz="0" w:space="0" w:color="auto"/>
        <w:right w:val="none" w:sz="0" w:space="0" w:color="auto"/>
      </w:divBdr>
    </w:div>
    <w:div w:id="214002274">
      <w:bodyDiv w:val="1"/>
      <w:marLeft w:val="0"/>
      <w:marRight w:val="0"/>
      <w:marTop w:val="0"/>
      <w:marBottom w:val="0"/>
      <w:divBdr>
        <w:top w:val="none" w:sz="0" w:space="0" w:color="auto"/>
        <w:left w:val="none" w:sz="0" w:space="0" w:color="auto"/>
        <w:bottom w:val="none" w:sz="0" w:space="0" w:color="auto"/>
        <w:right w:val="none" w:sz="0" w:space="0" w:color="auto"/>
      </w:divBdr>
    </w:div>
    <w:div w:id="285351786">
      <w:bodyDiv w:val="1"/>
      <w:marLeft w:val="0"/>
      <w:marRight w:val="0"/>
      <w:marTop w:val="0"/>
      <w:marBottom w:val="0"/>
      <w:divBdr>
        <w:top w:val="none" w:sz="0" w:space="0" w:color="auto"/>
        <w:left w:val="none" w:sz="0" w:space="0" w:color="auto"/>
        <w:bottom w:val="none" w:sz="0" w:space="0" w:color="auto"/>
        <w:right w:val="none" w:sz="0" w:space="0" w:color="auto"/>
      </w:divBdr>
    </w:div>
    <w:div w:id="314795318">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22321177">
      <w:bodyDiv w:val="1"/>
      <w:marLeft w:val="0"/>
      <w:marRight w:val="0"/>
      <w:marTop w:val="0"/>
      <w:marBottom w:val="0"/>
      <w:divBdr>
        <w:top w:val="none" w:sz="0" w:space="0" w:color="auto"/>
        <w:left w:val="none" w:sz="0" w:space="0" w:color="auto"/>
        <w:bottom w:val="none" w:sz="0" w:space="0" w:color="auto"/>
        <w:right w:val="none" w:sz="0" w:space="0" w:color="auto"/>
      </w:divBdr>
    </w:div>
    <w:div w:id="326446894">
      <w:bodyDiv w:val="1"/>
      <w:marLeft w:val="0"/>
      <w:marRight w:val="0"/>
      <w:marTop w:val="0"/>
      <w:marBottom w:val="0"/>
      <w:divBdr>
        <w:top w:val="none" w:sz="0" w:space="0" w:color="auto"/>
        <w:left w:val="none" w:sz="0" w:space="0" w:color="auto"/>
        <w:bottom w:val="none" w:sz="0" w:space="0" w:color="auto"/>
        <w:right w:val="none" w:sz="0" w:space="0" w:color="auto"/>
      </w:divBdr>
    </w:div>
    <w:div w:id="464733568">
      <w:bodyDiv w:val="1"/>
      <w:marLeft w:val="0"/>
      <w:marRight w:val="0"/>
      <w:marTop w:val="0"/>
      <w:marBottom w:val="0"/>
      <w:divBdr>
        <w:top w:val="none" w:sz="0" w:space="0" w:color="auto"/>
        <w:left w:val="none" w:sz="0" w:space="0" w:color="auto"/>
        <w:bottom w:val="none" w:sz="0" w:space="0" w:color="auto"/>
        <w:right w:val="none" w:sz="0" w:space="0" w:color="auto"/>
      </w:divBdr>
    </w:div>
    <w:div w:id="478956289">
      <w:bodyDiv w:val="1"/>
      <w:marLeft w:val="0"/>
      <w:marRight w:val="0"/>
      <w:marTop w:val="0"/>
      <w:marBottom w:val="0"/>
      <w:divBdr>
        <w:top w:val="none" w:sz="0" w:space="0" w:color="auto"/>
        <w:left w:val="none" w:sz="0" w:space="0" w:color="auto"/>
        <w:bottom w:val="none" w:sz="0" w:space="0" w:color="auto"/>
        <w:right w:val="none" w:sz="0" w:space="0" w:color="auto"/>
      </w:divBdr>
    </w:div>
    <w:div w:id="482936954">
      <w:bodyDiv w:val="1"/>
      <w:marLeft w:val="0"/>
      <w:marRight w:val="0"/>
      <w:marTop w:val="0"/>
      <w:marBottom w:val="0"/>
      <w:divBdr>
        <w:top w:val="none" w:sz="0" w:space="0" w:color="auto"/>
        <w:left w:val="none" w:sz="0" w:space="0" w:color="auto"/>
        <w:bottom w:val="none" w:sz="0" w:space="0" w:color="auto"/>
        <w:right w:val="none" w:sz="0" w:space="0" w:color="auto"/>
      </w:divBdr>
      <w:divsChild>
        <w:div w:id="267279387">
          <w:marLeft w:val="547"/>
          <w:marRight w:val="0"/>
          <w:marTop w:val="240"/>
          <w:marBottom w:val="40"/>
          <w:divBdr>
            <w:top w:val="none" w:sz="0" w:space="0" w:color="auto"/>
            <w:left w:val="none" w:sz="0" w:space="0" w:color="auto"/>
            <w:bottom w:val="none" w:sz="0" w:space="0" w:color="auto"/>
            <w:right w:val="none" w:sz="0" w:space="0" w:color="auto"/>
          </w:divBdr>
        </w:div>
      </w:divsChild>
    </w:div>
    <w:div w:id="511115942">
      <w:bodyDiv w:val="1"/>
      <w:marLeft w:val="0"/>
      <w:marRight w:val="0"/>
      <w:marTop w:val="0"/>
      <w:marBottom w:val="0"/>
      <w:divBdr>
        <w:top w:val="none" w:sz="0" w:space="0" w:color="auto"/>
        <w:left w:val="none" w:sz="0" w:space="0" w:color="auto"/>
        <w:bottom w:val="none" w:sz="0" w:space="0" w:color="auto"/>
        <w:right w:val="none" w:sz="0" w:space="0" w:color="auto"/>
      </w:divBdr>
    </w:div>
    <w:div w:id="516430421">
      <w:bodyDiv w:val="1"/>
      <w:marLeft w:val="0"/>
      <w:marRight w:val="0"/>
      <w:marTop w:val="0"/>
      <w:marBottom w:val="0"/>
      <w:divBdr>
        <w:top w:val="none" w:sz="0" w:space="0" w:color="auto"/>
        <w:left w:val="none" w:sz="0" w:space="0" w:color="auto"/>
        <w:bottom w:val="none" w:sz="0" w:space="0" w:color="auto"/>
        <w:right w:val="none" w:sz="0" w:space="0" w:color="auto"/>
      </w:divBdr>
    </w:div>
    <w:div w:id="516700402">
      <w:bodyDiv w:val="1"/>
      <w:marLeft w:val="0"/>
      <w:marRight w:val="0"/>
      <w:marTop w:val="0"/>
      <w:marBottom w:val="0"/>
      <w:divBdr>
        <w:top w:val="none" w:sz="0" w:space="0" w:color="auto"/>
        <w:left w:val="none" w:sz="0" w:space="0" w:color="auto"/>
        <w:bottom w:val="none" w:sz="0" w:space="0" w:color="auto"/>
        <w:right w:val="none" w:sz="0" w:space="0" w:color="auto"/>
      </w:divBdr>
    </w:div>
    <w:div w:id="570235292">
      <w:bodyDiv w:val="1"/>
      <w:marLeft w:val="0"/>
      <w:marRight w:val="0"/>
      <w:marTop w:val="0"/>
      <w:marBottom w:val="0"/>
      <w:divBdr>
        <w:top w:val="none" w:sz="0" w:space="0" w:color="auto"/>
        <w:left w:val="none" w:sz="0" w:space="0" w:color="auto"/>
        <w:bottom w:val="none" w:sz="0" w:space="0" w:color="auto"/>
        <w:right w:val="none" w:sz="0" w:space="0" w:color="auto"/>
      </w:divBdr>
    </w:div>
    <w:div w:id="667170630">
      <w:bodyDiv w:val="1"/>
      <w:marLeft w:val="0"/>
      <w:marRight w:val="0"/>
      <w:marTop w:val="0"/>
      <w:marBottom w:val="0"/>
      <w:divBdr>
        <w:top w:val="none" w:sz="0" w:space="0" w:color="auto"/>
        <w:left w:val="none" w:sz="0" w:space="0" w:color="auto"/>
        <w:bottom w:val="none" w:sz="0" w:space="0" w:color="auto"/>
        <w:right w:val="none" w:sz="0" w:space="0" w:color="auto"/>
      </w:divBdr>
    </w:div>
    <w:div w:id="674841173">
      <w:bodyDiv w:val="1"/>
      <w:marLeft w:val="0"/>
      <w:marRight w:val="0"/>
      <w:marTop w:val="0"/>
      <w:marBottom w:val="0"/>
      <w:divBdr>
        <w:top w:val="none" w:sz="0" w:space="0" w:color="auto"/>
        <w:left w:val="none" w:sz="0" w:space="0" w:color="auto"/>
        <w:bottom w:val="none" w:sz="0" w:space="0" w:color="auto"/>
        <w:right w:val="none" w:sz="0" w:space="0" w:color="auto"/>
      </w:divBdr>
    </w:div>
    <w:div w:id="811365397">
      <w:bodyDiv w:val="1"/>
      <w:marLeft w:val="0"/>
      <w:marRight w:val="0"/>
      <w:marTop w:val="0"/>
      <w:marBottom w:val="0"/>
      <w:divBdr>
        <w:top w:val="none" w:sz="0" w:space="0" w:color="auto"/>
        <w:left w:val="none" w:sz="0" w:space="0" w:color="auto"/>
        <w:bottom w:val="none" w:sz="0" w:space="0" w:color="auto"/>
        <w:right w:val="none" w:sz="0" w:space="0" w:color="auto"/>
      </w:divBdr>
    </w:div>
    <w:div w:id="829833515">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17053327">
      <w:bodyDiv w:val="1"/>
      <w:marLeft w:val="0"/>
      <w:marRight w:val="0"/>
      <w:marTop w:val="0"/>
      <w:marBottom w:val="0"/>
      <w:divBdr>
        <w:top w:val="none" w:sz="0" w:space="0" w:color="auto"/>
        <w:left w:val="none" w:sz="0" w:space="0" w:color="auto"/>
        <w:bottom w:val="none" w:sz="0" w:space="0" w:color="auto"/>
        <w:right w:val="none" w:sz="0" w:space="0" w:color="auto"/>
      </w:divBdr>
    </w:div>
    <w:div w:id="981278705">
      <w:bodyDiv w:val="1"/>
      <w:marLeft w:val="0"/>
      <w:marRight w:val="0"/>
      <w:marTop w:val="0"/>
      <w:marBottom w:val="0"/>
      <w:divBdr>
        <w:top w:val="none" w:sz="0" w:space="0" w:color="auto"/>
        <w:left w:val="none" w:sz="0" w:space="0" w:color="auto"/>
        <w:bottom w:val="none" w:sz="0" w:space="0" w:color="auto"/>
        <w:right w:val="none" w:sz="0" w:space="0" w:color="auto"/>
      </w:divBdr>
    </w:div>
    <w:div w:id="1088041909">
      <w:bodyDiv w:val="1"/>
      <w:marLeft w:val="0"/>
      <w:marRight w:val="0"/>
      <w:marTop w:val="0"/>
      <w:marBottom w:val="0"/>
      <w:divBdr>
        <w:top w:val="none" w:sz="0" w:space="0" w:color="auto"/>
        <w:left w:val="none" w:sz="0" w:space="0" w:color="auto"/>
        <w:bottom w:val="none" w:sz="0" w:space="0" w:color="auto"/>
        <w:right w:val="none" w:sz="0" w:space="0" w:color="auto"/>
      </w:divBdr>
    </w:div>
    <w:div w:id="1103498383">
      <w:bodyDiv w:val="1"/>
      <w:marLeft w:val="0"/>
      <w:marRight w:val="0"/>
      <w:marTop w:val="0"/>
      <w:marBottom w:val="0"/>
      <w:divBdr>
        <w:top w:val="none" w:sz="0" w:space="0" w:color="auto"/>
        <w:left w:val="none" w:sz="0" w:space="0" w:color="auto"/>
        <w:bottom w:val="none" w:sz="0" w:space="0" w:color="auto"/>
        <w:right w:val="none" w:sz="0" w:space="0" w:color="auto"/>
      </w:divBdr>
    </w:div>
    <w:div w:id="1134714248">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5579">
      <w:bodyDiv w:val="1"/>
      <w:marLeft w:val="0"/>
      <w:marRight w:val="0"/>
      <w:marTop w:val="0"/>
      <w:marBottom w:val="0"/>
      <w:divBdr>
        <w:top w:val="none" w:sz="0" w:space="0" w:color="auto"/>
        <w:left w:val="none" w:sz="0" w:space="0" w:color="auto"/>
        <w:bottom w:val="none" w:sz="0" w:space="0" w:color="auto"/>
        <w:right w:val="none" w:sz="0" w:space="0" w:color="auto"/>
      </w:divBdr>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188517867">
      <w:bodyDiv w:val="1"/>
      <w:marLeft w:val="0"/>
      <w:marRight w:val="0"/>
      <w:marTop w:val="0"/>
      <w:marBottom w:val="0"/>
      <w:divBdr>
        <w:top w:val="none" w:sz="0" w:space="0" w:color="auto"/>
        <w:left w:val="none" w:sz="0" w:space="0" w:color="auto"/>
        <w:bottom w:val="none" w:sz="0" w:space="0" w:color="auto"/>
        <w:right w:val="none" w:sz="0" w:space="0" w:color="auto"/>
      </w:divBdr>
      <w:divsChild>
        <w:div w:id="1782606758">
          <w:marLeft w:val="0"/>
          <w:marRight w:val="0"/>
          <w:marTop w:val="0"/>
          <w:marBottom w:val="0"/>
          <w:divBdr>
            <w:top w:val="none" w:sz="0" w:space="0" w:color="auto"/>
            <w:left w:val="none" w:sz="0" w:space="0" w:color="auto"/>
            <w:bottom w:val="none" w:sz="0" w:space="0" w:color="auto"/>
            <w:right w:val="none" w:sz="0" w:space="0" w:color="auto"/>
          </w:divBdr>
        </w:div>
        <w:div w:id="1961833204">
          <w:marLeft w:val="0"/>
          <w:marRight w:val="0"/>
          <w:marTop w:val="0"/>
          <w:marBottom w:val="0"/>
          <w:divBdr>
            <w:top w:val="none" w:sz="0" w:space="0" w:color="auto"/>
            <w:left w:val="none" w:sz="0" w:space="0" w:color="auto"/>
            <w:bottom w:val="none" w:sz="0" w:space="0" w:color="auto"/>
            <w:right w:val="none" w:sz="0" w:space="0" w:color="auto"/>
          </w:divBdr>
        </w:div>
      </w:divsChild>
    </w:div>
    <w:div w:id="1199245178">
      <w:bodyDiv w:val="1"/>
      <w:marLeft w:val="0"/>
      <w:marRight w:val="0"/>
      <w:marTop w:val="0"/>
      <w:marBottom w:val="0"/>
      <w:divBdr>
        <w:top w:val="none" w:sz="0" w:space="0" w:color="auto"/>
        <w:left w:val="none" w:sz="0" w:space="0" w:color="auto"/>
        <w:bottom w:val="none" w:sz="0" w:space="0" w:color="auto"/>
        <w:right w:val="none" w:sz="0" w:space="0" w:color="auto"/>
      </w:divBdr>
      <w:divsChild>
        <w:div w:id="1203786424">
          <w:marLeft w:val="0"/>
          <w:marRight w:val="0"/>
          <w:marTop w:val="0"/>
          <w:marBottom w:val="0"/>
          <w:divBdr>
            <w:top w:val="none" w:sz="0" w:space="0" w:color="auto"/>
            <w:left w:val="none" w:sz="0" w:space="0" w:color="auto"/>
            <w:bottom w:val="none" w:sz="0" w:space="0" w:color="auto"/>
            <w:right w:val="none" w:sz="0" w:space="0" w:color="auto"/>
          </w:divBdr>
          <w:divsChild>
            <w:div w:id="980160530">
              <w:marLeft w:val="0"/>
              <w:marRight w:val="0"/>
              <w:marTop w:val="0"/>
              <w:marBottom w:val="0"/>
              <w:divBdr>
                <w:top w:val="none" w:sz="0" w:space="0" w:color="auto"/>
                <w:left w:val="none" w:sz="0" w:space="0" w:color="auto"/>
                <w:bottom w:val="none" w:sz="0" w:space="0" w:color="auto"/>
                <w:right w:val="none" w:sz="0" w:space="0" w:color="auto"/>
              </w:divBdr>
              <w:divsChild>
                <w:div w:id="1259752491">
                  <w:marLeft w:val="0"/>
                  <w:marRight w:val="0"/>
                  <w:marTop w:val="0"/>
                  <w:marBottom w:val="0"/>
                  <w:divBdr>
                    <w:top w:val="none" w:sz="0" w:space="0" w:color="auto"/>
                    <w:left w:val="none" w:sz="0" w:space="0" w:color="auto"/>
                    <w:bottom w:val="none" w:sz="0" w:space="0" w:color="auto"/>
                    <w:right w:val="none" w:sz="0" w:space="0" w:color="auto"/>
                  </w:divBdr>
                </w:div>
              </w:divsChild>
            </w:div>
            <w:div w:id="59599311">
              <w:marLeft w:val="0"/>
              <w:marRight w:val="0"/>
              <w:marTop w:val="0"/>
              <w:marBottom w:val="0"/>
              <w:divBdr>
                <w:top w:val="none" w:sz="0" w:space="0" w:color="auto"/>
                <w:left w:val="none" w:sz="0" w:space="0" w:color="auto"/>
                <w:bottom w:val="none" w:sz="0" w:space="0" w:color="auto"/>
                <w:right w:val="none" w:sz="0" w:space="0" w:color="auto"/>
              </w:divBdr>
              <w:divsChild>
                <w:div w:id="43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2394">
          <w:marLeft w:val="0"/>
          <w:marRight w:val="0"/>
          <w:marTop w:val="0"/>
          <w:marBottom w:val="0"/>
          <w:divBdr>
            <w:top w:val="none" w:sz="0" w:space="0" w:color="auto"/>
            <w:left w:val="none" w:sz="0" w:space="0" w:color="auto"/>
            <w:bottom w:val="none" w:sz="0" w:space="0" w:color="auto"/>
            <w:right w:val="none" w:sz="0" w:space="0" w:color="auto"/>
          </w:divBdr>
          <w:divsChild>
            <w:div w:id="2072732091">
              <w:marLeft w:val="0"/>
              <w:marRight w:val="0"/>
              <w:marTop w:val="0"/>
              <w:marBottom w:val="0"/>
              <w:divBdr>
                <w:top w:val="none" w:sz="0" w:space="0" w:color="auto"/>
                <w:left w:val="none" w:sz="0" w:space="0" w:color="auto"/>
                <w:bottom w:val="none" w:sz="0" w:space="0" w:color="auto"/>
                <w:right w:val="none" w:sz="0" w:space="0" w:color="auto"/>
              </w:divBdr>
              <w:divsChild>
                <w:div w:id="189799626">
                  <w:marLeft w:val="0"/>
                  <w:marRight w:val="0"/>
                  <w:marTop w:val="0"/>
                  <w:marBottom w:val="0"/>
                  <w:divBdr>
                    <w:top w:val="none" w:sz="0" w:space="0" w:color="auto"/>
                    <w:left w:val="none" w:sz="0" w:space="0" w:color="auto"/>
                    <w:bottom w:val="none" w:sz="0" w:space="0" w:color="auto"/>
                    <w:right w:val="none" w:sz="0" w:space="0" w:color="auto"/>
                  </w:divBdr>
                </w:div>
              </w:divsChild>
            </w:div>
            <w:div w:id="717583665">
              <w:marLeft w:val="0"/>
              <w:marRight w:val="0"/>
              <w:marTop w:val="0"/>
              <w:marBottom w:val="0"/>
              <w:divBdr>
                <w:top w:val="none" w:sz="0" w:space="0" w:color="auto"/>
                <w:left w:val="none" w:sz="0" w:space="0" w:color="auto"/>
                <w:bottom w:val="none" w:sz="0" w:space="0" w:color="auto"/>
                <w:right w:val="none" w:sz="0" w:space="0" w:color="auto"/>
              </w:divBdr>
              <w:divsChild>
                <w:div w:id="200724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43219709">
      <w:bodyDiv w:val="1"/>
      <w:marLeft w:val="0"/>
      <w:marRight w:val="0"/>
      <w:marTop w:val="0"/>
      <w:marBottom w:val="0"/>
      <w:divBdr>
        <w:top w:val="none" w:sz="0" w:space="0" w:color="auto"/>
        <w:left w:val="none" w:sz="0" w:space="0" w:color="auto"/>
        <w:bottom w:val="none" w:sz="0" w:space="0" w:color="auto"/>
        <w:right w:val="none" w:sz="0" w:space="0" w:color="auto"/>
      </w:divBdr>
    </w:div>
    <w:div w:id="1268924087">
      <w:bodyDiv w:val="1"/>
      <w:marLeft w:val="0"/>
      <w:marRight w:val="0"/>
      <w:marTop w:val="0"/>
      <w:marBottom w:val="0"/>
      <w:divBdr>
        <w:top w:val="none" w:sz="0" w:space="0" w:color="auto"/>
        <w:left w:val="none" w:sz="0" w:space="0" w:color="auto"/>
        <w:bottom w:val="none" w:sz="0" w:space="0" w:color="auto"/>
        <w:right w:val="none" w:sz="0" w:space="0" w:color="auto"/>
      </w:divBdr>
    </w:div>
    <w:div w:id="1297297845">
      <w:bodyDiv w:val="1"/>
      <w:marLeft w:val="0"/>
      <w:marRight w:val="0"/>
      <w:marTop w:val="0"/>
      <w:marBottom w:val="0"/>
      <w:divBdr>
        <w:top w:val="none" w:sz="0" w:space="0" w:color="auto"/>
        <w:left w:val="none" w:sz="0" w:space="0" w:color="auto"/>
        <w:bottom w:val="none" w:sz="0" w:space="0" w:color="auto"/>
        <w:right w:val="none" w:sz="0" w:space="0" w:color="auto"/>
      </w:divBdr>
    </w:div>
    <w:div w:id="1366057296">
      <w:bodyDiv w:val="1"/>
      <w:marLeft w:val="0"/>
      <w:marRight w:val="0"/>
      <w:marTop w:val="0"/>
      <w:marBottom w:val="0"/>
      <w:divBdr>
        <w:top w:val="none" w:sz="0" w:space="0" w:color="auto"/>
        <w:left w:val="none" w:sz="0" w:space="0" w:color="auto"/>
        <w:bottom w:val="none" w:sz="0" w:space="0" w:color="auto"/>
        <w:right w:val="none" w:sz="0" w:space="0" w:color="auto"/>
      </w:divBdr>
    </w:div>
    <w:div w:id="1386757680">
      <w:bodyDiv w:val="1"/>
      <w:marLeft w:val="0"/>
      <w:marRight w:val="0"/>
      <w:marTop w:val="0"/>
      <w:marBottom w:val="0"/>
      <w:divBdr>
        <w:top w:val="none" w:sz="0" w:space="0" w:color="auto"/>
        <w:left w:val="none" w:sz="0" w:space="0" w:color="auto"/>
        <w:bottom w:val="none" w:sz="0" w:space="0" w:color="auto"/>
        <w:right w:val="none" w:sz="0" w:space="0" w:color="auto"/>
      </w:divBdr>
    </w:div>
    <w:div w:id="1462647139">
      <w:bodyDiv w:val="1"/>
      <w:marLeft w:val="0"/>
      <w:marRight w:val="0"/>
      <w:marTop w:val="0"/>
      <w:marBottom w:val="0"/>
      <w:divBdr>
        <w:top w:val="none" w:sz="0" w:space="0" w:color="auto"/>
        <w:left w:val="none" w:sz="0" w:space="0" w:color="auto"/>
        <w:bottom w:val="none" w:sz="0" w:space="0" w:color="auto"/>
        <w:right w:val="none" w:sz="0" w:space="0" w:color="auto"/>
      </w:divBdr>
    </w:div>
    <w:div w:id="1476755001">
      <w:bodyDiv w:val="1"/>
      <w:marLeft w:val="0"/>
      <w:marRight w:val="0"/>
      <w:marTop w:val="0"/>
      <w:marBottom w:val="0"/>
      <w:divBdr>
        <w:top w:val="none" w:sz="0" w:space="0" w:color="auto"/>
        <w:left w:val="none" w:sz="0" w:space="0" w:color="auto"/>
        <w:bottom w:val="none" w:sz="0" w:space="0" w:color="auto"/>
        <w:right w:val="none" w:sz="0" w:space="0" w:color="auto"/>
      </w:divBdr>
    </w:div>
    <w:div w:id="1506673433">
      <w:bodyDiv w:val="1"/>
      <w:marLeft w:val="0"/>
      <w:marRight w:val="0"/>
      <w:marTop w:val="0"/>
      <w:marBottom w:val="0"/>
      <w:divBdr>
        <w:top w:val="none" w:sz="0" w:space="0" w:color="auto"/>
        <w:left w:val="none" w:sz="0" w:space="0" w:color="auto"/>
        <w:bottom w:val="none" w:sz="0" w:space="0" w:color="auto"/>
        <w:right w:val="none" w:sz="0" w:space="0" w:color="auto"/>
      </w:divBdr>
    </w:div>
    <w:div w:id="1636133049">
      <w:bodyDiv w:val="1"/>
      <w:marLeft w:val="0"/>
      <w:marRight w:val="0"/>
      <w:marTop w:val="0"/>
      <w:marBottom w:val="0"/>
      <w:divBdr>
        <w:top w:val="none" w:sz="0" w:space="0" w:color="auto"/>
        <w:left w:val="none" w:sz="0" w:space="0" w:color="auto"/>
        <w:bottom w:val="none" w:sz="0" w:space="0" w:color="auto"/>
        <w:right w:val="none" w:sz="0" w:space="0" w:color="auto"/>
      </w:divBdr>
    </w:div>
    <w:div w:id="1652102462">
      <w:bodyDiv w:val="1"/>
      <w:marLeft w:val="0"/>
      <w:marRight w:val="0"/>
      <w:marTop w:val="0"/>
      <w:marBottom w:val="0"/>
      <w:divBdr>
        <w:top w:val="none" w:sz="0" w:space="0" w:color="auto"/>
        <w:left w:val="none" w:sz="0" w:space="0" w:color="auto"/>
        <w:bottom w:val="none" w:sz="0" w:space="0" w:color="auto"/>
        <w:right w:val="none" w:sz="0" w:space="0" w:color="auto"/>
      </w:divBdr>
    </w:div>
    <w:div w:id="1671176477">
      <w:bodyDiv w:val="1"/>
      <w:marLeft w:val="0"/>
      <w:marRight w:val="0"/>
      <w:marTop w:val="0"/>
      <w:marBottom w:val="0"/>
      <w:divBdr>
        <w:top w:val="none" w:sz="0" w:space="0" w:color="auto"/>
        <w:left w:val="none" w:sz="0" w:space="0" w:color="auto"/>
        <w:bottom w:val="none" w:sz="0" w:space="0" w:color="auto"/>
        <w:right w:val="none" w:sz="0" w:space="0" w:color="auto"/>
      </w:divBdr>
    </w:div>
    <w:div w:id="1675185092">
      <w:bodyDiv w:val="1"/>
      <w:marLeft w:val="0"/>
      <w:marRight w:val="0"/>
      <w:marTop w:val="0"/>
      <w:marBottom w:val="0"/>
      <w:divBdr>
        <w:top w:val="none" w:sz="0" w:space="0" w:color="auto"/>
        <w:left w:val="none" w:sz="0" w:space="0" w:color="auto"/>
        <w:bottom w:val="none" w:sz="0" w:space="0" w:color="auto"/>
        <w:right w:val="none" w:sz="0" w:space="0" w:color="auto"/>
      </w:divBdr>
    </w:div>
    <w:div w:id="1684280839">
      <w:bodyDiv w:val="1"/>
      <w:marLeft w:val="0"/>
      <w:marRight w:val="0"/>
      <w:marTop w:val="0"/>
      <w:marBottom w:val="0"/>
      <w:divBdr>
        <w:top w:val="none" w:sz="0" w:space="0" w:color="auto"/>
        <w:left w:val="none" w:sz="0" w:space="0" w:color="auto"/>
        <w:bottom w:val="none" w:sz="0" w:space="0" w:color="auto"/>
        <w:right w:val="none" w:sz="0" w:space="0" w:color="auto"/>
      </w:divBdr>
    </w:div>
    <w:div w:id="1712028595">
      <w:bodyDiv w:val="1"/>
      <w:marLeft w:val="0"/>
      <w:marRight w:val="0"/>
      <w:marTop w:val="0"/>
      <w:marBottom w:val="0"/>
      <w:divBdr>
        <w:top w:val="none" w:sz="0" w:space="0" w:color="auto"/>
        <w:left w:val="none" w:sz="0" w:space="0" w:color="auto"/>
        <w:bottom w:val="none" w:sz="0" w:space="0" w:color="auto"/>
        <w:right w:val="none" w:sz="0" w:space="0" w:color="auto"/>
      </w:divBdr>
    </w:div>
    <w:div w:id="1742287883">
      <w:bodyDiv w:val="1"/>
      <w:marLeft w:val="0"/>
      <w:marRight w:val="0"/>
      <w:marTop w:val="0"/>
      <w:marBottom w:val="0"/>
      <w:divBdr>
        <w:top w:val="none" w:sz="0" w:space="0" w:color="auto"/>
        <w:left w:val="none" w:sz="0" w:space="0" w:color="auto"/>
        <w:bottom w:val="none" w:sz="0" w:space="0" w:color="auto"/>
        <w:right w:val="none" w:sz="0" w:space="0" w:color="auto"/>
      </w:divBdr>
    </w:div>
    <w:div w:id="1759717884">
      <w:bodyDiv w:val="1"/>
      <w:marLeft w:val="0"/>
      <w:marRight w:val="0"/>
      <w:marTop w:val="0"/>
      <w:marBottom w:val="0"/>
      <w:divBdr>
        <w:top w:val="none" w:sz="0" w:space="0" w:color="auto"/>
        <w:left w:val="none" w:sz="0" w:space="0" w:color="auto"/>
        <w:bottom w:val="none" w:sz="0" w:space="0" w:color="auto"/>
        <w:right w:val="none" w:sz="0" w:space="0" w:color="auto"/>
      </w:divBdr>
      <w:divsChild>
        <w:div w:id="1785417513">
          <w:marLeft w:val="0"/>
          <w:marRight w:val="0"/>
          <w:marTop w:val="0"/>
          <w:marBottom w:val="0"/>
          <w:divBdr>
            <w:top w:val="none" w:sz="0" w:space="0" w:color="auto"/>
            <w:left w:val="none" w:sz="0" w:space="0" w:color="auto"/>
            <w:bottom w:val="none" w:sz="0" w:space="0" w:color="auto"/>
            <w:right w:val="none" w:sz="0" w:space="0" w:color="auto"/>
          </w:divBdr>
          <w:divsChild>
            <w:div w:id="78781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16817">
      <w:bodyDiv w:val="1"/>
      <w:marLeft w:val="0"/>
      <w:marRight w:val="0"/>
      <w:marTop w:val="0"/>
      <w:marBottom w:val="0"/>
      <w:divBdr>
        <w:top w:val="none" w:sz="0" w:space="0" w:color="auto"/>
        <w:left w:val="none" w:sz="0" w:space="0" w:color="auto"/>
        <w:bottom w:val="none" w:sz="0" w:space="0" w:color="auto"/>
        <w:right w:val="none" w:sz="0" w:space="0" w:color="auto"/>
      </w:divBdr>
    </w:div>
    <w:div w:id="1860772056">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67352840">
      <w:bodyDiv w:val="1"/>
      <w:marLeft w:val="0"/>
      <w:marRight w:val="0"/>
      <w:marTop w:val="0"/>
      <w:marBottom w:val="0"/>
      <w:divBdr>
        <w:top w:val="none" w:sz="0" w:space="0" w:color="auto"/>
        <w:left w:val="none" w:sz="0" w:space="0" w:color="auto"/>
        <w:bottom w:val="none" w:sz="0" w:space="0" w:color="auto"/>
        <w:right w:val="none" w:sz="0" w:space="0" w:color="auto"/>
      </w:divBdr>
    </w:div>
    <w:div w:id="1989163740">
      <w:bodyDiv w:val="1"/>
      <w:marLeft w:val="0"/>
      <w:marRight w:val="0"/>
      <w:marTop w:val="0"/>
      <w:marBottom w:val="0"/>
      <w:divBdr>
        <w:top w:val="none" w:sz="0" w:space="0" w:color="auto"/>
        <w:left w:val="none" w:sz="0" w:space="0" w:color="auto"/>
        <w:bottom w:val="none" w:sz="0" w:space="0" w:color="auto"/>
        <w:right w:val="none" w:sz="0" w:space="0" w:color="auto"/>
      </w:divBdr>
    </w:div>
    <w:div w:id="2040354753">
      <w:bodyDiv w:val="1"/>
      <w:marLeft w:val="0"/>
      <w:marRight w:val="0"/>
      <w:marTop w:val="0"/>
      <w:marBottom w:val="0"/>
      <w:divBdr>
        <w:top w:val="none" w:sz="0" w:space="0" w:color="auto"/>
        <w:left w:val="none" w:sz="0" w:space="0" w:color="auto"/>
        <w:bottom w:val="none" w:sz="0" w:space="0" w:color="auto"/>
        <w:right w:val="none" w:sz="0" w:space="0" w:color="auto"/>
      </w:divBdr>
    </w:div>
    <w:div w:id="2057851465">
      <w:bodyDiv w:val="1"/>
      <w:marLeft w:val="0"/>
      <w:marRight w:val="0"/>
      <w:marTop w:val="0"/>
      <w:marBottom w:val="0"/>
      <w:divBdr>
        <w:top w:val="none" w:sz="0" w:space="0" w:color="auto"/>
        <w:left w:val="none" w:sz="0" w:space="0" w:color="auto"/>
        <w:bottom w:val="none" w:sz="0" w:space="0" w:color="auto"/>
        <w:right w:val="none" w:sz="0" w:space="0" w:color="auto"/>
      </w:divBdr>
    </w:div>
    <w:div w:id="2060743450">
      <w:bodyDiv w:val="1"/>
      <w:marLeft w:val="0"/>
      <w:marRight w:val="0"/>
      <w:marTop w:val="0"/>
      <w:marBottom w:val="0"/>
      <w:divBdr>
        <w:top w:val="none" w:sz="0" w:space="0" w:color="auto"/>
        <w:left w:val="none" w:sz="0" w:space="0" w:color="auto"/>
        <w:bottom w:val="none" w:sz="0" w:space="0" w:color="auto"/>
        <w:right w:val="none" w:sz="0" w:space="0" w:color="auto"/>
      </w:divBdr>
    </w:div>
    <w:div w:id="2088648660">
      <w:bodyDiv w:val="1"/>
      <w:marLeft w:val="0"/>
      <w:marRight w:val="0"/>
      <w:marTop w:val="0"/>
      <w:marBottom w:val="0"/>
      <w:divBdr>
        <w:top w:val="none" w:sz="0" w:space="0" w:color="auto"/>
        <w:left w:val="none" w:sz="0" w:space="0" w:color="auto"/>
        <w:bottom w:val="none" w:sz="0" w:space="0" w:color="auto"/>
        <w:right w:val="none" w:sz="0" w:space="0" w:color="auto"/>
      </w:divBdr>
    </w:div>
    <w:div w:id="210156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kalydecohcp.com/trials-2-4-5" TargetMode="External"/><Relationship Id="rId1" Type="http://schemas.openxmlformats.org/officeDocument/2006/relationships/hyperlink" Target="https://www.ebs.tga.gov.au/ebs/picmi/picmirepository.nsf/PICMI?OpenForm&amp;t=&amp;q=ivacaf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89C49-1FCA-41DC-A597-177B997C8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15974</Words>
  <Characters>85101</Characters>
  <Application>Microsoft Office Word</Application>
  <DocSecurity>0</DocSecurity>
  <Lines>709</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2024-02-28T04:27:00Z</dcterms:created>
  <dcterms:modified xsi:type="dcterms:W3CDTF">2024-03-01T00:20:00Z</dcterms:modified>
</cp:coreProperties>
</file>