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70777397" w:rsidR="00B60939" w:rsidRPr="008C164C" w:rsidRDefault="00EA0674" w:rsidP="00C3561E">
      <w:pPr>
        <w:pStyle w:val="1-MainHeading"/>
        <w:ind w:left="851" w:hanging="851"/>
      </w:pPr>
      <w:bookmarkStart w:id="0" w:name="_Toc145485248"/>
      <w:r w:rsidRPr="008C164C">
        <w:t>7.03</w:t>
      </w:r>
      <w:r w:rsidR="00163F66" w:rsidRPr="008C164C">
        <w:tab/>
      </w:r>
      <w:r w:rsidR="00E95DCA" w:rsidRPr="008C164C">
        <w:t>LENACAPAVIR</w:t>
      </w:r>
      <w:r w:rsidR="00163F66" w:rsidRPr="008C164C">
        <w:t>,</w:t>
      </w:r>
      <w:r w:rsidR="00163F66" w:rsidRPr="008C164C">
        <w:br/>
      </w:r>
      <w:r w:rsidR="00E95DCA" w:rsidRPr="008C164C">
        <w:t>Tablet</w:t>
      </w:r>
      <w:r w:rsidR="00A759D6" w:rsidRPr="008C164C">
        <w:t xml:space="preserve"> </w:t>
      </w:r>
      <w:r w:rsidR="00E95DCA" w:rsidRPr="008C164C">
        <w:t>300</w:t>
      </w:r>
      <w:r w:rsidR="00CC7F34" w:rsidRPr="008C164C">
        <w:t xml:space="preserve"> </w:t>
      </w:r>
      <w:r w:rsidR="00E95DCA" w:rsidRPr="008C164C">
        <w:t>mg</w:t>
      </w:r>
      <w:r w:rsidR="00163F66" w:rsidRPr="008C164C">
        <w:t>,</w:t>
      </w:r>
      <w:r w:rsidR="00163F66" w:rsidRPr="008C164C">
        <w:br/>
      </w:r>
      <w:r w:rsidR="00C3561E" w:rsidRPr="00C3561E">
        <w:t>Pack containing 2 injection sets containing solution for subcutaneous injection 463.5 mg in 1.5 mL</w:t>
      </w:r>
      <w:r w:rsidR="00E95DCA" w:rsidRPr="008C164C">
        <w:br/>
      </w:r>
      <w:proofErr w:type="spellStart"/>
      <w:r w:rsidR="00E95DCA" w:rsidRPr="008C164C">
        <w:t>Sunlenca</w:t>
      </w:r>
      <w:proofErr w:type="spellEnd"/>
      <w:r w:rsidR="00B60939" w:rsidRPr="008C164C">
        <w:rPr>
          <w:vertAlign w:val="superscript"/>
        </w:rPr>
        <w:t>®</w:t>
      </w:r>
      <w:r w:rsidR="004A6040" w:rsidRPr="008C164C">
        <w:t>,</w:t>
      </w:r>
      <w:r w:rsidR="004A6040" w:rsidRPr="008C164C">
        <w:br/>
      </w:r>
      <w:r w:rsidR="00E95DCA" w:rsidRPr="008C164C">
        <w:t>G</w:t>
      </w:r>
      <w:r w:rsidR="00A759D6" w:rsidRPr="008C164C">
        <w:t>ilead Sciences Pty Limited</w:t>
      </w:r>
      <w:bookmarkEnd w:id="0"/>
    </w:p>
    <w:p w14:paraId="11C00795" w14:textId="61CAA744" w:rsidR="00B50DB8" w:rsidRPr="008C164C" w:rsidRDefault="00B50DB8" w:rsidP="004A6040">
      <w:pPr>
        <w:pStyle w:val="2-SectionHeading"/>
      </w:pPr>
      <w:bookmarkStart w:id="1" w:name="_Toc145485251"/>
      <w:bookmarkStart w:id="2" w:name="_Ref151547945"/>
      <w:r w:rsidRPr="008C164C">
        <w:t xml:space="preserve">Purpose of </w:t>
      </w:r>
      <w:r w:rsidR="00CD7193" w:rsidRPr="008C164C">
        <w:t>s</w:t>
      </w:r>
      <w:r w:rsidR="00BB3A45" w:rsidRPr="008C164C">
        <w:t>ubmission</w:t>
      </w:r>
      <w:bookmarkEnd w:id="1"/>
      <w:bookmarkEnd w:id="2"/>
    </w:p>
    <w:p w14:paraId="19414AA1" w14:textId="0160F102" w:rsidR="002C2775" w:rsidRPr="008C164C" w:rsidRDefault="007170DA" w:rsidP="00770FC8">
      <w:pPr>
        <w:pStyle w:val="3-BodyText"/>
      </w:pPr>
      <w:r w:rsidRPr="008C164C">
        <w:t xml:space="preserve">The </w:t>
      </w:r>
      <w:r w:rsidR="000508C2" w:rsidRPr="008C164C">
        <w:t>Standard Re-entry</w:t>
      </w:r>
      <w:r w:rsidR="003C7C15" w:rsidRPr="008C164C">
        <w:t xml:space="preserve"> </w:t>
      </w:r>
      <w:r w:rsidRPr="008C164C">
        <w:t xml:space="preserve">submission requested </w:t>
      </w:r>
      <w:r w:rsidR="00770FC8" w:rsidRPr="008C164C">
        <w:t>a Section 100 (</w:t>
      </w:r>
      <w:r w:rsidR="00B95754" w:rsidRPr="008C164C">
        <w:t>Highly Specialised Drugs Program [</w:t>
      </w:r>
      <w:r w:rsidR="00770FC8" w:rsidRPr="008C164C">
        <w:t>HSD</w:t>
      </w:r>
      <w:r w:rsidR="00B95754" w:rsidRPr="008C164C">
        <w:t>]</w:t>
      </w:r>
      <w:r w:rsidR="00770FC8" w:rsidRPr="008C164C">
        <w:t>)</w:t>
      </w:r>
      <w:r w:rsidR="00911DAC" w:rsidRPr="008C164C">
        <w:t>,</w:t>
      </w:r>
      <w:r w:rsidR="00770FC8" w:rsidRPr="008C164C">
        <w:t xml:space="preserve"> Authority Required (STREAMLINED) listing for </w:t>
      </w:r>
      <w:proofErr w:type="spellStart"/>
      <w:r w:rsidR="00770FC8" w:rsidRPr="008C164C">
        <w:t>lenacapavir</w:t>
      </w:r>
      <w:proofErr w:type="spellEnd"/>
      <w:r w:rsidR="00770FC8" w:rsidRPr="008C164C">
        <w:t xml:space="preserve"> </w:t>
      </w:r>
      <w:r w:rsidR="004066C5" w:rsidRPr="008C164C">
        <w:t xml:space="preserve">(LEN) </w:t>
      </w:r>
      <w:r w:rsidR="00770FC8" w:rsidRPr="008C164C">
        <w:t xml:space="preserve">for the treatment of </w:t>
      </w:r>
      <w:r w:rsidR="00B95754" w:rsidRPr="008C164C">
        <w:t>p</w:t>
      </w:r>
      <w:r w:rsidR="009F7F32" w:rsidRPr="008C164C">
        <w:t>eople</w:t>
      </w:r>
      <w:r w:rsidR="00B95754" w:rsidRPr="008C164C">
        <w:t xml:space="preserve"> with highly </w:t>
      </w:r>
      <w:r w:rsidR="00770FC8" w:rsidRPr="008C164C">
        <w:t>multi</w:t>
      </w:r>
      <w:r w:rsidR="00B95754" w:rsidRPr="008C164C">
        <w:t>-</w:t>
      </w:r>
      <w:r w:rsidR="00770FC8" w:rsidRPr="008C164C">
        <w:t>drug resistant</w:t>
      </w:r>
      <w:r w:rsidR="00B95754" w:rsidRPr="008C164C">
        <w:t xml:space="preserve"> human immunodeficiency</w:t>
      </w:r>
      <w:r w:rsidR="00770FC8" w:rsidRPr="008C164C">
        <w:t xml:space="preserve"> </w:t>
      </w:r>
      <w:r w:rsidR="00B95754" w:rsidRPr="008C164C">
        <w:t>virus type 1 (</w:t>
      </w:r>
      <w:r w:rsidR="00770FC8" w:rsidRPr="008C164C">
        <w:t>HIV</w:t>
      </w:r>
      <w:r w:rsidR="00B95754" w:rsidRPr="008C164C">
        <w:t>-1) infection</w:t>
      </w:r>
      <w:r w:rsidR="00770FC8" w:rsidRPr="008C164C">
        <w:t>.</w:t>
      </w:r>
    </w:p>
    <w:p w14:paraId="4E9FBCB5" w14:textId="298C3CEE" w:rsidR="00C2778B" w:rsidRPr="008C164C" w:rsidRDefault="005750C5" w:rsidP="004E18E9">
      <w:pPr>
        <w:pStyle w:val="3-BodyText"/>
      </w:pPr>
      <w:r w:rsidRPr="008C164C">
        <w:t xml:space="preserve">Listing was requested on the basis of </w:t>
      </w:r>
      <w:r w:rsidR="00770FC8" w:rsidRPr="008C164C">
        <w:t xml:space="preserve">a cost-utility analysis of LEN in combination with optimised background regimen (OBR) versus OBR alone. </w:t>
      </w:r>
    </w:p>
    <w:p w14:paraId="05442B7E" w14:textId="4D8FE859" w:rsidR="00346712" w:rsidRPr="008C164C" w:rsidRDefault="00346712" w:rsidP="004E18E9">
      <w:pPr>
        <w:pStyle w:val="3-BodyText"/>
      </w:pPr>
      <w:r w:rsidRPr="008C164C">
        <w:fldChar w:fldCharType="begin" w:fldLock="1"/>
      </w:r>
      <w:r w:rsidRPr="008C164C">
        <w:instrText xml:space="preserve"> REF _Ref142576654 \h </w:instrText>
      </w:r>
      <w:r w:rsidRPr="008C164C">
        <w:fldChar w:fldCharType="separate"/>
      </w:r>
      <w:r w:rsidR="00682506" w:rsidRPr="008C164C">
        <w:t xml:space="preserve">Table </w:t>
      </w:r>
      <w:r w:rsidR="00682506">
        <w:rPr>
          <w:noProof/>
        </w:rPr>
        <w:t>1</w:t>
      </w:r>
      <w:r w:rsidRPr="008C164C">
        <w:fldChar w:fldCharType="end"/>
      </w:r>
      <w:r w:rsidRPr="008C164C">
        <w:t xml:space="preserve"> presents the key components of the clinical issue addressed by the resubmission.</w:t>
      </w:r>
    </w:p>
    <w:p w14:paraId="331ED0B7" w14:textId="0FAAC483" w:rsidR="00346712" w:rsidRPr="008C164C" w:rsidRDefault="00696EF9" w:rsidP="00EE37C1">
      <w:pPr>
        <w:pStyle w:val="TableFigureHeading"/>
        <w:keepLines/>
      </w:pPr>
      <w:bookmarkStart w:id="3" w:name="_Ref142576654"/>
      <w:r w:rsidRPr="008C164C">
        <w:t xml:space="preserve">Table </w:t>
      </w:r>
      <w:r w:rsidR="00B25BFE">
        <w:fldChar w:fldCharType="begin" w:fldLock="1"/>
      </w:r>
      <w:r w:rsidR="00B25BFE">
        <w:instrText xml:space="preserve"> SEQ Table \* ARABIC </w:instrText>
      </w:r>
      <w:r w:rsidR="00B25BFE">
        <w:fldChar w:fldCharType="separate"/>
      </w:r>
      <w:r w:rsidR="00682506">
        <w:rPr>
          <w:noProof/>
        </w:rPr>
        <w:t>1</w:t>
      </w:r>
      <w:r w:rsidR="00B25BFE">
        <w:rPr>
          <w:noProof/>
        </w:rPr>
        <w:fldChar w:fldCharType="end"/>
      </w:r>
      <w:bookmarkEnd w:id="3"/>
      <w:r w:rsidRPr="008C164C">
        <w:t>:</w:t>
      </w:r>
      <w:r w:rsidR="00BC591F" w:rsidRPr="008C164C">
        <w:rPr>
          <w:rStyle w:val="CommentReference"/>
          <w:b/>
          <w:szCs w:val="24"/>
        </w:rPr>
        <w:t xml:space="preserve"> </w:t>
      </w:r>
      <w:r w:rsidR="00346712" w:rsidRPr="008C164C">
        <w:rPr>
          <w:rStyle w:val="CommentReference"/>
          <w:b/>
          <w:szCs w:val="24"/>
        </w:rPr>
        <w:t>Key components of the clinical issue addressed by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346712" w:rsidRPr="008C164C" w14:paraId="447F9C19" w14:textId="77777777" w:rsidTr="00240629">
        <w:tc>
          <w:tcPr>
            <w:tcW w:w="1668" w:type="dxa"/>
            <w:vAlign w:val="center"/>
          </w:tcPr>
          <w:p w14:paraId="4039D45F" w14:textId="77777777" w:rsidR="00346712" w:rsidRPr="008C164C" w:rsidRDefault="00346712" w:rsidP="00EE37C1">
            <w:pPr>
              <w:pStyle w:val="In-tableHeading"/>
              <w:keepLines/>
              <w:rPr>
                <w:lang w:val="en-AU"/>
              </w:rPr>
            </w:pPr>
            <w:r w:rsidRPr="008C164C">
              <w:rPr>
                <w:lang w:val="en-AU"/>
              </w:rPr>
              <w:t>Component</w:t>
            </w:r>
          </w:p>
        </w:tc>
        <w:tc>
          <w:tcPr>
            <w:tcW w:w="7488" w:type="dxa"/>
            <w:vAlign w:val="center"/>
          </w:tcPr>
          <w:p w14:paraId="05951CD4" w14:textId="77777777" w:rsidR="00346712" w:rsidRPr="008C164C" w:rsidRDefault="00346712" w:rsidP="00EE37C1">
            <w:pPr>
              <w:pStyle w:val="In-tableHeading"/>
              <w:keepLines/>
              <w:rPr>
                <w:lang w:val="en-AU"/>
              </w:rPr>
            </w:pPr>
            <w:r w:rsidRPr="008C164C">
              <w:rPr>
                <w:lang w:val="en-AU"/>
              </w:rPr>
              <w:t>Description</w:t>
            </w:r>
          </w:p>
        </w:tc>
      </w:tr>
      <w:tr w:rsidR="00346712" w:rsidRPr="008C164C" w14:paraId="6FA4CB6C" w14:textId="77777777" w:rsidTr="00240629">
        <w:tc>
          <w:tcPr>
            <w:tcW w:w="1668" w:type="dxa"/>
            <w:vAlign w:val="center"/>
          </w:tcPr>
          <w:p w14:paraId="6E9455ED" w14:textId="77777777" w:rsidR="00346712" w:rsidRPr="008C164C" w:rsidRDefault="00346712" w:rsidP="00EE37C1">
            <w:pPr>
              <w:pStyle w:val="TableText0"/>
              <w:keepLines/>
            </w:pPr>
            <w:r w:rsidRPr="008C164C">
              <w:t>Population</w:t>
            </w:r>
          </w:p>
        </w:tc>
        <w:tc>
          <w:tcPr>
            <w:tcW w:w="7488" w:type="dxa"/>
            <w:vAlign w:val="center"/>
          </w:tcPr>
          <w:p w14:paraId="4BB1660D" w14:textId="4BB6BF87" w:rsidR="00346712" w:rsidRPr="008C164C" w:rsidRDefault="00346712" w:rsidP="00EE37C1">
            <w:pPr>
              <w:pStyle w:val="TableText0"/>
              <w:keepLines/>
            </w:pPr>
            <w:r w:rsidRPr="008C164C">
              <w:t>HIV-1 patients with highly multi drug resistant HIV who have no more than 2 fully active ARVs remaining from the 4 main classes that can be effectively combined to form a viable regimen.</w:t>
            </w:r>
            <w:r w:rsidR="00671DD8" w:rsidRPr="008C164C">
              <w:rPr>
                <w:vertAlign w:val="superscript"/>
              </w:rPr>
              <w:t xml:space="preserve"> a</w:t>
            </w:r>
          </w:p>
        </w:tc>
      </w:tr>
      <w:tr w:rsidR="00346712" w:rsidRPr="008C164C" w14:paraId="199EB775" w14:textId="77777777" w:rsidTr="00240629">
        <w:tc>
          <w:tcPr>
            <w:tcW w:w="1668" w:type="dxa"/>
            <w:vAlign w:val="center"/>
          </w:tcPr>
          <w:p w14:paraId="201CF21C" w14:textId="77777777" w:rsidR="00346712" w:rsidRPr="008C164C" w:rsidRDefault="00346712" w:rsidP="00EE37C1">
            <w:pPr>
              <w:pStyle w:val="TableText0"/>
              <w:keepLines/>
            </w:pPr>
            <w:r w:rsidRPr="008C164C">
              <w:t>Intervention</w:t>
            </w:r>
          </w:p>
        </w:tc>
        <w:tc>
          <w:tcPr>
            <w:tcW w:w="7488" w:type="dxa"/>
            <w:vAlign w:val="center"/>
          </w:tcPr>
          <w:p w14:paraId="1180EA07" w14:textId="77777777" w:rsidR="00346712" w:rsidRPr="008C164C" w:rsidRDefault="00346712" w:rsidP="00EE37C1">
            <w:pPr>
              <w:pStyle w:val="TableText0"/>
              <w:keepLines/>
            </w:pPr>
            <w:proofErr w:type="spellStart"/>
            <w:r w:rsidRPr="008C164C">
              <w:t>Lenacapavir</w:t>
            </w:r>
            <w:proofErr w:type="spellEnd"/>
            <w:r w:rsidRPr="008C164C">
              <w:t xml:space="preserve"> + OBR</w:t>
            </w:r>
          </w:p>
        </w:tc>
      </w:tr>
      <w:tr w:rsidR="00346712" w:rsidRPr="008C164C" w14:paraId="32F1C11C" w14:textId="77777777" w:rsidTr="00240629">
        <w:tc>
          <w:tcPr>
            <w:tcW w:w="1668" w:type="dxa"/>
            <w:vAlign w:val="center"/>
          </w:tcPr>
          <w:p w14:paraId="78F0BDB8" w14:textId="77777777" w:rsidR="00346712" w:rsidRPr="008C164C" w:rsidRDefault="00346712" w:rsidP="00EE37C1">
            <w:pPr>
              <w:pStyle w:val="TableText0"/>
              <w:keepLines/>
            </w:pPr>
            <w:r w:rsidRPr="008C164C">
              <w:t>Comparator</w:t>
            </w:r>
          </w:p>
        </w:tc>
        <w:tc>
          <w:tcPr>
            <w:tcW w:w="7488" w:type="dxa"/>
            <w:vAlign w:val="center"/>
          </w:tcPr>
          <w:p w14:paraId="46AB4137" w14:textId="77777777" w:rsidR="00346712" w:rsidRPr="008C164C" w:rsidRDefault="00346712" w:rsidP="00EE37C1">
            <w:pPr>
              <w:pStyle w:val="TableText0"/>
              <w:keepLines/>
            </w:pPr>
            <w:r w:rsidRPr="008C164C">
              <w:t xml:space="preserve">Placebo + OBR  </w:t>
            </w:r>
          </w:p>
        </w:tc>
      </w:tr>
      <w:tr w:rsidR="00346712" w:rsidRPr="008C164C" w14:paraId="1072B9D7" w14:textId="77777777" w:rsidTr="00240629">
        <w:tc>
          <w:tcPr>
            <w:tcW w:w="1668" w:type="dxa"/>
            <w:vAlign w:val="center"/>
          </w:tcPr>
          <w:p w14:paraId="7F8A18BF" w14:textId="77777777" w:rsidR="00346712" w:rsidRPr="008C164C" w:rsidRDefault="00346712" w:rsidP="00EE37C1">
            <w:pPr>
              <w:pStyle w:val="TableText0"/>
              <w:keepLines/>
            </w:pPr>
            <w:r w:rsidRPr="008C164C">
              <w:t>Outcomes</w:t>
            </w:r>
          </w:p>
        </w:tc>
        <w:tc>
          <w:tcPr>
            <w:tcW w:w="7488" w:type="dxa"/>
            <w:vAlign w:val="center"/>
          </w:tcPr>
          <w:p w14:paraId="0FB6310F" w14:textId="0B54F928" w:rsidR="006F011D" w:rsidRPr="008C164C" w:rsidRDefault="006F011D" w:rsidP="00EE37C1">
            <w:pPr>
              <w:pStyle w:val="TableText0"/>
              <w:keepLines/>
            </w:pPr>
            <w:r w:rsidRPr="008C164C">
              <w:t>Reduction in HIV-1 RNA of ≥ 0.5 log10 copies/mL at 14 days</w:t>
            </w:r>
            <w:r w:rsidR="004E4E07" w:rsidRPr="008C164C">
              <w:t>.</w:t>
            </w:r>
          </w:p>
          <w:p w14:paraId="6FE465D3" w14:textId="50EDF2CB" w:rsidR="00346712" w:rsidRPr="008C164C" w:rsidRDefault="00346712" w:rsidP="00EE37C1">
            <w:pPr>
              <w:pStyle w:val="TableText0"/>
              <w:keepLines/>
            </w:pPr>
            <w:r w:rsidRPr="008C164C">
              <w:t xml:space="preserve">HIV-1 RNA &lt; 50 copies/mL and &lt; 200 copies/mL through </w:t>
            </w:r>
            <w:r w:rsidR="00B03763">
              <w:t>104</w:t>
            </w:r>
            <w:r w:rsidRPr="008C164C">
              <w:t xml:space="preserve"> weeks of treatment.</w:t>
            </w:r>
          </w:p>
          <w:p w14:paraId="28233508" w14:textId="3F886BB7" w:rsidR="00346712" w:rsidRPr="008C164C" w:rsidRDefault="00346712" w:rsidP="00EE37C1">
            <w:pPr>
              <w:pStyle w:val="TableText0"/>
              <w:keepLines/>
            </w:pPr>
            <w:r w:rsidRPr="008C164C">
              <w:t>Change from baseline in CD</w:t>
            </w:r>
            <w:r w:rsidR="003C0DEE" w:rsidRPr="008C164C">
              <w:t>4</w:t>
            </w:r>
            <w:r w:rsidRPr="008C164C">
              <w:t xml:space="preserve"> cells/mm</w:t>
            </w:r>
            <w:r w:rsidRPr="008C164C">
              <w:rPr>
                <w:vertAlign w:val="superscript"/>
              </w:rPr>
              <w:t>3</w:t>
            </w:r>
            <w:r w:rsidRPr="008C164C">
              <w:t>.</w:t>
            </w:r>
          </w:p>
          <w:p w14:paraId="69B6449A" w14:textId="77777777" w:rsidR="00346712" w:rsidRPr="008C164C" w:rsidRDefault="00346712" w:rsidP="00EE37C1">
            <w:pPr>
              <w:pStyle w:val="TableText0"/>
              <w:keepLines/>
            </w:pPr>
            <w:r w:rsidRPr="008C164C">
              <w:t>Adverse events.</w:t>
            </w:r>
          </w:p>
        </w:tc>
      </w:tr>
      <w:tr w:rsidR="00346712" w:rsidRPr="008C164C" w14:paraId="7250503E" w14:textId="77777777" w:rsidTr="00240629">
        <w:tc>
          <w:tcPr>
            <w:tcW w:w="1668" w:type="dxa"/>
            <w:vAlign w:val="center"/>
          </w:tcPr>
          <w:p w14:paraId="1C50242E" w14:textId="77777777" w:rsidR="00346712" w:rsidRPr="008C164C" w:rsidRDefault="00346712" w:rsidP="00EE37C1">
            <w:pPr>
              <w:pStyle w:val="TableText0"/>
              <w:keepLines/>
            </w:pPr>
            <w:r w:rsidRPr="008C164C">
              <w:t>Clinical claim</w:t>
            </w:r>
          </w:p>
        </w:tc>
        <w:tc>
          <w:tcPr>
            <w:tcW w:w="7488" w:type="dxa"/>
            <w:vAlign w:val="center"/>
          </w:tcPr>
          <w:p w14:paraId="4988BF98" w14:textId="77777777" w:rsidR="00346712" w:rsidRPr="008C164C" w:rsidRDefault="00346712" w:rsidP="00EE37C1">
            <w:pPr>
              <w:pStyle w:val="TableText0"/>
              <w:keepLines/>
            </w:pPr>
            <w:proofErr w:type="spellStart"/>
            <w:r w:rsidRPr="008C164C">
              <w:t>Lenacapavir</w:t>
            </w:r>
            <w:proofErr w:type="spellEnd"/>
            <w:r w:rsidRPr="008C164C">
              <w:t xml:space="preserve">, in addition to OBR, demonstrates superior comparative effectiveness compared with OBR alone (placebo + OBR) in PLWH who are </w:t>
            </w:r>
            <w:proofErr w:type="spellStart"/>
            <w:r w:rsidRPr="008C164C">
              <w:t>hMDR</w:t>
            </w:r>
            <w:proofErr w:type="spellEnd"/>
            <w:r w:rsidRPr="008C164C">
              <w:t>.</w:t>
            </w:r>
          </w:p>
          <w:p w14:paraId="1E2AFD9E" w14:textId="0E0018B5" w:rsidR="00346712" w:rsidRPr="008C164C" w:rsidRDefault="00346712" w:rsidP="00EE37C1">
            <w:pPr>
              <w:pStyle w:val="TableText0"/>
              <w:keepLines/>
            </w:pPr>
            <w:proofErr w:type="spellStart"/>
            <w:r w:rsidRPr="008C164C">
              <w:t>Lenacapavir</w:t>
            </w:r>
            <w:proofErr w:type="spellEnd"/>
            <w:r w:rsidRPr="008C164C">
              <w:t xml:space="preserve"> in addition to OBR demonstrates a non-inferior safety profile with OBR alone (placebo + OBR) in PLWH who are </w:t>
            </w:r>
            <w:proofErr w:type="spellStart"/>
            <w:r w:rsidRPr="008C164C">
              <w:t>hMDR</w:t>
            </w:r>
            <w:proofErr w:type="spellEnd"/>
            <w:r w:rsidR="004E4E07" w:rsidRPr="008C164C">
              <w:t>.</w:t>
            </w:r>
          </w:p>
        </w:tc>
      </w:tr>
    </w:tbl>
    <w:p w14:paraId="0E233D0F" w14:textId="77777777" w:rsidR="00346712" w:rsidRPr="008C164C" w:rsidRDefault="00346712" w:rsidP="00EE37C1">
      <w:pPr>
        <w:pStyle w:val="FooterTableFigure"/>
        <w:keepNext/>
        <w:keepLines/>
      </w:pPr>
      <w:r w:rsidRPr="008C164C">
        <w:t>Source: Table 1-2, pp3-4 of the resubmission.</w:t>
      </w:r>
    </w:p>
    <w:p w14:paraId="19C2AE7B" w14:textId="74B652A6" w:rsidR="00346712" w:rsidRPr="008C164C" w:rsidRDefault="00346712" w:rsidP="00EE37C1">
      <w:pPr>
        <w:pStyle w:val="FooterTableFigure"/>
        <w:keepNext/>
        <w:keepLines/>
      </w:pPr>
      <w:r w:rsidRPr="008C164C">
        <w:t xml:space="preserve">ARV = antiretrovirals; HIV = human immunodeficiency virus; </w:t>
      </w:r>
      <w:proofErr w:type="spellStart"/>
      <w:r w:rsidRPr="008C164C">
        <w:t>hMDR</w:t>
      </w:r>
      <w:proofErr w:type="spellEnd"/>
      <w:r w:rsidRPr="008C164C">
        <w:t xml:space="preserve"> = highly multidrug resistant; OBR = optimised background regimen; PLWH = people living with HIV; RNA = ribonucleic acid.</w:t>
      </w:r>
    </w:p>
    <w:p w14:paraId="7113C7CC" w14:textId="75E94EDC" w:rsidR="00671DD8" w:rsidRPr="008C164C" w:rsidRDefault="00671DD8" w:rsidP="00EE37C1">
      <w:pPr>
        <w:pStyle w:val="FooterTableFigure"/>
        <w:keepNext/>
        <w:keepLines/>
      </w:pPr>
      <w:r w:rsidRPr="008C164C">
        <w:t>a</w:t>
      </w:r>
      <w:r w:rsidRPr="008C164C">
        <w:rPr>
          <w:vertAlign w:val="superscript"/>
        </w:rPr>
        <w:t xml:space="preserve"> </w:t>
      </w:r>
      <w:r w:rsidRPr="008C164C">
        <w:t xml:space="preserve">Main classes of ARV include Nucleoside and nucleotide reverse transcriptase inhibitors (NRTIs), non-nucleoside reverse transcriptase inhibitors (NNRTIs), integrase strand transfer inhibitors (INSTIs) and protease inhibitors (PIs) </w:t>
      </w:r>
    </w:p>
    <w:p w14:paraId="6B4AB6C2" w14:textId="1A4D7B67" w:rsidR="005C25FF" w:rsidRPr="008C164C" w:rsidRDefault="005C25FF" w:rsidP="007A6142">
      <w:pPr>
        <w:pStyle w:val="2-SectionHeading"/>
      </w:pPr>
      <w:bookmarkStart w:id="4" w:name="_Toc145485252"/>
      <w:r w:rsidRPr="008C164C">
        <w:t>Background</w:t>
      </w:r>
      <w:bookmarkEnd w:id="4"/>
    </w:p>
    <w:p w14:paraId="2C521D6D" w14:textId="44C5205F" w:rsidR="005C25FF" w:rsidRPr="008C164C" w:rsidRDefault="005C25FF" w:rsidP="007A6142">
      <w:pPr>
        <w:pStyle w:val="4-SubsectionHeading"/>
      </w:pPr>
      <w:bookmarkStart w:id="5" w:name="_Toc22897638"/>
      <w:bookmarkStart w:id="6" w:name="_Toc145485253"/>
      <w:r w:rsidRPr="008C164C">
        <w:t>Registration status</w:t>
      </w:r>
      <w:bookmarkEnd w:id="5"/>
      <w:bookmarkEnd w:id="6"/>
    </w:p>
    <w:p w14:paraId="689C3E51" w14:textId="53DC76B2" w:rsidR="00346712" w:rsidRPr="008C164C" w:rsidRDefault="00346712" w:rsidP="002F4E4E">
      <w:pPr>
        <w:pStyle w:val="3-BodyText"/>
      </w:pPr>
      <w:r w:rsidRPr="008C164C">
        <w:rPr>
          <w:color w:val="000000" w:themeColor="text1"/>
        </w:rPr>
        <w:t xml:space="preserve">LEN was </w:t>
      </w:r>
      <w:r w:rsidRPr="008C164C">
        <w:t>registered on the Australian register of therapeutic goods (ARTG) on 27 March 2023 for the following indication:</w:t>
      </w:r>
    </w:p>
    <w:p w14:paraId="4D0F8822" w14:textId="77777777" w:rsidR="00346712" w:rsidRPr="008C164C" w:rsidRDefault="00346712" w:rsidP="002F4E4E">
      <w:pPr>
        <w:spacing w:after="120"/>
        <w:ind w:left="720"/>
      </w:pPr>
      <w:r w:rsidRPr="008C164C">
        <w:rPr>
          <w:i/>
          <w:iCs/>
        </w:rPr>
        <w:lastRenderedPageBreak/>
        <w:t>“in combination with other antiretrovirals… for the treatment of adults with multidrug resistant HIV-1 infection for whom it is otherwise not possible to construct a suppressive anti-viral regimen.”</w:t>
      </w:r>
    </w:p>
    <w:p w14:paraId="3E2A6EAB" w14:textId="50B7F464" w:rsidR="005C25FF" w:rsidRPr="008C164C" w:rsidRDefault="005C25FF" w:rsidP="00146098">
      <w:pPr>
        <w:pStyle w:val="4-SubsectionHeading"/>
      </w:pPr>
      <w:bookmarkStart w:id="7" w:name="_Toc22897639"/>
      <w:bookmarkStart w:id="8" w:name="_Toc145485254"/>
      <w:r w:rsidRPr="008C164C">
        <w:t>Previous PBAC consideration</w:t>
      </w:r>
      <w:bookmarkEnd w:id="7"/>
      <w:bookmarkEnd w:id="8"/>
    </w:p>
    <w:p w14:paraId="3AC4C76E" w14:textId="411AE315" w:rsidR="005C25FF" w:rsidRPr="008C164C" w:rsidRDefault="00FD1B4A" w:rsidP="00346712">
      <w:pPr>
        <w:pStyle w:val="3-BodyText"/>
        <w:rPr>
          <w:color w:val="000000" w:themeColor="text1"/>
        </w:rPr>
      </w:pPr>
      <w:r w:rsidRPr="008C164C">
        <w:rPr>
          <w:snapToGrid/>
          <w:color w:val="000000" w:themeColor="text1"/>
        </w:rPr>
        <w:fldChar w:fldCharType="begin" w:fldLock="1"/>
      </w:r>
      <w:r w:rsidRPr="008C164C">
        <w:rPr>
          <w:snapToGrid/>
          <w:color w:val="000000" w:themeColor="text1"/>
        </w:rPr>
        <w:instrText xml:space="preserve"> REF _Ref142581727 \h  \* MERGEFORMAT </w:instrText>
      </w:r>
      <w:r w:rsidRPr="008C164C">
        <w:rPr>
          <w:snapToGrid/>
          <w:color w:val="000000" w:themeColor="text1"/>
        </w:rPr>
      </w:r>
      <w:r w:rsidRPr="008C164C">
        <w:rPr>
          <w:snapToGrid/>
          <w:color w:val="000000" w:themeColor="text1"/>
        </w:rPr>
        <w:fldChar w:fldCharType="separate"/>
      </w:r>
      <w:r w:rsidR="00682506" w:rsidRPr="00682506">
        <w:rPr>
          <w:color w:val="000000" w:themeColor="text1"/>
        </w:rPr>
        <w:t>Table 2</w:t>
      </w:r>
      <w:r w:rsidRPr="008C164C">
        <w:rPr>
          <w:snapToGrid/>
          <w:color w:val="000000" w:themeColor="text1"/>
        </w:rPr>
        <w:fldChar w:fldCharType="end"/>
      </w:r>
      <w:r w:rsidRPr="008C164C">
        <w:rPr>
          <w:snapToGrid/>
          <w:color w:val="000000" w:themeColor="text1"/>
        </w:rPr>
        <w:t xml:space="preserve"> presents a summary of key matters of concern from the previous PBAC consideration.</w:t>
      </w:r>
      <w:r w:rsidR="005C25FF" w:rsidRPr="008C164C">
        <w:rPr>
          <w:snapToGrid/>
          <w:color w:val="000000" w:themeColor="text1"/>
        </w:rPr>
        <w:t xml:space="preserve"> </w:t>
      </w:r>
    </w:p>
    <w:p w14:paraId="2A23A49F" w14:textId="5944C337" w:rsidR="005C25FF" w:rsidRPr="008C164C" w:rsidRDefault="00696EF9" w:rsidP="00A759D6">
      <w:pPr>
        <w:pStyle w:val="TableFigureHeading"/>
        <w:rPr>
          <w:rStyle w:val="CommentReference"/>
          <w:b/>
          <w:szCs w:val="24"/>
          <w:highlight w:val="cyan"/>
        </w:rPr>
      </w:pPr>
      <w:bookmarkStart w:id="9" w:name="_Ref142581727"/>
      <w:r w:rsidRPr="008C164C">
        <w:t xml:space="preserve">Table </w:t>
      </w:r>
      <w:r w:rsidR="00B25BFE">
        <w:fldChar w:fldCharType="begin" w:fldLock="1"/>
      </w:r>
      <w:r w:rsidR="00B25BFE">
        <w:instrText xml:space="preserve"> SEQ Table \* ARABIC </w:instrText>
      </w:r>
      <w:r w:rsidR="00B25BFE">
        <w:fldChar w:fldCharType="separate"/>
      </w:r>
      <w:r w:rsidR="00682506">
        <w:rPr>
          <w:noProof/>
        </w:rPr>
        <w:t>2</w:t>
      </w:r>
      <w:r w:rsidR="00B25BFE">
        <w:rPr>
          <w:noProof/>
        </w:rPr>
        <w:fldChar w:fldCharType="end"/>
      </w:r>
      <w:bookmarkEnd w:id="9"/>
      <w:r w:rsidRPr="008C164C">
        <w:t>:</w:t>
      </w:r>
      <w:r w:rsidR="005C25FF" w:rsidRPr="008C164C">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5"/>
        <w:gridCol w:w="4487"/>
      </w:tblGrid>
      <w:tr w:rsidR="00CE08D9" w:rsidRPr="008C164C" w14:paraId="6747F8E1" w14:textId="77777777" w:rsidTr="00593021">
        <w:trPr>
          <w:cantSplit/>
          <w:tblHeader/>
        </w:trPr>
        <w:tc>
          <w:tcPr>
            <w:tcW w:w="674" w:type="pct"/>
            <w:vAlign w:val="center"/>
          </w:tcPr>
          <w:p w14:paraId="346F438D" w14:textId="77777777" w:rsidR="005C25FF" w:rsidRPr="008C164C" w:rsidRDefault="005C25FF" w:rsidP="00A759D6">
            <w:pPr>
              <w:pStyle w:val="In-tableHeading"/>
              <w:jc w:val="center"/>
              <w:rPr>
                <w:color w:val="000000" w:themeColor="text1"/>
                <w:lang w:val="en-AU"/>
              </w:rPr>
            </w:pPr>
            <w:r w:rsidRPr="008C164C">
              <w:rPr>
                <w:color w:val="000000" w:themeColor="text1"/>
                <w:lang w:val="en-AU"/>
              </w:rPr>
              <w:t>Component</w:t>
            </w:r>
          </w:p>
        </w:tc>
        <w:tc>
          <w:tcPr>
            <w:tcW w:w="1838" w:type="pct"/>
            <w:vAlign w:val="center"/>
          </w:tcPr>
          <w:p w14:paraId="2B7F3F42" w14:textId="77777777" w:rsidR="005C25FF" w:rsidRPr="008C164C" w:rsidRDefault="005C25FF" w:rsidP="00A759D6">
            <w:pPr>
              <w:pStyle w:val="In-tableHeading"/>
              <w:jc w:val="center"/>
              <w:rPr>
                <w:color w:val="000000" w:themeColor="text1"/>
                <w:lang w:val="en-AU"/>
              </w:rPr>
            </w:pPr>
            <w:r w:rsidRPr="008C164C">
              <w:rPr>
                <w:color w:val="000000" w:themeColor="text1"/>
                <w:lang w:val="en-AU"/>
              </w:rPr>
              <w:t>Matter of concern</w:t>
            </w:r>
          </w:p>
        </w:tc>
        <w:tc>
          <w:tcPr>
            <w:tcW w:w="2488" w:type="pct"/>
            <w:vAlign w:val="center"/>
          </w:tcPr>
          <w:p w14:paraId="4BAA81F2" w14:textId="77777777" w:rsidR="005C25FF" w:rsidRPr="008C164C" w:rsidRDefault="005C25FF" w:rsidP="00A759D6">
            <w:pPr>
              <w:pStyle w:val="In-tableHeading"/>
              <w:jc w:val="center"/>
              <w:rPr>
                <w:color w:val="000000" w:themeColor="text1"/>
                <w:lang w:val="en-AU"/>
              </w:rPr>
            </w:pPr>
            <w:r w:rsidRPr="008C164C">
              <w:rPr>
                <w:color w:val="000000" w:themeColor="text1"/>
                <w:lang w:val="en-AU"/>
              </w:rPr>
              <w:t>How the resubmission addresses it</w:t>
            </w:r>
          </w:p>
        </w:tc>
      </w:tr>
      <w:tr w:rsidR="00CE08D9" w:rsidRPr="008C164C" w14:paraId="12E6A50B" w14:textId="77777777" w:rsidTr="00593021">
        <w:trPr>
          <w:cantSplit/>
          <w:trHeight w:val="554"/>
        </w:trPr>
        <w:tc>
          <w:tcPr>
            <w:tcW w:w="674" w:type="pct"/>
            <w:vAlign w:val="center"/>
          </w:tcPr>
          <w:p w14:paraId="4F23B305" w14:textId="596B6A83" w:rsidR="005C25FF" w:rsidRPr="008C164C" w:rsidRDefault="00EB77DB" w:rsidP="00A759D6">
            <w:pPr>
              <w:pStyle w:val="TableText0"/>
              <w:jc w:val="both"/>
              <w:rPr>
                <w:color w:val="000000" w:themeColor="text1"/>
              </w:rPr>
            </w:pPr>
            <w:r w:rsidRPr="008C164C">
              <w:rPr>
                <w:color w:val="000000" w:themeColor="text1"/>
              </w:rPr>
              <w:t>Requested Restriction</w:t>
            </w:r>
          </w:p>
        </w:tc>
        <w:tc>
          <w:tcPr>
            <w:tcW w:w="1838" w:type="pct"/>
          </w:tcPr>
          <w:p w14:paraId="27979425" w14:textId="4C210626" w:rsidR="00A85F6C" w:rsidRPr="008C164C" w:rsidRDefault="004E5176" w:rsidP="00A759D6">
            <w:pPr>
              <w:pStyle w:val="TableText0"/>
              <w:rPr>
                <w:color w:val="000000" w:themeColor="text1"/>
              </w:rPr>
            </w:pPr>
            <w:r w:rsidRPr="008C164C">
              <w:rPr>
                <w:color w:val="000000" w:themeColor="text1"/>
              </w:rPr>
              <w:t xml:space="preserve">A </w:t>
            </w:r>
            <w:r w:rsidR="00EB77DB" w:rsidRPr="008C164C">
              <w:rPr>
                <w:color w:val="000000" w:themeColor="text1"/>
              </w:rPr>
              <w:t xml:space="preserve">simpler restriction, similar to maraviroc’s restriction, would be more </w:t>
            </w:r>
            <w:r w:rsidR="007C0D1E" w:rsidRPr="008C164C">
              <w:rPr>
                <w:color w:val="000000" w:themeColor="text1"/>
              </w:rPr>
              <w:t xml:space="preserve">practical </w:t>
            </w:r>
            <w:r w:rsidR="00EB77DB" w:rsidRPr="008C164C">
              <w:rPr>
                <w:color w:val="000000" w:themeColor="text1"/>
              </w:rPr>
              <w:t>(paragraph 7.3, LEN PSD, Nov 2022)</w:t>
            </w:r>
            <w:r w:rsidR="001F66C8" w:rsidRPr="008C164C">
              <w:rPr>
                <w:color w:val="000000" w:themeColor="text1"/>
              </w:rPr>
              <w:t>.</w:t>
            </w:r>
          </w:p>
        </w:tc>
        <w:tc>
          <w:tcPr>
            <w:tcW w:w="2488" w:type="pct"/>
          </w:tcPr>
          <w:p w14:paraId="7D1B144C" w14:textId="067D6EA0" w:rsidR="005C25FF" w:rsidRPr="008C164C" w:rsidRDefault="007C0D1E" w:rsidP="00A759D6">
            <w:pPr>
              <w:pStyle w:val="TableText0"/>
              <w:rPr>
                <w:color w:val="000000" w:themeColor="text1"/>
              </w:rPr>
            </w:pPr>
            <w:r w:rsidRPr="008C164C">
              <w:rPr>
                <w:color w:val="000000" w:themeColor="text1"/>
              </w:rPr>
              <w:t>Not addressed</w:t>
            </w:r>
            <w:r w:rsidR="00862437" w:rsidRPr="008C164C">
              <w:rPr>
                <w:color w:val="000000" w:themeColor="text1"/>
              </w:rPr>
              <w:t>.</w:t>
            </w:r>
          </w:p>
        </w:tc>
      </w:tr>
      <w:tr w:rsidR="00CE08D9" w:rsidRPr="008C164C" w14:paraId="7F544ADE" w14:textId="77777777" w:rsidTr="00593021">
        <w:trPr>
          <w:cantSplit/>
          <w:trHeight w:val="2270"/>
        </w:trPr>
        <w:tc>
          <w:tcPr>
            <w:tcW w:w="674" w:type="pct"/>
            <w:vMerge w:val="restart"/>
            <w:vAlign w:val="center"/>
          </w:tcPr>
          <w:p w14:paraId="698AA39F" w14:textId="77777777" w:rsidR="00EC0783" w:rsidRPr="008C164C" w:rsidRDefault="00EC0783" w:rsidP="00A759D6">
            <w:pPr>
              <w:pStyle w:val="TableText0"/>
              <w:jc w:val="both"/>
              <w:rPr>
                <w:color w:val="000000" w:themeColor="text1"/>
              </w:rPr>
            </w:pPr>
            <w:r w:rsidRPr="008C164C">
              <w:rPr>
                <w:color w:val="000000" w:themeColor="text1"/>
              </w:rPr>
              <w:t>Clinical effectiveness</w:t>
            </w:r>
          </w:p>
        </w:tc>
        <w:tc>
          <w:tcPr>
            <w:tcW w:w="1838" w:type="pct"/>
          </w:tcPr>
          <w:p w14:paraId="0D6DBA8C" w14:textId="77777777" w:rsidR="00EC0783" w:rsidRPr="008C164C" w:rsidRDefault="00EC0783" w:rsidP="00A759D6">
            <w:pPr>
              <w:pStyle w:val="TableText0"/>
              <w:rPr>
                <w:color w:val="000000" w:themeColor="text1"/>
              </w:rPr>
            </w:pPr>
            <w:r w:rsidRPr="008C164C">
              <w:rPr>
                <w:color w:val="000000" w:themeColor="text1"/>
              </w:rPr>
              <w:t>The composition of the OBR comparator for the indirect treatment comparison (ITC) should be reflective of contemporary Australian clinical practice (paragraph 7.4, LEN PSD Nov 2022)</w:t>
            </w:r>
            <w:r w:rsidR="001F66C8" w:rsidRPr="008C164C">
              <w:rPr>
                <w:color w:val="000000" w:themeColor="text1"/>
              </w:rPr>
              <w:t>.</w:t>
            </w:r>
          </w:p>
          <w:p w14:paraId="4880A1FA" w14:textId="77777777" w:rsidR="00A85F6C" w:rsidRPr="008C164C" w:rsidRDefault="00A85F6C" w:rsidP="00A759D6">
            <w:pPr>
              <w:keepNext/>
            </w:pPr>
          </w:p>
          <w:p w14:paraId="30124D0C" w14:textId="77777777" w:rsidR="00A85F6C" w:rsidRPr="008C164C" w:rsidRDefault="00A85F6C" w:rsidP="00A759D6">
            <w:pPr>
              <w:keepNext/>
            </w:pPr>
          </w:p>
          <w:p w14:paraId="4DC1360A" w14:textId="77777777" w:rsidR="00A85F6C" w:rsidRPr="008C164C" w:rsidRDefault="00A85F6C" w:rsidP="00A759D6">
            <w:pPr>
              <w:keepNext/>
            </w:pPr>
          </w:p>
          <w:p w14:paraId="06B3F191" w14:textId="49228E7D" w:rsidR="00A85F6C" w:rsidRPr="008C164C" w:rsidRDefault="00A85F6C" w:rsidP="00A759D6">
            <w:pPr>
              <w:keepNext/>
            </w:pPr>
          </w:p>
        </w:tc>
        <w:tc>
          <w:tcPr>
            <w:tcW w:w="2488" w:type="pct"/>
          </w:tcPr>
          <w:p w14:paraId="4047033E" w14:textId="649E7C97" w:rsidR="00EC0783" w:rsidRPr="008C164C" w:rsidRDefault="00EC0783" w:rsidP="00A759D6">
            <w:pPr>
              <w:pStyle w:val="TableText0"/>
              <w:rPr>
                <w:rFonts w:eastAsia="Times New Roman" w:cs="Arial"/>
                <w:bCs w:val="0"/>
                <w:snapToGrid w:val="0"/>
                <w:color w:val="000000" w:themeColor="text1"/>
                <w:szCs w:val="20"/>
              </w:rPr>
            </w:pPr>
            <w:r w:rsidRPr="008C164C">
              <w:rPr>
                <w:rFonts w:eastAsia="Times New Roman" w:cs="Arial"/>
                <w:bCs w:val="0"/>
                <w:snapToGrid w:val="0"/>
                <w:color w:val="000000" w:themeColor="text1"/>
                <w:szCs w:val="20"/>
              </w:rPr>
              <w:t xml:space="preserve">The resubmission claimed that the composition of contemporary OBR in Australia was validated through the Australian survey (Attachment 1 to the resubmission) and that a revised ITC presented in the resubmission included the most recent trials investigating an intervention in combination with contemporary OBR for the treatment of </w:t>
            </w:r>
            <w:proofErr w:type="spellStart"/>
            <w:r w:rsidRPr="008C164C">
              <w:rPr>
                <w:rFonts w:eastAsia="Times New Roman" w:cs="Arial"/>
                <w:bCs w:val="0"/>
                <w:snapToGrid w:val="0"/>
                <w:color w:val="000000" w:themeColor="text1"/>
                <w:szCs w:val="20"/>
              </w:rPr>
              <w:t>hMDR</w:t>
            </w:r>
            <w:proofErr w:type="spellEnd"/>
            <w:r w:rsidRPr="008C164C">
              <w:rPr>
                <w:rFonts w:eastAsia="Times New Roman" w:cs="Arial"/>
                <w:bCs w:val="0"/>
                <w:snapToGrid w:val="0"/>
                <w:color w:val="000000" w:themeColor="text1"/>
                <w:szCs w:val="20"/>
              </w:rPr>
              <w:t xml:space="preserve"> HIV. There were substantial differences between the meta-analysed OBR effect estimates and those given by clinical experts, suggesting the estimate may not reflect OBR composition or effect </w:t>
            </w:r>
            <w:r w:rsidR="0095582D" w:rsidRPr="008C164C">
              <w:rPr>
                <w:rFonts w:eastAsia="Times New Roman" w:cs="Arial"/>
                <w:bCs w:val="0"/>
                <w:snapToGrid w:val="0"/>
                <w:color w:val="000000" w:themeColor="text1"/>
                <w:szCs w:val="20"/>
              </w:rPr>
              <w:t>i</w:t>
            </w:r>
            <w:r w:rsidRPr="008C164C">
              <w:rPr>
                <w:rFonts w:eastAsia="Times New Roman" w:cs="Arial"/>
                <w:bCs w:val="0"/>
                <w:snapToGrid w:val="0"/>
                <w:color w:val="000000" w:themeColor="text1"/>
                <w:szCs w:val="20"/>
              </w:rPr>
              <w:t>n Australia.</w:t>
            </w:r>
          </w:p>
        </w:tc>
      </w:tr>
      <w:tr w:rsidR="00CE08D9" w:rsidRPr="008C164C" w14:paraId="2EB9077B" w14:textId="77777777" w:rsidTr="00593021">
        <w:trPr>
          <w:cantSplit/>
        </w:trPr>
        <w:tc>
          <w:tcPr>
            <w:tcW w:w="674" w:type="pct"/>
            <w:vMerge/>
            <w:vAlign w:val="center"/>
          </w:tcPr>
          <w:p w14:paraId="7BF197F9" w14:textId="77777777" w:rsidR="00EC0783" w:rsidRPr="008C164C" w:rsidRDefault="00EC0783" w:rsidP="00E070A2">
            <w:pPr>
              <w:pStyle w:val="TableText0"/>
              <w:keepNext w:val="0"/>
              <w:jc w:val="both"/>
              <w:rPr>
                <w:color w:val="000000" w:themeColor="text1"/>
                <w:highlight w:val="cyan"/>
              </w:rPr>
            </w:pPr>
          </w:p>
        </w:tc>
        <w:tc>
          <w:tcPr>
            <w:tcW w:w="1838" w:type="pct"/>
          </w:tcPr>
          <w:p w14:paraId="7E602A4F" w14:textId="77E7E06A" w:rsidR="00EC0783" w:rsidRPr="008C164C" w:rsidRDefault="00EC0783" w:rsidP="007A6142">
            <w:pPr>
              <w:pStyle w:val="TableText0"/>
              <w:keepNext w:val="0"/>
              <w:rPr>
                <w:color w:val="000000" w:themeColor="text1"/>
              </w:rPr>
            </w:pPr>
            <w:r w:rsidRPr="008C164C">
              <w:rPr>
                <w:color w:val="000000" w:themeColor="text1"/>
              </w:rPr>
              <w:t>Other treatments not PBS listed were inappropriately included in the intervention arm (LEN + OBR) of the ITC (paragraph 7.4, LEN PSD Nov 2022)</w:t>
            </w:r>
            <w:r w:rsidR="001F66C8" w:rsidRPr="008C164C">
              <w:rPr>
                <w:color w:val="000000" w:themeColor="text1"/>
              </w:rPr>
              <w:t>.</w:t>
            </w:r>
          </w:p>
        </w:tc>
        <w:tc>
          <w:tcPr>
            <w:tcW w:w="2488" w:type="pct"/>
          </w:tcPr>
          <w:p w14:paraId="4A440678" w14:textId="79E41A3D" w:rsidR="00EC0783" w:rsidRPr="008C164C" w:rsidRDefault="00EC0783" w:rsidP="007A6142">
            <w:pPr>
              <w:pStyle w:val="KMC16-Tablecontent"/>
              <w:rPr>
                <w:bCs/>
                <w:snapToGrid w:val="0"/>
                <w:color w:val="000000" w:themeColor="text1"/>
                <w:szCs w:val="20"/>
                <w:lang w:val="en-AU"/>
              </w:rPr>
            </w:pPr>
            <w:r w:rsidRPr="008C164C">
              <w:rPr>
                <w:color w:val="000000" w:themeColor="text1"/>
                <w:lang w:val="en-AU"/>
              </w:rPr>
              <w:t xml:space="preserve">Not adequately addressed. The resubmission included two additional trials into the OBR comparator arm of the ITC that </w:t>
            </w:r>
            <w:r w:rsidR="00051CC4" w:rsidRPr="008C164C">
              <w:rPr>
                <w:color w:val="000000" w:themeColor="text1"/>
                <w:lang w:val="en-AU"/>
              </w:rPr>
              <w:t>include newer</w:t>
            </w:r>
            <w:r w:rsidRPr="008C164C">
              <w:rPr>
                <w:color w:val="000000" w:themeColor="text1"/>
                <w:lang w:val="en-AU"/>
              </w:rPr>
              <w:t xml:space="preserve"> agents (FTR, IBA, INSTI) in each treatment arm of the ITC (i.e., LEN + OBR and OBR). The resubmission argued that this offset any potential bias observed due to the inclusion of these ARV agents. Th</w:t>
            </w:r>
            <w:r w:rsidR="000F7262" w:rsidRPr="008C164C">
              <w:rPr>
                <w:color w:val="000000" w:themeColor="text1"/>
                <w:lang w:val="en-AU"/>
              </w:rPr>
              <w:t>e evaluation considered this</w:t>
            </w:r>
            <w:r w:rsidRPr="008C164C">
              <w:rPr>
                <w:color w:val="000000" w:themeColor="text1"/>
                <w:lang w:val="en-AU"/>
              </w:rPr>
              <w:t xml:space="preserve"> </w:t>
            </w:r>
            <w:r w:rsidR="000F7262" w:rsidRPr="008C164C">
              <w:rPr>
                <w:color w:val="000000" w:themeColor="text1"/>
                <w:lang w:val="en-AU"/>
              </w:rPr>
              <w:t>was unlikely to</w:t>
            </w:r>
            <w:r w:rsidRPr="008C164C">
              <w:rPr>
                <w:color w:val="000000" w:themeColor="text1"/>
                <w:lang w:val="en-AU"/>
              </w:rPr>
              <w:t xml:space="preserve"> adequately offset potential bias, as the weighting in the resubmission composition analysis and the meta-analysis that was used to inform effect, were inconsistent. Additionally, adding </w:t>
            </w:r>
            <w:r w:rsidR="00051CC4" w:rsidRPr="008C164C">
              <w:rPr>
                <w:color w:val="000000" w:themeColor="text1"/>
                <w:lang w:val="en-AU"/>
              </w:rPr>
              <w:t>non-PBS</w:t>
            </w:r>
            <w:r w:rsidRPr="008C164C">
              <w:rPr>
                <w:color w:val="000000" w:themeColor="text1"/>
                <w:lang w:val="en-AU"/>
              </w:rPr>
              <w:t xml:space="preserve"> listed agents to the meta-analysis means the results are less applicable to the Australian setting. </w:t>
            </w:r>
          </w:p>
        </w:tc>
      </w:tr>
      <w:tr w:rsidR="00CE08D9" w:rsidRPr="008C164C" w14:paraId="3115F455" w14:textId="77777777" w:rsidTr="00593021">
        <w:trPr>
          <w:cantSplit/>
        </w:trPr>
        <w:tc>
          <w:tcPr>
            <w:tcW w:w="674" w:type="pct"/>
            <w:vMerge/>
            <w:vAlign w:val="center"/>
          </w:tcPr>
          <w:p w14:paraId="4EAA64B4" w14:textId="77777777" w:rsidR="00EC0783" w:rsidRPr="008C164C" w:rsidRDefault="00EC0783" w:rsidP="00873A26">
            <w:pPr>
              <w:pStyle w:val="TableText0"/>
              <w:keepNext w:val="0"/>
              <w:rPr>
                <w:color w:val="000000" w:themeColor="text1"/>
                <w:highlight w:val="cyan"/>
              </w:rPr>
            </w:pPr>
          </w:p>
        </w:tc>
        <w:tc>
          <w:tcPr>
            <w:tcW w:w="1838" w:type="pct"/>
          </w:tcPr>
          <w:p w14:paraId="79E62548" w14:textId="3D077CB0" w:rsidR="00EC0783" w:rsidRPr="008C164C" w:rsidRDefault="00EC0783" w:rsidP="007A6142">
            <w:pPr>
              <w:pStyle w:val="TableText0"/>
              <w:keepNext w:val="0"/>
              <w:rPr>
                <w:color w:val="000000" w:themeColor="text1"/>
              </w:rPr>
            </w:pPr>
            <w:r w:rsidRPr="008C164C">
              <w:rPr>
                <w:color w:val="000000" w:themeColor="text1"/>
              </w:rPr>
              <w:t xml:space="preserve">The ESC </w:t>
            </w:r>
            <w:r w:rsidR="00862437" w:rsidRPr="008C164C">
              <w:rPr>
                <w:color w:val="000000" w:themeColor="text1"/>
              </w:rPr>
              <w:t xml:space="preserve">previously </w:t>
            </w:r>
            <w:r w:rsidRPr="008C164C">
              <w:rPr>
                <w:color w:val="000000" w:themeColor="text1"/>
              </w:rPr>
              <w:t xml:space="preserve">considered it was </w:t>
            </w:r>
            <w:r w:rsidR="000F7262" w:rsidRPr="008C164C">
              <w:rPr>
                <w:color w:val="000000" w:themeColor="text1"/>
              </w:rPr>
              <w:t>‘</w:t>
            </w:r>
            <w:r w:rsidRPr="008C164C">
              <w:rPr>
                <w:color w:val="000000" w:themeColor="text1"/>
              </w:rPr>
              <w:t>more reasonable and reliable to utilise the maximum amount of available data in the economic evaluation; i.e. all Cohort 1 &amp; 2 data</w:t>
            </w:r>
            <w:r w:rsidR="000F7262" w:rsidRPr="008C164C">
              <w:rPr>
                <w:color w:val="000000" w:themeColor="text1"/>
              </w:rPr>
              <w:t>’</w:t>
            </w:r>
            <w:r w:rsidRPr="008C164C">
              <w:rPr>
                <w:color w:val="000000" w:themeColor="text1"/>
              </w:rPr>
              <w:t xml:space="preserve"> (paragraph 6.44 LEN PSD Nov 2022)</w:t>
            </w:r>
            <w:r w:rsidR="001F66C8" w:rsidRPr="008C164C">
              <w:rPr>
                <w:color w:val="000000" w:themeColor="text1"/>
              </w:rPr>
              <w:t>.</w:t>
            </w:r>
          </w:p>
        </w:tc>
        <w:tc>
          <w:tcPr>
            <w:tcW w:w="2488" w:type="pct"/>
          </w:tcPr>
          <w:p w14:paraId="0D3122EF" w14:textId="72A9A833" w:rsidR="00EC0783" w:rsidRPr="008C164C" w:rsidRDefault="00EC0783" w:rsidP="007A6142">
            <w:pPr>
              <w:pStyle w:val="KMC16-Tablecontent"/>
              <w:rPr>
                <w:color w:val="000000" w:themeColor="text1"/>
                <w:lang w:val="en-AU"/>
              </w:rPr>
            </w:pPr>
            <w:r w:rsidRPr="008C164C">
              <w:rPr>
                <w:color w:val="000000" w:themeColor="text1"/>
                <w:lang w:val="en-AU"/>
              </w:rPr>
              <w:t xml:space="preserve">Addressed. The ITC presented in this resubmission is based on combined Cohorts 1 and 2 of LEN + OBR from CAPELLA. This </w:t>
            </w:r>
            <w:r w:rsidR="00862437" w:rsidRPr="008C164C">
              <w:rPr>
                <w:color w:val="000000" w:themeColor="text1"/>
                <w:lang w:val="en-AU"/>
              </w:rPr>
              <w:t xml:space="preserve">evaluation considered that this </w:t>
            </w:r>
            <w:r w:rsidRPr="008C164C">
              <w:rPr>
                <w:color w:val="000000" w:themeColor="text1"/>
                <w:lang w:val="en-AU"/>
              </w:rPr>
              <w:t xml:space="preserve">was reasonable. </w:t>
            </w:r>
          </w:p>
        </w:tc>
      </w:tr>
      <w:tr w:rsidR="00CE08D9" w:rsidRPr="008C164C" w14:paraId="44771D0C" w14:textId="77777777" w:rsidTr="00593021">
        <w:trPr>
          <w:cantSplit/>
        </w:trPr>
        <w:tc>
          <w:tcPr>
            <w:tcW w:w="674" w:type="pct"/>
            <w:vMerge/>
            <w:vAlign w:val="center"/>
          </w:tcPr>
          <w:p w14:paraId="324B1BA0" w14:textId="226E6224" w:rsidR="00EC0783" w:rsidRPr="008C164C" w:rsidRDefault="00EC0783" w:rsidP="00873A26">
            <w:pPr>
              <w:pStyle w:val="TableText0"/>
              <w:keepNext w:val="0"/>
              <w:rPr>
                <w:color w:val="000000" w:themeColor="text1"/>
                <w:highlight w:val="cyan"/>
              </w:rPr>
            </w:pPr>
          </w:p>
        </w:tc>
        <w:tc>
          <w:tcPr>
            <w:tcW w:w="1838" w:type="pct"/>
          </w:tcPr>
          <w:p w14:paraId="066F8C31" w14:textId="19F850B9" w:rsidR="00EC0783" w:rsidRPr="008C164C" w:rsidRDefault="00EC0783" w:rsidP="007A6142">
            <w:pPr>
              <w:pStyle w:val="TableText0"/>
              <w:keepNext w:val="0"/>
              <w:rPr>
                <w:color w:val="000000" w:themeColor="text1"/>
              </w:rPr>
            </w:pPr>
            <w:r w:rsidRPr="008C164C">
              <w:rPr>
                <w:color w:val="000000" w:themeColor="text1"/>
              </w:rPr>
              <w:t>The randomised period was of uncertain applicability to the proposed population because the comparator during that time was a known failing regimen, rather than OBR (paragraph 7.5, LEN PSD, Nov 2022)</w:t>
            </w:r>
            <w:r w:rsidR="001F66C8" w:rsidRPr="008C164C">
              <w:rPr>
                <w:color w:val="000000" w:themeColor="text1"/>
              </w:rPr>
              <w:t>.</w:t>
            </w:r>
          </w:p>
        </w:tc>
        <w:tc>
          <w:tcPr>
            <w:tcW w:w="2488" w:type="pct"/>
          </w:tcPr>
          <w:p w14:paraId="0061D6B9" w14:textId="76A7F362" w:rsidR="00EC0783" w:rsidRPr="008C164C" w:rsidRDefault="00EC0783" w:rsidP="007A6142">
            <w:pPr>
              <w:pStyle w:val="KMC16-Tablecontent"/>
              <w:rPr>
                <w:color w:val="000000" w:themeColor="text1"/>
                <w:lang w:val="en-AU"/>
              </w:rPr>
            </w:pPr>
            <w:r w:rsidRPr="008C164C">
              <w:rPr>
                <w:color w:val="000000" w:themeColor="text1"/>
                <w:lang w:val="en-AU"/>
              </w:rPr>
              <w:t>Not addressed</w:t>
            </w:r>
            <w:r w:rsidR="000F7262" w:rsidRPr="008C164C">
              <w:rPr>
                <w:color w:val="000000" w:themeColor="text1"/>
                <w:lang w:val="en-AU"/>
              </w:rPr>
              <w:t>.</w:t>
            </w:r>
          </w:p>
        </w:tc>
      </w:tr>
      <w:tr w:rsidR="00CE08D9" w:rsidRPr="008C164C" w14:paraId="0BA0DE93" w14:textId="77777777" w:rsidTr="00593021">
        <w:trPr>
          <w:cantSplit/>
        </w:trPr>
        <w:tc>
          <w:tcPr>
            <w:tcW w:w="674" w:type="pct"/>
            <w:vMerge/>
            <w:vAlign w:val="center"/>
          </w:tcPr>
          <w:p w14:paraId="28A224C9" w14:textId="77777777" w:rsidR="00EC0783" w:rsidRPr="008C164C" w:rsidRDefault="00EC0783" w:rsidP="00873A26">
            <w:pPr>
              <w:pStyle w:val="TableText0"/>
              <w:keepNext w:val="0"/>
              <w:rPr>
                <w:color w:val="000000" w:themeColor="text1"/>
                <w:highlight w:val="cyan"/>
              </w:rPr>
            </w:pPr>
          </w:p>
        </w:tc>
        <w:tc>
          <w:tcPr>
            <w:tcW w:w="1838" w:type="pct"/>
          </w:tcPr>
          <w:p w14:paraId="6F6A098F" w14:textId="0077C565" w:rsidR="00EC0783" w:rsidRPr="008C164C" w:rsidRDefault="00EC0783" w:rsidP="007A6142">
            <w:pPr>
              <w:pStyle w:val="TableText0"/>
              <w:keepNext w:val="0"/>
              <w:rPr>
                <w:color w:val="000000" w:themeColor="text1"/>
              </w:rPr>
            </w:pPr>
            <w:r w:rsidRPr="008C164C">
              <w:rPr>
                <w:color w:val="000000" w:themeColor="text1"/>
              </w:rPr>
              <w:t>Transitivity issues including the small patient numbers in CAPELLA, the lack of a common comparator, and differences in the trial populations regimen or agents used (paragraph 7.6, LEN PSD, Nov 2022)</w:t>
            </w:r>
            <w:r w:rsidR="001F66C8" w:rsidRPr="008C164C">
              <w:rPr>
                <w:color w:val="000000" w:themeColor="text1"/>
              </w:rPr>
              <w:t>.</w:t>
            </w:r>
          </w:p>
        </w:tc>
        <w:tc>
          <w:tcPr>
            <w:tcW w:w="2488" w:type="pct"/>
          </w:tcPr>
          <w:p w14:paraId="51FDAB49" w14:textId="63473E5B" w:rsidR="00EC0783" w:rsidRPr="008C164C" w:rsidRDefault="00EC0783" w:rsidP="007A6142">
            <w:pPr>
              <w:pStyle w:val="KMC16-Tablecontent"/>
              <w:rPr>
                <w:color w:val="000000" w:themeColor="text1"/>
                <w:lang w:val="en-AU"/>
              </w:rPr>
            </w:pPr>
            <w:r w:rsidRPr="008C164C">
              <w:rPr>
                <w:color w:val="000000" w:themeColor="text1"/>
                <w:lang w:val="en-AU"/>
              </w:rPr>
              <w:t xml:space="preserve">Partially addressed. The resubmission attempted to balance ARVs used in OBR. However, </w:t>
            </w:r>
            <w:r w:rsidR="000F7262" w:rsidRPr="008C164C">
              <w:rPr>
                <w:color w:val="000000" w:themeColor="text1"/>
                <w:lang w:val="en-AU"/>
              </w:rPr>
              <w:t xml:space="preserve">the </w:t>
            </w:r>
            <w:r w:rsidRPr="008C164C">
              <w:rPr>
                <w:color w:val="000000" w:themeColor="text1"/>
                <w:lang w:val="en-AU"/>
              </w:rPr>
              <w:t xml:space="preserve">ITC remains unanchored with no common comparator and patient numbers (n=72) </w:t>
            </w:r>
            <w:r w:rsidR="000F7262" w:rsidRPr="008C164C">
              <w:rPr>
                <w:color w:val="000000" w:themeColor="text1"/>
                <w:lang w:val="en-AU"/>
              </w:rPr>
              <w:t xml:space="preserve">from the </w:t>
            </w:r>
            <w:r w:rsidRPr="008C164C">
              <w:rPr>
                <w:color w:val="000000" w:themeColor="text1"/>
                <w:lang w:val="en-AU"/>
              </w:rPr>
              <w:t xml:space="preserve">CAPELLA </w:t>
            </w:r>
            <w:r w:rsidR="000F7262" w:rsidRPr="008C164C">
              <w:rPr>
                <w:color w:val="000000" w:themeColor="text1"/>
                <w:lang w:val="en-AU"/>
              </w:rPr>
              <w:t xml:space="preserve">trial </w:t>
            </w:r>
            <w:r w:rsidRPr="008C164C">
              <w:rPr>
                <w:color w:val="000000" w:themeColor="text1"/>
                <w:lang w:val="en-AU"/>
              </w:rPr>
              <w:t xml:space="preserve">remain low. </w:t>
            </w:r>
          </w:p>
        </w:tc>
      </w:tr>
      <w:tr w:rsidR="00CE08D9" w:rsidRPr="008C164C" w14:paraId="00750EC6" w14:textId="77777777" w:rsidTr="00593021">
        <w:trPr>
          <w:cantSplit/>
        </w:trPr>
        <w:tc>
          <w:tcPr>
            <w:tcW w:w="674" w:type="pct"/>
            <w:vAlign w:val="center"/>
          </w:tcPr>
          <w:p w14:paraId="4E21D1D0" w14:textId="4CA201A0" w:rsidR="00EB77DB" w:rsidRPr="008C164C" w:rsidRDefault="00EB77DB" w:rsidP="00873A26">
            <w:pPr>
              <w:pStyle w:val="TableText0"/>
              <w:keepNext w:val="0"/>
              <w:rPr>
                <w:color w:val="000000" w:themeColor="text1"/>
              </w:rPr>
            </w:pPr>
            <w:r w:rsidRPr="008C164C">
              <w:rPr>
                <w:color w:val="000000" w:themeColor="text1"/>
              </w:rPr>
              <w:lastRenderedPageBreak/>
              <w:t>Safety</w:t>
            </w:r>
          </w:p>
        </w:tc>
        <w:tc>
          <w:tcPr>
            <w:tcW w:w="1838" w:type="pct"/>
          </w:tcPr>
          <w:p w14:paraId="027B0177" w14:textId="68C31260" w:rsidR="00EB77DB" w:rsidRPr="008C164C" w:rsidRDefault="00E51776" w:rsidP="007A6142">
            <w:pPr>
              <w:pStyle w:val="TableText0"/>
              <w:keepNext w:val="0"/>
              <w:rPr>
                <w:color w:val="000000" w:themeColor="text1"/>
              </w:rPr>
            </w:pPr>
            <w:r w:rsidRPr="008C164C">
              <w:rPr>
                <w:color w:val="000000" w:themeColor="text1"/>
              </w:rPr>
              <w:t>T</w:t>
            </w:r>
            <w:r w:rsidR="00EB77DB" w:rsidRPr="008C164C">
              <w:rPr>
                <w:color w:val="000000" w:themeColor="text1"/>
              </w:rPr>
              <w:t>he safety claim remained somewhat uncertain due to the small sample size of CAPELLA and the absence of long-term safety data</w:t>
            </w:r>
            <w:r w:rsidR="00714987" w:rsidRPr="008C164C">
              <w:rPr>
                <w:color w:val="000000" w:themeColor="text1"/>
              </w:rPr>
              <w:t xml:space="preserve"> (paragraph 7.7, LEN PSD, Nov 2022)</w:t>
            </w:r>
            <w:r w:rsidR="001F66C8" w:rsidRPr="008C164C">
              <w:rPr>
                <w:color w:val="000000" w:themeColor="text1"/>
              </w:rPr>
              <w:t>.</w:t>
            </w:r>
          </w:p>
        </w:tc>
        <w:tc>
          <w:tcPr>
            <w:tcW w:w="2488" w:type="pct"/>
          </w:tcPr>
          <w:p w14:paraId="43F3F118" w14:textId="651A744F" w:rsidR="00EB77DB" w:rsidRPr="008C164C" w:rsidRDefault="00E51776" w:rsidP="007A6142">
            <w:pPr>
              <w:pStyle w:val="KMC16-Tablecontent"/>
              <w:rPr>
                <w:color w:val="000000" w:themeColor="text1"/>
                <w:lang w:val="en-AU"/>
              </w:rPr>
            </w:pPr>
            <w:r w:rsidRPr="008C164C">
              <w:rPr>
                <w:color w:val="000000" w:themeColor="text1"/>
                <w:lang w:val="en-AU"/>
              </w:rPr>
              <w:t xml:space="preserve">Addressed. The resubmission provided longer (104 </w:t>
            </w:r>
            <w:r w:rsidR="00051CC4" w:rsidRPr="008C164C">
              <w:rPr>
                <w:color w:val="000000" w:themeColor="text1"/>
                <w:lang w:val="en-AU"/>
              </w:rPr>
              <w:t>week) follow</w:t>
            </w:r>
            <w:r w:rsidRPr="008C164C">
              <w:rPr>
                <w:color w:val="000000" w:themeColor="text1"/>
                <w:lang w:val="en-AU"/>
              </w:rPr>
              <w:t xml:space="preserve">-up safety data, which did not indicate </w:t>
            </w:r>
            <w:r w:rsidR="00623342" w:rsidRPr="008C164C">
              <w:rPr>
                <w:color w:val="000000" w:themeColor="text1"/>
                <w:lang w:val="en-AU"/>
              </w:rPr>
              <w:t xml:space="preserve">any </w:t>
            </w:r>
            <w:r w:rsidRPr="008C164C">
              <w:rPr>
                <w:color w:val="000000" w:themeColor="text1"/>
                <w:lang w:val="en-AU"/>
              </w:rPr>
              <w:t xml:space="preserve">new safety signals. </w:t>
            </w:r>
          </w:p>
        </w:tc>
      </w:tr>
      <w:tr w:rsidR="006F011D" w:rsidRPr="008C164C" w14:paraId="06CF3718" w14:textId="77777777" w:rsidTr="00593021">
        <w:trPr>
          <w:cantSplit/>
        </w:trPr>
        <w:tc>
          <w:tcPr>
            <w:tcW w:w="674" w:type="pct"/>
            <w:vMerge w:val="restart"/>
            <w:vAlign w:val="center"/>
          </w:tcPr>
          <w:p w14:paraId="7F6E20AA" w14:textId="7162563F" w:rsidR="00CE08D9" w:rsidRPr="008C164C" w:rsidRDefault="00CE08D9" w:rsidP="00873A26">
            <w:pPr>
              <w:pStyle w:val="TableText0"/>
              <w:keepNext w:val="0"/>
              <w:rPr>
                <w:color w:val="000000" w:themeColor="text1"/>
              </w:rPr>
            </w:pPr>
            <w:r w:rsidRPr="008C164C">
              <w:rPr>
                <w:color w:val="000000" w:themeColor="text1"/>
              </w:rPr>
              <w:t>Economics</w:t>
            </w:r>
          </w:p>
        </w:tc>
        <w:tc>
          <w:tcPr>
            <w:tcW w:w="1838" w:type="pct"/>
          </w:tcPr>
          <w:p w14:paraId="3EE82799" w14:textId="219D69F8" w:rsidR="00CE08D9" w:rsidRPr="008C164C" w:rsidRDefault="002F09CC" w:rsidP="007A6142">
            <w:pPr>
              <w:pStyle w:val="TableText0"/>
              <w:keepNext w:val="0"/>
              <w:rPr>
                <w:color w:val="000000" w:themeColor="text1"/>
              </w:rPr>
            </w:pPr>
            <w:r w:rsidRPr="008C164C">
              <w:rPr>
                <w:color w:val="000000" w:themeColor="text1"/>
              </w:rPr>
              <w:t>T</w:t>
            </w:r>
            <w:r w:rsidR="00CE08D9" w:rsidRPr="008C164C">
              <w:rPr>
                <w:color w:val="000000" w:themeColor="text1"/>
              </w:rPr>
              <w:t>here was insufficient data in the CAPELLA study (given its small size and limited randomised data) to inform a large 16-health state model with extrapolated benefits over a lifetime (paragraph 7.8, LEN PSD</w:t>
            </w:r>
            <w:r w:rsidR="007A6142" w:rsidRPr="008C164C">
              <w:rPr>
                <w:color w:val="000000" w:themeColor="text1"/>
              </w:rPr>
              <w:t>,</w:t>
            </w:r>
            <w:r w:rsidR="00CE08D9" w:rsidRPr="008C164C">
              <w:rPr>
                <w:color w:val="000000" w:themeColor="text1"/>
              </w:rPr>
              <w:t xml:space="preserve"> Nov 2022).</w:t>
            </w:r>
          </w:p>
        </w:tc>
        <w:tc>
          <w:tcPr>
            <w:tcW w:w="2488" w:type="pct"/>
          </w:tcPr>
          <w:p w14:paraId="6B43FAD0" w14:textId="3F3021C5" w:rsidR="00CE08D9" w:rsidRPr="008C164C" w:rsidRDefault="00CE08D9" w:rsidP="007A6142">
            <w:pPr>
              <w:pStyle w:val="KMC16-Tablecontent"/>
              <w:rPr>
                <w:color w:val="000000" w:themeColor="text1"/>
                <w:lang w:val="en-AU"/>
              </w:rPr>
            </w:pPr>
            <w:r w:rsidRPr="008C164C">
              <w:rPr>
                <w:color w:val="000000" w:themeColor="text1"/>
                <w:lang w:val="en-AU"/>
              </w:rPr>
              <w:t xml:space="preserve">Partially addressed. The resubmission included longer term follow-up from the combined 1&amp;2 cohorts. However, </w:t>
            </w:r>
            <w:r w:rsidR="000F7262" w:rsidRPr="008C164C">
              <w:rPr>
                <w:color w:val="000000" w:themeColor="text1"/>
                <w:lang w:val="en-AU"/>
              </w:rPr>
              <w:t xml:space="preserve">the evaluation considered that </w:t>
            </w:r>
            <w:r w:rsidRPr="008C164C">
              <w:rPr>
                <w:color w:val="000000" w:themeColor="text1"/>
                <w:lang w:val="en-AU"/>
              </w:rPr>
              <w:t>this was still likely insufficient to inform a 16</w:t>
            </w:r>
            <w:r w:rsidR="000F7262" w:rsidRPr="008C164C">
              <w:rPr>
                <w:color w:val="000000" w:themeColor="text1"/>
                <w:lang w:val="en-AU"/>
              </w:rPr>
              <w:t>-</w:t>
            </w:r>
            <w:r w:rsidRPr="008C164C">
              <w:rPr>
                <w:color w:val="000000" w:themeColor="text1"/>
                <w:lang w:val="en-AU"/>
              </w:rPr>
              <w:t xml:space="preserve">health state model. Additionally, relying on </w:t>
            </w:r>
            <w:r w:rsidR="00D02AF2" w:rsidRPr="008C164C">
              <w:rPr>
                <w:color w:val="000000" w:themeColor="text1"/>
                <w:lang w:val="en-AU"/>
              </w:rPr>
              <w:t xml:space="preserve">observed </w:t>
            </w:r>
            <w:r w:rsidRPr="008C164C">
              <w:rPr>
                <w:color w:val="000000" w:themeColor="text1"/>
                <w:lang w:val="en-AU"/>
              </w:rPr>
              <w:t xml:space="preserve">CAPELLA KM data up to week 104 led to illogical model transitions. </w:t>
            </w:r>
          </w:p>
        </w:tc>
      </w:tr>
      <w:tr w:rsidR="006F011D" w:rsidRPr="008C164C" w14:paraId="65B498E6" w14:textId="77777777" w:rsidTr="00593021">
        <w:trPr>
          <w:cantSplit/>
        </w:trPr>
        <w:tc>
          <w:tcPr>
            <w:tcW w:w="674" w:type="pct"/>
            <w:vMerge/>
            <w:vAlign w:val="center"/>
          </w:tcPr>
          <w:p w14:paraId="7F8ABB45" w14:textId="77777777" w:rsidR="00CE08D9" w:rsidRPr="008C164C" w:rsidRDefault="00CE08D9" w:rsidP="00873A26">
            <w:pPr>
              <w:pStyle w:val="TableText0"/>
              <w:keepNext w:val="0"/>
              <w:rPr>
                <w:color w:val="000000" w:themeColor="text1"/>
              </w:rPr>
            </w:pPr>
          </w:p>
        </w:tc>
        <w:tc>
          <w:tcPr>
            <w:tcW w:w="1838" w:type="pct"/>
          </w:tcPr>
          <w:p w14:paraId="083F3184" w14:textId="2EF717A0" w:rsidR="00CE08D9" w:rsidRPr="008C164C" w:rsidRDefault="00CE08D9" w:rsidP="007A6142">
            <w:pPr>
              <w:pStyle w:val="TableText0"/>
              <w:keepNext w:val="0"/>
              <w:rPr>
                <w:color w:val="000000" w:themeColor="text1"/>
              </w:rPr>
            </w:pPr>
            <w:r w:rsidRPr="008C164C">
              <w:rPr>
                <w:color w:val="000000" w:themeColor="text1"/>
              </w:rPr>
              <w:t>The PBAC also considered the incremental cost-effectiveness ratio was unacceptably high at the proposed price</w:t>
            </w:r>
            <w:r w:rsidR="00F23E2B" w:rsidRPr="008C164C">
              <w:rPr>
                <w:color w:val="000000" w:themeColor="text1"/>
              </w:rPr>
              <w:t xml:space="preserve"> (paragraph 7.8, LEN PSD</w:t>
            </w:r>
            <w:r w:rsidR="007A6142" w:rsidRPr="008C164C">
              <w:rPr>
                <w:color w:val="000000" w:themeColor="text1"/>
              </w:rPr>
              <w:t>,</w:t>
            </w:r>
            <w:r w:rsidR="00F23E2B" w:rsidRPr="008C164C">
              <w:rPr>
                <w:color w:val="000000" w:themeColor="text1"/>
              </w:rPr>
              <w:t xml:space="preserve"> Nov 2022)</w:t>
            </w:r>
            <w:r w:rsidRPr="008C164C">
              <w:rPr>
                <w:color w:val="000000" w:themeColor="text1"/>
              </w:rPr>
              <w:t>.</w:t>
            </w:r>
          </w:p>
        </w:tc>
        <w:tc>
          <w:tcPr>
            <w:tcW w:w="2488" w:type="pct"/>
          </w:tcPr>
          <w:p w14:paraId="7B5B5A8F" w14:textId="33A8D24D" w:rsidR="00CE08D9" w:rsidRPr="008C164C" w:rsidRDefault="00CE08D9" w:rsidP="007A6142">
            <w:pPr>
              <w:pStyle w:val="KMC16-Tablecontent"/>
              <w:rPr>
                <w:color w:val="000000" w:themeColor="text1"/>
                <w:lang w:val="en-AU"/>
              </w:rPr>
            </w:pPr>
            <w:r w:rsidRPr="008C164C">
              <w:rPr>
                <w:color w:val="000000" w:themeColor="text1"/>
                <w:lang w:val="en-AU"/>
              </w:rPr>
              <w:t xml:space="preserve">Partially addressed. </w:t>
            </w:r>
            <w:r w:rsidR="000F7262" w:rsidRPr="008C164C">
              <w:rPr>
                <w:color w:val="000000" w:themeColor="text1"/>
                <w:lang w:val="en-AU"/>
              </w:rPr>
              <w:t>A l</w:t>
            </w:r>
            <w:r w:rsidRPr="008C164C">
              <w:rPr>
                <w:color w:val="000000" w:themeColor="text1"/>
                <w:lang w:val="en-AU"/>
              </w:rPr>
              <w:t>ower requested price</w:t>
            </w:r>
            <w:r w:rsidR="005F6F81" w:rsidRPr="008C164C">
              <w:rPr>
                <w:color w:val="000000" w:themeColor="text1"/>
                <w:lang w:val="en-AU"/>
              </w:rPr>
              <w:t xml:space="preserve"> (</w:t>
            </w:r>
            <w:r w:rsidR="00851D33">
              <w:rPr>
                <w:color w:val="000000" w:themeColor="text1"/>
                <w:lang w:val="en-AU"/>
              </w:rPr>
              <w:t xml:space="preserve"> </w:t>
            </w:r>
            <w:r w:rsidR="00851D33" w:rsidRPr="00851D33">
              <w:rPr>
                <w:color w:val="000000" w:themeColor="text1"/>
                <w:spacing w:val="53"/>
                <w:shd w:val="solid" w:color="000000" w:fill="000000"/>
                <w:fitText w:val="330" w:id="-1032080640"/>
                <w:lang w:val="en-AU"/>
                <w14:textFill>
                  <w14:solidFill>
                    <w14:schemeClr w14:val="tx1">
                      <w14:alpha w14:val="100000"/>
                    </w14:schemeClr>
                  </w14:solidFill>
                </w14:textFill>
              </w:rPr>
              <w:t>|||</w:t>
            </w:r>
            <w:r w:rsidR="00851D33" w:rsidRPr="00851D33">
              <w:rPr>
                <w:color w:val="000000" w:themeColor="text1"/>
                <w:spacing w:val="1"/>
                <w:shd w:val="solid" w:color="000000" w:fill="000000"/>
                <w:fitText w:val="330" w:id="-1032080640"/>
                <w:lang w:val="en-AU"/>
                <w14:textFill>
                  <w14:solidFill>
                    <w14:schemeClr w14:val="tx1">
                      <w14:alpha w14:val="100000"/>
                    </w14:schemeClr>
                  </w14:solidFill>
                </w14:textFill>
              </w:rPr>
              <w:t>|</w:t>
            </w:r>
            <w:r w:rsidR="005F6F81" w:rsidRPr="008C164C">
              <w:rPr>
                <w:color w:val="000000" w:themeColor="text1"/>
                <w:lang w:val="en-AU"/>
              </w:rPr>
              <w:t>% reduction)</w:t>
            </w:r>
            <w:r w:rsidR="003216FD" w:rsidRPr="008C164C">
              <w:rPr>
                <w:color w:val="000000" w:themeColor="text1"/>
                <w:lang w:val="en-AU"/>
              </w:rPr>
              <w:t xml:space="preserve"> and base case ICER </w:t>
            </w:r>
            <w:r w:rsidR="00851D33">
              <w:rPr>
                <w:color w:val="000000" w:themeColor="text1"/>
                <w:lang w:val="en-AU"/>
              </w:rPr>
              <w:t xml:space="preserve"> </w:t>
            </w:r>
            <w:r w:rsidR="00851D33" w:rsidRPr="00851D33">
              <w:rPr>
                <w:color w:val="000000" w:themeColor="text1"/>
                <w:spacing w:val="53"/>
                <w:shd w:val="solid" w:color="000000" w:fill="000000"/>
                <w:fitText w:val="330" w:id="-1032080639"/>
                <w:lang w:val="en-AU"/>
                <w14:textFill>
                  <w14:solidFill>
                    <w14:schemeClr w14:val="tx1">
                      <w14:alpha w14:val="100000"/>
                    </w14:schemeClr>
                  </w14:solidFill>
                </w14:textFill>
              </w:rPr>
              <w:t>|||</w:t>
            </w:r>
            <w:r w:rsidR="00851D33" w:rsidRPr="00851D33">
              <w:rPr>
                <w:color w:val="000000" w:themeColor="text1"/>
                <w:spacing w:val="1"/>
                <w:shd w:val="solid" w:color="000000" w:fill="000000"/>
                <w:fitText w:val="330" w:id="-1032080639"/>
                <w:lang w:val="en-AU"/>
                <w14:textFill>
                  <w14:solidFill>
                    <w14:schemeClr w14:val="tx1">
                      <w14:alpha w14:val="100000"/>
                    </w14:schemeClr>
                  </w14:solidFill>
                </w14:textFill>
              </w:rPr>
              <w:t>|</w:t>
            </w:r>
            <w:r w:rsidR="00D66751">
              <w:rPr>
                <w:color w:val="000000" w:themeColor="text1"/>
                <w:vertAlign w:val="superscript"/>
                <w:lang w:val="en-AU"/>
              </w:rPr>
              <w:t>1</w:t>
            </w:r>
            <w:r w:rsidR="003216FD" w:rsidRPr="008C164C">
              <w:rPr>
                <w:color w:val="000000" w:themeColor="text1"/>
                <w:lang w:val="en-AU"/>
              </w:rPr>
              <w:t>/QALY)</w:t>
            </w:r>
            <w:r w:rsidR="000F7262" w:rsidRPr="008C164C">
              <w:rPr>
                <w:color w:val="000000" w:themeColor="text1"/>
                <w:lang w:val="en-AU"/>
              </w:rPr>
              <w:t xml:space="preserve"> was presented in the resubmission</w:t>
            </w:r>
            <w:r w:rsidRPr="008C164C">
              <w:rPr>
                <w:color w:val="000000" w:themeColor="text1"/>
                <w:lang w:val="en-AU"/>
              </w:rPr>
              <w:t xml:space="preserve">. However, the alternative base case, which preserves the previous model’s extrapolation, </w:t>
            </w:r>
            <w:r w:rsidR="008C18C8" w:rsidRPr="008C164C">
              <w:rPr>
                <w:color w:val="000000" w:themeColor="text1"/>
                <w:lang w:val="en-AU"/>
              </w:rPr>
              <w:t xml:space="preserve">results in </w:t>
            </w:r>
            <w:r w:rsidRPr="008C164C">
              <w:rPr>
                <w:color w:val="000000" w:themeColor="text1"/>
                <w:lang w:val="en-AU"/>
              </w:rPr>
              <w:t xml:space="preserve">a higher ICER </w:t>
            </w:r>
            <w:r w:rsidR="003216FD" w:rsidRPr="008C164C">
              <w:rPr>
                <w:color w:val="000000" w:themeColor="text1"/>
                <w:lang w:val="en-AU"/>
              </w:rPr>
              <w:t>(</w:t>
            </w:r>
            <w:r w:rsidR="00851D33">
              <w:rPr>
                <w:lang w:val="en-AU"/>
              </w:rPr>
              <w:t xml:space="preserve"> </w:t>
            </w:r>
            <w:r w:rsidR="00851D33" w:rsidRPr="00851D33">
              <w:rPr>
                <w:spacing w:val="53"/>
                <w:shd w:val="solid" w:color="000000" w:fill="000000"/>
                <w:fitText w:val="330" w:id="-1032080638"/>
                <w:lang w:val="en-AU"/>
                <w14:textFill>
                  <w14:solidFill>
                    <w14:srgbClr w14:val="000000">
                      <w14:alpha w14:val="100000"/>
                    </w14:srgbClr>
                  </w14:solidFill>
                </w14:textFill>
              </w:rPr>
              <w:t>|||</w:t>
            </w:r>
            <w:r w:rsidR="00851D33" w:rsidRPr="00851D33">
              <w:rPr>
                <w:spacing w:val="1"/>
                <w:shd w:val="solid" w:color="000000" w:fill="000000"/>
                <w:fitText w:val="330" w:id="-1032080638"/>
                <w:lang w:val="en-AU"/>
                <w14:textFill>
                  <w14:solidFill>
                    <w14:srgbClr w14:val="000000">
                      <w14:alpha w14:val="100000"/>
                    </w14:srgbClr>
                  </w14:solidFill>
                </w14:textFill>
              </w:rPr>
              <w:t>|</w:t>
            </w:r>
            <w:r w:rsidR="00D66751">
              <w:rPr>
                <w:vertAlign w:val="superscript"/>
                <w:lang w:val="en-AU"/>
              </w:rPr>
              <w:t>2</w:t>
            </w:r>
            <w:r w:rsidR="003216FD" w:rsidRPr="008C164C">
              <w:rPr>
                <w:lang w:val="en-AU"/>
              </w:rPr>
              <w:t>/QALY</w:t>
            </w:r>
            <w:r w:rsidR="003216FD" w:rsidRPr="008C164C">
              <w:rPr>
                <w:color w:val="000000" w:themeColor="text1"/>
                <w:lang w:val="en-AU"/>
              </w:rPr>
              <w:t xml:space="preserve">) </w:t>
            </w:r>
            <w:r w:rsidRPr="008C164C">
              <w:rPr>
                <w:color w:val="000000" w:themeColor="text1"/>
                <w:lang w:val="en-AU"/>
              </w:rPr>
              <w:t>than the previous submission</w:t>
            </w:r>
            <w:r w:rsidR="003216FD" w:rsidRPr="008C164C">
              <w:rPr>
                <w:color w:val="000000" w:themeColor="text1"/>
                <w:lang w:val="en-AU"/>
              </w:rPr>
              <w:t xml:space="preserve"> </w:t>
            </w:r>
            <w:r w:rsidR="00851D33">
              <w:rPr>
                <w:color w:val="000000" w:themeColor="text1"/>
                <w:lang w:val="en-AU"/>
              </w:rPr>
              <w:t xml:space="preserve"> </w:t>
            </w:r>
            <w:r w:rsidR="00851D33" w:rsidRPr="00851D33">
              <w:rPr>
                <w:color w:val="000000" w:themeColor="text1"/>
                <w:spacing w:val="53"/>
                <w:shd w:val="solid" w:color="000000" w:fill="000000"/>
                <w:fitText w:val="330" w:id="-1032080637"/>
                <w:lang w:val="en-AU"/>
                <w14:textFill>
                  <w14:solidFill>
                    <w14:schemeClr w14:val="tx1">
                      <w14:alpha w14:val="100000"/>
                    </w14:schemeClr>
                  </w14:solidFill>
                </w14:textFill>
              </w:rPr>
              <w:t>|||</w:t>
            </w:r>
            <w:r w:rsidR="00851D33" w:rsidRPr="00851D33">
              <w:rPr>
                <w:color w:val="000000" w:themeColor="text1"/>
                <w:spacing w:val="1"/>
                <w:shd w:val="solid" w:color="000000" w:fill="000000"/>
                <w:fitText w:val="330" w:id="-1032080637"/>
                <w:lang w:val="en-AU"/>
                <w14:textFill>
                  <w14:solidFill>
                    <w14:schemeClr w14:val="tx1">
                      <w14:alpha w14:val="100000"/>
                    </w14:schemeClr>
                  </w14:solidFill>
                </w14:textFill>
              </w:rPr>
              <w:t>|</w:t>
            </w:r>
            <w:r w:rsidR="00D66751">
              <w:rPr>
                <w:vertAlign w:val="superscript"/>
                <w:lang w:val="en-AU"/>
              </w:rPr>
              <w:t>3</w:t>
            </w:r>
            <w:r w:rsidR="003216FD" w:rsidRPr="008C164C">
              <w:rPr>
                <w:lang w:val="en-AU"/>
              </w:rPr>
              <w:t>/QALY)</w:t>
            </w:r>
            <w:r w:rsidR="008C18C8" w:rsidRPr="008C164C">
              <w:rPr>
                <w:color w:val="000000" w:themeColor="text1"/>
                <w:lang w:val="en-AU"/>
              </w:rPr>
              <w:t>, including</w:t>
            </w:r>
            <w:r w:rsidR="00102A84" w:rsidRPr="008C164C">
              <w:rPr>
                <w:color w:val="000000" w:themeColor="text1"/>
                <w:lang w:val="en-AU"/>
              </w:rPr>
              <w:t xml:space="preserve"> </w:t>
            </w:r>
            <w:r w:rsidRPr="008C164C">
              <w:rPr>
                <w:color w:val="000000" w:themeColor="text1"/>
                <w:lang w:val="en-AU"/>
              </w:rPr>
              <w:t xml:space="preserve">the </w:t>
            </w:r>
            <w:r w:rsidR="00851D33">
              <w:rPr>
                <w:color w:val="000000" w:themeColor="text1"/>
                <w:lang w:val="en-AU"/>
              </w:rPr>
              <w:t xml:space="preserve"> </w:t>
            </w:r>
            <w:r w:rsidR="00851D33" w:rsidRPr="00851D33">
              <w:rPr>
                <w:color w:val="000000" w:themeColor="text1"/>
                <w:spacing w:val="53"/>
                <w:shd w:val="solid" w:color="000000" w:fill="000000"/>
                <w:fitText w:val="330" w:id="-1032080636"/>
                <w:lang w:val="en-AU"/>
                <w14:textFill>
                  <w14:solidFill>
                    <w14:schemeClr w14:val="tx1">
                      <w14:alpha w14:val="100000"/>
                    </w14:schemeClr>
                  </w14:solidFill>
                </w14:textFill>
              </w:rPr>
              <w:t>|||</w:t>
            </w:r>
            <w:r w:rsidR="00851D33" w:rsidRPr="00851D33">
              <w:rPr>
                <w:color w:val="000000" w:themeColor="text1"/>
                <w:spacing w:val="1"/>
                <w:shd w:val="solid" w:color="000000" w:fill="000000"/>
                <w:fitText w:val="330" w:id="-1032080636"/>
                <w:lang w:val="en-AU"/>
                <w14:textFill>
                  <w14:solidFill>
                    <w14:schemeClr w14:val="tx1">
                      <w14:alpha w14:val="100000"/>
                    </w14:schemeClr>
                  </w14:solidFill>
                </w14:textFill>
              </w:rPr>
              <w:t>|</w:t>
            </w:r>
            <w:r w:rsidR="005F6F81" w:rsidRPr="008C164C">
              <w:rPr>
                <w:color w:val="000000" w:themeColor="text1"/>
                <w:lang w:val="en-AU"/>
              </w:rPr>
              <w:t xml:space="preserve">% </w:t>
            </w:r>
            <w:r w:rsidRPr="008C164C">
              <w:rPr>
                <w:color w:val="000000" w:themeColor="text1"/>
                <w:lang w:val="en-AU"/>
              </w:rPr>
              <w:t>reduc</w:t>
            </w:r>
            <w:r w:rsidR="005F6F81" w:rsidRPr="008C164C">
              <w:rPr>
                <w:color w:val="000000" w:themeColor="text1"/>
                <w:lang w:val="en-AU"/>
              </w:rPr>
              <w:t>tion in</w:t>
            </w:r>
            <w:r w:rsidRPr="008C164C">
              <w:rPr>
                <w:color w:val="000000" w:themeColor="text1"/>
                <w:lang w:val="en-AU"/>
              </w:rPr>
              <w:t xml:space="preserve"> price. </w:t>
            </w:r>
          </w:p>
        </w:tc>
      </w:tr>
      <w:tr w:rsidR="006F011D" w:rsidRPr="008C164C" w14:paraId="2DDC4F5E" w14:textId="77777777" w:rsidTr="00593021">
        <w:trPr>
          <w:cantSplit/>
        </w:trPr>
        <w:tc>
          <w:tcPr>
            <w:tcW w:w="674" w:type="pct"/>
            <w:vMerge/>
            <w:vAlign w:val="center"/>
          </w:tcPr>
          <w:p w14:paraId="18C8EB63" w14:textId="77777777" w:rsidR="00CE08D9" w:rsidRPr="008C164C" w:rsidRDefault="00CE08D9" w:rsidP="00873A26">
            <w:pPr>
              <w:pStyle w:val="TableText0"/>
              <w:keepNext w:val="0"/>
              <w:rPr>
                <w:color w:val="000000" w:themeColor="text1"/>
              </w:rPr>
            </w:pPr>
          </w:p>
        </w:tc>
        <w:tc>
          <w:tcPr>
            <w:tcW w:w="1838" w:type="pct"/>
          </w:tcPr>
          <w:p w14:paraId="6EFB05CF" w14:textId="5B26F70C" w:rsidR="00CE08D9" w:rsidRPr="008C164C" w:rsidRDefault="00177D5C" w:rsidP="007A6142">
            <w:pPr>
              <w:pStyle w:val="TableText0"/>
              <w:keepNext w:val="0"/>
              <w:rPr>
                <w:color w:val="000000" w:themeColor="text1"/>
              </w:rPr>
            </w:pPr>
            <w:r w:rsidRPr="008C164C">
              <w:rPr>
                <w:color w:val="000000" w:themeColor="text1"/>
              </w:rPr>
              <w:t>A</w:t>
            </w:r>
            <w:r w:rsidR="00CE08D9" w:rsidRPr="008C164C">
              <w:rPr>
                <w:color w:val="000000" w:themeColor="text1"/>
              </w:rPr>
              <w:t>djustment to the cost-effectiveness analysis should have been made using more conservative treatment effects and an analysis which enables a frame of reference with the cost of other therapies that were originally (or remain) listed as later-line or salvage therapies, such as maraviroc (paragraph 7.10, LEN PSD, Nov 2022).</w:t>
            </w:r>
          </w:p>
        </w:tc>
        <w:tc>
          <w:tcPr>
            <w:tcW w:w="2488" w:type="pct"/>
          </w:tcPr>
          <w:p w14:paraId="2F1AD607" w14:textId="4AAD310F" w:rsidR="00CE08D9" w:rsidRPr="008C164C" w:rsidRDefault="00B31537" w:rsidP="007A6142">
            <w:pPr>
              <w:pStyle w:val="KMC16-Tablecontent"/>
              <w:rPr>
                <w:color w:val="000000" w:themeColor="text1"/>
                <w:lang w:val="en-AU"/>
              </w:rPr>
            </w:pPr>
            <w:r w:rsidRPr="008C164C">
              <w:rPr>
                <w:color w:val="000000" w:themeColor="text1"/>
                <w:lang w:val="en-AU"/>
              </w:rPr>
              <w:t xml:space="preserve">Partially </w:t>
            </w:r>
            <w:r w:rsidR="00CE08D9" w:rsidRPr="008C164C">
              <w:rPr>
                <w:color w:val="000000" w:themeColor="text1"/>
                <w:lang w:val="en-AU"/>
              </w:rPr>
              <w:t>addressed</w:t>
            </w:r>
            <w:r w:rsidRPr="008C164C">
              <w:rPr>
                <w:color w:val="000000" w:themeColor="text1"/>
                <w:lang w:val="en-AU"/>
              </w:rPr>
              <w:t xml:space="preserve">. </w:t>
            </w:r>
            <w:r w:rsidR="00814990" w:rsidRPr="008C164C">
              <w:rPr>
                <w:color w:val="000000" w:themeColor="text1"/>
                <w:lang w:val="en-AU"/>
              </w:rPr>
              <w:t>The c</w:t>
            </w:r>
            <w:r w:rsidR="003216FD" w:rsidRPr="008C164C">
              <w:rPr>
                <w:color w:val="000000" w:themeColor="text1"/>
                <w:lang w:val="en-AU"/>
              </w:rPr>
              <w:t>linical i</w:t>
            </w:r>
            <w:r w:rsidRPr="008C164C">
              <w:rPr>
                <w:color w:val="000000" w:themeColor="text1"/>
                <w:lang w:val="en-AU"/>
              </w:rPr>
              <w:t xml:space="preserve">ncremental </w:t>
            </w:r>
            <w:r w:rsidR="003216FD" w:rsidRPr="008C164C">
              <w:rPr>
                <w:color w:val="000000" w:themeColor="text1"/>
                <w:lang w:val="en-AU"/>
              </w:rPr>
              <w:t>benefit applied to the economic model was</w:t>
            </w:r>
            <w:r w:rsidR="000C24D1" w:rsidRPr="008C164C">
              <w:rPr>
                <w:color w:val="000000" w:themeColor="text1"/>
                <w:lang w:val="en-AU"/>
              </w:rPr>
              <w:t xml:space="preserve"> lower than in </w:t>
            </w:r>
            <w:r w:rsidR="00814990" w:rsidRPr="008C164C">
              <w:rPr>
                <w:color w:val="000000" w:themeColor="text1"/>
                <w:lang w:val="en-AU"/>
              </w:rPr>
              <w:t xml:space="preserve">the </w:t>
            </w:r>
            <w:r w:rsidR="000C24D1" w:rsidRPr="008C164C">
              <w:rPr>
                <w:color w:val="000000" w:themeColor="text1"/>
                <w:lang w:val="en-AU"/>
              </w:rPr>
              <w:t>previous submission</w:t>
            </w:r>
            <w:r w:rsidR="003216FD" w:rsidRPr="008C164C">
              <w:rPr>
                <w:color w:val="000000" w:themeColor="text1"/>
                <w:lang w:val="en-AU"/>
              </w:rPr>
              <w:t xml:space="preserve"> (RR = 2.807 vs RR = 3.828)</w:t>
            </w:r>
            <w:r w:rsidR="000C24D1" w:rsidRPr="008C164C">
              <w:rPr>
                <w:color w:val="000000" w:themeColor="text1"/>
                <w:lang w:val="en-AU"/>
              </w:rPr>
              <w:t>,</w:t>
            </w:r>
            <w:r w:rsidR="003216FD" w:rsidRPr="008C164C">
              <w:rPr>
                <w:color w:val="000000" w:themeColor="text1"/>
                <w:lang w:val="en-AU"/>
              </w:rPr>
              <w:t xml:space="preserve"> however </w:t>
            </w:r>
            <w:r w:rsidR="00102A84" w:rsidRPr="008C164C">
              <w:rPr>
                <w:color w:val="000000" w:themeColor="text1"/>
                <w:lang w:val="en-AU"/>
              </w:rPr>
              <w:t xml:space="preserve">the evaluation considered the clinical benefit </w:t>
            </w:r>
            <w:r w:rsidR="003216FD" w:rsidRPr="008C164C">
              <w:rPr>
                <w:color w:val="000000" w:themeColor="text1"/>
                <w:lang w:val="en-AU"/>
              </w:rPr>
              <w:t>remained optimistic.</w:t>
            </w:r>
            <w:r w:rsidR="000C24D1" w:rsidRPr="008C164C">
              <w:rPr>
                <w:color w:val="000000" w:themeColor="text1"/>
                <w:lang w:val="en-AU"/>
              </w:rPr>
              <w:t xml:space="preserve"> </w:t>
            </w:r>
            <w:r w:rsidR="003216FD" w:rsidRPr="008C164C">
              <w:rPr>
                <w:color w:val="000000" w:themeColor="text1"/>
                <w:lang w:val="en-AU"/>
              </w:rPr>
              <w:t>Further, the</w:t>
            </w:r>
            <w:r w:rsidR="000C24D1" w:rsidRPr="008C164C">
              <w:rPr>
                <w:color w:val="000000" w:themeColor="text1"/>
                <w:lang w:val="en-AU"/>
              </w:rPr>
              <w:t xml:space="preserve"> </w:t>
            </w:r>
            <w:r w:rsidR="003216FD" w:rsidRPr="008C164C">
              <w:rPr>
                <w:color w:val="000000" w:themeColor="text1"/>
                <w:lang w:val="en-AU"/>
              </w:rPr>
              <w:t xml:space="preserve">modelled </w:t>
            </w:r>
            <w:r w:rsidR="00C70F14" w:rsidRPr="008C164C">
              <w:rPr>
                <w:color w:val="000000" w:themeColor="text1"/>
                <w:lang w:val="en-AU"/>
              </w:rPr>
              <w:t xml:space="preserve">treatment effect </w:t>
            </w:r>
            <w:r w:rsidR="003216FD" w:rsidRPr="008C164C">
              <w:rPr>
                <w:color w:val="000000" w:themeColor="text1"/>
                <w:lang w:val="en-AU"/>
              </w:rPr>
              <w:t>was inconsistent with the assumption of a lower incremental benefit.</w:t>
            </w:r>
          </w:p>
        </w:tc>
      </w:tr>
      <w:tr w:rsidR="00CE08D9" w:rsidRPr="008C164C" w14:paraId="67E8F929" w14:textId="77777777" w:rsidTr="00593021">
        <w:trPr>
          <w:cantSplit/>
        </w:trPr>
        <w:tc>
          <w:tcPr>
            <w:tcW w:w="674" w:type="pct"/>
            <w:vMerge w:val="restart"/>
            <w:vAlign w:val="center"/>
          </w:tcPr>
          <w:p w14:paraId="64A9E45A" w14:textId="2C803CBB" w:rsidR="00E51776" w:rsidRPr="008C164C" w:rsidRDefault="00E51776" w:rsidP="00873A26">
            <w:pPr>
              <w:pStyle w:val="TableText0"/>
              <w:keepNext w:val="0"/>
              <w:rPr>
                <w:color w:val="000000" w:themeColor="text1"/>
              </w:rPr>
            </w:pPr>
            <w:r w:rsidRPr="008C164C">
              <w:rPr>
                <w:color w:val="000000" w:themeColor="text1"/>
              </w:rPr>
              <w:t>Financials</w:t>
            </w:r>
          </w:p>
        </w:tc>
        <w:tc>
          <w:tcPr>
            <w:tcW w:w="1838" w:type="pct"/>
          </w:tcPr>
          <w:p w14:paraId="64AA3193" w14:textId="1682CC69" w:rsidR="00E51776" w:rsidRPr="008C164C" w:rsidRDefault="00E51776" w:rsidP="007A6142">
            <w:pPr>
              <w:pStyle w:val="TableText0"/>
              <w:keepNext w:val="0"/>
              <w:rPr>
                <w:color w:val="000000" w:themeColor="text1"/>
              </w:rPr>
            </w:pPr>
            <w:r w:rsidRPr="008C164C">
              <w:rPr>
                <w:color w:val="000000" w:themeColor="text1"/>
              </w:rPr>
              <w:t>Financial estimates were uncertain given that the likely uptake in practice was unclear (pa</w:t>
            </w:r>
            <w:r w:rsidR="00D0490D" w:rsidRPr="008C164C">
              <w:rPr>
                <w:color w:val="000000" w:themeColor="text1"/>
              </w:rPr>
              <w:t>ra</w:t>
            </w:r>
            <w:r w:rsidRPr="008C164C">
              <w:rPr>
                <w:color w:val="000000" w:themeColor="text1"/>
              </w:rPr>
              <w:t>graph 7.9, LEN PSD, Nov 2022)</w:t>
            </w:r>
            <w:r w:rsidR="001F66C8" w:rsidRPr="008C164C">
              <w:rPr>
                <w:color w:val="000000" w:themeColor="text1"/>
              </w:rPr>
              <w:t>.</w:t>
            </w:r>
          </w:p>
        </w:tc>
        <w:tc>
          <w:tcPr>
            <w:tcW w:w="2488" w:type="pct"/>
          </w:tcPr>
          <w:p w14:paraId="703CCF48" w14:textId="2C113DE5" w:rsidR="00E51776" w:rsidRPr="008C164C" w:rsidRDefault="00E51776" w:rsidP="007A6142">
            <w:pPr>
              <w:pStyle w:val="KMC16-Tablecontent"/>
              <w:rPr>
                <w:color w:val="000000" w:themeColor="text1"/>
                <w:lang w:val="en-AU"/>
              </w:rPr>
            </w:pPr>
            <w:r w:rsidRPr="008C164C">
              <w:rPr>
                <w:color w:val="000000" w:themeColor="text1"/>
                <w:lang w:val="en-AU"/>
              </w:rPr>
              <w:t xml:space="preserve">Partially addressed. The resubmission made some modifications to the budget impact model and </w:t>
            </w:r>
            <w:r w:rsidR="005F6F81" w:rsidRPr="008C164C">
              <w:rPr>
                <w:color w:val="000000" w:themeColor="text1"/>
                <w:lang w:val="en-AU"/>
              </w:rPr>
              <w:t xml:space="preserve">provided </w:t>
            </w:r>
            <w:r w:rsidRPr="008C164C">
              <w:rPr>
                <w:color w:val="000000" w:themeColor="text1"/>
                <w:lang w:val="en-AU"/>
              </w:rPr>
              <w:t xml:space="preserve">additional background based on clinician survey </w:t>
            </w:r>
            <w:r w:rsidR="005F6F81" w:rsidRPr="008C164C">
              <w:rPr>
                <w:color w:val="000000" w:themeColor="text1"/>
                <w:lang w:val="en-AU"/>
              </w:rPr>
              <w:t>responses</w:t>
            </w:r>
            <w:r w:rsidRPr="008C164C">
              <w:rPr>
                <w:color w:val="000000" w:themeColor="text1"/>
                <w:lang w:val="en-AU"/>
              </w:rPr>
              <w:t>. However, the model did not alter uptake rates.</w:t>
            </w:r>
          </w:p>
        </w:tc>
      </w:tr>
      <w:tr w:rsidR="00CE08D9" w:rsidRPr="008C164C" w14:paraId="3D1E1E17" w14:textId="77777777" w:rsidTr="00593021">
        <w:trPr>
          <w:cantSplit/>
        </w:trPr>
        <w:tc>
          <w:tcPr>
            <w:tcW w:w="674" w:type="pct"/>
            <w:vMerge/>
            <w:vAlign w:val="center"/>
          </w:tcPr>
          <w:p w14:paraId="6FAB8B69" w14:textId="6DB235A0" w:rsidR="00E51776" w:rsidRPr="008C164C" w:rsidRDefault="00E51776" w:rsidP="00873A26">
            <w:pPr>
              <w:pStyle w:val="TableText0"/>
              <w:keepNext w:val="0"/>
              <w:rPr>
                <w:color w:val="000000" w:themeColor="text1"/>
                <w:highlight w:val="cyan"/>
              </w:rPr>
            </w:pPr>
          </w:p>
        </w:tc>
        <w:tc>
          <w:tcPr>
            <w:tcW w:w="1838" w:type="pct"/>
          </w:tcPr>
          <w:p w14:paraId="23101C1B" w14:textId="16C515C8" w:rsidR="00E51776" w:rsidRPr="008C164C" w:rsidRDefault="00E51776" w:rsidP="007A6142">
            <w:pPr>
              <w:pStyle w:val="TableText0"/>
              <w:keepNext w:val="0"/>
              <w:rPr>
                <w:color w:val="000000" w:themeColor="text1"/>
              </w:rPr>
            </w:pPr>
            <w:r w:rsidRPr="008C164C">
              <w:rPr>
                <w:color w:val="000000" w:themeColor="text1"/>
              </w:rPr>
              <w:t xml:space="preserve">Financial estimates appeared to exclude OBR costs, and given the economic model indicated an additional incremental cost for other ARVs in the </w:t>
            </w:r>
            <w:proofErr w:type="spellStart"/>
            <w:r w:rsidRPr="008C164C">
              <w:rPr>
                <w:color w:val="000000" w:themeColor="text1"/>
              </w:rPr>
              <w:t>lenacapavir</w:t>
            </w:r>
            <w:proofErr w:type="spellEnd"/>
            <w:r w:rsidRPr="008C164C">
              <w:rPr>
                <w:color w:val="000000" w:themeColor="text1"/>
              </w:rPr>
              <w:t xml:space="preserve"> arm, considered this was inappropriate</w:t>
            </w:r>
            <w:r w:rsidR="001F66C8" w:rsidRPr="008C164C">
              <w:rPr>
                <w:color w:val="000000" w:themeColor="text1"/>
              </w:rPr>
              <w:t xml:space="preserve"> (paragraph 7.9, LEN PSD, Nov 2022).</w:t>
            </w:r>
          </w:p>
        </w:tc>
        <w:tc>
          <w:tcPr>
            <w:tcW w:w="2488" w:type="pct"/>
          </w:tcPr>
          <w:p w14:paraId="3C12ED15" w14:textId="27973645" w:rsidR="00E51776" w:rsidRPr="008C164C" w:rsidRDefault="00E51776" w:rsidP="007A6142">
            <w:pPr>
              <w:pStyle w:val="KMC16-Tablecontent"/>
              <w:rPr>
                <w:color w:val="000000" w:themeColor="text1"/>
                <w:lang w:val="en-AU"/>
              </w:rPr>
            </w:pPr>
            <w:r w:rsidRPr="008C164C">
              <w:rPr>
                <w:color w:val="000000" w:themeColor="text1"/>
                <w:lang w:val="en-AU"/>
              </w:rPr>
              <w:t xml:space="preserve">Addressed. </w:t>
            </w:r>
            <w:r w:rsidR="00873A26" w:rsidRPr="008C164C">
              <w:rPr>
                <w:color w:val="000000" w:themeColor="text1"/>
                <w:lang w:val="en-AU"/>
              </w:rPr>
              <w:t>However</w:t>
            </w:r>
            <w:r w:rsidR="002F4D30" w:rsidRPr="008C164C">
              <w:rPr>
                <w:color w:val="000000" w:themeColor="text1"/>
                <w:lang w:val="en-AU"/>
              </w:rPr>
              <w:t>,</w:t>
            </w:r>
            <w:r w:rsidR="00873A26" w:rsidRPr="008C164C">
              <w:rPr>
                <w:color w:val="000000" w:themeColor="text1"/>
                <w:lang w:val="en-AU"/>
              </w:rPr>
              <w:t xml:space="preserve"> OBR costs in</w:t>
            </w:r>
            <w:r w:rsidR="00814990" w:rsidRPr="008C164C">
              <w:rPr>
                <w:color w:val="000000" w:themeColor="text1"/>
                <w:lang w:val="en-AU"/>
              </w:rPr>
              <w:t xml:space="preserve"> the</w:t>
            </w:r>
            <w:r w:rsidR="00873A26" w:rsidRPr="008C164C">
              <w:rPr>
                <w:color w:val="000000" w:themeColor="text1"/>
                <w:lang w:val="en-AU"/>
              </w:rPr>
              <w:t xml:space="preserve"> financial estimates may be underestimated based on relative cost of OBR and LEN in the economic model. </w:t>
            </w:r>
          </w:p>
        </w:tc>
      </w:tr>
    </w:tbl>
    <w:p w14:paraId="451D7156" w14:textId="7AD255F7" w:rsidR="005C25FF" w:rsidRPr="008C164C" w:rsidRDefault="005C25FF" w:rsidP="004E18E9">
      <w:pPr>
        <w:pStyle w:val="FooterTableFigure"/>
      </w:pPr>
      <w:r w:rsidRPr="008C164C">
        <w:t xml:space="preserve">Source: </w:t>
      </w:r>
      <w:r w:rsidR="00714987" w:rsidRPr="008C164C">
        <w:t xml:space="preserve">Table 1-1, pp 2-3 of the resubmission and </w:t>
      </w:r>
      <w:r w:rsidR="007C0D1E" w:rsidRPr="008C164C">
        <w:t xml:space="preserve">the </w:t>
      </w:r>
      <w:proofErr w:type="spellStart"/>
      <w:r w:rsidR="007C0D1E" w:rsidRPr="008C164C">
        <w:t>Lenacapavir</w:t>
      </w:r>
      <w:proofErr w:type="spellEnd"/>
      <w:r w:rsidR="007C0D1E" w:rsidRPr="008C164C">
        <w:t xml:space="preserve"> November 2022 PBAC PSD.</w:t>
      </w:r>
    </w:p>
    <w:p w14:paraId="7238D545" w14:textId="012B975B" w:rsidR="004E5176" w:rsidRDefault="004E5176" w:rsidP="004E18E9">
      <w:pPr>
        <w:pStyle w:val="FooterTableFigure"/>
      </w:pPr>
      <w:r w:rsidRPr="008C164C">
        <w:t xml:space="preserve">ARV = antiretroviral; FTR = fostemsavir; HIV = human immunodeficiency virus; </w:t>
      </w:r>
      <w:proofErr w:type="spellStart"/>
      <w:r w:rsidRPr="008C164C">
        <w:t>hMDR</w:t>
      </w:r>
      <w:proofErr w:type="spellEnd"/>
      <w:r w:rsidRPr="008C164C">
        <w:t xml:space="preserve"> = highly multidrug resistant; IBA = ibalizumab; </w:t>
      </w:r>
      <w:r w:rsidR="007A6142" w:rsidRPr="008C164C">
        <w:t xml:space="preserve">ICER = incremental cost-effectiveness ratio; </w:t>
      </w:r>
      <w:r w:rsidRPr="008C164C">
        <w:t>INST</w:t>
      </w:r>
      <w:r w:rsidR="003C31CC" w:rsidRPr="008C164C">
        <w:t> = </w:t>
      </w:r>
      <w:r w:rsidRPr="008C164C">
        <w:t xml:space="preserve">integrase strand transfer inhibitor; ITC = indirect treatment comparison; </w:t>
      </w:r>
      <w:r w:rsidR="00CE08D9" w:rsidRPr="008C164C">
        <w:t>KM = Kaplan</w:t>
      </w:r>
      <w:r w:rsidR="000F7262" w:rsidRPr="008C164C">
        <w:t>-</w:t>
      </w:r>
      <w:r w:rsidR="00CE08D9" w:rsidRPr="008C164C">
        <w:t xml:space="preserve">Meier; </w:t>
      </w:r>
      <w:r w:rsidRPr="008C164C">
        <w:t xml:space="preserve">LEN = </w:t>
      </w:r>
      <w:proofErr w:type="spellStart"/>
      <w:r w:rsidRPr="008C164C">
        <w:t>lenacapavir</w:t>
      </w:r>
      <w:proofErr w:type="spellEnd"/>
      <w:r w:rsidRPr="008C164C">
        <w:t>; OBR = optimised background regimen; PBS</w:t>
      </w:r>
      <w:r w:rsidR="00995BD2" w:rsidRPr="008C164C">
        <w:t xml:space="preserve"> =</w:t>
      </w:r>
      <w:r w:rsidRPr="008C164C">
        <w:t xml:space="preserve"> Pharmaceutical Benefits Scheme; PSD = public summary document</w:t>
      </w:r>
      <w:r w:rsidR="003216FD" w:rsidRPr="008C164C">
        <w:t>; QALY</w:t>
      </w:r>
      <w:r w:rsidR="00995BD2" w:rsidRPr="008C164C">
        <w:t>=</w:t>
      </w:r>
      <w:r w:rsidR="003216FD" w:rsidRPr="008C164C">
        <w:t xml:space="preserve"> quality adjusted life year</w:t>
      </w:r>
    </w:p>
    <w:p w14:paraId="005A41CC" w14:textId="1E953775" w:rsidR="00D66751" w:rsidRPr="00D66751" w:rsidRDefault="00D66751" w:rsidP="004E18E9">
      <w:pPr>
        <w:pStyle w:val="FooterTableFigure"/>
        <w:rPr>
          <w:i/>
          <w:iCs/>
        </w:rPr>
      </w:pPr>
      <w:r w:rsidRPr="00D66751">
        <w:rPr>
          <w:i/>
          <w:iCs/>
        </w:rPr>
        <w:t>The redacted values correspond to the following ranges:</w:t>
      </w:r>
    </w:p>
    <w:p w14:paraId="5D7D54F3" w14:textId="777F160E" w:rsidR="00D66751" w:rsidRPr="00D66751" w:rsidRDefault="00D66751" w:rsidP="004E18E9">
      <w:pPr>
        <w:pStyle w:val="FooterTableFigure"/>
        <w:rPr>
          <w:i/>
          <w:iCs/>
        </w:rPr>
      </w:pPr>
      <w:r w:rsidRPr="00D66751">
        <w:rPr>
          <w:i/>
          <w:iCs/>
          <w:vertAlign w:val="superscript"/>
        </w:rPr>
        <w:t>1</w:t>
      </w:r>
      <w:r w:rsidRPr="00D66751">
        <w:rPr>
          <w:i/>
          <w:iCs/>
        </w:rPr>
        <w:t xml:space="preserve"> $75,000 to &lt; $95,000</w:t>
      </w:r>
    </w:p>
    <w:p w14:paraId="617DFDBC" w14:textId="7493704C" w:rsidR="00D66751" w:rsidRPr="00D66751" w:rsidRDefault="00D66751" w:rsidP="004E18E9">
      <w:pPr>
        <w:pStyle w:val="FooterTableFigure"/>
        <w:rPr>
          <w:i/>
          <w:iCs/>
        </w:rPr>
      </w:pPr>
      <w:r w:rsidRPr="00D66751">
        <w:rPr>
          <w:i/>
          <w:iCs/>
          <w:vertAlign w:val="superscript"/>
        </w:rPr>
        <w:t>2</w:t>
      </w:r>
      <w:r w:rsidRPr="00D66751">
        <w:rPr>
          <w:i/>
          <w:iCs/>
        </w:rPr>
        <w:t xml:space="preserve"> $115,000 to &lt; $135,000</w:t>
      </w:r>
    </w:p>
    <w:p w14:paraId="574810BD" w14:textId="40AF90B1" w:rsidR="00D66751" w:rsidRPr="00D66751" w:rsidRDefault="00D66751" w:rsidP="004E18E9">
      <w:pPr>
        <w:pStyle w:val="FooterTableFigure"/>
        <w:rPr>
          <w:i/>
          <w:iCs/>
        </w:rPr>
      </w:pPr>
      <w:r w:rsidRPr="00D66751">
        <w:rPr>
          <w:i/>
          <w:iCs/>
          <w:vertAlign w:val="superscript"/>
        </w:rPr>
        <w:t>3</w:t>
      </w:r>
      <w:r w:rsidRPr="00D66751">
        <w:rPr>
          <w:i/>
          <w:iCs/>
        </w:rPr>
        <w:t xml:space="preserve"> $75,000 to &lt; $95,000</w:t>
      </w:r>
    </w:p>
    <w:p w14:paraId="1B423B86" w14:textId="7C8BC796" w:rsidR="003A4C14" w:rsidRPr="008C164C" w:rsidRDefault="00B50DB8" w:rsidP="003A4C14">
      <w:pPr>
        <w:pStyle w:val="2-SectionHeading"/>
      </w:pPr>
      <w:bookmarkStart w:id="10" w:name="_Toc107902078"/>
      <w:bookmarkStart w:id="11" w:name="_Toc145485255"/>
      <w:bookmarkEnd w:id="10"/>
      <w:r w:rsidRPr="008C164C">
        <w:t>Requested listing</w:t>
      </w:r>
      <w:bookmarkEnd w:id="11"/>
    </w:p>
    <w:p w14:paraId="069ECC62" w14:textId="77777777" w:rsidR="00CC2537" w:rsidRPr="008C164C" w:rsidRDefault="00CC2537" w:rsidP="00CC2537">
      <w:pPr>
        <w:pStyle w:val="3-BodyText"/>
      </w:pPr>
      <w:r w:rsidRPr="008C164C">
        <w:t>One restriction for all treatment phases, as proposed by the Secretariat is shown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41"/>
        <w:gridCol w:w="1303"/>
        <w:gridCol w:w="1275"/>
        <w:gridCol w:w="709"/>
        <w:gridCol w:w="937"/>
      </w:tblGrid>
      <w:tr w:rsidR="00B220AB" w:rsidRPr="008C164C" w14:paraId="4E911EB3" w14:textId="47D84BDD" w:rsidTr="00FD1659">
        <w:trPr>
          <w:cantSplit/>
          <w:trHeight w:val="20"/>
        </w:trPr>
        <w:tc>
          <w:tcPr>
            <w:tcW w:w="2552" w:type="dxa"/>
            <w:vAlign w:val="center"/>
          </w:tcPr>
          <w:p w14:paraId="7E856032" w14:textId="77777777" w:rsidR="00B220AB" w:rsidRPr="008C164C" w:rsidRDefault="00B220AB" w:rsidP="00240629">
            <w:pPr>
              <w:keepNext/>
              <w:keepLines/>
              <w:rPr>
                <w:rFonts w:ascii="Arial Narrow" w:hAnsi="Arial Narrow"/>
                <w:b/>
                <w:bCs/>
                <w:sz w:val="20"/>
                <w:szCs w:val="20"/>
              </w:rPr>
            </w:pPr>
            <w:r w:rsidRPr="008C164C">
              <w:rPr>
                <w:rFonts w:ascii="Arial Narrow" w:hAnsi="Arial Narrow"/>
                <w:b/>
                <w:bCs/>
                <w:sz w:val="20"/>
                <w:szCs w:val="20"/>
              </w:rPr>
              <w:lastRenderedPageBreak/>
              <w:t>MEDICINAL PRODUCT</w:t>
            </w:r>
          </w:p>
          <w:p w14:paraId="5DC84BA2" w14:textId="77777777" w:rsidR="00B220AB" w:rsidRPr="008C164C" w:rsidRDefault="00B220AB" w:rsidP="00240629">
            <w:pPr>
              <w:keepNext/>
              <w:keepLines/>
              <w:rPr>
                <w:rFonts w:ascii="Arial Narrow" w:hAnsi="Arial Narrow"/>
                <w:b/>
                <w:sz w:val="20"/>
                <w:szCs w:val="20"/>
              </w:rPr>
            </w:pPr>
            <w:r w:rsidRPr="008C164C">
              <w:rPr>
                <w:rFonts w:ascii="Arial Narrow" w:hAnsi="Arial Narrow"/>
                <w:b/>
                <w:bCs/>
                <w:sz w:val="20"/>
                <w:szCs w:val="20"/>
              </w:rPr>
              <w:t>medicinal product pack</w:t>
            </w:r>
          </w:p>
        </w:tc>
        <w:tc>
          <w:tcPr>
            <w:tcW w:w="2241" w:type="dxa"/>
            <w:vAlign w:val="center"/>
          </w:tcPr>
          <w:p w14:paraId="680A6E39" w14:textId="77777777" w:rsidR="00B220AB" w:rsidRPr="008C164C" w:rsidRDefault="00B220AB" w:rsidP="00240629">
            <w:pPr>
              <w:pStyle w:val="TableText0"/>
              <w:keepLines/>
              <w:rPr>
                <w:b/>
                <w:bCs w:val="0"/>
                <w:szCs w:val="20"/>
              </w:rPr>
            </w:pPr>
            <w:r w:rsidRPr="008C164C">
              <w:rPr>
                <w:b/>
                <w:bCs w:val="0"/>
                <w:snapToGrid w:val="0"/>
              </w:rPr>
              <w:t xml:space="preserve">Dispensed Price for Max. Qty </w:t>
            </w:r>
          </w:p>
        </w:tc>
        <w:tc>
          <w:tcPr>
            <w:tcW w:w="1303" w:type="dxa"/>
            <w:vAlign w:val="center"/>
          </w:tcPr>
          <w:p w14:paraId="733381E1" w14:textId="77777777" w:rsidR="00B220AB" w:rsidRPr="008C164C" w:rsidRDefault="00B220AB" w:rsidP="00240629">
            <w:pPr>
              <w:keepNext/>
              <w:keepLines/>
              <w:jc w:val="center"/>
              <w:rPr>
                <w:rFonts w:ascii="Arial Narrow" w:hAnsi="Arial Narrow"/>
                <w:b/>
                <w:sz w:val="20"/>
                <w:szCs w:val="20"/>
              </w:rPr>
            </w:pPr>
            <w:r w:rsidRPr="008C164C">
              <w:rPr>
                <w:rFonts w:ascii="Arial Narrow" w:hAnsi="Arial Narrow"/>
                <w:b/>
                <w:sz w:val="20"/>
                <w:szCs w:val="20"/>
              </w:rPr>
              <w:t>Max. qty packs</w:t>
            </w:r>
          </w:p>
        </w:tc>
        <w:tc>
          <w:tcPr>
            <w:tcW w:w="1275" w:type="dxa"/>
            <w:vAlign w:val="center"/>
          </w:tcPr>
          <w:p w14:paraId="1A0A9AA3" w14:textId="77777777" w:rsidR="00B220AB" w:rsidRPr="008C164C" w:rsidRDefault="00B220AB" w:rsidP="00240629">
            <w:pPr>
              <w:keepNext/>
              <w:keepLines/>
              <w:jc w:val="center"/>
              <w:rPr>
                <w:rFonts w:ascii="Arial Narrow" w:hAnsi="Arial Narrow"/>
                <w:b/>
                <w:sz w:val="20"/>
                <w:szCs w:val="20"/>
              </w:rPr>
            </w:pPr>
            <w:r w:rsidRPr="008C164C">
              <w:rPr>
                <w:rFonts w:ascii="Arial Narrow" w:hAnsi="Arial Narrow"/>
                <w:b/>
                <w:sz w:val="20"/>
                <w:szCs w:val="20"/>
              </w:rPr>
              <w:t>Max. qty units</w:t>
            </w:r>
          </w:p>
        </w:tc>
        <w:tc>
          <w:tcPr>
            <w:tcW w:w="709" w:type="dxa"/>
            <w:vAlign w:val="center"/>
          </w:tcPr>
          <w:p w14:paraId="23DB2979" w14:textId="77777777" w:rsidR="00B220AB" w:rsidRPr="008C164C" w:rsidRDefault="00B220AB" w:rsidP="00240629">
            <w:pPr>
              <w:keepNext/>
              <w:keepLines/>
              <w:jc w:val="center"/>
              <w:rPr>
                <w:rFonts w:ascii="Arial Narrow" w:hAnsi="Arial Narrow"/>
                <w:b/>
                <w:sz w:val="20"/>
                <w:szCs w:val="20"/>
              </w:rPr>
            </w:pPr>
            <w:r w:rsidRPr="008C164C">
              <w:rPr>
                <w:rFonts w:ascii="Arial Narrow" w:hAnsi="Arial Narrow"/>
                <w:b/>
                <w:sz w:val="20"/>
                <w:szCs w:val="20"/>
              </w:rPr>
              <w:t>№.of</w:t>
            </w:r>
          </w:p>
          <w:p w14:paraId="29D2BAA9" w14:textId="77777777" w:rsidR="00B220AB" w:rsidRPr="008C164C" w:rsidRDefault="00B220AB" w:rsidP="00240629">
            <w:pPr>
              <w:keepNext/>
              <w:keepLines/>
              <w:jc w:val="center"/>
              <w:rPr>
                <w:rFonts w:ascii="Arial Narrow" w:hAnsi="Arial Narrow"/>
                <w:b/>
                <w:sz w:val="20"/>
                <w:szCs w:val="20"/>
              </w:rPr>
            </w:pPr>
            <w:r w:rsidRPr="008C164C">
              <w:rPr>
                <w:rFonts w:ascii="Arial Narrow" w:hAnsi="Arial Narrow"/>
                <w:b/>
                <w:sz w:val="20"/>
                <w:szCs w:val="20"/>
              </w:rPr>
              <w:t>Rpts</w:t>
            </w:r>
          </w:p>
        </w:tc>
        <w:tc>
          <w:tcPr>
            <w:tcW w:w="937" w:type="dxa"/>
            <w:vAlign w:val="center"/>
          </w:tcPr>
          <w:p w14:paraId="144FA59C" w14:textId="77777777" w:rsidR="00B220AB" w:rsidRPr="008C164C" w:rsidRDefault="00B220AB" w:rsidP="00240629">
            <w:pPr>
              <w:keepNext/>
              <w:keepLines/>
              <w:rPr>
                <w:rFonts w:ascii="Arial Narrow" w:hAnsi="Arial Narrow"/>
                <w:b/>
                <w:sz w:val="20"/>
                <w:szCs w:val="20"/>
              </w:rPr>
            </w:pPr>
            <w:r w:rsidRPr="008C164C">
              <w:rPr>
                <w:rFonts w:ascii="Arial Narrow" w:hAnsi="Arial Narrow"/>
                <w:b/>
                <w:sz w:val="20"/>
                <w:szCs w:val="20"/>
              </w:rPr>
              <w:t>Available brands</w:t>
            </w:r>
          </w:p>
        </w:tc>
      </w:tr>
      <w:tr w:rsidR="00B220AB" w:rsidRPr="008C164C" w14:paraId="0FA3B26E" w14:textId="002BFAC7" w:rsidTr="00FD1659">
        <w:trPr>
          <w:cantSplit/>
          <w:trHeight w:val="20"/>
        </w:trPr>
        <w:tc>
          <w:tcPr>
            <w:tcW w:w="9017" w:type="dxa"/>
            <w:gridSpan w:val="6"/>
            <w:vAlign w:val="center"/>
          </w:tcPr>
          <w:p w14:paraId="30538861" w14:textId="0505AB08" w:rsidR="00B220AB" w:rsidRPr="008C164C" w:rsidRDefault="00B220AB" w:rsidP="00240629">
            <w:pPr>
              <w:pStyle w:val="TableText0"/>
              <w:keepLines/>
            </w:pPr>
            <w:r w:rsidRPr="008C164C">
              <w:t xml:space="preserve"> </w:t>
            </w:r>
            <w:proofErr w:type="spellStart"/>
            <w:r w:rsidRPr="008C164C">
              <w:t>Lenacapavir</w:t>
            </w:r>
            <w:proofErr w:type="spellEnd"/>
          </w:p>
        </w:tc>
      </w:tr>
      <w:tr w:rsidR="00B220AB" w:rsidRPr="008C164C" w14:paraId="3F7DEEC3" w14:textId="21B96D7F" w:rsidTr="00FD1659">
        <w:trPr>
          <w:cantSplit/>
          <w:trHeight w:val="20"/>
        </w:trPr>
        <w:tc>
          <w:tcPr>
            <w:tcW w:w="2552" w:type="dxa"/>
            <w:tcBorders>
              <w:bottom w:val="nil"/>
            </w:tcBorders>
            <w:vAlign w:val="center"/>
          </w:tcPr>
          <w:p w14:paraId="2F70C048" w14:textId="0847DCDD" w:rsidR="00B220AB" w:rsidRPr="008C164C" w:rsidRDefault="00B220AB" w:rsidP="00240629">
            <w:pPr>
              <w:pStyle w:val="TableText0"/>
              <w:keepLines/>
            </w:pPr>
            <w:r w:rsidRPr="008C164C">
              <w:t>300mg tablet, 5 tablets per pack</w:t>
            </w:r>
            <w:r w:rsidRPr="008C164C">
              <w:rPr>
                <w:color w:val="0066FF"/>
                <w:szCs w:val="20"/>
              </w:rPr>
              <w:t xml:space="preserve"> </w:t>
            </w:r>
          </w:p>
        </w:tc>
        <w:tc>
          <w:tcPr>
            <w:tcW w:w="2241" w:type="dxa"/>
          </w:tcPr>
          <w:p w14:paraId="138D5DA1" w14:textId="60B19DDA" w:rsidR="00B220AB" w:rsidRPr="008C164C" w:rsidRDefault="00B220AB" w:rsidP="00240629">
            <w:pPr>
              <w:pStyle w:val="TableText0"/>
              <w:keepLines/>
              <w:jc w:val="center"/>
            </w:pPr>
            <w:r w:rsidRPr="008C164C">
              <w:t>$</w:t>
            </w:r>
            <w:r w:rsidR="00851D33">
              <w:t xml:space="preserve"> </w:t>
            </w:r>
            <w:r w:rsidR="00851D33" w:rsidRPr="00851D33">
              <w:rPr>
                <w:color w:val="000000"/>
                <w:shd w:val="solid" w:color="000000" w:fill="000000"/>
                <w14:textFill>
                  <w14:solidFill>
                    <w14:srgbClr w14:val="000000">
                      <w14:alpha w14:val="100000"/>
                    </w14:srgbClr>
                  </w14:solidFill>
                </w14:textFill>
              </w:rPr>
              <w:t>|</w:t>
            </w:r>
            <w:r w:rsidRPr="008C164C">
              <w:t>Published</w:t>
            </w:r>
          </w:p>
          <w:p w14:paraId="314DAA4D" w14:textId="0AA9345E" w:rsidR="00B220AB" w:rsidRPr="008C164C" w:rsidRDefault="00B220AB" w:rsidP="00240629">
            <w:pPr>
              <w:pStyle w:val="TableText0"/>
              <w:keepLines/>
              <w:jc w:val="center"/>
              <w:rPr>
                <w:szCs w:val="20"/>
              </w:rPr>
            </w:pPr>
            <w:r w:rsidRPr="008C164C">
              <w:t>$</w:t>
            </w:r>
            <w:r w:rsidR="00851D33">
              <w:t xml:space="preserve"> </w:t>
            </w:r>
            <w:r w:rsidR="00851D33" w:rsidRPr="00851D33">
              <w:rPr>
                <w:color w:val="000000"/>
                <w:shd w:val="solid" w:color="000000" w:fill="000000"/>
                <w14:textFill>
                  <w14:solidFill>
                    <w14:srgbClr w14:val="000000">
                      <w14:alpha w14:val="100000"/>
                    </w14:srgbClr>
                  </w14:solidFill>
                </w14:textFill>
              </w:rPr>
              <w:t>|</w:t>
            </w:r>
            <w:r w:rsidRPr="008C164C">
              <w:t>Effective</w:t>
            </w:r>
          </w:p>
        </w:tc>
        <w:tc>
          <w:tcPr>
            <w:tcW w:w="1303" w:type="dxa"/>
            <w:vAlign w:val="center"/>
          </w:tcPr>
          <w:p w14:paraId="0B8B2A63" w14:textId="77777777" w:rsidR="00B220AB" w:rsidRPr="008C164C" w:rsidRDefault="00B220AB" w:rsidP="00240629">
            <w:pPr>
              <w:keepNext/>
              <w:keepLines/>
              <w:jc w:val="center"/>
              <w:rPr>
                <w:rFonts w:ascii="Arial Narrow" w:hAnsi="Arial Narrow"/>
                <w:sz w:val="20"/>
                <w:szCs w:val="20"/>
              </w:rPr>
            </w:pPr>
            <w:r w:rsidRPr="008C164C">
              <w:rPr>
                <w:rFonts w:ascii="Arial Narrow" w:hAnsi="Arial Narrow"/>
                <w:sz w:val="20"/>
              </w:rPr>
              <w:t>1</w:t>
            </w:r>
          </w:p>
        </w:tc>
        <w:tc>
          <w:tcPr>
            <w:tcW w:w="1275" w:type="dxa"/>
            <w:vAlign w:val="center"/>
          </w:tcPr>
          <w:p w14:paraId="74E5C658" w14:textId="77777777" w:rsidR="00B220AB" w:rsidRPr="008C164C" w:rsidRDefault="00B220AB" w:rsidP="00240629">
            <w:pPr>
              <w:keepNext/>
              <w:keepLines/>
              <w:jc w:val="center"/>
              <w:rPr>
                <w:rFonts w:ascii="Arial Narrow" w:hAnsi="Arial Narrow"/>
                <w:sz w:val="20"/>
                <w:szCs w:val="20"/>
              </w:rPr>
            </w:pPr>
            <w:r w:rsidRPr="008C164C">
              <w:rPr>
                <w:rFonts w:ascii="Arial Narrow" w:hAnsi="Arial Narrow"/>
                <w:sz w:val="20"/>
              </w:rPr>
              <w:t>5</w:t>
            </w:r>
          </w:p>
        </w:tc>
        <w:tc>
          <w:tcPr>
            <w:tcW w:w="709" w:type="dxa"/>
            <w:vAlign w:val="center"/>
          </w:tcPr>
          <w:p w14:paraId="2DF70885" w14:textId="77777777" w:rsidR="00B220AB" w:rsidRPr="008C164C" w:rsidRDefault="00B220AB" w:rsidP="00240629">
            <w:pPr>
              <w:keepNext/>
              <w:keepLines/>
              <w:jc w:val="center"/>
              <w:rPr>
                <w:rFonts w:ascii="Arial Narrow" w:hAnsi="Arial Narrow"/>
                <w:sz w:val="20"/>
                <w:szCs w:val="20"/>
              </w:rPr>
            </w:pPr>
            <w:r w:rsidRPr="008C164C">
              <w:rPr>
                <w:rFonts w:ascii="Arial Narrow" w:hAnsi="Arial Narrow"/>
                <w:sz w:val="20"/>
              </w:rPr>
              <w:t>0</w:t>
            </w:r>
          </w:p>
        </w:tc>
        <w:tc>
          <w:tcPr>
            <w:tcW w:w="937" w:type="dxa"/>
            <w:vAlign w:val="center"/>
          </w:tcPr>
          <w:p w14:paraId="790E952E" w14:textId="3AD51D04" w:rsidR="00B220AB" w:rsidRPr="008C164C" w:rsidRDefault="00B220AB" w:rsidP="00240629">
            <w:pPr>
              <w:keepNext/>
              <w:keepLines/>
              <w:rPr>
                <w:rFonts w:ascii="Arial Narrow" w:hAnsi="Arial Narrow"/>
                <w:sz w:val="20"/>
                <w:szCs w:val="20"/>
              </w:rPr>
            </w:pPr>
            <w:proofErr w:type="spellStart"/>
            <w:r w:rsidRPr="008C164C">
              <w:rPr>
                <w:rFonts w:ascii="Arial Narrow" w:hAnsi="Arial Narrow"/>
                <w:sz w:val="20"/>
                <w:szCs w:val="20"/>
              </w:rPr>
              <w:t>Sunle</w:t>
            </w:r>
            <w:r w:rsidR="00633772">
              <w:rPr>
                <w:rFonts w:ascii="Arial Narrow" w:hAnsi="Arial Narrow"/>
                <w:sz w:val="20"/>
                <w:szCs w:val="20"/>
              </w:rPr>
              <w:t>n</w:t>
            </w:r>
            <w:r w:rsidRPr="008C164C">
              <w:rPr>
                <w:rFonts w:ascii="Arial Narrow" w:hAnsi="Arial Narrow"/>
                <w:sz w:val="20"/>
                <w:szCs w:val="20"/>
              </w:rPr>
              <w:t>ca</w:t>
            </w:r>
            <w:proofErr w:type="spellEnd"/>
          </w:p>
        </w:tc>
      </w:tr>
      <w:tr w:rsidR="00B220AB" w:rsidRPr="008C164C" w14:paraId="43A1E6E8" w14:textId="07FB2314" w:rsidTr="00FD1659">
        <w:trPr>
          <w:cantSplit/>
          <w:trHeight w:val="20"/>
        </w:trPr>
        <w:tc>
          <w:tcPr>
            <w:tcW w:w="2552" w:type="dxa"/>
            <w:tcBorders>
              <w:top w:val="nil"/>
            </w:tcBorders>
            <w:vAlign w:val="center"/>
          </w:tcPr>
          <w:p w14:paraId="5D3D7BCA" w14:textId="77777777" w:rsidR="00B220AB" w:rsidRPr="008C164C" w:rsidRDefault="00B220AB" w:rsidP="00240629">
            <w:pPr>
              <w:keepNext/>
              <w:keepLines/>
              <w:rPr>
                <w:rFonts w:ascii="Arial Narrow" w:hAnsi="Arial Narrow"/>
                <w:sz w:val="20"/>
                <w:szCs w:val="20"/>
              </w:rPr>
            </w:pPr>
            <w:r w:rsidRPr="008C164C">
              <w:rPr>
                <w:rFonts w:ascii="Arial Narrow" w:hAnsi="Arial Narrow"/>
                <w:sz w:val="20"/>
                <w:szCs w:val="20"/>
              </w:rPr>
              <w:t>463.5 mg/1.5 mL [309 mg/mL] for SC injection, 2 vials per pack</w:t>
            </w:r>
          </w:p>
        </w:tc>
        <w:tc>
          <w:tcPr>
            <w:tcW w:w="2241" w:type="dxa"/>
          </w:tcPr>
          <w:p w14:paraId="1AC2E321" w14:textId="73DBA7CF" w:rsidR="00B220AB" w:rsidRPr="008C164C" w:rsidRDefault="00B220AB" w:rsidP="00240629">
            <w:pPr>
              <w:pStyle w:val="TableText0"/>
              <w:keepLines/>
              <w:jc w:val="center"/>
            </w:pPr>
            <w:r w:rsidRPr="008C164C">
              <w:t>$</w:t>
            </w:r>
            <w:r w:rsidR="00851D33">
              <w:t xml:space="preserve"> </w:t>
            </w:r>
            <w:r w:rsidR="00851D33" w:rsidRPr="00851D33">
              <w:rPr>
                <w:color w:val="000000"/>
                <w:shd w:val="solid" w:color="000000" w:fill="000000"/>
                <w14:textFill>
                  <w14:solidFill>
                    <w14:srgbClr w14:val="000000">
                      <w14:alpha w14:val="100000"/>
                    </w14:srgbClr>
                  </w14:solidFill>
                </w14:textFill>
              </w:rPr>
              <w:t>|</w:t>
            </w:r>
            <w:r w:rsidRPr="008C164C">
              <w:t>Published</w:t>
            </w:r>
          </w:p>
          <w:p w14:paraId="41902E4C" w14:textId="21EA0006" w:rsidR="00B220AB" w:rsidRPr="008C164C" w:rsidRDefault="00B220AB" w:rsidP="00240629">
            <w:pPr>
              <w:pStyle w:val="TableText0"/>
              <w:keepLines/>
              <w:jc w:val="center"/>
              <w:rPr>
                <w:szCs w:val="20"/>
              </w:rPr>
            </w:pPr>
            <w:r w:rsidRPr="008C164C">
              <w:t>$</w:t>
            </w:r>
            <w:r w:rsidR="00851D33">
              <w:t xml:space="preserve"> </w:t>
            </w:r>
            <w:r w:rsidR="00851D33" w:rsidRPr="00851D33">
              <w:rPr>
                <w:color w:val="000000"/>
                <w:shd w:val="solid" w:color="000000" w:fill="000000"/>
                <w14:textFill>
                  <w14:solidFill>
                    <w14:srgbClr w14:val="000000">
                      <w14:alpha w14:val="100000"/>
                    </w14:srgbClr>
                  </w14:solidFill>
                </w14:textFill>
              </w:rPr>
              <w:t>|</w:t>
            </w:r>
            <w:r w:rsidRPr="008C164C">
              <w:t>Effective</w:t>
            </w:r>
          </w:p>
        </w:tc>
        <w:tc>
          <w:tcPr>
            <w:tcW w:w="1303" w:type="dxa"/>
            <w:vAlign w:val="center"/>
          </w:tcPr>
          <w:p w14:paraId="534CF41F" w14:textId="77777777" w:rsidR="00B220AB" w:rsidRPr="008C164C" w:rsidRDefault="00B220AB" w:rsidP="00240629">
            <w:pPr>
              <w:keepNext/>
              <w:keepLines/>
              <w:jc w:val="center"/>
              <w:rPr>
                <w:rFonts w:ascii="Arial Narrow" w:hAnsi="Arial Narrow"/>
                <w:sz w:val="20"/>
                <w:szCs w:val="20"/>
              </w:rPr>
            </w:pPr>
            <w:r w:rsidRPr="008C164C">
              <w:rPr>
                <w:rFonts w:ascii="Arial Narrow" w:hAnsi="Arial Narrow"/>
                <w:sz w:val="20"/>
              </w:rPr>
              <w:t>1</w:t>
            </w:r>
          </w:p>
        </w:tc>
        <w:tc>
          <w:tcPr>
            <w:tcW w:w="1275" w:type="dxa"/>
            <w:vAlign w:val="center"/>
          </w:tcPr>
          <w:p w14:paraId="4A3E3349" w14:textId="77777777" w:rsidR="00B220AB" w:rsidRPr="008C164C" w:rsidRDefault="00B220AB" w:rsidP="00240629">
            <w:pPr>
              <w:keepNext/>
              <w:keepLines/>
              <w:jc w:val="center"/>
              <w:rPr>
                <w:rFonts w:ascii="Arial Narrow" w:hAnsi="Arial Narrow"/>
                <w:sz w:val="20"/>
                <w:szCs w:val="20"/>
              </w:rPr>
            </w:pPr>
            <w:r w:rsidRPr="008C164C">
              <w:rPr>
                <w:rFonts w:ascii="Arial Narrow" w:hAnsi="Arial Narrow"/>
                <w:sz w:val="20"/>
              </w:rPr>
              <w:t>2</w:t>
            </w:r>
          </w:p>
        </w:tc>
        <w:tc>
          <w:tcPr>
            <w:tcW w:w="709" w:type="dxa"/>
            <w:vAlign w:val="center"/>
          </w:tcPr>
          <w:p w14:paraId="4F42522F" w14:textId="77777777" w:rsidR="00B220AB" w:rsidRPr="008C164C" w:rsidRDefault="00B220AB" w:rsidP="00240629">
            <w:pPr>
              <w:keepNext/>
              <w:keepLines/>
              <w:jc w:val="center"/>
              <w:rPr>
                <w:rFonts w:ascii="Arial Narrow" w:hAnsi="Arial Narrow"/>
                <w:sz w:val="20"/>
                <w:szCs w:val="20"/>
              </w:rPr>
            </w:pPr>
            <w:r w:rsidRPr="008C164C">
              <w:rPr>
                <w:rFonts w:ascii="Arial Narrow" w:hAnsi="Arial Narrow"/>
                <w:sz w:val="20"/>
              </w:rPr>
              <w:t>0</w:t>
            </w:r>
          </w:p>
        </w:tc>
        <w:tc>
          <w:tcPr>
            <w:tcW w:w="937" w:type="dxa"/>
            <w:vAlign w:val="center"/>
          </w:tcPr>
          <w:p w14:paraId="3E57A6AC" w14:textId="6A22E7FB" w:rsidR="00B220AB" w:rsidRPr="008C164C" w:rsidRDefault="00B220AB" w:rsidP="00240629">
            <w:pPr>
              <w:keepNext/>
              <w:keepLines/>
              <w:jc w:val="left"/>
              <w:rPr>
                <w:rFonts w:ascii="Arial Narrow" w:hAnsi="Arial Narrow"/>
                <w:sz w:val="20"/>
                <w:szCs w:val="20"/>
              </w:rPr>
            </w:pPr>
            <w:proofErr w:type="spellStart"/>
            <w:r w:rsidRPr="008C164C">
              <w:rPr>
                <w:rFonts w:ascii="Arial Narrow" w:hAnsi="Arial Narrow"/>
                <w:sz w:val="20"/>
                <w:szCs w:val="20"/>
              </w:rPr>
              <w:t>Sunle</w:t>
            </w:r>
            <w:r w:rsidR="00633772">
              <w:rPr>
                <w:rFonts w:ascii="Arial Narrow" w:hAnsi="Arial Narrow"/>
                <w:sz w:val="20"/>
                <w:szCs w:val="20"/>
              </w:rPr>
              <w:t>n</w:t>
            </w:r>
            <w:r w:rsidRPr="008C164C">
              <w:rPr>
                <w:rFonts w:ascii="Arial Narrow" w:hAnsi="Arial Narrow"/>
                <w:sz w:val="20"/>
                <w:szCs w:val="20"/>
              </w:rPr>
              <w:t>ca</w:t>
            </w:r>
            <w:proofErr w:type="spellEnd"/>
          </w:p>
        </w:tc>
      </w:tr>
    </w:tbl>
    <w:p w14:paraId="0C9CD71A" w14:textId="1C20F68E" w:rsidR="00FD1B4A" w:rsidRPr="008C164C" w:rsidRDefault="00FD1B4A" w:rsidP="00FD1B4A">
      <w:pPr>
        <w:pStyle w:val="TableFigureHeading"/>
        <w:rPr>
          <w:rStyle w:val="CommentReference"/>
          <w:b/>
          <w:szCs w:val="24"/>
        </w:rPr>
      </w:pPr>
      <w:bookmarkStart w:id="12" w:name="_Hlk104809082"/>
    </w:p>
    <w:p w14:paraId="379F6EB7" w14:textId="77777777" w:rsidR="003B7225" w:rsidRPr="008C164C" w:rsidRDefault="003B7225" w:rsidP="003B7225">
      <w:pPr>
        <w:pStyle w:val="In-tableHeading"/>
        <w:rPr>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99276D" w:rsidRPr="008C164C" w14:paraId="31351630" w14:textId="77777777" w:rsidTr="00593021">
        <w:tc>
          <w:tcPr>
            <w:tcW w:w="5000" w:type="pct"/>
            <w:tcBorders>
              <w:top w:val="single" w:sz="4" w:space="0" w:color="auto"/>
              <w:left w:val="single" w:sz="4" w:space="0" w:color="auto"/>
              <w:bottom w:val="single" w:sz="4" w:space="0" w:color="auto"/>
              <w:right w:val="single" w:sz="4" w:space="0" w:color="auto"/>
            </w:tcBorders>
          </w:tcPr>
          <w:bookmarkEnd w:id="12"/>
          <w:p w14:paraId="7EDE4CCB" w14:textId="77777777" w:rsidR="0099276D" w:rsidRPr="008C164C" w:rsidRDefault="0099276D" w:rsidP="00957257">
            <w:pPr>
              <w:rPr>
                <w:rFonts w:ascii="Arial Narrow" w:hAnsi="Arial Narrow"/>
                <w:sz w:val="20"/>
                <w:szCs w:val="20"/>
              </w:rPr>
            </w:pPr>
            <w:r w:rsidRPr="008C164C">
              <w:rPr>
                <w:rFonts w:ascii="Arial Narrow" w:hAnsi="Arial Narrow"/>
                <w:b/>
                <w:sz w:val="20"/>
                <w:szCs w:val="20"/>
              </w:rPr>
              <w:t xml:space="preserve">Category / Program: </w:t>
            </w:r>
            <w:r w:rsidRPr="008C164C">
              <w:rPr>
                <w:rFonts w:ascii="Arial Narrow" w:hAnsi="Arial Narrow"/>
                <w:sz w:val="20"/>
                <w:szCs w:val="20"/>
              </w:rPr>
              <w:t xml:space="preserve">Section 100 – Highly Specialised Drugs Program {Community Access} </w:t>
            </w:r>
          </w:p>
        </w:tc>
      </w:tr>
      <w:tr w:rsidR="0099276D" w:rsidRPr="008C164C" w14:paraId="0C9F2BC4" w14:textId="77777777" w:rsidTr="00593021">
        <w:trPr>
          <w:trHeight w:val="88"/>
        </w:trPr>
        <w:tc>
          <w:tcPr>
            <w:tcW w:w="5000" w:type="pct"/>
            <w:tcBorders>
              <w:top w:val="single" w:sz="4" w:space="0" w:color="auto"/>
              <w:left w:val="single" w:sz="4" w:space="0" w:color="auto"/>
              <w:bottom w:val="single" w:sz="4" w:space="0" w:color="auto"/>
              <w:right w:val="single" w:sz="4" w:space="0" w:color="auto"/>
            </w:tcBorders>
          </w:tcPr>
          <w:p w14:paraId="24E8A8C4" w14:textId="77777777" w:rsidR="0099276D" w:rsidRPr="008C164C" w:rsidRDefault="0099276D" w:rsidP="00957257">
            <w:pPr>
              <w:rPr>
                <w:rFonts w:ascii="Arial Narrow" w:hAnsi="Arial Narrow"/>
                <w:sz w:val="20"/>
                <w:szCs w:val="20"/>
              </w:rPr>
            </w:pPr>
            <w:r w:rsidRPr="008C164C">
              <w:rPr>
                <w:rFonts w:ascii="Arial Narrow" w:hAnsi="Arial Narrow"/>
                <w:b/>
                <w:sz w:val="20"/>
                <w:szCs w:val="20"/>
              </w:rPr>
              <w:t xml:space="preserve">Prescriber type:  </w:t>
            </w:r>
            <w:r w:rsidRPr="008C164C">
              <w:rPr>
                <w:rFonts w:ascii="Arial Narrow" w:hAnsi="Arial Narrow"/>
                <w:sz w:val="20"/>
                <w:szCs w:val="20"/>
              </w:rPr>
              <w:fldChar w:fldCharType="begin" w:fldLock="1">
                <w:ffData>
                  <w:name w:val=""/>
                  <w:enabled/>
                  <w:calcOnExit w:val="0"/>
                  <w:checkBox>
                    <w:sizeAuto/>
                    <w:default w:val="1"/>
                  </w:checkBox>
                </w:ffData>
              </w:fldChar>
            </w:r>
            <w:r w:rsidRPr="008C164C">
              <w:rPr>
                <w:rFonts w:ascii="Arial Narrow" w:hAnsi="Arial Narrow"/>
                <w:sz w:val="20"/>
                <w:szCs w:val="20"/>
              </w:rPr>
              <w:instrText xml:space="preserve"> FORMCHECKBOX </w:instrText>
            </w:r>
            <w:r w:rsidR="00B25BFE">
              <w:rPr>
                <w:rFonts w:ascii="Arial Narrow" w:hAnsi="Arial Narrow"/>
                <w:sz w:val="20"/>
                <w:szCs w:val="20"/>
              </w:rPr>
            </w:r>
            <w:r w:rsidR="00B25BFE">
              <w:rPr>
                <w:rFonts w:ascii="Arial Narrow" w:hAnsi="Arial Narrow"/>
                <w:sz w:val="20"/>
                <w:szCs w:val="20"/>
              </w:rPr>
              <w:fldChar w:fldCharType="separate"/>
            </w:r>
            <w:r w:rsidRPr="008C164C">
              <w:rPr>
                <w:rFonts w:ascii="Arial Narrow" w:hAnsi="Arial Narrow"/>
                <w:sz w:val="20"/>
                <w:szCs w:val="20"/>
              </w:rPr>
              <w:fldChar w:fldCharType="end"/>
            </w:r>
            <w:r w:rsidRPr="008C164C">
              <w:rPr>
                <w:rFonts w:ascii="Arial Narrow" w:hAnsi="Arial Narrow"/>
                <w:sz w:val="20"/>
                <w:szCs w:val="20"/>
              </w:rPr>
              <w:t xml:space="preserve">Medical Practitioners  </w:t>
            </w:r>
            <w:r w:rsidRPr="008C164C">
              <w:rPr>
                <w:rFonts w:ascii="Arial Narrow" w:hAnsi="Arial Narrow"/>
                <w:sz w:val="20"/>
                <w:szCs w:val="20"/>
              </w:rPr>
              <w:fldChar w:fldCharType="begin" w:fldLock="1">
                <w:ffData>
                  <w:name w:val="Check3"/>
                  <w:enabled/>
                  <w:calcOnExit w:val="0"/>
                  <w:checkBox>
                    <w:sizeAuto/>
                    <w:default w:val="1"/>
                  </w:checkBox>
                </w:ffData>
              </w:fldChar>
            </w:r>
            <w:r w:rsidRPr="008C164C">
              <w:rPr>
                <w:rFonts w:ascii="Arial Narrow" w:hAnsi="Arial Narrow"/>
                <w:sz w:val="20"/>
                <w:szCs w:val="20"/>
              </w:rPr>
              <w:instrText xml:space="preserve"> FORMCHECKBOX </w:instrText>
            </w:r>
            <w:r w:rsidR="00B25BFE">
              <w:rPr>
                <w:rFonts w:ascii="Arial Narrow" w:hAnsi="Arial Narrow"/>
                <w:sz w:val="20"/>
                <w:szCs w:val="20"/>
              </w:rPr>
            </w:r>
            <w:r w:rsidR="00B25BFE">
              <w:rPr>
                <w:rFonts w:ascii="Arial Narrow" w:hAnsi="Arial Narrow"/>
                <w:sz w:val="20"/>
                <w:szCs w:val="20"/>
              </w:rPr>
              <w:fldChar w:fldCharType="separate"/>
            </w:r>
            <w:r w:rsidRPr="008C164C">
              <w:rPr>
                <w:rFonts w:ascii="Arial Narrow" w:hAnsi="Arial Narrow"/>
                <w:sz w:val="20"/>
                <w:szCs w:val="20"/>
              </w:rPr>
              <w:fldChar w:fldCharType="end"/>
            </w:r>
            <w:r w:rsidRPr="008C164C">
              <w:rPr>
                <w:rFonts w:ascii="Arial Narrow" w:hAnsi="Arial Narrow"/>
                <w:sz w:val="20"/>
                <w:szCs w:val="20"/>
              </w:rPr>
              <w:t xml:space="preserve">Nurse practitioners </w:t>
            </w:r>
          </w:p>
        </w:tc>
      </w:tr>
      <w:tr w:rsidR="0099276D" w:rsidRPr="008C164C" w14:paraId="77821F3A" w14:textId="77777777" w:rsidTr="00593021">
        <w:tc>
          <w:tcPr>
            <w:tcW w:w="5000" w:type="pct"/>
            <w:tcBorders>
              <w:top w:val="single" w:sz="4" w:space="0" w:color="auto"/>
              <w:left w:val="single" w:sz="4" w:space="0" w:color="auto"/>
              <w:bottom w:val="single" w:sz="4" w:space="0" w:color="auto"/>
              <w:right w:val="single" w:sz="4" w:space="0" w:color="auto"/>
            </w:tcBorders>
          </w:tcPr>
          <w:p w14:paraId="39FB4490" w14:textId="77777777" w:rsidR="0099276D" w:rsidRPr="008C164C" w:rsidRDefault="0099276D" w:rsidP="00957257">
            <w:pPr>
              <w:rPr>
                <w:rFonts w:ascii="Arial Narrow" w:hAnsi="Arial Narrow"/>
                <w:sz w:val="20"/>
                <w:szCs w:val="20"/>
              </w:rPr>
            </w:pPr>
            <w:r w:rsidRPr="008C164C">
              <w:rPr>
                <w:rFonts w:ascii="Arial Narrow" w:hAnsi="Arial Narrow"/>
                <w:b/>
                <w:sz w:val="20"/>
                <w:szCs w:val="20"/>
              </w:rPr>
              <w:t xml:space="preserve">Restriction Level / Method: </w:t>
            </w:r>
            <w:r w:rsidRPr="008C164C">
              <w:rPr>
                <w:rFonts w:ascii="Arial Narrow" w:hAnsi="Arial Narrow"/>
                <w:sz w:val="20"/>
                <w:szCs w:val="20"/>
              </w:rPr>
              <w:fldChar w:fldCharType="begin" w:fldLock="1">
                <w:ffData>
                  <w:name w:val=""/>
                  <w:enabled/>
                  <w:calcOnExit w:val="0"/>
                  <w:checkBox>
                    <w:sizeAuto/>
                    <w:default w:val="1"/>
                  </w:checkBox>
                </w:ffData>
              </w:fldChar>
            </w:r>
            <w:r w:rsidRPr="008C164C">
              <w:rPr>
                <w:rFonts w:ascii="Arial Narrow" w:hAnsi="Arial Narrow"/>
                <w:sz w:val="20"/>
                <w:szCs w:val="20"/>
              </w:rPr>
              <w:instrText xml:space="preserve"> FORMCHECKBOX </w:instrText>
            </w:r>
            <w:r w:rsidR="00B25BFE">
              <w:rPr>
                <w:rFonts w:ascii="Arial Narrow" w:hAnsi="Arial Narrow"/>
                <w:sz w:val="20"/>
                <w:szCs w:val="20"/>
              </w:rPr>
            </w:r>
            <w:r w:rsidR="00B25BFE">
              <w:rPr>
                <w:rFonts w:ascii="Arial Narrow" w:hAnsi="Arial Narrow"/>
                <w:sz w:val="20"/>
                <w:szCs w:val="20"/>
              </w:rPr>
              <w:fldChar w:fldCharType="separate"/>
            </w:r>
            <w:r w:rsidRPr="008C164C">
              <w:rPr>
                <w:rFonts w:ascii="Arial Narrow" w:hAnsi="Arial Narrow"/>
                <w:sz w:val="20"/>
                <w:szCs w:val="20"/>
              </w:rPr>
              <w:fldChar w:fldCharType="end"/>
            </w:r>
            <w:r w:rsidRPr="008C164C">
              <w:rPr>
                <w:rFonts w:ascii="Arial Narrow" w:hAnsi="Arial Narrow"/>
                <w:sz w:val="20"/>
                <w:szCs w:val="20"/>
              </w:rPr>
              <w:t>Authority Required (Streamlined) [code new 2B]</w:t>
            </w:r>
          </w:p>
        </w:tc>
      </w:tr>
      <w:tr w:rsidR="0099276D" w:rsidRPr="008C164C" w14:paraId="79757C09" w14:textId="77777777" w:rsidTr="00593021">
        <w:tc>
          <w:tcPr>
            <w:tcW w:w="5000" w:type="pct"/>
            <w:vAlign w:val="center"/>
          </w:tcPr>
          <w:p w14:paraId="2F9706D6" w14:textId="77777777" w:rsidR="0099276D" w:rsidRPr="008C164C" w:rsidRDefault="0099276D" w:rsidP="00957257">
            <w:pPr>
              <w:rPr>
                <w:rFonts w:ascii="Arial Narrow" w:hAnsi="Arial Narrow"/>
                <w:color w:val="333333"/>
                <w:sz w:val="20"/>
                <w:szCs w:val="20"/>
              </w:rPr>
            </w:pPr>
            <w:r w:rsidRPr="008C164C">
              <w:rPr>
                <w:rFonts w:ascii="Arial Narrow" w:hAnsi="Arial Narrow"/>
                <w:b/>
                <w:bCs/>
                <w:color w:val="333333"/>
                <w:sz w:val="20"/>
                <w:szCs w:val="20"/>
              </w:rPr>
              <w:t>Administrative Advice:</w:t>
            </w:r>
          </w:p>
          <w:p w14:paraId="4FEE0653" w14:textId="77777777" w:rsidR="0099276D" w:rsidRPr="008C164C" w:rsidRDefault="0099276D" w:rsidP="00957257">
            <w:pPr>
              <w:rPr>
                <w:rFonts w:ascii="Arial Narrow" w:hAnsi="Arial Narrow"/>
                <w:color w:val="333333"/>
                <w:sz w:val="20"/>
                <w:szCs w:val="20"/>
              </w:rPr>
            </w:pPr>
            <w:r w:rsidRPr="008C164C">
              <w:rPr>
                <w:rFonts w:ascii="Arial Narrow" w:hAnsi="Arial Narrow"/>
                <w:color w:val="333333"/>
                <w:sz w:val="20"/>
                <w:szCs w:val="20"/>
              </w:rPr>
              <w:t>No increase in the maximum quantity or number of units may be authorised.</w:t>
            </w:r>
          </w:p>
        </w:tc>
      </w:tr>
      <w:tr w:rsidR="0099276D" w:rsidRPr="008C164C" w14:paraId="412FE4FE" w14:textId="77777777" w:rsidTr="00593021">
        <w:tc>
          <w:tcPr>
            <w:tcW w:w="5000" w:type="pct"/>
            <w:vAlign w:val="center"/>
          </w:tcPr>
          <w:p w14:paraId="2C029F67" w14:textId="77777777" w:rsidR="0099276D" w:rsidRPr="008C164C" w:rsidRDefault="0099276D" w:rsidP="00957257">
            <w:pPr>
              <w:rPr>
                <w:rFonts w:ascii="Arial Narrow" w:hAnsi="Arial Narrow"/>
                <w:color w:val="333333"/>
                <w:sz w:val="20"/>
                <w:szCs w:val="20"/>
              </w:rPr>
            </w:pPr>
            <w:r w:rsidRPr="008C164C">
              <w:rPr>
                <w:rFonts w:ascii="Arial Narrow" w:hAnsi="Arial Narrow"/>
                <w:b/>
                <w:bCs/>
                <w:color w:val="333333"/>
                <w:sz w:val="20"/>
                <w:szCs w:val="20"/>
              </w:rPr>
              <w:t>Administrative Advice:</w:t>
            </w:r>
          </w:p>
          <w:p w14:paraId="7BA9EE82" w14:textId="77777777" w:rsidR="0099276D" w:rsidRPr="008C164C" w:rsidRDefault="0099276D" w:rsidP="00957257">
            <w:pPr>
              <w:rPr>
                <w:rFonts w:ascii="Arial Narrow" w:hAnsi="Arial Narrow"/>
                <w:b/>
                <w:bCs/>
                <w:color w:val="333333"/>
                <w:sz w:val="20"/>
                <w:szCs w:val="20"/>
              </w:rPr>
            </w:pPr>
            <w:r w:rsidRPr="008C164C">
              <w:rPr>
                <w:rFonts w:ascii="Arial Narrow" w:hAnsi="Arial Narrow"/>
                <w:color w:val="333333"/>
                <w:sz w:val="20"/>
                <w:szCs w:val="20"/>
              </w:rPr>
              <w:t>No increase in the maximum number of repeats may be authorised.</w:t>
            </w:r>
          </w:p>
        </w:tc>
      </w:tr>
      <w:tr w:rsidR="003379E8" w:rsidRPr="008C164C" w14:paraId="0E5C5475" w14:textId="77777777" w:rsidTr="003379E8">
        <w:trPr>
          <w:trHeight w:val="284"/>
        </w:trPr>
        <w:tc>
          <w:tcPr>
            <w:tcW w:w="5000" w:type="pct"/>
            <w:vAlign w:val="center"/>
          </w:tcPr>
          <w:p w14:paraId="2F238843" w14:textId="77777777" w:rsidR="003379E8" w:rsidRPr="008C164C" w:rsidRDefault="003379E8" w:rsidP="00957257">
            <w:pPr>
              <w:rPr>
                <w:rFonts w:ascii="Arial Narrow" w:hAnsi="Arial Narrow"/>
                <w:color w:val="333333"/>
                <w:sz w:val="20"/>
                <w:szCs w:val="20"/>
              </w:rPr>
            </w:pPr>
            <w:r w:rsidRPr="008C164C">
              <w:rPr>
                <w:rFonts w:ascii="Arial Narrow" w:hAnsi="Arial Narrow"/>
                <w:b/>
                <w:bCs/>
                <w:color w:val="333333"/>
                <w:sz w:val="20"/>
                <w:szCs w:val="20"/>
              </w:rPr>
              <w:t>Administrative Advice:</w:t>
            </w:r>
          </w:p>
          <w:p w14:paraId="012F4AFC" w14:textId="77777777" w:rsidR="003379E8" w:rsidRPr="008C164C" w:rsidRDefault="003379E8" w:rsidP="00957257">
            <w:pPr>
              <w:rPr>
                <w:rFonts w:ascii="Arial Narrow" w:hAnsi="Arial Narrow"/>
                <w:b/>
                <w:bCs/>
                <w:color w:val="333333"/>
                <w:sz w:val="20"/>
                <w:szCs w:val="20"/>
              </w:rPr>
            </w:pPr>
            <w:r w:rsidRPr="008C164C">
              <w:rPr>
                <w:rFonts w:ascii="Arial Narrow" w:hAnsi="Arial Narrow"/>
                <w:color w:val="333333"/>
                <w:sz w:val="20"/>
                <w:szCs w:val="20"/>
              </w:rPr>
              <w:t>Special Pricing Arrangements apply.</w:t>
            </w:r>
          </w:p>
        </w:tc>
      </w:tr>
      <w:tr w:rsidR="0099276D" w:rsidRPr="008C164C" w14:paraId="44493BED" w14:textId="77777777" w:rsidTr="00593021">
        <w:tc>
          <w:tcPr>
            <w:tcW w:w="5000" w:type="pct"/>
            <w:vAlign w:val="center"/>
          </w:tcPr>
          <w:p w14:paraId="0692AED1" w14:textId="77777777" w:rsidR="0099276D" w:rsidRPr="008C164C" w:rsidRDefault="0099276D" w:rsidP="00957257">
            <w:pPr>
              <w:rPr>
                <w:rFonts w:ascii="Arial Narrow" w:hAnsi="Arial Narrow"/>
                <w:color w:val="333333"/>
                <w:sz w:val="20"/>
                <w:szCs w:val="20"/>
              </w:rPr>
            </w:pPr>
            <w:r w:rsidRPr="008C164C">
              <w:rPr>
                <w:rFonts w:ascii="Arial Narrow" w:hAnsi="Arial Narrow"/>
                <w:b/>
                <w:bCs/>
                <w:color w:val="333333"/>
                <w:sz w:val="20"/>
                <w:szCs w:val="20"/>
              </w:rPr>
              <w:t>Indication:</w:t>
            </w:r>
            <w:r w:rsidRPr="008C164C">
              <w:rPr>
                <w:rFonts w:ascii="Arial Narrow" w:hAnsi="Arial Narrow"/>
                <w:color w:val="333333"/>
                <w:sz w:val="20"/>
                <w:szCs w:val="20"/>
              </w:rPr>
              <w:t xml:space="preserve"> Human immunodeficiency virus (HIV) </w:t>
            </w:r>
          </w:p>
        </w:tc>
      </w:tr>
      <w:tr w:rsidR="0099276D" w:rsidRPr="008C164C" w14:paraId="42FF0E08" w14:textId="77777777" w:rsidTr="00593021">
        <w:tc>
          <w:tcPr>
            <w:tcW w:w="5000" w:type="pct"/>
            <w:vAlign w:val="center"/>
          </w:tcPr>
          <w:p w14:paraId="5CF520FA" w14:textId="77777777" w:rsidR="0099276D" w:rsidRPr="008C164C" w:rsidRDefault="0099276D" w:rsidP="00957257">
            <w:pPr>
              <w:rPr>
                <w:rFonts w:ascii="Arial Narrow" w:hAnsi="Arial Narrow"/>
                <w:color w:val="333333"/>
                <w:sz w:val="20"/>
                <w:szCs w:val="20"/>
              </w:rPr>
            </w:pPr>
            <w:r w:rsidRPr="008C164C">
              <w:rPr>
                <w:rFonts w:ascii="Arial Narrow" w:hAnsi="Arial Narrow"/>
                <w:b/>
                <w:bCs/>
                <w:color w:val="333333"/>
                <w:sz w:val="20"/>
                <w:szCs w:val="20"/>
              </w:rPr>
              <w:t xml:space="preserve">Clinical criteria: </w:t>
            </w:r>
          </w:p>
        </w:tc>
      </w:tr>
      <w:tr w:rsidR="0099276D" w:rsidRPr="008C164C" w14:paraId="2551C663" w14:textId="77777777" w:rsidTr="00593021">
        <w:tc>
          <w:tcPr>
            <w:tcW w:w="5000" w:type="pct"/>
            <w:vAlign w:val="center"/>
          </w:tcPr>
          <w:p w14:paraId="5E956BB4" w14:textId="2E1912B2" w:rsidR="0099276D" w:rsidRPr="008C164C" w:rsidRDefault="0099276D" w:rsidP="00957257">
            <w:pPr>
              <w:rPr>
                <w:rFonts w:ascii="Arial Narrow" w:hAnsi="Arial Narrow"/>
                <w:color w:val="333333"/>
                <w:sz w:val="20"/>
                <w:szCs w:val="20"/>
              </w:rPr>
            </w:pPr>
            <w:r w:rsidRPr="008C164C">
              <w:rPr>
                <w:rFonts w:ascii="Arial Narrow" w:hAnsi="Arial Narrow" w:cs="Arial Narrow"/>
                <w:sz w:val="20"/>
                <w:szCs w:val="20"/>
              </w:rPr>
              <w:t xml:space="preserve">The condition must be resistant (this includes virological failure/clinical failure/genotypic resistance) to multiple drugs to the extent that there are no more than 2 fully active HIV-antivirals remaining from the 4 main antiretroviral classes that could be effectively combined to form a viable treatment regimen. </w:t>
            </w:r>
          </w:p>
        </w:tc>
      </w:tr>
      <w:tr w:rsidR="0099276D" w:rsidRPr="008C164C" w14:paraId="05D5154D" w14:textId="77777777" w:rsidTr="00593021">
        <w:tc>
          <w:tcPr>
            <w:tcW w:w="5000" w:type="pct"/>
            <w:vAlign w:val="center"/>
          </w:tcPr>
          <w:p w14:paraId="749150C9" w14:textId="77777777" w:rsidR="0099276D" w:rsidRPr="008C164C" w:rsidRDefault="0099276D" w:rsidP="00957257">
            <w:pPr>
              <w:rPr>
                <w:rFonts w:ascii="Arial Narrow" w:hAnsi="Arial Narrow"/>
                <w:color w:val="333333"/>
                <w:sz w:val="20"/>
                <w:szCs w:val="20"/>
              </w:rPr>
            </w:pPr>
            <w:r w:rsidRPr="008C164C">
              <w:rPr>
                <w:rFonts w:ascii="Arial Narrow" w:hAnsi="Arial Narrow"/>
                <w:b/>
                <w:bCs/>
                <w:color w:val="333333"/>
                <w:sz w:val="20"/>
                <w:szCs w:val="20"/>
              </w:rPr>
              <w:t>AND</w:t>
            </w:r>
          </w:p>
        </w:tc>
      </w:tr>
      <w:tr w:rsidR="0099276D" w:rsidRPr="008C164C" w14:paraId="1158B373" w14:textId="77777777" w:rsidTr="00593021">
        <w:tc>
          <w:tcPr>
            <w:tcW w:w="5000" w:type="pct"/>
            <w:vAlign w:val="center"/>
          </w:tcPr>
          <w:p w14:paraId="1B727755" w14:textId="77777777" w:rsidR="0099276D" w:rsidRPr="008C164C" w:rsidRDefault="0099276D" w:rsidP="00957257">
            <w:pPr>
              <w:rPr>
                <w:rFonts w:ascii="Arial Narrow" w:hAnsi="Arial Narrow"/>
                <w:color w:val="333333"/>
                <w:sz w:val="20"/>
                <w:szCs w:val="20"/>
              </w:rPr>
            </w:pPr>
            <w:r w:rsidRPr="008C164C">
              <w:rPr>
                <w:rFonts w:ascii="Arial Narrow" w:hAnsi="Arial Narrow"/>
                <w:b/>
                <w:bCs/>
                <w:color w:val="333333"/>
                <w:sz w:val="20"/>
                <w:szCs w:val="20"/>
              </w:rPr>
              <w:t>Clinical criteria:</w:t>
            </w:r>
          </w:p>
        </w:tc>
      </w:tr>
      <w:tr w:rsidR="0099276D" w:rsidRPr="008C164C" w14:paraId="56FA8246" w14:textId="77777777" w:rsidTr="00593021">
        <w:tc>
          <w:tcPr>
            <w:tcW w:w="5000" w:type="pct"/>
            <w:vAlign w:val="center"/>
          </w:tcPr>
          <w:p w14:paraId="108EF285" w14:textId="77777777" w:rsidR="0099276D" w:rsidRPr="008C164C" w:rsidRDefault="0099276D" w:rsidP="00957257">
            <w:pPr>
              <w:autoSpaceDE w:val="0"/>
              <w:autoSpaceDN w:val="0"/>
              <w:adjustRightInd w:val="0"/>
              <w:rPr>
                <w:rFonts w:ascii="Arial Narrow" w:hAnsi="Arial Narrow" w:cs="Arial Narrow"/>
                <w:sz w:val="20"/>
                <w:szCs w:val="20"/>
              </w:rPr>
            </w:pPr>
            <w:r w:rsidRPr="008C164C">
              <w:rPr>
                <w:rFonts w:ascii="Arial Narrow" w:hAnsi="Arial Narrow" w:cs="Arial Narrow"/>
                <w:sz w:val="20"/>
                <w:szCs w:val="20"/>
              </w:rPr>
              <w:t>The treatment must be in addition to optimised background therapy.</w:t>
            </w:r>
          </w:p>
        </w:tc>
      </w:tr>
      <w:tr w:rsidR="0099276D" w:rsidRPr="008C164C" w14:paraId="110B4B75" w14:textId="77777777" w:rsidTr="00593021">
        <w:tc>
          <w:tcPr>
            <w:tcW w:w="5000" w:type="pct"/>
            <w:vAlign w:val="center"/>
          </w:tcPr>
          <w:p w14:paraId="0E344492" w14:textId="77777777" w:rsidR="0099276D" w:rsidRPr="008C164C" w:rsidRDefault="0099276D" w:rsidP="00957257">
            <w:pPr>
              <w:autoSpaceDE w:val="0"/>
              <w:autoSpaceDN w:val="0"/>
              <w:adjustRightInd w:val="0"/>
              <w:rPr>
                <w:rFonts w:ascii="Arial Narrow" w:hAnsi="Arial Narrow" w:cs="Arial Narrow"/>
                <w:b/>
                <w:bCs/>
                <w:sz w:val="20"/>
                <w:szCs w:val="20"/>
              </w:rPr>
            </w:pPr>
            <w:r w:rsidRPr="008C164C">
              <w:rPr>
                <w:rFonts w:ascii="Arial Narrow" w:hAnsi="Arial Narrow" w:cs="Arial Narrow"/>
                <w:b/>
                <w:bCs/>
                <w:sz w:val="20"/>
                <w:szCs w:val="20"/>
              </w:rPr>
              <w:t>Prescribing Instructions:</w:t>
            </w:r>
          </w:p>
          <w:p w14:paraId="063742D3" w14:textId="77777777" w:rsidR="0099276D" w:rsidRPr="008C164C" w:rsidRDefault="0099276D" w:rsidP="00957257">
            <w:pPr>
              <w:autoSpaceDE w:val="0"/>
              <w:autoSpaceDN w:val="0"/>
              <w:adjustRightInd w:val="0"/>
              <w:rPr>
                <w:rFonts w:ascii="Arial Narrow" w:hAnsi="Arial Narrow" w:cs="Arial Narrow"/>
                <w:sz w:val="20"/>
                <w:szCs w:val="20"/>
              </w:rPr>
            </w:pPr>
            <w:r w:rsidRPr="008C164C">
              <w:rPr>
                <w:rFonts w:ascii="Arial Narrow" w:hAnsi="Arial Narrow" w:cs="Arial Narrow"/>
                <w:sz w:val="20"/>
                <w:szCs w:val="20"/>
              </w:rPr>
              <w:t>Virological failure is defined as a viral load greater than 200 copies per mL on two consecutive occasions, while clinical failure is linked to emerging signs and symptoms of progressing HIV infection or treatment-limiting toxicity.</w:t>
            </w:r>
          </w:p>
        </w:tc>
      </w:tr>
      <w:tr w:rsidR="0099276D" w:rsidRPr="008C164C" w14:paraId="2C63AE6C" w14:textId="77777777" w:rsidTr="00593021">
        <w:tc>
          <w:tcPr>
            <w:tcW w:w="5000" w:type="pct"/>
            <w:vAlign w:val="center"/>
          </w:tcPr>
          <w:p w14:paraId="200CF6C5" w14:textId="77777777" w:rsidR="0099276D" w:rsidRPr="008C164C" w:rsidRDefault="0099276D" w:rsidP="00957257">
            <w:pPr>
              <w:autoSpaceDE w:val="0"/>
              <w:autoSpaceDN w:val="0"/>
              <w:adjustRightInd w:val="0"/>
              <w:rPr>
                <w:rFonts w:ascii="Arial Narrow" w:hAnsi="Arial Narrow"/>
                <w:color w:val="333333"/>
                <w:sz w:val="20"/>
                <w:szCs w:val="20"/>
              </w:rPr>
            </w:pPr>
            <w:r w:rsidRPr="008C164C">
              <w:rPr>
                <w:rFonts w:ascii="Arial Narrow" w:hAnsi="Arial Narrow"/>
                <w:b/>
                <w:bCs/>
                <w:color w:val="333333"/>
                <w:sz w:val="20"/>
                <w:szCs w:val="20"/>
              </w:rPr>
              <w:t>Prescribing Instructions:</w:t>
            </w:r>
            <w:r w:rsidRPr="008C164C">
              <w:rPr>
                <w:rFonts w:ascii="Arial Narrow" w:hAnsi="Arial Narrow"/>
                <w:bCs/>
                <w:color w:val="333333"/>
                <w:sz w:val="20"/>
                <w:szCs w:val="20"/>
              </w:rPr>
              <w:t xml:space="preserve">  </w:t>
            </w:r>
            <w:r w:rsidRPr="008C164C">
              <w:rPr>
                <w:rFonts w:ascii="Arial Narrow" w:hAnsi="Arial Narrow"/>
                <w:color w:val="333333"/>
                <w:sz w:val="20"/>
                <w:szCs w:val="20"/>
              </w:rPr>
              <w:t>Genotypic resistance to individual anti-retroviral drugs is to be determined by genotypic testing.</w:t>
            </w:r>
          </w:p>
        </w:tc>
      </w:tr>
      <w:tr w:rsidR="0099276D" w:rsidRPr="008C164C" w14:paraId="09328615" w14:textId="77777777" w:rsidTr="00593021">
        <w:tc>
          <w:tcPr>
            <w:tcW w:w="5000" w:type="pct"/>
            <w:vAlign w:val="center"/>
          </w:tcPr>
          <w:p w14:paraId="048F5167" w14:textId="1DB5B204" w:rsidR="0099276D" w:rsidRPr="008C164C" w:rsidRDefault="0099276D" w:rsidP="00957257">
            <w:pPr>
              <w:autoSpaceDE w:val="0"/>
              <w:autoSpaceDN w:val="0"/>
              <w:adjustRightInd w:val="0"/>
              <w:rPr>
                <w:rFonts w:ascii="Arial Narrow" w:hAnsi="Arial Narrow" w:cs="Arial Narrow"/>
                <w:b/>
                <w:bCs/>
                <w:sz w:val="20"/>
                <w:szCs w:val="20"/>
              </w:rPr>
            </w:pPr>
            <w:r w:rsidRPr="008C164C">
              <w:rPr>
                <w:rFonts w:ascii="Arial Narrow" w:hAnsi="Arial Narrow"/>
                <w:b/>
                <w:bCs/>
                <w:color w:val="333333"/>
                <w:sz w:val="20"/>
                <w:szCs w:val="20"/>
              </w:rPr>
              <w:t>Administrative Advice:</w:t>
            </w:r>
            <w:r w:rsidRPr="008C164C">
              <w:rPr>
                <w:rFonts w:ascii="Arial Narrow" w:hAnsi="Arial Narrow"/>
                <w:bCs/>
                <w:color w:val="333333"/>
                <w:sz w:val="20"/>
                <w:szCs w:val="20"/>
              </w:rPr>
              <w:t xml:space="preserve">  </w:t>
            </w:r>
            <w:r w:rsidRPr="008C164C">
              <w:rPr>
                <w:rFonts w:ascii="Arial Narrow" w:hAnsi="Arial Narrow"/>
                <w:color w:val="333333"/>
                <w:sz w:val="20"/>
                <w:szCs w:val="20"/>
              </w:rPr>
              <w:t>For the purposes of this restriction, the four main antiretroviral classes include nucleotide/nucleoside reverse transcriptase inhibitors (NRTIs), non-nucleoside reverse transcriptase inhibitors (NNRTIs), integrase strand transfer inhibitors (INTSIs) and protease inhibitors (PIs).</w:t>
            </w:r>
          </w:p>
        </w:tc>
      </w:tr>
    </w:tbl>
    <w:p w14:paraId="25F3D8BA" w14:textId="78282E32" w:rsidR="00FD1B4A" w:rsidRPr="008C164C" w:rsidRDefault="009759F3" w:rsidP="00FF255E">
      <w:pPr>
        <w:pStyle w:val="3-BodyText"/>
        <w:spacing w:before="120"/>
      </w:pPr>
      <w:r w:rsidRPr="008C164C">
        <w:t>T</w:t>
      </w:r>
      <w:r w:rsidR="00FD1B4A" w:rsidRPr="008C164C">
        <w:t xml:space="preserve">he maximum quantity </w:t>
      </w:r>
      <w:r w:rsidR="00CC10B6" w:rsidRPr="008C164C">
        <w:t xml:space="preserve">was </w:t>
      </w:r>
      <w:r w:rsidR="00FD1B4A" w:rsidRPr="008C164C">
        <w:t xml:space="preserve">increased from four tablets </w:t>
      </w:r>
      <w:r w:rsidRPr="008C164C">
        <w:t xml:space="preserve">in the previous submission </w:t>
      </w:r>
      <w:r w:rsidR="00FD1B4A" w:rsidRPr="008C164C">
        <w:t xml:space="preserve">to five tablets to account for the </w:t>
      </w:r>
      <w:r w:rsidR="00CC10B6" w:rsidRPr="008C164C">
        <w:t xml:space="preserve">TGA </w:t>
      </w:r>
      <w:r w:rsidR="00FD1B4A" w:rsidRPr="008C164C">
        <w:t xml:space="preserve">approved dose of five tablets (600mg on days 1 and 2, with an additional 300mg tablet on Day 8) compared to the proposed </w:t>
      </w:r>
      <w:r w:rsidRPr="008C164C">
        <w:t xml:space="preserve">loading </w:t>
      </w:r>
      <w:r w:rsidR="00FD1B4A" w:rsidRPr="008C164C">
        <w:t xml:space="preserve">dose of four tablets (600mg on days 1 and 2 only). </w:t>
      </w:r>
    </w:p>
    <w:p w14:paraId="5342FB3B" w14:textId="697427E1" w:rsidR="002A570F" w:rsidRPr="008C164C" w:rsidRDefault="00FD1B4A" w:rsidP="002A570F">
      <w:pPr>
        <w:pStyle w:val="3-BodyText"/>
      </w:pPr>
      <w:bookmarkStart w:id="13" w:name="_Ref142864555"/>
      <w:r w:rsidRPr="008C164C">
        <w:t xml:space="preserve">The resubmission proposed </w:t>
      </w:r>
      <w:r w:rsidR="009759F3" w:rsidRPr="008C164C">
        <w:t>a</w:t>
      </w:r>
      <w:r w:rsidRPr="008C164C">
        <w:t xml:space="preserve"> reduction</w:t>
      </w:r>
      <w:r w:rsidR="009759F3" w:rsidRPr="008C164C">
        <w:t xml:space="preserve"> in the effective price</w:t>
      </w:r>
      <w:r w:rsidRPr="008C164C">
        <w:t xml:space="preserve"> from $</w:t>
      </w:r>
      <w:r w:rsidR="00851D33">
        <w:t xml:space="preserve"> </w:t>
      </w:r>
      <w:r w:rsidR="00851D33" w:rsidRPr="00851D33">
        <w:rPr>
          <w:color w:val="000000"/>
          <w:w w:val="60"/>
          <w:shd w:val="solid" w:color="000000" w:fill="000000"/>
          <w:fitText w:val="470" w:id="-1032080635"/>
          <w14:textFill>
            <w14:solidFill>
              <w14:srgbClr w14:val="000000">
                <w14:alpha w14:val="100000"/>
              </w14:srgbClr>
            </w14:solidFill>
          </w14:textFill>
        </w:rPr>
        <w:t>|||  ||</w:t>
      </w:r>
      <w:r w:rsidR="00851D33" w:rsidRPr="00851D33">
        <w:rPr>
          <w:color w:val="000000"/>
          <w:spacing w:val="6"/>
          <w:w w:val="60"/>
          <w:shd w:val="solid" w:color="000000" w:fill="000000"/>
          <w:fitText w:val="470" w:id="-1032080635"/>
          <w14:textFill>
            <w14:solidFill>
              <w14:srgbClr w14:val="000000">
                <w14:alpha w14:val="100000"/>
              </w14:srgbClr>
            </w14:solidFill>
          </w14:textFill>
        </w:rPr>
        <w:t>|</w:t>
      </w:r>
      <w:r w:rsidRPr="008C164C">
        <w:t xml:space="preserve"> for the oral initiation (4 tablets) and $</w:t>
      </w:r>
      <w:r w:rsidR="00851D33">
        <w:t xml:space="preserve"> </w:t>
      </w:r>
      <w:r w:rsidR="00851D33" w:rsidRPr="00B25BFE">
        <w:rPr>
          <w:color w:val="000000"/>
          <w:w w:val="15"/>
          <w:shd w:val="solid" w:color="000000" w:fill="000000"/>
          <w:fitText w:val="-20" w:id="-1032080634"/>
          <w14:textFill>
            <w14:solidFill>
              <w14:srgbClr w14:val="000000">
                <w14:alpha w14:val="100000"/>
              </w14:srgbClr>
            </w14:solidFill>
          </w14:textFill>
        </w:rPr>
        <w:t xml:space="preserve">|  </w:t>
      </w:r>
      <w:r w:rsidR="00851D33" w:rsidRPr="00B25BFE">
        <w:rPr>
          <w:color w:val="000000"/>
          <w:spacing w:val="-69"/>
          <w:w w:val="15"/>
          <w:shd w:val="solid" w:color="000000" w:fill="000000"/>
          <w:fitText w:val="-20" w:id="-1032080634"/>
          <w14:textFill>
            <w14:solidFill>
              <w14:srgbClr w14:val="000000">
                <w14:alpha w14:val="100000"/>
              </w14:srgbClr>
            </w14:solidFill>
          </w14:textFill>
        </w:rPr>
        <w:t>|</w:t>
      </w:r>
      <w:r w:rsidRPr="008C164C">
        <w:t xml:space="preserve"> </w:t>
      </w:r>
      <w:r w:rsidR="009759F3" w:rsidRPr="008C164C">
        <w:t xml:space="preserve">for </w:t>
      </w:r>
      <w:r w:rsidRPr="008C164C">
        <w:t>2 vials to $</w:t>
      </w:r>
      <w:r w:rsidR="00851D33">
        <w:t xml:space="preserve"> </w:t>
      </w:r>
      <w:r w:rsidR="00851D33" w:rsidRPr="00B25BFE">
        <w:rPr>
          <w:color w:val="000000"/>
          <w:w w:val="15"/>
          <w:shd w:val="solid" w:color="000000" w:fill="000000"/>
          <w:fitText w:val="-20" w:id="-1032080633"/>
          <w14:textFill>
            <w14:solidFill>
              <w14:srgbClr w14:val="000000">
                <w14:alpha w14:val="100000"/>
              </w14:srgbClr>
            </w14:solidFill>
          </w14:textFill>
        </w:rPr>
        <w:t xml:space="preserve">|  </w:t>
      </w:r>
      <w:r w:rsidR="00851D33" w:rsidRPr="00B25BFE">
        <w:rPr>
          <w:color w:val="000000"/>
          <w:spacing w:val="-69"/>
          <w:w w:val="15"/>
          <w:shd w:val="solid" w:color="000000" w:fill="000000"/>
          <w:fitText w:val="-20" w:id="-1032080633"/>
          <w14:textFill>
            <w14:solidFill>
              <w14:srgbClr w14:val="000000">
                <w14:alpha w14:val="100000"/>
              </w14:srgbClr>
            </w14:solidFill>
          </w14:textFill>
        </w:rPr>
        <w:t>|</w:t>
      </w:r>
      <w:r w:rsidRPr="008C164C">
        <w:t xml:space="preserve"> for oral initiation (5 tablets) and $</w:t>
      </w:r>
      <w:r w:rsidR="00851D33">
        <w:t xml:space="preserve"> </w:t>
      </w:r>
      <w:r w:rsidR="00851D33" w:rsidRPr="00B25BFE">
        <w:rPr>
          <w:color w:val="000000"/>
          <w:w w:val="15"/>
          <w:shd w:val="solid" w:color="000000" w:fill="000000"/>
          <w:fitText w:val="-20" w:id="-1032080632"/>
          <w14:textFill>
            <w14:solidFill>
              <w14:srgbClr w14:val="000000">
                <w14:alpha w14:val="100000"/>
              </w14:srgbClr>
            </w14:solidFill>
          </w14:textFill>
        </w:rPr>
        <w:t xml:space="preserve">|  </w:t>
      </w:r>
      <w:r w:rsidR="00851D33" w:rsidRPr="00B25BFE">
        <w:rPr>
          <w:color w:val="000000"/>
          <w:spacing w:val="-69"/>
          <w:w w:val="15"/>
          <w:shd w:val="solid" w:color="000000" w:fill="000000"/>
          <w:fitText w:val="-20" w:id="-1032080632"/>
          <w14:textFill>
            <w14:solidFill>
              <w14:srgbClr w14:val="000000">
                <w14:alpha w14:val="100000"/>
              </w14:srgbClr>
            </w14:solidFill>
          </w14:textFill>
        </w:rPr>
        <w:t>|</w:t>
      </w:r>
      <w:r w:rsidRPr="008C164C">
        <w:t xml:space="preserve"> for 2 vials. This </w:t>
      </w:r>
      <w:r w:rsidR="000B1846" w:rsidRPr="008C164C">
        <w:t>was</w:t>
      </w:r>
      <w:r w:rsidRPr="008C164C">
        <w:t xml:space="preserve"> approximately a </w:t>
      </w:r>
      <w:r w:rsidR="00851D33">
        <w:t xml:space="preserve"> </w:t>
      </w:r>
      <w:r w:rsidR="00851D33" w:rsidRPr="00B25BFE">
        <w:rPr>
          <w:color w:val="000000"/>
          <w:w w:val="15"/>
          <w:shd w:val="solid" w:color="000000" w:fill="000000"/>
          <w:fitText w:val="-20" w:id="-1032080631"/>
          <w14:textFill>
            <w14:solidFill>
              <w14:srgbClr w14:val="000000">
                <w14:alpha w14:val="100000"/>
              </w14:srgbClr>
            </w14:solidFill>
          </w14:textFill>
        </w:rPr>
        <w:t xml:space="preserve">|  </w:t>
      </w:r>
      <w:r w:rsidR="00851D33" w:rsidRPr="00B25BFE">
        <w:rPr>
          <w:color w:val="000000"/>
          <w:spacing w:val="-69"/>
          <w:w w:val="15"/>
          <w:shd w:val="solid" w:color="000000" w:fill="000000"/>
          <w:fitText w:val="-20" w:id="-1032080631"/>
          <w14:textFill>
            <w14:solidFill>
              <w14:srgbClr w14:val="000000">
                <w14:alpha w14:val="100000"/>
              </w14:srgbClr>
            </w14:solidFill>
          </w14:textFill>
        </w:rPr>
        <w:t>|</w:t>
      </w:r>
      <w:r w:rsidRPr="008C164C">
        <w:t xml:space="preserve">% price decrease for the </w:t>
      </w:r>
      <w:r w:rsidR="00CC10B6" w:rsidRPr="008C164C">
        <w:t>vials</w:t>
      </w:r>
      <w:r w:rsidRPr="008C164C">
        <w:t>.</w:t>
      </w:r>
      <w:bookmarkEnd w:id="13"/>
    </w:p>
    <w:p w14:paraId="61A68F36" w14:textId="041BFD71" w:rsidR="002A570F" w:rsidRPr="008C164C" w:rsidRDefault="002A570F" w:rsidP="002A570F">
      <w:pPr>
        <w:pStyle w:val="3-BodyText"/>
      </w:pPr>
      <w:r w:rsidRPr="008C164C">
        <w:rPr>
          <w:color w:val="000000" w:themeColor="text1"/>
        </w:rPr>
        <w:t xml:space="preserve">The resubmission incorporated </w:t>
      </w:r>
      <w:r w:rsidR="008F6E8C" w:rsidRPr="008C164C">
        <w:rPr>
          <w:color w:val="000000" w:themeColor="text1"/>
        </w:rPr>
        <w:t xml:space="preserve">most of </w:t>
      </w:r>
      <w:r w:rsidRPr="008C164C">
        <w:rPr>
          <w:color w:val="000000" w:themeColor="text1"/>
        </w:rPr>
        <w:t>the suggested</w:t>
      </w:r>
      <w:r w:rsidR="009759F3" w:rsidRPr="008C164C">
        <w:rPr>
          <w:color w:val="000000" w:themeColor="text1"/>
        </w:rPr>
        <w:t xml:space="preserve"> restriction</w:t>
      </w:r>
      <w:r w:rsidRPr="008C164C">
        <w:rPr>
          <w:color w:val="000000" w:themeColor="text1"/>
        </w:rPr>
        <w:t xml:space="preserve"> changes from the previous submission.</w:t>
      </w:r>
      <w:r w:rsidR="008403CD" w:rsidRPr="008C164C">
        <w:rPr>
          <w:color w:val="000000" w:themeColor="text1"/>
        </w:rPr>
        <w:t xml:space="preserve"> However</w:t>
      </w:r>
      <w:r w:rsidR="00B5438B" w:rsidRPr="008C164C">
        <w:rPr>
          <w:color w:val="000000" w:themeColor="text1"/>
        </w:rPr>
        <w:t>,</w:t>
      </w:r>
      <w:r w:rsidR="008403CD" w:rsidRPr="008C164C">
        <w:rPr>
          <w:color w:val="000000" w:themeColor="text1"/>
        </w:rPr>
        <w:t xml:space="preserve"> the resubmission’s updated proposed restriction for LEN </w:t>
      </w:r>
      <w:r w:rsidR="00411DE5" w:rsidRPr="008C164C">
        <w:rPr>
          <w:color w:val="000000" w:themeColor="text1"/>
        </w:rPr>
        <w:t xml:space="preserve">defines </w:t>
      </w:r>
      <w:r w:rsidR="008403CD" w:rsidRPr="008C164C">
        <w:t>virologic failure</w:t>
      </w:r>
      <w:r w:rsidR="008403CD" w:rsidRPr="008C164C">
        <w:rPr>
          <w:color w:val="000000" w:themeColor="text1"/>
        </w:rPr>
        <w:t xml:space="preserve"> </w:t>
      </w:r>
      <w:r w:rsidR="00411DE5" w:rsidRPr="008C164C">
        <w:rPr>
          <w:color w:val="000000" w:themeColor="text1"/>
        </w:rPr>
        <w:t xml:space="preserve">as a viral load greater than 200 copies/mL on two separate occasions, which </w:t>
      </w:r>
      <w:r w:rsidR="00F343F1" w:rsidRPr="008C164C">
        <w:rPr>
          <w:color w:val="000000" w:themeColor="text1"/>
        </w:rPr>
        <w:t xml:space="preserve">the </w:t>
      </w:r>
      <w:r w:rsidRPr="008C164C">
        <w:rPr>
          <w:color w:val="000000" w:themeColor="text1"/>
        </w:rPr>
        <w:t>resubmission noted</w:t>
      </w:r>
      <w:r w:rsidR="00F343F1" w:rsidRPr="008C164C">
        <w:rPr>
          <w:color w:val="000000" w:themeColor="text1"/>
        </w:rPr>
        <w:t xml:space="preserve"> </w:t>
      </w:r>
      <w:r w:rsidR="00D039F9" w:rsidRPr="008C164C">
        <w:rPr>
          <w:color w:val="000000" w:themeColor="text1"/>
        </w:rPr>
        <w:t xml:space="preserve">aligned with </w:t>
      </w:r>
      <w:r w:rsidRPr="008C164C">
        <w:rPr>
          <w:color w:val="000000" w:themeColor="text1"/>
        </w:rPr>
        <w:t xml:space="preserve">the </w:t>
      </w:r>
      <w:r w:rsidR="00D039F9" w:rsidRPr="008C164C">
        <w:rPr>
          <w:color w:val="000000" w:themeColor="text1"/>
        </w:rPr>
        <w:t xml:space="preserve">definition in the </w:t>
      </w:r>
      <w:r w:rsidRPr="008C164C">
        <w:rPr>
          <w:color w:val="000000" w:themeColor="text1"/>
        </w:rPr>
        <w:t>ASHM Guidelines (ASHM 2019)</w:t>
      </w:r>
      <w:r w:rsidR="00D039F9" w:rsidRPr="008C164C">
        <w:rPr>
          <w:color w:val="000000" w:themeColor="text1"/>
        </w:rPr>
        <w:t xml:space="preserve"> and had agreement from Australian </w:t>
      </w:r>
      <w:r w:rsidRPr="008C164C">
        <w:rPr>
          <w:color w:val="000000" w:themeColor="text1"/>
        </w:rPr>
        <w:t xml:space="preserve">clinicians </w:t>
      </w:r>
      <w:r w:rsidR="00D039F9" w:rsidRPr="008C164C">
        <w:rPr>
          <w:color w:val="000000" w:themeColor="text1"/>
        </w:rPr>
        <w:t xml:space="preserve">surveyed. </w:t>
      </w:r>
      <w:r w:rsidR="009B36B1" w:rsidRPr="008C164C">
        <w:rPr>
          <w:color w:val="000000" w:themeColor="text1"/>
        </w:rPr>
        <w:t xml:space="preserve">The </w:t>
      </w:r>
      <w:r w:rsidRPr="008C164C">
        <w:rPr>
          <w:color w:val="000000" w:themeColor="text1"/>
        </w:rPr>
        <w:t xml:space="preserve">current PBS restrictions for HIV treatments on the PBS have a higher threshold of virologic failure defined as viral load greater than 400 copies/mL on two consecutive </w:t>
      </w:r>
      <w:r w:rsidRPr="008C164C">
        <w:rPr>
          <w:color w:val="000000" w:themeColor="text1"/>
        </w:rPr>
        <w:lastRenderedPageBreak/>
        <w:t>occasions</w:t>
      </w:r>
      <w:r w:rsidR="00646E93" w:rsidRPr="008C164C">
        <w:rPr>
          <w:color w:val="000000" w:themeColor="text1"/>
        </w:rPr>
        <w:t>.</w:t>
      </w:r>
      <w:r w:rsidRPr="008C164C">
        <w:t xml:space="preserve"> </w:t>
      </w:r>
      <w:r w:rsidR="0065171A" w:rsidRPr="008C164C">
        <w:t xml:space="preserve">The ESC considered it was reasonable to define virologic failure consistent with current ASHM guidelines. </w:t>
      </w:r>
    </w:p>
    <w:p w14:paraId="041ED7E8" w14:textId="038816A4" w:rsidR="002A570F" w:rsidRPr="00FE3F26" w:rsidRDefault="002A570F" w:rsidP="002A570F">
      <w:pPr>
        <w:pStyle w:val="3-BodyText"/>
      </w:pPr>
      <w:r w:rsidRPr="00FE3F26">
        <w:rPr>
          <w:color w:val="000000" w:themeColor="text1"/>
        </w:rPr>
        <w:t xml:space="preserve">Additionally, the PBAC had considered that a simpler restriction, similar to maraviroc’s restriction, </w:t>
      </w:r>
      <w:r w:rsidR="006374BC" w:rsidRPr="00FE3F26">
        <w:rPr>
          <w:color w:val="000000" w:themeColor="text1"/>
        </w:rPr>
        <w:t>‘</w:t>
      </w:r>
      <w:r w:rsidRPr="00FE3F26">
        <w:rPr>
          <w:color w:val="000000" w:themeColor="text1"/>
        </w:rPr>
        <w:t xml:space="preserve">would be more practical as it frames the number of past treatments in an affirmative manner, whereas the proposed restriction requires a complex exercise of deduction </w:t>
      </w:r>
      <w:r w:rsidRPr="00FE3F26">
        <w:t>involving a large number of permutations</w:t>
      </w:r>
      <w:r w:rsidR="006374BC" w:rsidRPr="00FE3F26">
        <w:t>’</w:t>
      </w:r>
      <w:r w:rsidRPr="00FE3F26">
        <w:t xml:space="preserve"> (</w:t>
      </w:r>
      <w:r w:rsidR="006374BC" w:rsidRPr="00FE3F26">
        <w:t xml:space="preserve">paragraph 7.3, </w:t>
      </w:r>
      <w:proofErr w:type="spellStart"/>
      <w:r w:rsidR="00447F0B" w:rsidRPr="00FE3F26">
        <w:t>l</w:t>
      </w:r>
      <w:r w:rsidRPr="00FE3F26">
        <w:t>enacapavir</w:t>
      </w:r>
      <w:proofErr w:type="spellEnd"/>
      <w:r w:rsidR="00447F0B" w:rsidRPr="00FE3F26">
        <w:t>,</w:t>
      </w:r>
      <w:r w:rsidRPr="00FE3F26">
        <w:t xml:space="preserve"> </w:t>
      </w:r>
      <w:r w:rsidR="00447F0B" w:rsidRPr="00FE3F26">
        <w:t>Public Summary Document [</w:t>
      </w:r>
      <w:r w:rsidRPr="00FE3F26">
        <w:t>PSD</w:t>
      </w:r>
      <w:r w:rsidR="00447F0B" w:rsidRPr="00FE3F26">
        <w:t>]</w:t>
      </w:r>
      <w:r w:rsidRPr="00FE3F26">
        <w:t>, November 2022</w:t>
      </w:r>
      <w:r w:rsidR="00447F0B" w:rsidRPr="00FE3F26">
        <w:t xml:space="preserve"> PBAC </w:t>
      </w:r>
      <w:r w:rsidR="00C81763" w:rsidRPr="00FE3F26">
        <w:t>m</w:t>
      </w:r>
      <w:r w:rsidR="00447F0B" w:rsidRPr="00FE3F26">
        <w:t>eeting</w:t>
      </w:r>
      <w:r w:rsidRPr="00FE3F26">
        <w:t>)</w:t>
      </w:r>
      <w:r w:rsidR="006374BC" w:rsidRPr="00FE3F26">
        <w:t>.</w:t>
      </w:r>
      <w:r w:rsidRPr="00FE3F26">
        <w:t xml:space="preserve"> The resubmission did not change the requested restriction to reflect this consideration and the number of past treatments remain undefined in an affirmative manner. </w:t>
      </w:r>
      <w:r w:rsidR="00DB2E1C" w:rsidRPr="00FE3F26">
        <w:t>The ESC also considered that a simpler rest</w:t>
      </w:r>
      <w:r w:rsidR="009728A0" w:rsidRPr="00FE3F26">
        <w:t xml:space="preserve">riction would likely be reasonable for </w:t>
      </w:r>
      <w:r w:rsidR="009B36B1" w:rsidRPr="00FE3F26">
        <w:t>LEN</w:t>
      </w:r>
      <w:r w:rsidR="009728A0" w:rsidRPr="00FE3F26">
        <w:t xml:space="preserve">, but acknowledged </w:t>
      </w:r>
      <w:r w:rsidR="006F22FE" w:rsidRPr="00FE3F26">
        <w:t xml:space="preserve">that due to the late </w:t>
      </w:r>
      <w:r w:rsidR="009728A0" w:rsidRPr="00FE3F26">
        <w:t>positioning of LEN</w:t>
      </w:r>
      <w:r w:rsidR="006F22FE" w:rsidRPr="00FE3F26">
        <w:t>, it may be difficult</w:t>
      </w:r>
      <w:r w:rsidR="009728A0" w:rsidRPr="00FE3F26">
        <w:t xml:space="preserve"> to correctly frame the number of past treatments in an affirmative manner accurately.</w:t>
      </w:r>
    </w:p>
    <w:p w14:paraId="0F39C9CB" w14:textId="09335E76" w:rsidR="002A570F" w:rsidRPr="008C164C" w:rsidRDefault="002A570F" w:rsidP="002A570F">
      <w:pPr>
        <w:pStyle w:val="3-BodyText"/>
      </w:pPr>
      <w:r w:rsidRPr="008C164C">
        <w:rPr>
          <w:color w:val="000000" w:themeColor="text1"/>
        </w:rPr>
        <w:t xml:space="preserve">A </w:t>
      </w:r>
      <w:r w:rsidRPr="008C164C">
        <w:t xml:space="preserve">survey of </w:t>
      </w:r>
      <w:r w:rsidR="0010393B" w:rsidRPr="008C164C">
        <w:t xml:space="preserve">Australian </w:t>
      </w:r>
      <w:r w:rsidRPr="008C164C">
        <w:t xml:space="preserve">clinicians conducted by the sponsor indicated </w:t>
      </w:r>
      <w:r w:rsidR="009B36B1" w:rsidRPr="008C164C">
        <w:t xml:space="preserve">differences </w:t>
      </w:r>
      <w:r w:rsidRPr="008C164C">
        <w:t xml:space="preserve">in how clinicians interpreted the proposed clinical criteria for listing. Some considered that the listing would apply to patients with only two fully active agents (from the four main classes) based on genotypical failure. Others considered that the listing would apply to patients with only two fully active agents (from the four main classes) that the patient is able to take i.e. clinical failure and virological failure, in addition to genotypical resistance. </w:t>
      </w:r>
      <w:r w:rsidR="00A83D61" w:rsidRPr="008C164C">
        <w:t xml:space="preserve">One sexual health physician from NSW noted that </w:t>
      </w:r>
      <w:r w:rsidR="00A6336E" w:rsidRPr="008C164C">
        <w:t>‘</w:t>
      </w:r>
      <w:r w:rsidR="00A83D61" w:rsidRPr="008C164C">
        <w:t>(</w:t>
      </w:r>
      <w:proofErr w:type="spellStart"/>
      <w:r w:rsidR="00A83D61" w:rsidRPr="008C164C">
        <w:t>i</w:t>
      </w:r>
      <w:proofErr w:type="spellEnd"/>
      <w:r w:rsidR="00A83D61" w:rsidRPr="008C164C">
        <w:t>)</w:t>
      </w:r>
      <w:r w:rsidRPr="008C164C">
        <w:t>t includes aspects of clinical failure that might be related to adherence or tolerability issues as well as actual confirmed virological failure</w:t>
      </w:r>
      <w:r w:rsidR="00A6336E" w:rsidRPr="008C164C">
        <w:t>’</w:t>
      </w:r>
      <w:r w:rsidRPr="008C164C">
        <w:t>.</w:t>
      </w:r>
      <w:r w:rsidR="00BE23A7" w:rsidRPr="008C164C">
        <w:t xml:space="preserve"> The evaluation considered</w:t>
      </w:r>
      <w:r w:rsidRPr="008C164C">
        <w:t xml:space="preserve"> </w:t>
      </w:r>
      <w:r w:rsidR="00BE23A7" w:rsidRPr="008C164C">
        <w:t>m</w:t>
      </w:r>
      <w:r w:rsidRPr="008C164C">
        <w:t>ore clarity around eligibility may be necessary in order to minimise usage beyond the requested restriction.</w:t>
      </w:r>
      <w:r w:rsidR="00483F2D" w:rsidRPr="008C164C">
        <w:t xml:space="preserve"> </w:t>
      </w:r>
    </w:p>
    <w:p w14:paraId="1107DBB5" w14:textId="77777777" w:rsidR="00483F2D" w:rsidRPr="008C164C" w:rsidRDefault="00483F2D" w:rsidP="00483F2D">
      <w:pPr>
        <w:ind w:firstLine="709"/>
        <w:rPr>
          <w:rFonts w:asciiTheme="minorHAnsi" w:hAnsiTheme="minorHAnsi"/>
          <w:i/>
        </w:rPr>
      </w:pPr>
      <w:r w:rsidRPr="008C164C">
        <w:rPr>
          <w:rFonts w:asciiTheme="minorHAnsi" w:hAnsiTheme="minorHAnsi"/>
          <w:i/>
        </w:rPr>
        <w:t>For more detail on PBAC’s view, see section 7 PBAC outcome.</w:t>
      </w:r>
    </w:p>
    <w:p w14:paraId="7075B85C" w14:textId="6B467577" w:rsidR="00B50DB8" w:rsidRPr="008C164C" w:rsidDel="00195452" w:rsidRDefault="00203181" w:rsidP="004E18E9">
      <w:pPr>
        <w:pStyle w:val="2-SectionHeading"/>
      </w:pPr>
      <w:bookmarkStart w:id="14" w:name="_Toc142853851"/>
      <w:bookmarkStart w:id="15" w:name="_Toc142853927"/>
      <w:bookmarkStart w:id="16" w:name="_Toc142870051"/>
      <w:bookmarkStart w:id="17" w:name="_Toc145485256"/>
      <w:bookmarkEnd w:id="14"/>
      <w:bookmarkEnd w:id="15"/>
      <w:bookmarkEnd w:id="16"/>
      <w:r w:rsidRPr="008C164C" w:rsidDel="00195452">
        <w:t xml:space="preserve">Population and </w:t>
      </w:r>
      <w:r w:rsidR="008E0D3C" w:rsidRPr="008C164C" w:rsidDel="00195452">
        <w:t>d</w:t>
      </w:r>
      <w:r w:rsidRPr="008C164C" w:rsidDel="00195452">
        <w:t>isease</w:t>
      </w:r>
      <w:bookmarkEnd w:id="17"/>
    </w:p>
    <w:p w14:paraId="76B4B0C5" w14:textId="456EB3F5" w:rsidR="002A570F" w:rsidRPr="008C164C" w:rsidRDefault="002A570F" w:rsidP="00FF255E">
      <w:pPr>
        <w:pStyle w:val="3-BodyText"/>
        <w:numPr>
          <w:ilvl w:val="1"/>
          <w:numId w:val="11"/>
        </w:numPr>
      </w:pPr>
      <w:r w:rsidRPr="008C164C">
        <w:rPr>
          <w:color w:val="000000" w:themeColor="text1"/>
        </w:rPr>
        <w:t>HIV is a retrovirus that infects host cells via reverse transcription of its viral ribonucleic acid (RNA) and integration of the resulting viral deoxyribonucleic acid (DNA) into the host’s genome (</w:t>
      </w:r>
      <w:proofErr w:type="spellStart"/>
      <w:r w:rsidRPr="008C164C">
        <w:rPr>
          <w:color w:val="000000" w:themeColor="text1"/>
        </w:rPr>
        <w:t>Deeks</w:t>
      </w:r>
      <w:proofErr w:type="spellEnd"/>
      <w:r w:rsidRPr="008C164C">
        <w:rPr>
          <w:color w:val="000000" w:themeColor="text1"/>
        </w:rPr>
        <w:t xml:space="preserve"> 2015). I</w:t>
      </w:r>
      <w:r w:rsidRPr="008C164C">
        <w:t>nadequate treatment of HIV infection leads to the depletion of CD4 T cells, the development of AIDS-defining events and, ultimately, death (</w:t>
      </w:r>
      <w:proofErr w:type="spellStart"/>
      <w:r w:rsidRPr="008C164C">
        <w:t>Deeks</w:t>
      </w:r>
      <w:proofErr w:type="spellEnd"/>
      <w:r w:rsidRPr="008C164C">
        <w:t xml:space="preserve"> 2015).</w:t>
      </w:r>
      <w:r w:rsidRPr="008C164C">
        <w:rPr>
          <w:color w:val="000000" w:themeColor="text1"/>
        </w:rPr>
        <w:t xml:space="preserve"> Among patients unable to maintain virologic suppression for long periods of time, there is a subset of people living with HIV (PLWH) who are highly multidrug resistant (</w:t>
      </w:r>
      <w:proofErr w:type="spellStart"/>
      <w:r w:rsidRPr="008C164C">
        <w:rPr>
          <w:color w:val="000000" w:themeColor="text1"/>
        </w:rPr>
        <w:t>hMDR</w:t>
      </w:r>
      <w:proofErr w:type="spellEnd"/>
      <w:proofErr w:type="gramStart"/>
      <w:r w:rsidRPr="008C164C">
        <w:rPr>
          <w:color w:val="000000" w:themeColor="text1"/>
        </w:rPr>
        <w:t>)</w:t>
      </w:r>
      <w:proofErr w:type="gramEnd"/>
      <w:r w:rsidRPr="008C164C">
        <w:rPr>
          <w:color w:val="000000" w:themeColor="text1"/>
        </w:rPr>
        <w:t xml:space="preserve"> and they usually have a history of virologic failure on multiple lines of treatment, due to the development of resistance mutations to multiple drug classes. Evidence indicates that there is a higher </w:t>
      </w:r>
      <w:r w:rsidRPr="008C164C">
        <w:t xml:space="preserve">rate of mortality in PLWH who </w:t>
      </w:r>
      <w:proofErr w:type="gramStart"/>
      <w:r w:rsidRPr="008C164C">
        <w:t>are highly MDR</w:t>
      </w:r>
      <w:proofErr w:type="gramEnd"/>
      <w:r w:rsidRPr="008C164C">
        <w:t xml:space="preserve"> compared to PLWH who are not highly MDR (</w:t>
      </w:r>
      <w:proofErr w:type="spellStart"/>
      <w:r w:rsidRPr="008C164C">
        <w:t>Gagliardini</w:t>
      </w:r>
      <w:proofErr w:type="spellEnd"/>
      <w:r w:rsidRPr="008C164C">
        <w:t xml:space="preserve"> 2020; Galli 2020; Mauro 2007; </w:t>
      </w:r>
      <w:proofErr w:type="spellStart"/>
      <w:r w:rsidRPr="008C164C">
        <w:t>Pelchen</w:t>
      </w:r>
      <w:proofErr w:type="spellEnd"/>
      <w:r w:rsidRPr="008C164C">
        <w:t>-Matthews 2021).</w:t>
      </w:r>
      <w:r w:rsidR="008E456B" w:rsidRPr="008C164C">
        <w:t xml:space="preserve"> The population remains unchanged from the previous submission. </w:t>
      </w:r>
    </w:p>
    <w:p w14:paraId="02C59CF7" w14:textId="77777777" w:rsidR="004036DF" w:rsidRPr="008C164C" w:rsidRDefault="004036DF" w:rsidP="004036DF">
      <w:pPr>
        <w:pStyle w:val="3-BodyText"/>
        <w:rPr>
          <w:color w:val="000000" w:themeColor="text1"/>
        </w:rPr>
      </w:pPr>
      <w:r w:rsidRPr="008C164C">
        <w:t xml:space="preserve">LEN is a novel HIV-1 capsid inhibitor. The capsid surrounds HIV’s </w:t>
      </w:r>
      <w:r w:rsidRPr="008C164C">
        <w:rPr>
          <w:color w:val="000000" w:themeColor="text1"/>
        </w:rPr>
        <w:t xml:space="preserve">genetic material. By binding directly between the capsid protein subunits, LEN inhibits three steps of the </w:t>
      </w:r>
      <w:r w:rsidRPr="008C164C">
        <w:rPr>
          <w:color w:val="000000" w:themeColor="text1"/>
        </w:rPr>
        <w:lastRenderedPageBreak/>
        <w:t xml:space="preserve">viral lifecycle: capsid-mediated nuclear uptake of HIV </w:t>
      </w:r>
      <w:proofErr w:type="spellStart"/>
      <w:r w:rsidRPr="008C164C">
        <w:rPr>
          <w:color w:val="000000" w:themeColor="text1"/>
        </w:rPr>
        <w:t>proviral</w:t>
      </w:r>
      <w:proofErr w:type="spellEnd"/>
      <w:r w:rsidRPr="008C164C">
        <w:rPr>
          <w:color w:val="000000" w:themeColor="text1"/>
        </w:rPr>
        <w:t xml:space="preserve"> DNA, virus assembly and release, and capsid core formation.</w:t>
      </w:r>
    </w:p>
    <w:p w14:paraId="67C3C70D" w14:textId="64284E0E" w:rsidR="002A570F" w:rsidRPr="008C164C" w:rsidRDefault="002A570F" w:rsidP="002A570F">
      <w:pPr>
        <w:pStyle w:val="3-BodyText"/>
      </w:pPr>
      <w:r w:rsidRPr="008C164C">
        <w:t xml:space="preserve">LEN is proposed, in combination with OBR, for the treatment of patients who are highly MDR after development of resistance to multiple regimens, and who have no more than two fully active agents remaining from the four main </w:t>
      </w:r>
      <w:r w:rsidR="00817941" w:rsidRPr="008C164C">
        <w:t>antiretroviral (</w:t>
      </w:r>
      <w:r w:rsidRPr="008C164C">
        <w:t>ARV</w:t>
      </w:r>
      <w:r w:rsidR="00817941" w:rsidRPr="008C164C">
        <w:t>)</w:t>
      </w:r>
      <w:r w:rsidRPr="008C164C">
        <w:t xml:space="preserve"> classes (</w:t>
      </w:r>
      <w:proofErr w:type="spellStart"/>
      <w:r w:rsidRPr="008C164C">
        <w:t>nucleo</w:t>
      </w:r>
      <w:proofErr w:type="spellEnd"/>
      <w:r w:rsidRPr="008C164C">
        <w:t>(s/t)ide reverse transcriptase inhibitors [NRTI], non-</w:t>
      </w:r>
      <w:r w:rsidR="00CC327E" w:rsidRPr="008C164C">
        <w:t>nucleoside</w:t>
      </w:r>
      <w:r w:rsidRPr="008C164C">
        <w:t xml:space="preserve"> reverse transcriptase inhibitors [NNRTI], integrase strand transfer inhibitors [INSTI] and protease inhibitors [PI]) that can be effectively combined to form a viable regimen.</w:t>
      </w:r>
    </w:p>
    <w:p w14:paraId="5B1DBC7E" w14:textId="29A20A29" w:rsidR="004E5176" w:rsidRPr="008C164C" w:rsidRDefault="004E5176" w:rsidP="00130B85">
      <w:pPr>
        <w:pStyle w:val="3-BodyText"/>
        <w:rPr>
          <w:i/>
          <w:iCs/>
        </w:rPr>
      </w:pPr>
      <w:r w:rsidRPr="008C164C">
        <w:t>Unlike the previous submission, the resubmission claimed that the ‘Rule of Rescue’ would apply</w:t>
      </w:r>
      <w:r w:rsidR="00D64720" w:rsidRPr="008C164C">
        <w:t xml:space="preserve"> to</w:t>
      </w:r>
      <w:r w:rsidRPr="008C164C">
        <w:t xml:space="preserve"> individuals who have no fully active ARV available to construct a viable ARV regimen (the resubmission estimated this would apply to a cohort of </w:t>
      </w:r>
      <w:r w:rsidR="008136FE">
        <w:t>&lt; 500</w:t>
      </w:r>
      <w:r w:rsidR="008136FE" w:rsidRPr="008C164C">
        <w:t xml:space="preserve"> </w:t>
      </w:r>
      <w:r w:rsidRPr="008C164C">
        <w:t xml:space="preserve">patients) based </w:t>
      </w:r>
      <w:r w:rsidR="00D64720" w:rsidRPr="008C164C">
        <w:t xml:space="preserve">on </w:t>
      </w:r>
      <w:r w:rsidRPr="008C164C">
        <w:t xml:space="preserve">responses to a survey of 10 clinicians. </w:t>
      </w:r>
      <w:r w:rsidR="002B6BAE" w:rsidRPr="008C164C">
        <w:t xml:space="preserve">The evaluation considered this </w:t>
      </w:r>
      <w:r w:rsidRPr="008C164C">
        <w:t xml:space="preserve">estimate </w:t>
      </w:r>
      <w:r w:rsidR="00FE3F26">
        <w:t xml:space="preserve">was </w:t>
      </w:r>
      <w:r w:rsidRPr="008C164C">
        <w:t xml:space="preserve">uncertain. In CAPELLA, 12 out of the 72 enrolled patients (16.7%) had </w:t>
      </w:r>
      <w:proofErr w:type="gramStart"/>
      <w:r w:rsidR="008E456B" w:rsidRPr="008C164C">
        <w:t>no</w:t>
      </w:r>
      <w:proofErr w:type="gramEnd"/>
      <w:r w:rsidRPr="008C164C">
        <w:t xml:space="preserve"> </w:t>
      </w:r>
      <w:r w:rsidR="008E456B" w:rsidRPr="008C164C">
        <w:t xml:space="preserve">fully </w:t>
      </w:r>
      <w:r w:rsidRPr="008C164C">
        <w:t>active ARVs in the OBR.</w:t>
      </w:r>
      <w:r w:rsidR="00483F2D" w:rsidRPr="008C164C">
        <w:t xml:space="preserve"> </w:t>
      </w:r>
    </w:p>
    <w:p w14:paraId="5BD8626E" w14:textId="77777777" w:rsidR="00483F2D" w:rsidRPr="008C164C" w:rsidRDefault="00483F2D" w:rsidP="00483F2D">
      <w:pPr>
        <w:ind w:firstLine="709"/>
        <w:rPr>
          <w:rFonts w:asciiTheme="minorHAnsi" w:hAnsiTheme="minorHAnsi"/>
          <w:i/>
        </w:rPr>
      </w:pPr>
      <w:bookmarkStart w:id="18" w:name="_Hlk76375324"/>
      <w:r w:rsidRPr="008C164C">
        <w:rPr>
          <w:rFonts w:asciiTheme="minorHAnsi" w:hAnsiTheme="minorHAnsi"/>
          <w:i/>
        </w:rPr>
        <w:t>For more detail on PBAC’s view, see section 7 PBAC outcome.</w:t>
      </w:r>
    </w:p>
    <w:p w14:paraId="51E5AE96" w14:textId="57BA6CA2" w:rsidR="00B50DB8" w:rsidRPr="008C164C" w:rsidRDefault="00B50DB8" w:rsidP="004E18E9">
      <w:pPr>
        <w:pStyle w:val="2-SectionHeading"/>
      </w:pPr>
      <w:bookmarkStart w:id="19" w:name="_Toc142853853"/>
      <w:bookmarkStart w:id="20" w:name="_Toc142853929"/>
      <w:bookmarkStart w:id="21" w:name="_Toc142870053"/>
      <w:bookmarkStart w:id="22" w:name="_Toc145485257"/>
      <w:bookmarkEnd w:id="18"/>
      <w:bookmarkEnd w:id="19"/>
      <w:bookmarkEnd w:id="20"/>
      <w:bookmarkEnd w:id="21"/>
      <w:r w:rsidRPr="008C164C">
        <w:t>Comparator</w:t>
      </w:r>
      <w:bookmarkEnd w:id="22"/>
    </w:p>
    <w:p w14:paraId="4E18C0A4" w14:textId="1E0B4353" w:rsidR="002A570F" w:rsidRPr="008C164C" w:rsidRDefault="002A570F" w:rsidP="002A570F">
      <w:pPr>
        <w:pStyle w:val="3-BodyText"/>
        <w:rPr>
          <w:snapToGrid/>
          <w:color w:val="000000" w:themeColor="text1"/>
        </w:rPr>
      </w:pPr>
      <w:r w:rsidRPr="008C164C">
        <w:rPr>
          <w:color w:val="000000" w:themeColor="text1"/>
        </w:rPr>
        <w:t>The resubmission has nominated the same comparator as the previous submission, OBR</w:t>
      </w:r>
      <w:r w:rsidR="00130B85" w:rsidRPr="008C164C">
        <w:rPr>
          <w:color w:val="000000" w:themeColor="text1"/>
        </w:rPr>
        <w:t xml:space="preserve"> alone</w:t>
      </w:r>
      <w:r w:rsidRPr="008C164C">
        <w:rPr>
          <w:color w:val="000000" w:themeColor="text1"/>
        </w:rPr>
        <w:t xml:space="preserve">. </w:t>
      </w:r>
    </w:p>
    <w:p w14:paraId="7E95F6C6" w14:textId="31229920" w:rsidR="002A570F" w:rsidRPr="008C164C" w:rsidRDefault="002A570F" w:rsidP="002A570F">
      <w:pPr>
        <w:pStyle w:val="3-BodyText"/>
        <w:rPr>
          <w:snapToGrid/>
          <w:color w:val="000000" w:themeColor="text1"/>
        </w:rPr>
      </w:pPr>
      <w:r w:rsidRPr="008C164C">
        <w:t xml:space="preserve">The PBAC </w:t>
      </w:r>
      <w:r w:rsidR="002B6BAE" w:rsidRPr="008C164C">
        <w:t xml:space="preserve">previously </w:t>
      </w:r>
      <w:r w:rsidRPr="008C164C">
        <w:t>considered that OBR</w:t>
      </w:r>
      <w:r w:rsidR="00D8492C" w:rsidRPr="008C164C">
        <w:t>, as a</w:t>
      </w:r>
      <w:r w:rsidRPr="008C164C">
        <w:t xml:space="preserve"> </w:t>
      </w:r>
      <w:r w:rsidR="00D64720" w:rsidRPr="008C164C">
        <w:t>‘</w:t>
      </w:r>
      <w:r w:rsidRPr="008C164C">
        <w:t xml:space="preserve">basket of therapies and regimens which may be used in the </w:t>
      </w:r>
      <w:proofErr w:type="spellStart"/>
      <w:r w:rsidRPr="008C164C">
        <w:t>hMDR</w:t>
      </w:r>
      <w:proofErr w:type="spellEnd"/>
      <w:r w:rsidRPr="008C164C">
        <w:t xml:space="preserve"> population</w:t>
      </w:r>
      <w:r w:rsidR="00D64720" w:rsidRPr="008C164C">
        <w:t>’</w:t>
      </w:r>
      <w:r w:rsidRPr="008C164C">
        <w:t xml:space="preserve"> was a reasonable comparator. However, the composition of the basket should reflect </w:t>
      </w:r>
      <w:r w:rsidR="00D64720" w:rsidRPr="008C164C">
        <w:t>‘</w:t>
      </w:r>
      <w:r w:rsidRPr="008C164C">
        <w:t>contemporary Australian clinical practice</w:t>
      </w:r>
      <w:r w:rsidR="00D64720" w:rsidRPr="008C164C">
        <w:t>’</w:t>
      </w:r>
      <w:r w:rsidRPr="008C164C">
        <w:t xml:space="preserve"> (paragraph 7.4, </w:t>
      </w:r>
      <w:proofErr w:type="spellStart"/>
      <w:r w:rsidR="00E23E20" w:rsidRPr="008C164C">
        <w:t>lenacapavir</w:t>
      </w:r>
      <w:proofErr w:type="spellEnd"/>
      <w:r w:rsidR="00E23E20" w:rsidRPr="008C164C">
        <w:t xml:space="preserve"> </w:t>
      </w:r>
      <w:r w:rsidRPr="008C164C">
        <w:t>PSD</w:t>
      </w:r>
      <w:r w:rsidR="00E23E20" w:rsidRPr="008C164C">
        <w:t>,</w:t>
      </w:r>
      <w:r w:rsidRPr="008C164C">
        <w:t xml:space="preserve"> Nov 2022</w:t>
      </w:r>
      <w:r w:rsidR="00E23E20" w:rsidRPr="008C164C">
        <w:t xml:space="preserve"> PBAC meeting</w:t>
      </w:r>
      <w:r w:rsidRPr="008C164C">
        <w:t>).</w:t>
      </w:r>
    </w:p>
    <w:p w14:paraId="2C1E8489" w14:textId="46082B3E" w:rsidR="002A570F" w:rsidRPr="008C164C" w:rsidRDefault="002A570F" w:rsidP="002A570F">
      <w:pPr>
        <w:pStyle w:val="3-BodyText"/>
        <w:rPr>
          <w:snapToGrid/>
          <w:color w:val="000000" w:themeColor="text1"/>
        </w:rPr>
      </w:pPr>
      <w:r w:rsidRPr="008C164C">
        <w:t>The resubmission stated that multiple steps ha</w:t>
      </w:r>
      <w:r w:rsidR="00F15890" w:rsidRPr="008C164C">
        <w:t>d</w:t>
      </w:r>
      <w:r w:rsidRPr="008C164C">
        <w:t xml:space="preserve"> been taken </w:t>
      </w:r>
      <w:r w:rsidR="00007B32" w:rsidRPr="008C164C">
        <w:t>to ensure OBR reflected contemporary Australian clinical practice</w:t>
      </w:r>
      <w:r w:rsidR="00603BFE" w:rsidRPr="008C164C">
        <w:t>, including</w:t>
      </w:r>
      <w:r w:rsidR="00F177AC" w:rsidRPr="008C164C">
        <w:t>:</w:t>
      </w:r>
    </w:p>
    <w:p w14:paraId="2BBD65DA" w14:textId="59ED48FF" w:rsidR="002A570F" w:rsidRPr="008C164C" w:rsidRDefault="002A570F" w:rsidP="00FF255E">
      <w:pPr>
        <w:pStyle w:val="ListParagraph"/>
        <w:numPr>
          <w:ilvl w:val="0"/>
          <w:numId w:val="13"/>
        </w:numPr>
        <w:ind w:left="1134" w:hanging="425"/>
      </w:pPr>
      <w:r w:rsidRPr="008C164C">
        <w:t xml:space="preserve">Validation of OBR composition in contemporary Australian clinical practice through a survey/semi-structured interview of </w:t>
      </w:r>
      <w:r w:rsidR="005A15AB" w:rsidRPr="008C164C">
        <w:t xml:space="preserve">10 </w:t>
      </w:r>
      <w:r w:rsidRPr="008C164C">
        <w:t xml:space="preserve">Australian clinicians experienced in treating PLWH, including </w:t>
      </w:r>
      <w:proofErr w:type="spellStart"/>
      <w:r w:rsidRPr="008C164C">
        <w:t>hMDR</w:t>
      </w:r>
      <w:proofErr w:type="spellEnd"/>
      <w:r w:rsidR="00414DFA" w:rsidRPr="008C164C">
        <w:t>;</w:t>
      </w:r>
    </w:p>
    <w:p w14:paraId="1BF9349D" w14:textId="0F3AE5DD" w:rsidR="002A570F" w:rsidRPr="008C164C" w:rsidRDefault="002A570F" w:rsidP="00FF255E">
      <w:pPr>
        <w:pStyle w:val="ListParagraph"/>
        <w:numPr>
          <w:ilvl w:val="0"/>
          <w:numId w:val="13"/>
        </w:numPr>
        <w:ind w:left="1134" w:hanging="425"/>
      </w:pPr>
      <w:r w:rsidRPr="008C164C">
        <w:t xml:space="preserve">Updated OBR comparator arm of the indirect treatment analysis (ITC) to include the most recent trials investigating an intervention in combination with OBR in PLWH who are </w:t>
      </w:r>
      <w:proofErr w:type="spellStart"/>
      <w:r w:rsidRPr="008C164C">
        <w:t>hMDR</w:t>
      </w:r>
      <w:proofErr w:type="spellEnd"/>
      <w:r w:rsidR="00414DFA" w:rsidRPr="008C164C">
        <w:t>; and</w:t>
      </w:r>
    </w:p>
    <w:p w14:paraId="2409AA14" w14:textId="67A1065A" w:rsidR="002A570F" w:rsidRPr="008C164C" w:rsidRDefault="002A570F" w:rsidP="00FF255E">
      <w:pPr>
        <w:pStyle w:val="ListParagraph"/>
        <w:numPr>
          <w:ilvl w:val="0"/>
          <w:numId w:val="13"/>
        </w:numPr>
        <w:ind w:left="1134" w:hanging="425"/>
      </w:pPr>
      <w:r w:rsidRPr="008C164C">
        <w:t>Assessment of the impact of OBR agents reflecting contemporary OBR on LEN + OBR arm effectiveness in CAPELLA using subgroup analysis.</w:t>
      </w:r>
    </w:p>
    <w:p w14:paraId="46F8F943" w14:textId="486C7EF1" w:rsidR="00DC6B18" w:rsidRPr="008C164C" w:rsidRDefault="002A570F" w:rsidP="00DD1588">
      <w:pPr>
        <w:pStyle w:val="3-BodyText"/>
        <w:rPr>
          <w:snapToGrid/>
          <w:color w:val="000000" w:themeColor="text1"/>
        </w:rPr>
      </w:pPr>
      <w:r w:rsidRPr="008C164C">
        <w:t xml:space="preserve">The </w:t>
      </w:r>
      <w:r w:rsidR="00B96403" w:rsidRPr="008C164C">
        <w:t xml:space="preserve">evaluation considered the </w:t>
      </w:r>
      <w:r w:rsidRPr="008C164C">
        <w:t xml:space="preserve">steps taken by the resubmission may not have appropriately and sufficiently addressed the issues </w:t>
      </w:r>
      <w:r w:rsidR="00B96403" w:rsidRPr="008C164C">
        <w:t xml:space="preserve">previously raised by the </w:t>
      </w:r>
      <w:r w:rsidRPr="008C164C">
        <w:t xml:space="preserve">PBAC </w:t>
      </w:r>
      <w:r w:rsidR="00B96403" w:rsidRPr="008C164C">
        <w:t>regarding</w:t>
      </w:r>
      <w:r w:rsidRPr="008C164C">
        <w:t xml:space="preserve"> the composition of OBR in Australian clinical practice. </w:t>
      </w:r>
      <w:r w:rsidR="00DC6B18" w:rsidRPr="008C164C">
        <w:t xml:space="preserve">The ESC noted the PBAC had previously considered the </w:t>
      </w:r>
      <w:r w:rsidR="003A27DA" w:rsidRPr="008C164C">
        <w:t>OBR basket should be reflective of Australian clinical practice</w:t>
      </w:r>
      <w:r w:rsidR="00DC6B18" w:rsidRPr="008C164C">
        <w:t xml:space="preserve"> (paragraph 7.4, </w:t>
      </w:r>
      <w:proofErr w:type="spellStart"/>
      <w:r w:rsidR="00DC6B18" w:rsidRPr="008C164C">
        <w:t>lenacapavir</w:t>
      </w:r>
      <w:proofErr w:type="spellEnd"/>
      <w:r w:rsidR="00DC6B18" w:rsidRPr="008C164C">
        <w:t xml:space="preserve"> PSD, November 2022 PBAC meeting) and considered</w:t>
      </w:r>
      <w:r w:rsidRPr="008C164C">
        <w:t xml:space="preserve"> it was inappropriate</w:t>
      </w:r>
      <w:r w:rsidR="003A27DA" w:rsidRPr="008C164C">
        <w:t xml:space="preserve"> for the resubmission</w:t>
      </w:r>
      <w:r w:rsidRPr="008C164C">
        <w:t xml:space="preserve"> to have added </w:t>
      </w:r>
      <w:r w:rsidR="00A76BAE" w:rsidRPr="008C164C">
        <w:t>ibalizumab (</w:t>
      </w:r>
      <w:r w:rsidRPr="008C164C">
        <w:t>IBA</w:t>
      </w:r>
      <w:r w:rsidR="00A76BAE" w:rsidRPr="008C164C">
        <w:t>)</w:t>
      </w:r>
      <w:r w:rsidRPr="008C164C">
        <w:t xml:space="preserve"> </w:t>
      </w:r>
      <w:r w:rsidRPr="008C164C">
        <w:lastRenderedPageBreak/>
        <w:t xml:space="preserve">and FTR to the comparator as neither </w:t>
      </w:r>
      <w:r w:rsidR="00B52EA9" w:rsidRPr="008C164C">
        <w:t xml:space="preserve">ARV </w:t>
      </w:r>
      <w:r w:rsidRPr="008C164C">
        <w:t>are used in contemporary Australian clinical practice</w:t>
      </w:r>
      <w:r w:rsidR="00B52EA9" w:rsidRPr="008C164C">
        <w:t>, and therefore presents an additional applicability issue to the OBR alone arm which was not present from the previous submission</w:t>
      </w:r>
      <w:r w:rsidRPr="008C164C">
        <w:t>.</w:t>
      </w:r>
      <w:r w:rsidR="003A27DA" w:rsidRPr="008C164C">
        <w:t xml:space="preserve"> The Pre-PBAC Response argued the inclusion of</w:t>
      </w:r>
      <w:r w:rsidR="0080364E" w:rsidRPr="008C164C">
        <w:t xml:space="preserve"> </w:t>
      </w:r>
      <w:r w:rsidR="003A27DA" w:rsidRPr="008C164C">
        <w:t xml:space="preserve">IBA and FTR trials in the </w:t>
      </w:r>
      <w:r w:rsidR="00603BFE" w:rsidRPr="008C164C">
        <w:t xml:space="preserve">OBR </w:t>
      </w:r>
      <w:r w:rsidR="003A27DA" w:rsidRPr="008C164C">
        <w:t>basket increase</w:t>
      </w:r>
      <w:r w:rsidR="0080364E" w:rsidRPr="008C164C">
        <w:t>d</w:t>
      </w:r>
      <w:r w:rsidR="003A27DA" w:rsidRPr="008C164C">
        <w:t xml:space="preserve"> the representation of the INSTI class in the OBR arm</w:t>
      </w:r>
      <w:r w:rsidR="00466A62" w:rsidRPr="008C164C">
        <w:t xml:space="preserve"> to a level considered to be consistent with contemporary Australian clinical practice</w:t>
      </w:r>
      <w:r w:rsidR="003A27DA" w:rsidRPr="008C164C">
        <w:t xml:space="preserve"> and </w:t>
      </w:r>
      <w:r w:rsidR="00466A62" w:rsidRPr="008C164C">
        <w:t xml:space="preserve">the reported use in the </w:t>
      </w:r>
      <w:r w:rsidR="003A27DA" w:rsidRPr="008C164C">
        <w:t>LEN + OBR arm</w:t>
      </w:r>
      <w:r w:rsidR="00466A62" w:rsidRPr="008C164C">
        <w:t xml:space="preserve"> of the CAPELLA trial</w:t>
      </w:r>
      <w:r w:rsidR="003A27DA" w:rsidRPr="008C164C">
        <w:t xml:space="preserve">. The Response stated the approach was the best available to ensure any impact on efficacy due to FTR and IBA was shared across the ITC treatment arms and </w:t>
      </w:r>
      <w:r w:rsidR="00466A62" w:rsidRPr="008C164C">
        <w:t>therefore</w:t>
      </w:r>
      <w:r w:rsidR="003A27DA" w:rsidRPr="008C164C">
        <w:t xml:space="preserve"> the incremental gain for LEN + OBR compared with OBR remained unimpacted by their </w:t>
      </w:r>
      <w:r w:rsidR="00466A62" w:rsidRPr="008C164C">
        <w:t>inclusion</w:t>
      </w:r>
      <w:r w:rsidR="008C164C">
        <w:t xml:space="preserve">. </w:t>
      </w:r>
      <w:r w:rsidRPr="008C164C">
        <w:t xml:space="preserve">The extent to which these issues are addressed is discussed </w:t>
      </w:r>
      <w:r w:rsidR="00675625" w:rsidRPr="008C164C">
        <w:t xml:space="preserve">further </w:t>
      </w:r>
      <w:r w:rsidR="00882087" w:rsidRPr="008C164C">
        <w:t xml:space="preserve">in the clinical evidence and clinical effectiveness sections below. </w:t>
      </w:r>
    </w:p>
    <w:p w14:paraId="0A8D84AE" w14:textId="77777777" w:rsidR="00483F2D" w:rsidRPr="008C164C" w:rsidRDefault="00483F2D" w:rsidP="00483F2D">
      <w:pPr>
        <w:ind w:firstLine="709"/>
        <w:rPr>
          <w:rFonts w:asciiTheme="minorHAnsi" w:hAnsiTheme="minorHAnsi"/>
          <w:i/>
        </w:rPr>
      </w:pPr>
      <w:r w:rsidRPr="008C164C">
        <w:rPr>
          <w:rFonts w:asciiTheme="minorHAnsi" w:hAnsiTheme="minorHAnsi"/>
          <w:i/>
        </w:rPr>
        <w:t>For more detail on PBAC’s view, see section 7 PBAC outcome.</w:t>
      </w:r>
    </w:p>
    <w:p w14:paraId="7F9C27C8" w14:textId="77777777" w:rsidR="00223D5A" w:rsidRPr="008C164C" w:rsidRDefault="00223D5A" w:rsidP="00223D5A">
      <w:pPr>
        <w:pStyle w:val="2-SectionHeading"/>
      </w:pPr>
      <w:bookmarkStart w:id="23" w:name="_Toc145485258"/>
      <w:bookmarkStart w:id="24" w:name="_Toc22897640"/>
      <w:r w:rsidRPr="008C164C">
        <w:t>Consideration of the evidence</w:t>
      </w:r>
      <w:bookmarkEnd w:id="23"/>
    </w:p>
    <w:p w14:paraId="32838C53" w14:textId="77777777" w:rsidR="00483F2D" w:rsidRPr="008C164C" w:rsidRDefault="00483F2D" w:rsidP="00F60C06">
      <w:pPr>
        <w:pStyle w:val="4-SubsectionHeading"/>
      </w:pPr>
      <w:bookmarkStart w:id="25" w:name="_Hlk76375935"/>
      <w:bookmarkStart w:id="26" w:name="_Toc145485259"/>
      <w:r w:rsidRPr="008C164C">
        <w:t>Sponsor hearing</w:t>
      </w:r>
    </w:p>
    <w:p w14:paraId="7BAB10B5" w14:textId="58E5991F" w:rsidR="00483F2D" w:rsidRPr="008C164C" w:rsidRDefault="001C33BC" w:rsidP="00483F2D">
      <w:pPr>
        <w:widowControl w:val="0"/>
        <w:numPr>
          <w:ilvl w:val="1"/>
          <w:numId w:val="1"/>
        </w:numPr>
        <w:spacing w:after="120"/>
        <w:rPr>
          <w:rFonts w:asciiTheme="minorHAnsi" w:hAnsiTheme="minorHAnsi"/>
          <w:bCs/>
          <w:snapToGrid w:val="0"/>
        </w:rPr>
      </w:pPr>
      <w:bookmarkStart w:id="27" w:name="_Hlk76382586"/>
      <w:r w:rsidRPr="008C164C">
        <w:rPr>
          <w:rFonts w:asciiTheme="minorHAnsi" w:hAnsiTheme="minorHAnsi"/>
          <w:bCs/>
          <w:snapToGrid w:val="0"/>
        </w:rPr>
        <w:t>The Sponsor requested a hearing for this item. The clinicians</w:t>
      </w:r>
      <w:r w:rsidR="004640C5" w:rsidRPr="008C164C">
        <w:rPr>
          <w:rFonts w:asciiTheme="minorHAnsi" w:hAnsiTheme="minorHAnsi"/>
          <w:bCs/>
          <w:snapToGrid w:val="0"/>
        </w:rPr>
        <w:t xml:space="preserve"> (2)</w:t>
      </w:r>
      <w:r w:rsidRPr="008C164C">
        <w:rPr>
          <w:rFonts w:asciiTheme="minorHAnsi" w:hAnsiTheme="minorHAnsi"/>
          <w:bCs/>
          <w:snapToGrid w:val="0"/>
        </w:rPr>
        <w:t xml:space="preserve"> described groups of </w:t>
      </w:r>
      <w:proofErr w:type="spellStart"/>
      <w:r w:rsidRPr="008C164C">
        <w:rPr>
          <w:rFonts w:asciiTheme="minorHAnsi" w:hAnsiTheme="minorHAnsi"/>
          <w:bCs/>
          <w:snapToGrid w:val="0"/>
        </w:rPr>
        <w:t>hMDR</w:t>
      </w:r>
      <w:proofErr w:type="spellEnd"/>
      <w:r w:rsidRPr="008C164C">
        <w:rPr>
          <w:rFonts w:asciiTheme="minorHAnsi" w:hAnsiTheme="minorHAnsi"/>
          <w:bCs/>
          <w:snapToGrid w:val="0"/>
        </w:rPr>
        <w:t xml:space="preserve"> patients who would benefit from the addition of a new treatment option with fewer side effects. The clinicians </w:t>
      </w:r>
      <w:r w:rsidR="00BE23A7" w:rsidRPr="008C164C">
        <w:rPr>
          <w:rFonts w:asciiTheme="minorHAnsi" w:hAnsiTheme="minorHAnsi"/>
          <w:bCs/>
          <w:snapToGrid w:val="0"/>
        </w:rPr>
        <w:t>highlighted</w:t>
      </w:r>
      <w:r w:rsidRPr="008C164C">
        <w:rPr>
          <w:rFonts w:asciiTheme="minorHAnsi" w:hAnsiTheme="minorHAnsi"/>
          <w:bCs/>
          <w:snapToGrid w:val="0"/>
        </w:rPr>
        <w:t xml:space="preserve"> that the groups of patients who would benefit from the listing of </w:t>
      </w:r>
      <w:r w:rsidR="0073137A" w:rsidRPr="008C164C">
        <w:rPr>
          <w:rFonts w:asciiTheme="minorHAnsi" w:hAnsiTheme="minorHAnsi"/>
          <w:bCs/>
          <w:snapToGrid w:val="0"/>
        </w:rPr>
        <w:t xml:space="preserve">LEN </w:t>
      </w:r>
      <w:r w:rsidRPr="008C164C">
        <w:rPr>
          <w:rFonts w:asciiTheme="minorHAnsi" w:hAnsiTheme="minorHAnsi"/>
          <w:bCs/>
          <w:snapToGrid w:val="0"/>
        </w:rPr>
        <w:t xml:space="preserve">were generally older and diagnosed a </w:t>
      </w:r>
      <w:r w:rsidR="0073137A" w:rsidRPr="008C164C">
        <w:rPr>
          <w:rFonts w:asciiTheme="minorHAnsi" w:hAnsiTheme="minorHAnsi"/>
          <w:bCs/>
          <w:snapToGrid w:val="0"/>
        </w:rPr>
        <w:t xml:space="preserve">relatively </w:t>
      </w:r>
      <w:r w:rsidRPr="008C164C">
        <w:rPr>
          <w:rFonts w:asciiTheme="minorHAnsi" w:hAnsiTheme="minorHAnsi"/>
          <w:bCs/>
          <w:snapToGrid w:val="0"/>
        </w:rPr>
        <w:t xml:space="preserve">long time ago, who had received a range of 'best available' treatments at the time, but because of how early-generation anti-retroviral therapies were used, have developed multi-drug and multi-class resistance. The hearing also described challenges of effective HIV treatment in older patients who are </w:t>
      </w:r>
      <w:proofErr w:type="spellStart"/>
      <w:r w:rsidRPr="008C164C">
        <w:rPr>
          <w:rFonts w:asciiTheme="minorHAnsi" w:hAnsiTheme="minorHAnsi"/>
          <w:bCs/>
          <w:snapToGrid w:val="0"/>
        </w:rPr>
        <w:t>hMDR</w:t>
      </w:r>
      <w:proofErr w:type="spellEnd"/>
      <w:r w:rsidRPr="008C164C">
        <w:rPr>
          <w:rFonts w:asciiTheme="minorHAnsi" w:hAnsiTheme="minorHAnsi"/>
          <w:bCs/>
          <w:snapToGrid w:val="0"/>
        </w:rPr>
        <w:t xml:space="preserve"> because of increasing co-morbidities, drug-drug interactions and the severe side effects of long-term treatment for HIV (especially with the protease inhibitor class) and highlighted the benefits LEN would provide for these patients, with its favourable adverse event profile and the ability to rationalise and re-formulate individual patients ART regimens to manage individual circumstances.</w:t>
      </w:r>
    </w:p>
    <w:bookmarkEnd w:id="27"/>
    <w:p w14:paraId="05EA2FCC" w14:textId="77777777" w:rsidR="00483F2D" w:rsidRPr="008C164C" w:rsidRDefault="00483F2D" w:rsidP="00F60C06">
      <w:pPr>
        <w:pStyle w:val="4-SubsectionHeading"/>
      </w:pPr>
      <w:r w:rsidRPr="008C164C">
        <w:t>Consumer comments</w:t>
      </w:r>
    </w:p>
    <w:p w14:paraId="04384BED" w14:textId="643C0968" w:rsidR="00483F2D" w:rsidRPr="008C164C" w:rsidRDefault="004640C5" w:rsidP="00483F2D">
      <w:pPr>
        <w:widowControl w:val="0"/>
        <w:numPr>
          <w:ilvl w:val="1"/>
          <w:numId w:val="1"/>
        </w:numPr>
        <w:spacing w:after="120"/>
        <w:rPr>
          <w:rFonts w:asciiTheme="minorHAnsi" w:hAnsiTheme="minorHAnsi"/>
          <w:bCs/>
          <w:snapToGrid w:val="0"/>
        </w:rPr>
      </w:pPr>
      <w:bookmarkStart w:id="28" w:name="_Hlk76382618"/>
      <w:r w:rsidRPr="008C164C">
        <w:rPr>
          <w:rFonts w:asciiTheme="minorHAnsi" w:hAnsiTheme="minorHAnsi"/>
          <w:bCs/>
          <w:snapToGrid w:val="0"/>
        </w:rPr>
        <w:t xml:space="preserve">The PBAC recalled it had previously received input from 1 individual </w:t>
      </w:r>
      <w:r w:rsidRPr="008C164C">
        <w:rPr>
          <w:color w:val="000000" w:themeColor="text1"/>
        </w:rPr>
        <w:t xml:space="preserve">highlighting the need for additional treatment options for people living with highly multi-drug resistant HIV infection </w:t>
      </w:r>
      <w:r w:rsidRPr="008C164C">
        <w:rPr>
          <w:rFonts w:asciiTheme="minorHAnsi" w:hAnsiTheme="minorHAnsi"/>
          <w:bCs/>
          <w:snapToGrid w:val="0"/>
        </w:rPr>
        <w:t>(paragraph 6.2,</w:t>
      </w:r>
      <w:r w:rsidRPr="008C164C">
        <w:rPr>
          <w:color w:val="000000" w:themeColor="text1"/>
        </w:rPr>
        <w:t xml:space="preserve"> </w:t>
      </w:r>
      <w:proofErr w:type="spellStart"/>
      <w:r w:rsidR="001B33D5">
        <w:rPr>
          <w:color w:val="000000" w:themeColor="text1"/>
        </w:rPr>
        <w:t>lenacapavir</w:t>
      </w:r>
      <w:proofErr w:type="spellEnd"/>
      <w:r w:rsidRPr="008C164C">
        <w:rPr>
          <w:color w:val="000000" w:themeColor="text1"/>
        </w:rPr>
        <w:t xml:space="preserve"> PSD, Nov</w:t>
      </w:r>
      <w:r w:rsidR="001B33D5">
        <w:rPr>
          <w:color w:val="000000" w:themeColor="text1"/>
        </w:rPr>
        <w:t>ember</w:t>
      </w:r>
      <w:r w:rsidRPr="008C164C">
        <w:rPr>
          <w:color w:val="000000" w:themeColor="text1"/>
        </w:rPr>
        <w:t xml:space="preserve"> 2022</w:t>
      </w:r>
      <w:r w:rsidR="001B33D5">
        <w:rPr>
          <w:color w:val="000000" w:themeColor="text1"/>
        </w:rPr>
        <w:t xml:space="preserve"> PBAC meeting</w:t>
      </w:r>
      <w:r w:rsidRPr="008C164C">
        <w:rPr>
          <w:color w:val="000000" w:themeColor="text1"/>
        </w:rPr>
        <w:t>).</w:t>
      </w:r>
      <w:r w:rsidRPr="008C164C">
        <w:rPr>
          <w:rFonts w:asciiTheme="minorHAnsi" w:hAnsiTheme="minorHAnsi"/>
          <w:bCs/>
          <w:snapToGrid w:val="0"/>
        </w:rPr>
        <w:t xml:space="preserve"> </w:t>
      </w:r>
      <w:r w:rsidR="00483F2D" w:rsidRPr="008C164C">
        <w:rPr>
          <w:rFonts w:asciiTheme="minorHAnsi" w:hAnsiTheme="minorHAnsi"/>
          <w:bCs/>
          <w:snapToGrid w:val="0"/>
        </w:rPr>
        <w:t>The PBAC noted and welcomed the input from health care professionals (1) and</w:t>
      </w:r>
      <w:r w:rsidR="0006776A" w:rsidRPr="008C164C">
        <w:rPr>
          <w:rFonts w:asciiTheme="minorHAnsi" w:hAnsiTheme="minorHAnsi"/>
          <w:bCs/>
          <w:snapToGrid w:val="0"/>
        </w:rPr>
        <w:t xml:space="preserve"> from the National Association of People with HIV Australia (NAPWHA)</w:t>
      </w:r>
      <w:r w:rsidR="00483F2D" w:rsidRPr="008C164C">
        <w:rPr>
          <w:rFonts w:asciiTheme="minorHAnsi" w:hAnsiTheme="minorHAnsi"/>
          <w:bCs/>
          <w:snapToGrid w:val="0"/>
        </w:rPr>
        <w:t xml:space="preserve"> via the Consumer Comments facility on the PBS website</w:t>
      </w:r>
      <w:r w:rsidR="008C164C">
        <w:rPr>
          <w:rFonts w:asciiTheme="minorHAnsi" w:hAnsiTheme="minorHAnsi"/>
          <w:bCs/>
          <w:snapToGrid w:val="0"/>
        </w:rPr>
        <w:t xml:space="preserve">. </w:t>
      </w:r>
      <w:r w:rsidR="00483F2D" w:rsidRPr="008C164C">
        <w:rPr>
          <w:rFonts w:asciiTheme="minorHAnsi" w:hAnsiTheme="minorHAnsi"/>
          <w:bCs/>
          <w:snapToGrid w:val="0"/>
        </w:rPr>
        <w:t>The comment</w:t>
      </w:r>
      <w:r w:rsidR="00A62B61" w:rsidRPr="008C164C">
        <w:rPr>
          <w:rFonts w:asciiTheme="minorHAnsi" w:hAnsiTheme="minorHAnsi"/>
          <w:bCs/>
          <w:snapToGrid w:val="0"/>
        </w:rPr>
        <w:t xml:space="preserve"> from the health professional highlighted the need for additional treatment options in this highly treatment-experienced group and noted the evidence indicated good activity against drug-resistant HIV. The PBAC also noted the input from NAPWHA stated the organisation was concerned the proposed listing was too narrow, and the addition of an agent with a new mechanism of action with a favourable side effect profile, minimal drug-drug interactions and no food/dosing requirements would make it a useful option for a </w:t>
      </w:r>
      <w:r w:rsidR="00A62B61" w:rsidRPr="008C164C">
        <w:rPr>
          <w:rFonts w:asciiTheme="minorHAnsi" w:hAnsiTheme="minorHAnsi"/>
          <w:bCs/>
          <w:snapToGrid w:val="0"/>
        </w:rPr>
        <w:lastRenderedPageBreak/>
        <w:t>broader population of PLWH.</w:t>
      </w:r>
      <w:r w:rsidR="00603BFE" w:rsidRPr="008C164C">
        <w:rPr>
          <w:rFonts w:asciiTheme="minorHAnsi" w:hAnsiTheme="minorHAnsi"/>
          <w:bCs/>
          <w:snapToGrid w:val="0"/>
        </w:rPr>
        <w:t xml:space="preserve"> </w:t>
      </w:r>
    </w:p>
    <w:bookmarkEnd w:id="25"/>
    <w:bookmarkEnd w:id="28"/>
    <w:p w14:paraId="609C0765" w14:textId="0CE08F63" w:rsidR="00B60939" w:rsidRPr="008C164C" w:rsidRDefault="00B60939" w:rsidP="002E4F02">
      <w:pPr>
        <w:pStyle w:val="4-SubsectionHeading"/>
      </w:pPr>
      <w:r w:rsidRPr="008C164C">
        <w:t xml:space="preserve">Clinical </w:t>
      </w:r>
      <w:bookmarkEnd w:id="24"/>
      <w:r w:rsidR="00197A58" w:rsidRPr="008C164C">
        <w:t>trials</w:t>
      </w:r>
      <w:bookmarkEnd w:id="26"/>
    </w:p>
    <w:p w14:paraId="7416247D" w14:textId="76B1DCBD" w:rsidR="00197A58" w:rsidRPr="008C164C" w:rsidRDefault="001D4108" w:rsidP="00197A58">
      <w:pPr>
        <w:pStyle w:val="3-BodyText"/>
      </w:pPr>
      <w:bookmarkStart w:id="29" w:name="_Hlk144464144"/>
      <w:r w:rsidRPr="008C164C">
        <w:t>The resubmission was based on an unanchored ITC of LEN + OBR versus OBR alone. The ITC relied on the same trials as the previous submission (CAPELLA</w:t>
      </w:r>
      <w:r w:rsidR="00197A58" w:rsidRPr="008C164C">
        <w:t xml:space="preserve"> [N=72]</w:t>
      </w:r>
      <w:r w:rsidRPr="008C164C">
        <w:t>, MOTIVATE</w:t>
      </w:r>
      <w:r w:rsidR="00446FCA" w:rsidRPr="008C164C">
        <w:t xml:space="preserve"> </w:t>
      </w:r>
      <w:r w:rsidRPr="008C164C">
        <w:t>1</w:t>
      </w:r>
      <w:r w:rsidR="00197A58" w:rsidRPr="008C164C">
        <w:t xml:space="preserve"> [N=601]</w:t>
      </w:r>
      <w:r w:rsidRPr="008C164C">
        <w:t>, MOTIVATE 2</w:t>
      </w:r>
      <w:r w:rsidR="00197A58" w:rsidRPr="008C164C">
        <w:t xml:space="preserve"> [N=474]</w:t>
      </w:r>
      <w:r w:rsidRPr="008C164C">
        <w:t>, BENCHMRK 1</w:t>
      </w:r>
      <w:r w:rsidR="00197A58" w:rsidRPr="008C164C">
        <w:t xml:space="preserve"> [N=352]</w:t>
      </w:r>
      <w:r w:rsidRPr="008C164C">
        <w:t>, BENCHMRK 2</w:t>
      </w:r>
      <w:r w:rsidR="00197A58" w:rsidRPr="008C164C">
        <w:t xml:space="preserve"> [N=353]</w:t>
      </w:r>
      <w:r w:rsidRPr="008C164C">
        <w:t>, VICTOR-E</w:t>
      </w:r>
      <w:r w:rsidR="00197A58" w:rsidRPr="008C164C">
        <w:t xml:space="preserve"> [N=114]</w:t>
      </w:r>
      <w:r w:rsidRPr="008C164C">
        <w:t>) plus two additional studies (BRIGHTE</w:t>
      </w:r>
      <w:r w:rsidR="00197A58" w:rsidRPr="008C164C">
        <w:t xml:space="preserve"> [N=</w:t>
      </w:r>
      <w:r w:rsidR="00446FCA" w:rsidRPr="008C164C">
        <w:t>371</w:t>
      </w:r>
      <w:r w:rsidR="00197A58" w:rsidRPr="008C164C">
        <w:t>]</w:t>
      </w:r>
      <w:r w:rsidRPr="008C164C">
        <w:t xml:space="preserve"> and TMB</w:t>
      </w:r>
      <w:r w:rsidR="00FF56BF" w:rsidRPr="008C164C">
        <w:noBreakHyphen/>
      </w:r>
      <w:r w:rsidRPr="008C164C">
        <w:t>301</w:t>
      </w:r>
      <w:r w:rsidR="00197A58" w:rsidRPr="008C164C">
        <w:t xml:space="preserve"> [N=</w:t>
      </w:r>
      <w:r w:rsidR="00446FCA" w:rsidRPr="008C164C">
        <w:t>40]</w:t>
      </w:r>
      <w:r w:rsidRPr="008C164C">
        <w:t>).</w:t>
      </w:r>
    </w:p>
    <w:bookmarkEnd w:id="29"/>
    <w:p w14:paraId="087D9186" w14:textId="206E2A7C" w:rsidR="00197A58" w:rsidRPr="008C164C" w:rsidRDefault="00197A58" w:rsidP="00197A58">
      <w:pPr>
        <w:pStyle w:val="3-BodyText"/>
      </w:pPr>
      <w:r w:rsidRPr="008C164C">
        <w:t>The resubmission also presented updated CAPELLA results from a Week 104 analysis (compared to Week 52 analysis in the previous submission</w:t>
      </w:r>
      <w:r w:rsidR="00456628" w:rsidRPr="008C164C">
        <w:t>)</w:t>
      </w:r>
      <w:r w:rsidRPr="008C164C">
        <w:t>.</w:t>
      </w:r>
    </w:p>
    <w:p w14:paraId="2B59ABAC" w14:textId="3F4C146F" w:rsidR="00862502" w:rsidRPr="008C164C" w:rsidRDefault="00A73134" w:rsidP="002E4F02">
      <w:pPr>
        <w:pStyle w:val="3-BodyText"/>
      </w:pPr>
      <w:r w:rsidRPr="008C164C">
        <w:rPr>
          <w:snapToGrid/>
        </w:rPr>
        <w:t>Details of the trials</w:t>
      </w:r>
      <w:r w:rsidR="00071D84" w:rsidRPr="008C164C">
        <w:rPr>
          <w:snapToGrid/>
        </w:rPr>
        <w:t xml:space="preserve"> and </w:t>
      </w:r>
      <w:r w:rsidR="00D5243B" w:rsidRPr="008C164C">
        <w:rPr>
          <w:snapToGrid/>
        </w:rPr>
        <w:t>studies</w:t>
      </w:r>
      <w:r w:rsidRPr="008C164C">
        <w:rPr>
          <w:snapToGrid/>
        </w:rPr>
        <w:t xml:space="preserve"> presented in the submission are provided in </w:t>
      </w:r>
      <w:r w:rsidR="00696EF9" w:rsidRPr="008C164C">
        <w:rPr>
          <w:snapToGrid/>
        </w:rPr>
        <w:fldChar w:fldCharType="begin" w:fldLock="1"/>
      </w:r>
      <w:r w:rsidR="00696EF9" w:rsidRPr="008C164C">
        <w:rPr>
          <w:snapToGrid/>
        </w:rPr>
        <w:instrText xml:space="preserve"> REF _Ref104803956 \h </w:instrText>
      </w:r>
      <w:r w:rsidR="00696EF9" w:rsidRPr="008C164C">
        <w:rPr>
          <w:snapToGrid/>
        </w:rPr>
      </w:r>
      <w:r w:rsidR="00696EF9" w:rsidRPr="008C164C">
        <w:rPr>
          <w:snapToGrid/>
        </w:rPr>
        <w:fldChar w:fldCharType="separate"/>
      </w:r>
      <w:r w:rsidR="00682506" w:rsidRPr="008C164C">
        <w:t xml:space="preserve">Table </w:t>
      </w:r>
      <w:r w:rsidR="00682506">
        <w:rPr>
          <w:noProof/>
        </w:rPr>
        <w:t>3</w:t>
      </w:r>
      <w:r w:rsidR="00696EF9" w:rsidRPr="008C164C">
        <w:rPr>
          <w:snapToGrid/>
        </w:rPr>
        <w:fldChar w:fldCharType="end"/>
      </w:r>
      <w:r w:rsidRPr="008C164C">
        <w:rPr>
          <w:snapToGrid/>
        </w:rPr>
        <w:t>.</w:t>
      </w:r>
      <w:r w:rsidR="00BC591F" w:rsidRPr="008C164C">
        <w:rPr>
          <w:snapToGrid/>
        </w:rPr>
        <w:t xml:space="preserve"> </w:t>
      </w:r>
    </w:p>
    <w:p w14:paraId="422897F7" w14:textId="6AF37E7F" w:rsidR="00197A58" w:rsidRPr="008C164C" w:rsidRDefault="00696EF9" w:rsidP="005863BA">
      <w:pPr>
        <w:pStyle w:val="TableFigureHeading"/>
        <w:keepLines/>
        <w:rPr>
          <w:rStyle w:val="CommentReference"/>
          <w:b/>
          <w:szCs w:val="24"/>
        </w:rPr>
      </w:pPr>
      <w:bookmarkStart w:id="30" w:name="_Ref104803956"/>
      <w:r w:rsidRPr="008C164C">
        <w:t xml:space="preserve">Table </w:t>
      </w:r>
      <w:r w:rsidR="00B25BFE">
        <w:fldChar w:fldCharType="begin" w:fldLock="1"/>
      </w:r>
      <w:r w:rsidR="00B25BFE">
        <w:instrText xml:space="preserve"> SEQ Table \* ARABIC </w:instrText>
      </w:r>
      <w:r w:rsidR="00B25BFE">
        <w:fldChar w:fldCharType="separate"/>
      </w:r>
      <w:r w:rsidR="00682506">
        <w:rPr>
          <w:noProof/>
        </w:rPr>
        <w:t>3</w:t>
      </w:r>
      <w:r w:rsidR="00B25BFE">
        <w:rPr>
          <w:noProof/>
        </w:rPr>
        <w:fldChar w:fldCharType="end"/>
      </w:r>
      <w:bookmarkEnd w:id="30"/>
      <w:r w:rsidRPr="008C164C">
        <w:t>:</w:t>
      </w:r>
      <w:r w:rsidR="00BC591F" w:rsidRPr="008C164C">
        <w:rPr>
          <w:rStyle w:val="CommentReference"/>
          <w:b/>
          <w:szCs w:val="24"/>
        </w:rPr>
        <w:t xml:space="preserve"> </w:t>
      </w:r>
      <w:r w:rsidR="00197A58" w:rsidRPr="008C164C">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95"/>
        <w:gridCol w:w="5389"/>
        <w:gridCol w:w="1933"/>
      </w:tblGrid>
      <w:tr w:rsidR="00197A58" w:rsidRPr="008C164C" w14:paraId="10EC9728" w14:textId="77777777" w:rsidTr="00883A8D">
        <w:trPr>
          <w:cantSplit/>
          <w:tblHeader/>
        </w:trPr>
        <w:tc>
          <w:tcPr>
            <w:tcW w:w="940" w:type="pct"/>
            <w:vAlign w:val="center"/>
          </w:tcPr>
          <w:p w14:paraId="2A5ABEB7" w14:textId="77777777" w:rsidR="00197A58" w:rsidRPr="008C164C" w:rsidRDefault="00197A58" w:rsidP="007310E3">
            <w:pPr>
              <w:pStyle w:val="In-tableHeading"/>
              <w:keepLines/>
              <w:widowControl w:val="0"/>
              <w:rPr>
                <w:lang w:val="en-AU"/>
              </w:rPr>
            </w:pPr>
            <w:r w:rsidRPr="008C164C">
              <w:rPr>
                <w:lang w:val="en-AU"/>
              </w:rPr>
              <w:t>Trial ID</w:t>
            </w:r>
          </w:p>
        </w:tc>
        <w:tc>
          <w:tcPr>
            <w:tcW w:w="2988" w:type="pct"/>
            <w:vAlign w:val="center"/>
          </w:tcPr>
          <w:p w14:paraId="7653401A" w14:textId="77777777" w:rsidR="00197A58" w:rsidRPr="008C164C" w:rsidRDefault="00197A58" w:rsidP="007310E3">
            <w:pPr>
              <w:pStyle w:val="In-tableHeading"/>
              <w:keepLines/>
              <w:widowControl w:val="0"/>
              <w:rPr>
                <w:lang w:val="en-AU"/>
              </w:rPr>
            </w:pPr>
            <w:r w:rsidRPr="008C164C">
              <w:rPr>
                <w:lang w:val="en-AU"/>
              </w:rPr>
              <w:t>Protocol title/ Publication title</w:t>
            </w:r>
          </w:p>
        </w:tc>
        <w:tc>
          <w:tcPr>
            <w:tcW w:w="1072" w:type="pct"/>
            <w:vAlign w:val="center"/>
          </w:tcPr>
          <w:p w14:paraId="72CF2C8A" w14:textId="77777777" w:rsidR="00197A58" w:rsidRPr="008C164C" w:rsidRDefault="00197A58" w:rsidP="00883A8D">
            <w:pPr>
              <w:pStyle w:val="In-tableHeading"/>
              <w:keepLines/>
              <w:widowControl w:val="0"/>
              <w:rPr>
                <w:lang w:val="en-AU"/>
              </w:rPr>
            </w:pPr>
            <w:r w:rsidRPr="008C164C">
              <w:rPr>
                <w:lang w:val="en-AU"/>
              </w:rPr>
              <w:t>Publication citation</w:t>
            </w:r>
          </w:p>
        </w:tc>
      </w:tr>
      <w:tr w:rsidR="00197A58" w:rsidRPr="008C164C" w14:paraId="1248EAA7" w14:textId="77777777" w:rsidTr="00883A8D">
        <w:trPr>
          <w:cantSplit/>
        </w:trPr>
        <w:tc>
          <w:tcPr>
            <w:tcW w:w="940" w:type="pct"/>
            <w:tcBorders>
              <w:bottom w:val="nil"/>
            </w:tcBorders>
            <w:shd w:val="clear" w:color="auto" w:fill="C6D9F1" w:themeFill="text2" w:themeFillTint="33"/>
            <w:vAlign w:val="center"/>
          </w:tcPr>
          <w:p w14:paraId="5F6F9818" w14:textId="77777777" w:rsidR="00197A58" w:rsidRPr="008C164C" w:rsidRDefault="00197A58" w:rsidP="007310E3">
            <w:pPr>
              <w:pStyle w:val="TableText0"/>
              <w:keepLines/>
              <w:widowControl w:val="0"/>
              <w:jc w:val="both"/>
            </w:pPr>
          </w:p>
        </w:tc>
        <w:tc>
          <w:tcPr>
            <w:tcW w:w="2988" w:type="pct"/>
            <w:tcBorders>
              <w:bottom w:val="nil"/>
            </w:tcBorders>
            <w:shd w:val="clear" w:color="auto" w:fill="C6D9F1" w:themeFill="text2" w:themeFillTint="33"/>
            <w:vAlign w:val="center"/>
          </w:tcPr>
          <w:p w14:paraId="572AC442" w14:textId="77777777" w:rsidR="00197A58" w:rsidRPr="008C164C" w:rsidRDefault="00197A58" w:rsidP="007310E3">
            <w:pPr>
              <w:pStyle w:val="TableText0"/>
              <w:keepLines/>
              <w:widowControl w:val="0"/>
              <w:jc w:val="both"/>
              <w:rPr>
                <w:szCs w:val="18"/>
              </w:rPr>
            </w:pPr>
            <w:r w:rsidRPr="008C164C">
              <w:rPr>
                <w:szCs w:val="18"/>
              </w:rPr>
              <w:t xml:space="preserve">Gilead Sciences Inc (2019). NCT04150068: Study to Evaluate the Safety and Efficacy of </w:t>
            </w:r>
            <w:proofErr w:type="spellStart"/>
            <w:r w:rsidRPr="008C164C">
              <w:rPr>
                <w:szCs w:val="18"/>
              </w:rPr>
              <w:t>Lenacapavir</w:t>
            </w:r>
            <w:proofErr w:type="spellEnd"/>
            <w:r w:rsidRPr="008C164C">
              <w:rPr>
                <w:szCs w:val="18"/>
              </w:rPr>
              <w:t xml:space="preserve"> (GS-6207) in Combination With an Optimized Background Regimen (OBR) in Heavily Treatment Experienced Participants Living With HIV-1 Infection With Multidrug Resistance (GS-US-200-4625).</w:t>
            </w:r>
          </w:p>
        </w:tc>
        <w:tc>
          <w:tcPr>
            <w:tcW w:w="1072" w:type="pct"/>
            <w:tcBorders>
              <w:bottom w:val="nil"/>
            </w:tcBorders>
            <w:shd w:val="clear" w:color="auto" w:fill="C6D9F1" w:themeFill="text2" w:themeFillTint="33"/>
            <w:vAlign w:val="center"/>
          </w:tcPr>
          <w:p w14:paraId="1EB7F544" w14:textId="77777777" w:rsidR="00197A58" w:rsidRPr="008C164C" w:rsidRDefault="00197A58" w:rsidP="00883A8D">
            <w:pPr>
              <w:pStyle w:val="TableText0"/>
              <w:keepLines/>
              <w:widowControl w:val="0"/>
            </w:pPr>
            <w:r w:rsidRPr="008C164C">
              <w:t>2019</w:t>
            </w:r>
          </w:p>
        </w:tc>
      </w:tr>
      <w:tr w:rsidR="00197A58" w:rsidRPr="008C164C" w14:paraId="52AA5530" w14:textId="77777777" w:rsidTr="00883A8D">
        <w:trPr>
          <w:cantSplit/>
        </w:trPr>
        <w:tc>
          <w:tcPr>
            <w:tcW w:w="940" w:type="pct"/>
            <w:tcBorders>
              <w:top w:val="nil"/>
              <w:bottom w:val="nil"/>
            </w:tcBorders>
            <w:shd w:val="clear" w:color="auto" w:fill="C6D9F1" w:themeFill="text2" w:themeFillTint="33"/>
            <w:vAlign w:val="center"/>
          </w:tcPr>
          <w:p w14:paraId="11EF2ACE" w14:textId="77777777" w:rsidR="00197A58" w:rsidRPr="008C164C" w:rsidRDefault="008C517F" w:rsidP="007310E3">
            <w:pPr>
              <w:pStyle w:val="TableText0"/>
              <w:keepLines/>
              <w:widowControl w:val="0"/>
              <w:jc w:val="both"/>
            </w:pPr>
            <w:r w:rsidRPr="008C164C">
              <w:t>CAPELLA</w:t>
            </w:r>
          </w:p>
          <w:p w14:paraId="125EBDF2" w14:textId="166DB73B" w:rsidR="007F0509" w:rsidRPr="008C164C" w:rsidRDefault="007F0509" w:rsidP="007310E3">
            <w:pPr>
              <w:pStyle w:val="TableText0"/>
              <w:keepLines/>
              <w:widowControl w:val="0"/>
              <w:jc w:val="both"/>
            </w:pPr>
            <w:r w:rsidRPr="008C164C">
              <w:t>NCT04150068</w:t>
            </w:r>
          </w:p>
        </w:tc>
        <w:tc>
          <w:tcPr>
            <w:tcW w:w="2988" w:type="pct"/>
            <w:tcBorders>
              <w:top w:val="nil"/>
              <w:bottom w:val="nil"/>
            </w:tcBorders>
            <w:shd w:val="clear" w:color="auto" w:fill="C6D9F1" w:themeFill="text2" w:themeFillTint="33"/>
            <w:vAlign w:val="center"/>
          </w:tcPr>
          <w:p w14:paraId="57A9A602" w14:textId="77777777" w:rsidR="00197A58" w:rsidRPr="008C164C" w:rsidRDefault="00197A58" w:rsidP="007310E3">
            <w:pPr>
              <w:pStyle w:val="TableText0"/>
              <w:keepLines/>
              <w:jc w:val="both"/>
            </w:pPr>
            <w:r w:rsidRPr="008C164C">
              <w:t>Gilead Sciences Inc (2021). GS-US-200-4625: A Phase 2/3 Study to Evaluate the Safety and Efficacy of Long Acting Capsid Inhibitor GS-6207 in Combination with an Optimized Background Regimen in Heavily Treatment Experienced People Living With HIV-1 Infection With Multidrug Resistance: Interim Clinical Study Report Addendum (week 52 data).</w:t>
            </w:r>
          </w:p>
        </w:tc>
        <w:tc>
          <w:tcPr>
            <w:tcW w:w="1072" w:type="pct"/>
            <w:tcBorders>
              <w:top w:val="nil"/>
              <w:bottom w:val="nil"/>
            </w:tcBorders>
            <w:shd w:val="clear" w:color="auto" w:fill="C6D9F1" w:themeFill="text2" w:themeFillTint="33"/>
            <w:vAlign w:val="center"/>
          </w:tcPr>
          <w:p w14:paraId="2252844D" w14:textId="77777777" w:rsidR="00197A58" w:rsidRPr="008C164C" w:rsidRDefault="00197A58" w:rsidP="00883A8D">
            <w:pPr>
              <w:pStyle w:val="TableText0"/>
              <w:keepLines/>
              <w:widowControl w:val="0"/>
              <w:rPr>
                <w:szCs w:val="18"/>
              </w:rPr>
            </w:pPr>
            <w:r w:rsidRPr="008C164C">
              <w:rPr>
                <w:szCs w:val="18"/>
              </w:rPr>
              <w:t>2021</w:t>
            </w:r>
          </w:p>
        </w:tc>
      </w:tr>
      <w:tr w:rsidR="00197A58" w:rsidRPr="008C164C" w14:paraId="737DBA1F" w14:textId="77777777" w:rsidTr="00883A8D">
        <w:trPr>
          <w:cantSplit/>
        </w:trPr>
        <w:tc>
          <w:tcPr>
            <w:tcW w:w="940" w:type="pct"/>
            <w:tcBorders>
              <w:top w:val="nil"/>
              <w:bottom w:val="nil"/>
            </w:tcBorders>
            <w:shd w:val="clear" w:color="auto" w:fill="C6D9F1" w:themeFill="text2" w:themeFillTint="33"/>
            <w:vAlign w:val="center"/>
          </w:tcPr>
          <w:p w14:paraId="6B92FCC2" w14:textId="490436BE" w:rsidR="00197A58" w:rsidRPr="008C164C" w:rsidRDefault="00197A58" w:rsidP="007310E3">
            <w:pPr>
              <w:pStyle w:val="TableText0"/>
              <w:keepLines/>
              <w:widowControl w:val="0"/>
              <w:jc w:val="both"/>
            </w:pPr>
          </w:p>
        </w:tc>
        <w:tc>
          <w:tcPr>
            <w:tcW w:w="2988" w:type="pct"/>
            <w:tcBorders>
              <w:top w:val="nil"/>
              <w:bottom w:val="nil"/>
            </w:tcBorders>
            <w:shd w:val="clear" w:color="auto" w:fill="C6D9F1" w:themeFill="text2" w:themeFillTint="33"/>
            <w:vAlign w:val="center"/>
          </w:tcPr>
          <w:p w14:paraId="00F79504" w14:textId="77777777" w:rsidR="00197A58" w:rsidRPr="008C164C" w:rsidRDefault="00197A58" w:rsidP="007310E3">
            <w:pPr>
              <w:pStyle w:val="TableText0"/>
              <w:keepLines/>
              <w:jc w:val="both"/>
            </w:pPr>
            <w:r w:rsidRPr="008C164C">
              <w:t>Key Publication</w:t>
            </w:r>
          </w:p>
          <w:p w14:paraId="351C7BB7" w14:textId="77777777" w:rsidR="00197A58" w:rsidRPr="008C164C" w:rsidRDefault="00197A58" w:rsidP="007310E3">
            <w:pPr>
              <w:pStyle w:val="TableText0"/>
              <w:keepLines/>
              <w:widowControl w:val="0"/>
              <w:jc w:val="both"/>
              <w:rPr>
                <w:szCs w:val="18"/>
              </w:rPr>
            </w:pPr>
            <w:r w:rsidRPr="008C164C">
              <w:rPr>
                <w:rFonts w:eastAsia="Batang"/>
              </w:rPr>
              <w:t xml:space="preserve">Segal-Maurer, S, DeJesus, E, et al. Capsid Inhibition with </w:t>
            </w:r>
            <w:proofErr w:type="spellStart"/>
            <w:r w:rsidRPr="008C164C">
              <w:rPr>
                <w:rFonts w:eastAsia="Batang"/>
              </w:rPr>
              <w:t>Lenacapavir</w:t>
            </w:r>
            <w:proofErr w:type="spellEnd"/>
            <w:r w:rsidRPr="008C164C">
              <w:rPr>
                <w:rFonts w:eastAsia="Batang"/>
              </w:rPr>
              <w:t xml:space="preserve"> in Multidrug-Resistant HIV-1 Infection. </w:t>
            </w:r>
          </w:p>
        </w:tc>
        <w:tc>
          <w:tcPr>
            <w:tcW w:w="1072" w:type="pct"/>
            <w:tcBorders>
              <w:top w:val="nil"/>
              <w:bottom w:val="nil"/>
            </w:tcBorders>
            <w:shd w:val="clear" w:color="auto" w:fill="C6D9F1" w:themeFill="text2" w:themeFillTint="33"/>
            <w:vAlign w:val="center"/>
          </w:tcPr>
          <w:p w14:paraId="20C2FD57" w14:textId="41B4E4E0" w:rsidR="00197A58" w:rsidRPr="008C164C" w:rsidRDefault="00EB239C" w:rsidP="00883A8D">
            <w:pPr>
              <w:pStyle w:val="TableText0"/>
              <w:keepLines/>
              <w:widowControl w:val="0"/>
              <w:rPr>
                <w:szCs w:val="18"/>
              </w:rPr>
            </w:pPr>
            <w:r w:rsidRPr="008C164C">
              <w:t>The New England journal of medicine</w:t>
            </w:r>
            <w:r w:rsidR="00197A58" w:rsidRPr="008C164C">
              <w:rPr>
                <w:szCs w:val="18"/>
              </w:rPr>
              <w:t xml:space="preserve"> 2022; </w:t>
            </w:r>
            <w:r w:rsidR="00197A58" w:rsidRPr="008C164C">
              <w:rPr>
                <w:rFonts w:eastAsia="Batang"/>
              </w:rPr>
              <w:t>386(19): 1793-1803.</w:t>
            </w:r>
          </w:p>
        </w:tc>
      </w:tr>
      <w:tr w:rsidR="00197A58" w:rsidRPr="008C164C" w14:paraId="0F1B6EA2" w14:textId="77777777" w:rsidTr="00883A8D">
        <w:trPr>
          <w:cantSplit/>
        </w:trPr>
        <w:tc>
          <w:tcPr>
            <w:tcW w:w="940" w:type="pct"/>
            <w:tcBorders>
              <w:top w:val="nil"/>
              <w:bottom w:val="nil"/>
            </w:tcBorders>
            <w:shd w:val="clear" w:color="auto" w:fill="C6D9F1" w:themeFill="text2" w:themeFillTint="33"/>
            <w:vAlign w:val="center"/>
          </w:tcPr>
          <w:p w14:paraId="2E6D3406" w14:textId="77777777" w:rsidR="00197A58" w:rsidRPr="008C164C" w:rsidRDefault="00197A58" w:rsidP="007310E3">
            <w:pPr>
              <w:pStyle w:val="TableText0"/>
              <w:keepLines/>
              <w:widowControl w:val="0"/>
              <w:jc w:val="both"/>
            </w:pPr>
          </w:p>
        </w:tc>
        <w:tc>
          <w:tcPr>
            <w:tcW w:w="2988" w:type="pct"/>
            <w:tcBorders>
              <w:top w:val="nil"/>
              <w:bottom w:val="nil"/>
            </w:tcBorders>
            <w:shd w:val="clear" w:color="auto" w:fill="C6D9F1" w:themeFill="text2" w:themeFillTint="33"/>
            <w:vAlign w:val="center"/>
          </w:tcPr>
          <w:p w14:paraId="2E71854D" w14:textId="77777777" w:rsidR="00197A58" w:rsidRPr="008C164C" w:rsidRDefault="00197A58" w:rsidP="007310E3">
            <w:pPr>
              <w:pStyle w:val="TableText0"/>
              <w:keepLines/>
              <w:widowControl w:val="0"/>
              <w:jc w:val="both"/>
              <w:rPr>
                <w:szCs w:val="18"/>
              </w:rPr>
            </w:pPr>
            <w:r w:rsidRPr="008C164C">
              <w:rPr>
                <w:rFonts w:eastAsia="Batang"/>
                <w:lang w:eastAsia="en-US"/>
              </w:rPr>
              <w:t xml:space="preserve">Margot, N, </w:t>
            </w:r>
            <w:proofErr w:type="spellStart"/>
            <w:r w:rsidRPr="008C164C">
              <w:rPr>
                <w:rFonts w:eastAsia="Batang"/>
                <w:lang w:eastAsia="en-US"/>
              </w:rPr>
              <w:t>Vanderveen</w:t>
            </w:r>
            <w:proofErr w:type="spellEnd"/>
            <w:r w:rsidRPr="008C164C">
              <w:rPr>
                <w:rFonts w:eastAsia="Batang"/>
                <w:lang w:eastAsia="en-US"/>
              </w:rPr>
              <w:t xml:space="preserve">, L, et al. Phenotypic resistance to </w:t>
            </w:r>
            <w:proofErr w:type="spellStart"/>
            <w:r w:rsidRPr="008C164C">
              <w:rPr>
                <w:rFonts w:eastAsia="Batang"/>
                <w:lang w:eastAsia="en-US"/>
              </w:rPr>
              <w:t>lenacapavir</w:t>
            </w:r>
            <w:proofErr w:type="spellEnd"/>
            <w:r w:rsidRPr="008C164C">
              <w:rPr>
                <w:rFonts w:eastAsia="Batang"/>
                <w:lang w:eastAsia="en-US"/>
              </w:rPr>
              <w:t xml:space="preserve"> and monotherapy efficacy in a proof-of-concept clinical study</w:t>
            </w:r>
            <w:r w:rsidRPr="008C164C">
              <w:t xml:space="preserve"> </w:t>
            </w:r>
          </w:p>
        </w:tc>
        <w:tc>
          <w:tcPr>
            <w:tcW w:w="1072" w:type="pct"/>
            <w:tcBorders>
              <w:top w:val="nil"/>
              <w:bottom w:val="nil"/>
            </w:tcBorders>
            <w:shd w:val="clear" w:color="auto" w:fill="C6D9F1" w:themeFill="text2" w:themeFillTint="33"/>
            <w:vAlign w:val="center"/>
          </w:tcPr>
          <w:p w14:paraId="54139A83" w14:textId="6A05C612" w:rsidR="00197A58" w:rsidRPr="008C164C" w:rsidRDefault="00197A58" w:rsidP="00883A8D">
            <w:pPr>
              <w:pStyle w:val="TableText0"/>
              <w:keepLines/>
              <w:widowControl w:val="0"/>
              <w:rPr>
                <w:szCs w:val="18"/>
              </w:rPr>
            </w:pPr>
            <w:r w:rsidRPr="008C164C">
              <w:rPr>
                <w:rFonts w:eastAsia="Batang"/>
                <w:lang w:eastAsia="en-US"/>
              </w:rPr>
              <w:t>The Journal of antimicrobial chemotherapy 2022</w:t>
            </w:r>
            <w:r w:rsidRPr="008C164C">
              <w:rPr>
                <w:rFonts w:eastAsia="Batang"/>
                <w:u w:val="single"/>
                <w:lang w:eastAsia="en-US"/>
              </w:rPr>
              <w:t>;</w:t>
            </w:r>
            <w:r w:rsidRPr="008C164C">
              <w:rPr>
                <w:rFonts w:eastAsia="Batang"/>
                <w:lang w:eastAsia="en-US"/>
              </w:rPr>
              <w:t xml:space="preserve"> </w:t>
            </w:r>
            <w:r w:rsidRPr="008C164C">
              <w:rPr>
                <w:rFonts w:eastAsia="Batang"/>
                <w:bCs w:val="0"/>
                <w:lang w:eastAsia="en-US"/>
              </w:rPr>
              <w:t>77</w:t>
            </w:r>
            <w:r w:rsidRPr="008C164C">
              <w:rPr>
                <w:rFonts w:eastAsia="Batang"/>
                <w:lang w:eastAsia="en-US"/>
              </w:rPr>
              <w:t>(4): 989-995</w:t>
            </w:r>
            <w:r w:rsidR="008C164C">
              <w:rPr>
                <w:rFonts w:eastAsia="Batang"/>
                <w:lang w:eastAsia="en-US"/>
              </w:rPr>
              <w:t xml:space="preserve">. </w:t>
            </w:r>
          </w:p>
        </w:tc>
      </w:tr>
      <w:tr w:rsidR="00197A58" w:rsidRPr="008C164C" w14:paraId="6E1043B1" w14:textId="77777777" w:rsidTr="00883A8D">
        <w:trPr>
          <w:cantSplit/>
        </w:trPr>
        <w:tc>
          <w:tcPr>
            <w:tcW w:w="940" w:type="pct"/>
            <w:tcBorders>
              <w:top w:val="single" w:sz="4" w:space="0" w:color="auto"/>
              <w:bottom w:val="single" w:sz="4" w:space="0" w:color="auto"/>
            </w:tcBorders>
            <w:shd w:val="clear" w:color="auto" w:fill="C6D9F1" w:themeFill="text2" w:themeFillTint="33"/>
            <w:vAlign w:val="center"/>
          </w:tcPr>
          <w:p w14:paraId="6C9756E2" w14:textId="77777777" w:rsidR="00197A58" w:rsidRPr="008C164C" w:rsidRDefault="00197A58" w:rsidP="00E14FAB">
            <w:pPr>
              <w:pStyle w:val="TableText0"/>
              <w:widowControl w:val="0"/>
              <w:jc w:val="both"/>
              <w:rPr>
                <w:b/>
                <w:bCs w:val="0"/>
              </w:rPr>
            </w:pPr>
            <w:r w:rsidRPr="008C164C">
              <w:rPr>
                <w:b/>
                <w:bCs w:val="0"/>
              </w:rPr>
              <w:t>Comparator trials</w:t>
            </w:r>
          </w:p>
        </w:tc>
        <w:tc>
          <w:tcPr>
            <w:tcW w:w="2988" w:type="pct"/>
            <w:tcBorders>
              <w:top w:val="single" w:sz="4" w:space="0" w:color="auto"/>
              <w:bottom w:val="single" w:sz="4" w:space="0" w:color="auto"/>
            </w:tcBorders>
            <w:shd w:val="clear" w:color="auto" w:fill="C6D9F1" w:themeFill="text2" w:themeFillTint="33"/>
            <w:vAlign w:val="center"/>
          </w:tcPr>
          <w:p w14:paraId="04ED187D" w14:textId="77777777" w:rsidR="00197A58" w:rsidRPr="008C164C" w:rsidRDefault="00197A58" w:rsidP="00E14FAB">
            <w:pPr>
              <w:pStyle w:val="TableText0"/>
              <w:widowControl w:val="0"/>
              <w:jc w:val="both"/>
              <w:rPr>
                <w:szCs w:val="18"/>
              </w:rPr>
            </w:pPr>
          </w:p>
        </w:tc>
        <w:tc>
          <w:tcPr>
            <w:tcW w:w="1072" w:type="pct"/>
            <w:tcBorders>
              <w:top w:val="single" w:sz="4" w:space="0" w:color="auto"/>
              <w:bottom w:val="single" w:sz="4" w:space="0" w:color="auto"/>
            </w:tcBorders>
            <w:shd w:val="clear" w:color="auto" w:fill="C6D9F1" w:themeFill="text2" w:themeFillTint="33"/>
            <w:vAlign w:val="center"/>
          </w:tcPr>
          <w:p w14:paraId="16D1149B" w14:textId="77777777" w:rsidR="00197A58" w:rsidRPr="008C164C" w:rsidRDefault="00197A58" w:rsidP="00883A8D">
            <w:pPr>
              <w:pStyle w:val="TableText0"/>
              <w:widowControl w:val="0"/>
              <w:rPr>
                <w:szCs w:val="18"/>
              </w:rPr>
            </w:pPr>
          </w:p>
        </w:tc>
      </w:tr>
      <w:tr w:rsidR="00197A58" w:rsidRPr="008C164C" w14:paraId="13A45958" w14:textId="77777777" w:rsidTr="00883A8D">
        <w:trPr>
          <w:cantSplit/>
        </w:trPr>
        <w:tc>
          <w:tcPr>
            <w:tcW w:w="940" w:type="pct"/>
            <w:tcBorders>
              <w:top w:val="single" w:sz="4" w:space="0" w:color="auto"/>
              <w:bottom w:val="nil"/>
            </w:tcBorders>
            <w:shd w:val="clear" w:color="auto" w:fill="C6D9F1" w:themeFill="text2" w:themeFillTint="33"/>
            <w:vAlign w:val="center"/>
          </w:tcPr>
          <w:p w14:paraId="0101BEC9" w14:textId="77777777" w:rsidR="00197A58" w:rsidRPr="008C164C" w:rsidRDefault="00197A58" w:rsidP="00E14FAB">
            <w:pPr>
              <w:pStyle w:val="TableText0"/>
              <w:widowControl w:val="0"/>
              <w:jc w:val="both"/>
            </w:pPr>
          </w:p>
        </w:tc>
        <w:tc>
          <w:tcPr>
            <w:tcW w:w="2988" w:type="pct"/>
            <w:tcBorders>
              <w:top w:val="single" w:sz="4" w:space="0" w:color="auto"/>
              <w:bottom w:val="nil"/>
            </w:tcBorders>
            <w:shd w:val="clear" w:color="auto" w:fill="C6D9F1" w:themeFill="text2" w:themeFillTint="33"/>
            <w:vAlign w:val="center"/>
          </w:tcPr>
          <w:p w14:paraId="3B00E4A2" w14:textId="77777777" w:rsidR="00197A58" w:rsidRPr="008C164C" w:rsidRDefault="00197A58" w:rsidP="00E14FAB">
            <w:pPr>
              <w:pStyle w:val="TableText0"/>
              <w:widowControl w:val="0"/>
              <w:jc w:val="both"/>
            </w:pPr>
            <w:proofErr w:type="spellStart"/>
            <w:r w:rsidRPr="008C164C">
              <w:t>Steigbigel</w:t>
            </w:r>
            <w:proofErr w:type="spellEnd"/>
            <w:r w:rsidRPr="008C164C">
              <w:t xml:space="preserve">, RT, Cooper, DA, et al. </w:t>
            </w:r>
            <w:proofErr w:type="spellStart"/>
            <w:r w:rsidRPr="008C164C">
              <w:t>Raltegravir</w:t>
            </w:r>
            <w:proofErr w:type="spellEnd"/>
            <w:r w:rsidRPr="008C164C">
              <w:t xml:space="preserve"> with optimized background therapy for resistant HIV-1 infection.</w:t>
            </w:r>
          </w:p>
        </w:tc>
        <w:tc>
          <w:tcPr>
            <w:tcW w:w="1072" w:type="pct"/>
            <w:tcBorders>
              <w:top w:val="single" w:sz="4" w:space="0" w:color="auto"/>
              <w:bottom w:val="nil"/>
            </w:tcBorders>
            <w:shd w:val="clear" w:color="auto" w:fill="C6D9F1" w:themeFill="text2" w:themeFillTint="33"/>
            <w:vAlign w:val="center"/>
          </w:tcPr>
          <w:p w14:paraId="2C4FFCDC" w14:textId="53BD34A6" w:rsidR="00197A58" w:rsidRPr="008C164C" w:rsidRDefault="00EB239C" w:rsidP="00883A8D">
            <w:pPr>
              <w:pStyle w:val="TableText0"/>
              <w:widowControl w:val="0"/>
            </w:pPr>
            <w:r w:rsidRPr="008C164C">
              <w:t>The New England journal of medicine</w:t>
            </w:r>
            <w:r w:rsidR="00197A58" w:rsidRPr="008C164C">
              <w:t xml:space="preserve"> 2008; 359(4): 339-354.</w:t>
            </w:r>
          </w:p>
        </w:tc>
      </w:tr>
      <w:tr w:rsidR="00197A58" w:rsidRPr="008C164C" w14:paraId="260CAD34" w14:textId="77777777" w:rsidTr="00883A8D">
        <w:trPr>
          <w:cantSplit/>
        </w:trPr>
        <w:tc>
          <w:tcPr>
            <w:tcW w:w="940" w:type="pct"/>
            <w:tcBorders>
              <w:top w:val="nil"/>
              <w:bottom w:val="nil"/>
            </w:tcBorders>
            <w:shd w:val="clear" w:color="auto" w:fill="C6D9F1" w:themeFill="text2" w:themeFillTint="33"/>
            <w:vAlign w:val="center"/>
          </w:tcPr>
          <w:p w14:paraId="23043B25" w14:textId="77777777" w:rsidR="00197A58" w:rsidRPr="008C164C" w:rsidRDefault="00197A58" w:rsidP="007310E3">
            <w:pPr>
              <w:pStyle w:val="TableText0"/>
              <w:keepNext w:val="0"/>
              <w:widowControl w:val="0"/>
              <w:jc w:val="both"/>
            </w:pPr>
          </w:p>
        </w:tc>
        <w:tc>
          <w:tcPr>
            <w:tcW w:w="2988" w:type="pct"/>
            <w:tcBorders>
              <w:top w:val="nil"/>
              <w:bottom w:val="nil"/>
            </w:tcBorders>
            <w:shd w:val="clear" w:color="auto" w:fill="C6D9F1" w:themeFill="text2" w:themeFillTint="33"/>
            <w:vAlign w:val="center"/>
          </w:tcPr>
          <w:p w14:paraId="745DBA6D" w14:textId="77777777" w:rsidR="00197A58" w:rsidRPr="008C164C" w:rsidRDefault="00197A58" w:rsidP="007310E3">
            <w:pPr>
              <w:pStyle w:val="TableText0"/>
              <w:keepNext w:val="0"/>
              <w:widowControl w:val="0"/>
              <w:jc w:val="both"/>
              <w:rPr>
                <w:szCs w:val="18"/>
              </w:rPr>
            </w:pPr>
            <w:r w:rsidRPr="008C164C">
              <w:rPr>
                <w:szCs w:val="18"/>
              </w:rPr>
              <w:t xml:space="preserve">Merck Sharp &amp; Dohme LLC NCT00293267: A Study to Evaluate the Safety and Efficacy of </w:t>
            </w:r>
            <w:proofErr w:type="spellStart"/>
            <w:r w:rsidRPr="008C164C">
              <w:rPr>
                <w:szCs w:val="18"/>
              </w:rPr>
              <w:t>Raltegravir</w:t>
            </w:r>
            <w:proofErr w:type="spellEnd"/>
            <w:r w:rsidRPr="008C164C">
              <w:rPr>
                <w:szCs w:val="18"/>
              </w:rPr>
              <w:t xml:space="preserve"> (MK0518) in HIV-Infected Patients Failing Current Antiretroviral Therapies (MK0518-018 EXT2). </w:t>
            </w:r>
          </w:p>
        </w:tc>
        <w:tc>
          <w:tcPr>
            <w:tcW w:w="1072" w:type="pct"/>
            <w:tcBorders>
              <w:top w:val="nil"/>
              <w:bottom w:val="nil"/>
            </w:tcBorders>
            <w:shd w:val="clear" w:color="auto" w:fill="C6D9F1" w:themeFill="text2" w:themeFillTint="33"/>
            <w:vAlign w:val="center"/>
          </w:tcPr>
          <w:p w14:paraId="4AC5EC72" w14:textId="77777777" w:rsidR="00197A58" w:rsidRPr="008C164C" w:rsidRDefault="00197A58" w:rsidP="00883A8D">
            <w:pPr>
              <w:pStyle w:val="TableText0"/>
              <w:keepNext w:val="0"/>
              <w:widowControl w:val="0"/>
            </w:pPr>
          </w:p>
        </w:tc>
      </w:tr>
      <w:tr w:rsidR="00197A58" w:rsidRPr="008C164C" w14:paraId="1689255C" w14:textId="77777777" w:rsidTr="00883A8D">
        <w:trPr>
          <w:cantSplit/>
        </w:trPr>
        <w:tc>
          <w:tcPr>
            <w:tcW w:w="940" w:type="pct"/>
            <w:tcBorders>
              <w:top w:val="nil"/>
              <w:bottom w:val="nil"/>
            </w:tcBorders>
            <w:shd w:val="clear" w:color="auto" w:fill="C6D9F1" w:themeFill="text2" w:themeFillTint="33"/>
            <w:vAlign w:val="center"/>
          </w:tcPr>
          <w:p w14:paraId="2D528E68" w14:textId="77777777" w:rsidR="00197A58" w:rsidRPr="008C164C" w:rsidRDefault="00197A58" w:rsidP="007310E3">
            <w:pPr>
              <w:pStyle w:val="TableText0"/>
              <w:keepNext w:val="0"/>
              <w:widowControl w:val="0"/>
              <w:jc w:val="both"/>
            </w:pPr>
            <w:r w:rsidRPr="008C164C">
              <w:t>BENCHMRK (1 and 2)</w:t>
            </w:r>
          </w:p>
          <w:p w14:paraId="4F5D6AEC" w14:textId="4A0B885F" w:rsidR="007F0509" w:rsidRPr="008C164C" w:rsidRDefault="007F0509" w:rsidP="007310E3">
            <w:pPr>
              <w:pStyle w:val="TableText0"/>
              <w:keepNext w:val="0"/>
              <w:widowControl w:val="0"/>
              <w:jc w:val="both"/>
            </w:pPr>
            <w:r w:rsidRPr="008C164C">
              <w:rPr>
                <w:szCs w:val="18"/>
              </w:rPr>
              <w:t>NCT00293267</w:t>
            </w:r>
          </w:p>
        </w:tc>
        <w:tc>
          <w:tcPr>
            <w:tcW w:w="2988" w:type="pct"/>
            <w:tcBorders>
              <w:top w:val="nil"/>
              <w:bottom w:val="nil"/>
            </w:tcBorders>
            <w:shd w:val="clear" w:color="auto" w:fill="C6D9F1" w:themeFill="text2" w:themeFillTint="33"/>
            <w:vAlign w:val="center"/>
          </w:tcPr>
          <w:p w14:paraId="4DDBC111" w14:textId="77777777" w:rsidR="00197A58" w:rsidRPr="008C164C" w:rsidRDefault="00197A58" w:rsidP="007310E3">
            <w:pPr>
              <w:pStyle w:val="TableText0"/>
              <w:keepNext w:val="0"/>
              <w:widowControl w:val="0"/>
              <w:jc w:val="both"/>
              <w:rPr>
                <w:szCs w:val="18"/>
              </w:rPr>
            </w:pPr>
            <w:r w:rsidRPr="008C164C">
              <w:rPr>
                <w:rFonts w:eastAsia="Batang"/>
                <w:lang w:eastAsia="en-US"/>
              </w:rPr>
              <w:t xml:space="preserve">Merck Sharp &amp; Dohme LLC NCT00293254: A Study to Evaluate the Safety and Efficacy of </w:t>
            </w:r>
            <w:proofErr w:type="spellStart"/>
            <w:r w:rsidRPr="008C164C">
              <w:rPr>
                <w:rFonts w:eastAsia="Batang"/>
                <w:lang w:eastAsia="en-US"/>
              </w:rPr>
              <w:t>Raltegravir</w:t>
            </w:r>
            <w:proofErr w:type="spellEnd"/>
            <w:r w:rsidRPr="008C164C">
              <w:rPr>
                <w:rFonts w:eastAsia="Batang"/>
                <w:lang w:eastAsia="en-US"/>
              </w:rPr>
              <w:t xml:space="preserve"> (MK0518) in HIV-Infected Patients Failing Current Antiretroviral Therapies (0518-019</w:t>
            </w:r>
          </w:p>
        </w:tc>
        <w:tc>
          <w:tcPr>
            <w:tcW w:w="1072" w:type="pct"/>
            <w:tcBorders>
              <w:top w:val="nil"/>
              <w:bottom w:val="nil"/>
            </w:tcBorders>
            <w:shd w:val="clear" w:color="auto" w:fill="C6D9F1" w:themeFill="text2" w:themeFillTint="33"/>
            <w:vAlign w:val="center"/>
          </w:tcPr>
          <w:p w14:paraId="028A8125" w14:textId="77777777" w:rsidR="00197A58" w:rsidRPr="008C164C" w:rsidRDefault="00197A58" w:rsidP="00883A8D">
            <w:pPr>
              <w:pStyle w:val="TableText0"/>
              <w:keepNext w:val="0"/>
              <w:widowControl w:val="0"/>
            </w:pPr>
          </w:p>
        </w:tc>
      </w:tr>
      <w:tr w:rsidR="00197A58" w:rsidRPr="008C164C" w14:paraId="2CFAA38F" w14:textId="77777777" w:rsidTr="00883A8D">
        <w:trPr>
          <w:cantSplit/>
        </w:trPr>
        <w:tc>
          <w:tcPr>
            <w:tcW w:w="940" w:type="pct"/>
            <w:tcBorders>
              <w:top w:val="nil"/>
              <w:bottom w:val="nil"/>
            </w:tcBorders>
            <w:shd w:val="clear" w:color="auto" w:fill="C6D9F1" w:themeFill="text2" w:themeFillTint="33"/>
            <w:vAlign w:val="center"/>
          </w:tcPr>
          <w:p w14:paraId="266B07C1" w14:textId="77777777" w:rsidR="00197A58" w:rsidRPr="008C164C" w:rsidRDefault="00197A58" w:rsidP="007310E3">
            <w:pPr>
              <w:pStyle w:val="TableText0"/>
              <w:keepNext w:val="0"/>
              <w:widowControl w:val="0"/>
              <w:jc w:val="both"/>
            </w:pPr>
          </w:p>
        </w:tc>
        <w:tc>
          <w:tcPr>
            <w:tcW w:w="2988" w:type="pct"/>
            <w:tcBorders>
              <w:top w:val="nil"/>
              <w:bottom w:val="nil"/>
            </w:tcBorders>
            <w:shd w:val="clear" w:color="auto" w:fill="C6D9F1" w:themeFill="text2" w:themeFillTint="33"/>
            <w:vAlign w:val="center"/>
          </w:tcPr>
          <w:p w14:paraId="73152C9C" w14:textId="77777777" w:rsidR="00197A58" w:rsidRPr="008C164C" w:rsidRDefault="00197A58" w:rsidP="007310E3">
            <w:pPr>
              <w:pStyle w:val="TableText0"/>
              <w:keepNext w:val="0"/>
              <w:widowControl w:val="0"/>
              <w:jc w:val="both"/>
              <w:rPr>
                <w:szCs w:val="18"/>
              </w:rPr>
            </w:pPr>
            <w:r w:rsidRPr="008C164C">
              <w:rPr>
                <w:rFonts w:eastAsia="Batang"/>
              </w:rPr>
              <w:t xml:space="preserve">Cooper, DA, </w:t>
            </w:r>
            <w:proofErr w:type="spellStart"/>
            <w:r w:rsidRPr="008C164C">
              <w:rPr>
                <w:rFonts w:eastAsia="Batang"/>
              </w:rPr>
              <w:t>Steigbigel</w:t>
            </w:r>
            <w:proofErr w:type="spellEnd"/>
            <w:r w:rsidRPr="008C164C">
              <w:rPr>
                <w:rFonts w:eastAsia="Batang"/>
              </w:rPr>
              <w:t xml:space="preserve">, RT, et al. Subgroup and resistance analyses of </w:t>
            </w:r>
            <w:proofErr w:type="spellStart"/>
            <w:r w:rsidRPr="008C164C">
              <w:rPr>
                <w:rFonts w:eastAsia="Batang"/>
              </w:rPr>
              <w:t>raltegravir</w:t>
            </w:r>
            <w:proofErr w:type="spellEnd"/>
            <w:r w:rsidRPr="008C164C">
              <w:rPr>
                <w:rFonts w:eastAsia="Batang"/>
              </w:rPr>
              <w:t xml:space="preserve"> for resistant HIV-1 infection.</w:t>
            </w:r>
          </w:p>
        </w:tc>
        <w:tc>
          <w:tcPr>
            <w:tcW w:w="1072" w:type="pct"/>
            <w:tcBorders>
              <w:top w:val="nil"/>
              <w:bottom w:val="nil"/>
            </w:tcBorders>
            <w:shd w:val="clear" w:color="auto" w:fill="C6D9F1" w:themeFill="text2" w:themeFillTint="33"/>
            <w:vAlign w:val="center"/>
          </w:tcPr>
          <w:p w14:paraId="0E5D510A" w14:textId="3E6D77CE" w:rsidR="00197A58" w:rsidRPr="008C164C" w:rsidRDefault="00EB239C" w:rsidP="00883A8D">
            <w:pPr>
              <w:pStyle w:val="TableText0"/>
              <w:keepNext w:val="0"/>
              <w:widowControl w:val="0"/>
              <w:rPr>
                <w:szCs w:val="18"/>
              </w:rPr>
            </w:pPr>
            <w:r w:rsidRPr="008C164C">
              <w:t>The New England journal of medicine</w:t>
            </w:r>
            <w:r w:rsidR="00197A58" w:rsidRPr="008C164C">
              <w:rPr>
                <w:rFonts w:eastAsia="Batang"/>
              </w:rPr>
              <w:t xml:space="preserve"> 2008; 359(4): 355-365</w:t>
            </w:r>
          </w:p>
        </w:tc>
      </w:tr>
      <w:tr w:rsidR="00197A58" w:rsidRPr="008C164C" w14:paraId="11C2FC89" w14:textId="77777777" w:rsidTr="00883A8D">
        <w:trPr>
          <w:cantSplit/>
        </w:trPr>
        <w:tc>
          <w:tcPr>
            <w:tcW w:w="940" w:type="pct"/>
            <w:tcBorders>
              <w:top w:val="nil"/>
              <w:bottom w:val="nil"/>
            </w:tcBorders>
            <w:shd w:val="clear" w:color="auto" w:fill="C6D9F1" w:themeFill="text2" w:themeFillTint="33"/>
            <w:vAlign w:val="center"/>
          </w:tcPr>
          <w:p w14:paraId="26615DE6" w14:textId="77777777" w:rsidR="00197A58" w:rsidRPr="008C164C" w:rsidRDefault="00197A58" w:rsidP="007310E3">
            <w:pPr>
              <w:pStyle w:val="TableText0"/>
              <w:keepNext w:val="0"/>
              <w:widowControl w:val="0"/>
              <w:jc w:val="both"/>
            </w:pPr>
          </w:p>
        </w:tc>
        <w:tc>
          <w:tcPr>
            <w:tcW w:w="2988" w:type="pct"/>
            <w:tcBorders>
              <w:top w:val="nil"/>
              <w:bottom w:val="nil"/>
            </w:tcBorders>
            <w:shd w:val="clear" w:color="auto" w:fill="C6D9F1" w:themeFill="text2" w:themeFillTint="33"/>
            <w:vAlign w:val="center"/>
          </w:tcPr>
          <w:p w14:paraId="005BF5D5" w14:textId="77777777" w:rsidR="00197A58" w:rsidRPr="008C164C" w:rsidRDefault="00197A58" w:rsidP="007310E3">
            <w:pPr>
              <w:pStyle w:val="TableText0"/>
              <w:keepNext w:val="0"/>
              <w:widowControl w:val="0"/>
              <w:jc w:val="both"/>
              <w:rPr>
                <w:szCs w:val="18"/>
              </w:rPr>
            </w:pPr>
            <w:proofErr w:type="spellStart"/>
            <w:r w:rsidRPr="008C164C">
              <w:rPr>
                <w:rFonts w:eastAsia="Batang"/>
              </w:rPr>
              <w:t>Steigbigel</w:t>
            </w:r>
            <w:proofErr w:type="spellEnd"/>
            <w:r w:rsidRPr="008C164C">
              <w:rPr>
                <w:rFonts w:eastAsia="Batang"/>
              </w:rPr>
              <w:t xml:space="preserve">, RT, Cooper, DA, et al. Long-term efficacy and safety of </w:t>
            </w:r>
            <w:proofErr w:type="spellStart"/>
            <w:r w:rsidRPr="008C164C">
              <w:rPr>
                <w:rFonts w:eastAsia="Batang"/>
              </w:rPr>
              <w:t>Raltegravir</w:t>
            </w:r>
            <w:proofErr w:type="spellEnd"/>
            <w:r w:rsidRPr="008C164C">
              <w:rPr>
                <w:rFonts w:eastAsia="Batang"/>
              </w:rPr>
              <w:t xml:space="preserve"> combined with optimized background therapy in treatment-experienced patients with drug-resistant HIV infection: week 96 results of the BENCHMRK 1 and 2 Phase III trials."</w:t>
            </w:r>
          </w:p>
        </w:tc>
        <w:tc>
          <w:tcPr>
            <w:tcW w:w="1072" w:type="pct"/>
            <w:tcBorders>
              <w:top w:val="nil"/>
              <w:bottom w:val="nil"/>
            </w:tcBorders>
            <w:shd w:val="clear" w:color="auto" w:fill="C6D9F1" w:themeFill="text2" w:themeFillTint="33"/>
            <w:vAlign w:val="center"/>
          </w:tcPr>
          <w:p w14:paraId="62F2A579" w14:textId="77777777" w:rsidR="00197A58" w:rsidRPr="008C164C" w:rsidRDefault="00197A58" w:rsidP="00883A8D">
            <w:pPr>
              <w:pStyle w:val="TableText0"/>
              <w:keepNext w:val="0"/>
              <w:widowControl w:val="0"/>
              <w:rPr>
                <w:szCs w:val="18"/>
              </w:rPr>
            </w:pPr>
            <w:r w:rsidRPr="008C164C">
              <w:rPr>
                <w:rFonts w:eastAsia="Batang"/>
              </w:rPr>
              <w:t>Clinical infectious diseases 2010;  50(4): 605-612.</w:t>
            </w:r>
          </w:p>
        </w:tc>
      </w:tr>
      <w:tr w:rsidR="00197A58" w:rsidRPr="008C164C" w14:paraId="166A960E" w14:textId="77777777" w:rsidTr="00883A8D">
        <w:trPr>
          <w:cantSplit/>
        </w:trPr>
        <w:tc>
          <w:tcPr>
            <w:tcW w:w="940" w:type="pct"/>
            <w:tcBorders>
              <w:top w:val="nil"/>
              <w:bottom w:val="nil"/>
            </w:tcBorders>
            <w:shd w:val="clear" w:color="auto" w:fill="C6D9F1" w:themeFill="text2" w:themeFillTint="33"/>
            <w:vAlign w:val="center"/>
          </w:tcPr>
          <w:p w14:paraId="005ED303" w14:textId="77777777" w:rsidR="00197A58" w:rsidRPr="008C164C" w:rsidRDefault="00197A58" w:rsidP="007310E3">
            <w:pPr>
              <w:pStyle w:val="TableText0"/>
              <w:keepNext w:val="0"/>
              <w:widowControl w:val="0"/>
              <w:jc w:val="both"/>
            </w:pPr>
          </w:p>
        </w:tc>
        <w:tc>
          <w:tcPr>
            <w:tcW w:w="2988" w:type="pct"/>
            <w:tcBorders>
              <w:top w:val="nil"/>
              <w:bottom w:val="nil"/>
            </w:tcBorders>
            <w:shd w:val="clear" w:color="auto" w:fill="C6D9F1" w:themeFill="text2" w:themeFillTint="33"/>
            <w:vAlign w:val="center"/>
          </w:tcPr>
          <w:p w14:paraId="50D1D941" w14:textId="77777777" w:rsidR="00197A58" w:rsidRPr="008C164C" w:rsidRDefault="00197A58" w:rsidP="007310E3">
            <w:pPr>
              <w:pStyle w:val="TableText0"/>
              <w:keepNext w:val="0"/>
              <w:widowControl w:val="0"/>
              <w:jc w:val="both"/>
              <w:rPr>
                <w:szCs w:val="18"/>
              </w:rPr>
            </w:pPr>
            <w:proofErr w:type="spellStart"/>
            <w:r w:rsidRPr="008C164C">
              <w:rPr>
                <w:szCs w:val="18"/>
              </w:rPr>
              <w:t>Eron</w:t>
            </w:r>
            <w:proofErr w:type="spellEnd"/>
            <w:r w:rsidRPr="008C164C">
              <w:rPr>
                <w:szCs w:val="18"/>
              </w:rPr>
              <w:t xml:space="preserve">, JJ, Cooper, DA, et al. Efficacy and safety of </w:t>
            </w:r>
            <w:proofErr w:type="spellStart"/>
            <w:r w:rsidRPr="008C164C">
              <w:rPr>
                <w:szCs w:val="18"/>
              </w:rPr>
              <w:t>raltegravir</w:t>
            </w:r>
            <w:proofErr w:type="spellEnd"/>
            <w:r w:rsidRPr="008C164C">
              <w:rPr>
                <w:szCs w:val="18"/>
              </w:rPr>
              <w:t xml:space="preserve"> for treatment of HIV for 5 years in the BENCHMRK studies: final results of two randomised, placebo-controlled trials. </w:t>
            </w:r>
          </w:p>
        </w:tc>
        <w:tc>
          <w:tcPr>
            <w:tcW w:w="1072" w:type="pct"/>
            <w:tcBorders>
              <w:top w:val="nil"/>
              <w:bottom w:val="nil"/>
            </w:tcBorders>
            <w:shd w:val="clear" w:color="auto" w:fill="C6D9F1" w:themeFill="text2" w:themeFillTint="33"/>
            <w:vAlign w:val="center"/>
          </w:tcPr>
          <w:p w14:paraId="1D88712D" w14:textId="77777777" w:rsidR="00197A58" w:rsidRPr="008C164C" w:rsidRDefault="00197A58" w:rsidP="00883A8D">
            <w:pPr>
              <w:pStyle w:val="TableText0"/>
              <w:keepNext w:val="0"/>
              <w:widowControl w:val="0"/>
              <w:rPr>
                <w:szCs w:val="18"/>
              </w:rPr>
            </w:pPr>
            <w:r w:rsidRPr="008C164C">
              <w:rPr>
                <w:szCs w:val="18"/>
              </w:rPr>
              <w:t>The Lancet. Infectious diseases 2013; 13(7): 587-596.</w:t>
            </w:r>
          </w:p>
        </w:tc>
      </w:tr>
      <w:tr w:rsidR="00197A58" w:rsidRPr="008C164C" w14:paraId="388920D0" w14:textId="77777777" w:rsidTr="00883A8D">
        <w:trPr>
          <w:cantSplit/>
        </w:trPr>
        <w:tc>
          <w:tcPr>
            <w:tcW w:w="940" w:type="pct"/>
            <w:tcBorders>
              <w:bottom w:val="nil"/>
            </w:tcBorders>
            <w:shd w:val="clear" w:color="auto" w:fill="C6D9F1" w:themeFill="text2" w:themeFillTint="33"/>
            <w:vAlign w:val="center"/>
          </w:tcPr>
          <w:p w14:paraId="46DD3146" w14:textId="77777777" w:rsidR="00197A58" w:rsidRPr="008C164C" w:rsidRDefault="00197A58" w:rsidP="007310E3">
            <w:pPr>
              <w:pStyle w:val="TableText0"/>
              <w:keepNext w:val="0"/>
              <w:widowControl w:val="0"/>
              <w:jc w:val="both"/>
            </w:pPr>
          </w:p>
        </w:tc>
        <w:tc>
          <w:tcPr>
            <w:tcW w:w="2988" w:type="pct"/>
            <w:tcBorders>
              <w:bottom w:val="nil"/>
            </w:tcBorders>
            <w:shd w:val="clear" w:color="auto" w:fill="C6D9F1" w:themeFill="text2" w:themeFillTint="33"/>
            <w:vAlign w:val="center"/>
          </w:tcPr>
          <w:p w14:paraId="2EB81A28" w14:textId="7B5F1FF9" w:rsidR="00197A58" w:rsidRPr="008C164C" w:rsidRDefault="00197A58" w:rsidP="007310E3">
            <w:pPr>
              <w:pStyle w:val="TableText0"/>
              <w:keepNext w:val="0"/>
              <w:widowControl w:val="0"/>
              <w:jc w:val="both"/>
            </w:pPr>
            <w:r w:rsidRPr="008C164C">
              <w:rPr>
                <w:rFonts w:eastAsia="Batang"/>
              </w:rPr>
              <w:t xml:space="preserve">Gulick, RM, </w:t>
            </w:r>
            <w:proofErr w:type="spellStart"/>
            <w:r w:rsidRPr="008C164C">
              <w:rPr>
                <w:rFonts w:eastAsia="Batang"/>
              </w:rPr>
              <w:t>Lalezari</w:t>
            </w:r>
            <w:proofErr w:type="spellEnd"/>
            <w:r w:rsidRPr="008C164C">
              <w:rPr>
                <w:rFonts w:eastAsia="Batang"/>
              </w:rPr>
              <w:t>, J, et al</w:t>
            </w:r>
            <w:r w:rsidR="008C164C">
              <w:rPr>
                <w:rFonts w:eastAsia="Batang"/>
              </w:rPr>
              <w:t xml:space="preserve">. </w:t>
            </w:r>
            <w:r w:rsidRPr="008C164C">
              <w:rPr>
                <w:rFonts w:eastAsia="Batang"/>
              </w:rPr>
              <w:t>Maraviroc for previously treated patients with R5 HIV-1 infection</w:t>
            </w:r>
            <w:r w:rsidR="008C164C">
              <w:rPr>
                <w:rFonts w:eastAsia="Batang"/>
              </w:rPr>
              <w:t xml:space="preserve">. </w:t>
            </w:r>
          </w:p>
        </w:tc>
        <w:tc>
          <w:tcPr>
            <w:tcW w:w="1072" w:type="pct"/>
            <w:tcBorders>
              <w:bottom w:val="nil"/>
            </w:tcBorders>
            <w:shd w:val="clear" w:color="auto" w:fill="C6D9F1" w:themeFill="text2" w:themeFillTint="33"/>
            <w:vAlign w:val="center"/>
          </w:tcPr>
          <w:p w14:paraId="67D02E32" w14:textId="492E7280" w:rsidR="00197A58" w:rsidRPr="008C164C" w:rsidRDefault="001D52D3" w:rsidP="00883A8D">
            <w:pPr>
              <w:pStyle w:val="TableText0"/>
              <w:keepNext w:val="0"/>
              <w:widowControl w:val="0"/>
            </w:pPr>
            <w:r w:rsidRPr="008C164C">
              <w:t>The New England journal of medicine</w:t>
            </w:r>
            <w:r w:rsidR="00197A58" w:rsidRPr="008C164C">
              <w:rPr>
                <w:rFonts w:eastAsia="Batang"/>
              </w:rPr>
              <w:t xml:space="preserve"> 2008; 359(14): 1429-1441.</w:t>
            </w:r>
          </w:p>
        </w:tc>
      </w:tr>
      <w:tr w:rsidR="00197A58" w:rsidRPr="008C164C" w14:paraId="452E4E35" w14:textId="77777777" w:rsidTr="00883A8D">
        <w:trPr>
          <w:cantSplit/>
        </w:trPr>
        <w:tc>
          <w:tcPr>
            <w:tcW w:w="940" w:type="pct"/>
            <w:tcBorders>
              <w:top w:val="nil"/>
              <w:bottom w:val="nil"/>
            </w:tcBorders>
            <w:shd w:val="clear" w:color="auto" w:fill="C6D9F1" w:themeFill="text2" w:themeFillTint="33"/>
            <w:vAlign w:val="center"/>
          </w:tcPr>
          <w:p w14:paraId="7FBC8D92" w14:textId="5DD7285E" w:rsidR="00197A58" w:rsidRPr="008C164C" w:rsidRDefault="00197A58" w:rsidP="007310E3">
            <w:pPr>
              <w:pStyle w:val="TableText0"/>
              <w:keepNext w:val="0"/>
              <w:widowControl w:val="0"/>
              <w:jc w:val="both"/>
            </w:pPr>
          </w:p>
        </w:tc>
        <w:tc>
          <w:tcPr>
            <w:tcW w:w="2988" w:type="pct"/>
            <w:tcBorders>
              <w:top w:val="nil"/>
              <w:bottom w:val="nil"/>
            </w:tcBorders>
            <w:shd w:val="clear" w:color="auto" w:fill="C6D9F1" w:themeFill="text2" w:themeFillTint="33"/>
            <w:vAlign w:val="center"/>
          </w:tcPr>
          <w:p w14:paraId="7F901B36" w14:textId="77777777" w:rsidR="00197A58" w:rsidRPr="008C164C" w:rsidRDefault="00197A58" w:rsidP="007310E3">
            <w:pPr>
              <w:pStyle w:val="TableText0"/>
              <w:keepNext w:val="0"/>
              <w:widowControl w:val="0"/>
              <w:jc w:val="both"/>
              <w:rPr>
                <w:szCs w:val="18"/>
              </w:rPr>
            </w:pPr>
            <w:proofErr w:type="spellStart"/>
            <w:r w:rsidRPr="008C164C">
              <w:rPr>
                <w:rFonts w:eastAsia="Batang"/>
              </w:rPr>
              <w:t>ViiV</w:t>
            </w:r>
            <w:proofErr w:type="spellEnd"/>
            <w:r w:rsidRPr="008C164C">
              <w:rPr>
                <w:rFonts w:eastAsia="Batang"/>
              </w:rPr>
              <w:t xml:space="preserve"> Healthcare NCT00098722: Trial of Maraviroc (UK-427,857) in Combination With Optimized Background Therapy Versus Optimized Background Therapy Alone for the Treatment of HIV-1 Infected Subjects (MOTIVATE 2).</w:t>
            </w:r>
          </w:p>
        </w:tc>
        <w:tc>
          <w:tcPr>
            <w:tcW w:w="1072" w:type="pct"/>
            <w:tcBorders>
              <w:top w:val="nil"/>
              <w:bottom w:val="nil"/>
            </w:tcBorders>
            <w:shd w:val="clear" w:color="auto" w:fill="C6D9F1" w:themeFill="text2" w:themeFillTint="33"/>
            <w:vAlign w:val="center"/>
          </w:tcPr>
          <w:p w14:paraId="5670EC83" w14:textId="77777777" w:rsidR="00197A58" w:rsidRPr="008C164C" w:rsidRDefault="00197A58" w:rsidP="00883A8D">
            <w:pPr>
              <w:pStyle w:val="TableText0"/>
              <w:keepNext w:val="0"/>
              <w:widowControl w:val="0"/>
            </w:pPr>
          </w:p>
        </w:tc>
      </w:tr>
      <w:tr w:rsidR="00197A58" w:rsidRPr="008C164C" w14:paraId="071C91AE" w14:textId="77777777" w:rsidTr="00883A8D">
        <w:trPr>
          <w:cantSplit/>
        </w:trPr>
        <w:tc>
          <w:tcPr>
            <w:tcW w:w="940" w:type="pct"/>
            <w:tcBorders>
              <w:top w:val="nil"/>
              <w:bottom w:val="nil"/>
            </w:tcBorders>
            <w:shd w:val="clear" w:color="auto" w:fill="C6D9F1" w:themeFill="text2" w:themeFillTint="33"/>
            <w:vAlign w:val="center"/>
          </w:tcPr>
          <w:p w14:paraId="1C7B2152" w14:textId="77777777" w:rsidR="00197A58" w:rsidRPr="008C164C" w:rsidRDefault="00197A58" w:rsidP="007310E3">
            <w:pPr>
              <w:pStyle w:val="TableText0"/>
              <w:keepNext w:val="0"/>
              <w:widowControl w:val="0"/>
              <w:jc w:val="both"/>
            </w:pPr>
          </w:p>
        </w:tc>
        <w:tc>
          <w:tcPr>
            <w:tcW w:w="2988" w:type="pct"/>
            <w:tcBorders>
              <w:top w:val="nil"/>
              <w:bottom w:val="nil"/>
            </w:tcBorders>
            <w:shd w:val="clear" w:color="auto" w:fill="C6D9F1" w:themeFill="text2" w:themeFillTint="33"/>
            <w:vAlign w:val="center"/>
          </w:tcPr>
          <w:p w14:paraId="3ABA0701" w14:textId="77777777" w:rsidR="00197A58" w:rsidRPr="008C164C" w:rsidRDefault="00197A58" w:rsidP="007310E3">
            <w:pPr>
              <w:pStyle w:val="TableText0"/>
              <w:keepNext w:val="0"/>
              <w:widowControl w:val="0"/>
              <w:jc w:val="both"/>
              <w:rPr>
                <w:szCs w:val="18"/>
              </w:rPr>
            </w:pPr>
            <w:proofErr w:type="spellStart"/>
            <w:r w:rsidRPr="008C164C">
              <w:rPr>
                <w:rFonts w:eastAsia="Batang"/>
              </w:rPr>
              <w:t>ViiV</w:t>
            </w:r>
            <w:proofErr w:type="spellEnd"/>
            <w:r w:rsidRPr="008C164C">
              <w:rPr>
                <w:rFonts w:eastAsia="Batang"/>
              </w:rPr>
              <w:t xml:space="preserve"> Healthcare and Pfizer NCT00098306: Trial of Maraviroc (UK-427,857) in Combination With Optimized Background Therapy Versus Optimized Background Therapy Alone for the Treatment of HIV-1 Infected Subjects (MOTIVATE 1)</w:t>
            </w:r>
          </w:p>
        </w:tc>
        <w:tc>
          <w:tcPr>
            <w:tcW w:w="1072" w:type="pct"/>
            <w:tcBorders>
              <w:top w:val="nil"/>
              <w:bottom w:val="nil"/>
            </w:tcBorders>
            <w:shd w:val="clear" w:color="auto" w:fill="C6D9F1" w:themeFill="text2" w:themeFillTint="33"/>
            <w:vAlign w:val="center"/>
          </w:tcPr>
          <w:p w14:paraId="0DAB7E65" w14:textId="77777777" w:rsidR="00197A58" w:rsidRPr="008C164C" w:rsidRDefault="00197A58" w:rsidP="00883A8D">
            <w:pPr>
              <w:pStyle w:val="TableText0"/>
              <w:keepNext w:val="0"/>
              <w:widowControl w:val="0"/>
              <w:rPr>
                <w:szCs w:val="18"/>
              </w:rPr>
            </w:pPr>
          </w:p>
        </w:tc>
      </w:tr>
      <w:tr w:rsidR="00197A58" w:rsidRPr="008C164C" w14:paraId="74723303" w14:textId="77777777" w:rsidTr="00883A8D">
        <w:trPr>
          <w:cantSplit/>
        </w:trPr>
        <w:tc>
          <w:tcPr>
            <w:tcW w:w="940" w:type="pct"/>
            <w:tcBorders>
              <w:top w:val="nil"/>
              <w:bottom w:val="nil"/>
            </w:tcBorders>
            <w:shd w:val="clear" w:color="auto" w:fill="C6D9F1" w:themeFill="text2" w:themeFillTint="33"/>
            <w:vAlign w:val="center"/>
          </w:tcPr>
          <w:p w14:paraId="6E0D8165" w14:textId="77777777" w:rsidR="00197A58" w:rsidRPr="008C164C" w:rsidRDefault="00197A58" w:rsidP="007310E3">
            <w:pPr>
              <w:pStyle w:val="TableText0"/>
              <w:keepNext w:val="0"/>
              <w:widowControl w:val="0"/>
              <w:jc w:val="both"/>
            </w:pPr>
          </w:p>
        </w:tc>
        <w:tc>
          <w:tcPr>
            <w:tcW w:w="2988" w:type="pct"/>
            <w:tcBorders>
              <w:top w:val="nil"/>
              <w:bottom w:val="nil"/>
            </w:tcBorders>
            <w:shd w:val="clear" w:color="auto" w:fill="C6D9F1" w:themeFill="text2" w:themeFillTint="33"/>
            <w:vAlign w:val="center"/>
          </w:tcPr>
          <w:p w14:paraId="172A00F2" w14:textId="77777777" w:rsidR="00197A58" w:rsidRPr="008C164C" w:rsidRDefault="00197A58" w:rsidP="007310E3">
            <w:pPr>
              <w:pStyle w:val="TableText0"/>
              <w:keepNext w:val="0"/>
              <w:widowControl w:val="0"/>
              <w:jc w:val="both"/>
              <w:rPr>
                <w:szCs w:val="18"/>
              </w:rPr>
            </w:pPr>
            <w:proofErr w:type="spellStart"/>
            <w:r w:rsidRPr="008C164C">
              <w:rPr>
                <w:rFonts w:eastAsia="Batang"/>
                <w:lang w:eastAsia="en-US"/>
              </w:rPr>
              <w:t>Asmuth</w:t>
            </w:r>
            <w:proofErr w:type="spellEnd"/>
            <w:r w:rsidRPr="008C164C">
              <w:rPr>
                <w:rFonts w:eastAsia="Batang"/>
                <w:lang w:eastAsia="en-US"/>
              </w:rPr>
              <w:t>, DM, Goodrich, J, et al. CD4+ T-cell restoration after 48 weeks in the maraviroc treatment-experienced trials MOTIVATE 1 and 2.</w:t>
            </w:r>
          </w:p>
        </w:tc>
        <w:tc>
          <w:tcPr>
            <w:tcW w:w="1072" w:type="pct"/>
            <w:tcBorders>
              <w:top w:val="nil"/>
              <w:bottom w:val="nil"/>
            </w:tcBorders>
            <w:shd w:val="clear" w:color="auto" w:fill="C6D9F1" w:themeFill="text2" w:themeFillTint="33"/>
            <w:vAlign w:val="center"/>
          </w:tcPr>
          <w:p w14:paraId="41730421" w14:textId="1E41EEDD" w:rsidR="00197A58" w:rsidRPr="008C164C" w:rsidRDefault="00197A58" w:rsidP="00883A8D">
            <w:pPr>
              <w:pStyle w:val="TableText0"/>
              <w:keepNext w:val="0"/>
              <w:widowControl w:val="0"/>
              <w:rPr>
                <w:szCs w:val="18"/>
              </w:rPr>
            </w:pPr>
            <w:r w:rsidRPr="008C164C">
              <w:rPr>
                <w:rFonts w:eastAsia="Batang"/>
                <w:lang w:eastAsia="en-US"/>
              </w:rPr>
              <w:t>Journal of acquired immune deficiency syndromes 2010; 54(4): 394-397.</w:t>
            </w:r>
          </w:p>
        </w:tc>
      </w:tr>
      <w:tr w:rsidR="00197A58" w:rsidRPr="008C164C" w14:paraId="6E9F4491" w14:textId="77777777" w:rsidTr="00883A8D">
        <w:trPr>
          <w:cantSplit/>
        </w:trPr>
        <w:tc>
          <w:tcPr>
            <w:tcW w:w="940" w:type="pct"/>
            <w:tcBorders>
              <w:top w:val="nil"/>
              <w:bottom w:val="nil"/>
            </w:tcBorders>
            <w:shd w:val="clear" w:color="auto" w:fill="C6D9F1" w:themeFill="text2" w:themeFillTint="33"/>
            <w:vAlign w:val="center"/>
          </w:tcPr>
          <w:p w14:paraId="1C632D5A" w14:textId="77777777" w:rsidR="00197A58" w:rsidRPr="008C164C" w:rsidRDefault="00B462EC" w:rsidP="007310E3">
            <w:pPr>
              <w:pStyle w:val="TableText0"/>
              <w:keepNext w:val="0"/>
              <w:widowControl w:val="0"/>
              <w:jc w:val="both"/>
            </w:pPr>
            <w:r w:rsidRPr="008C164C">
              <w:t>MOTIVATE (1 and 2)</w:t>
            </w:r>
          </w:p>
          <w:p w14:paraId="5C1BEFCD" w14:textId="34FC2C84" w:rsidR="007F0509" w:rsidRPr="008C164C" w:rsidRDefault="007F0509" w:rsidP="007310E3">
            <w:pPr>
              <w:pStyle w:val="TableText0"/>
              <w:keepNext w:val="0"/>
              <w:widowControl w:val="0"/>
              <w:jc w:val="both"/>
            </w:pPr>
            <w:r w:rsidRPr="008C164C">
              <w:rPr>
                <w:rFonts w:eastAsia="Batang"/>
              </w:rPr>
              <w:t>NCT00098722</w:t>
            </w:r>
          </w:p>
        </w:tc>
        <w:tc>
          <w:tcPr>
            <w:tcW w:w="2988" w:type="pct"/>
            <w:tcBorders>
              <w:top w:val="nil"/>
              <w:bottom w:val="nil"/>
            </w:tcBorders>
            <w:shd w:val="clear" w:color="auto" w:fill="C6D9F1" w:themeFill="text2" w:themeFillTint="33"/>
            <w:vAlign w:val="center"/>
          </w:tcPr>
          <w:p w14:paraId="36CB7319" w14:textId="77777777" w:rsidR="00197A58" w:rsidRPr="008C164C" w:rsidRDefault="00197A58" w:rsidP="007310E3">
            <w:pPr>
              <w:pStyle w:val="TableText0"/>
              <w:keepNext w:val="0"/>
              <w:widowControl w:val="0"/>
              <w:jc w:val="both"/>
              <w:rPr>
                <w:szCs w:val="18"/>
              </w:rPr>
            </w:pPr>
            <w:proofErr w:type="spellStart"/>
            <w:r w:rsidRPr="008C164C">
              <w:rPr>
                <w:szCs w:val="18"/>
              </w:rPr>
              <w:t>Fatkenheuer</w:t>
            </w:r>
            <w:proofErr w:type="spellEnd"/>
            <w:r w:rsidRPr="008C164C">
              <w:rPr>
                <w:szCs w:val="18"/>
              </w:rPr>
              <w:t>, G, Nelson, M, et al. Subgroup analyses of maraviroc in previously treated R5 HIV-1 infection.</w:t>
            </w:r>
          </w:p>
        </w:tc>
        <w:tc>
          <w:tcPr>
            <w:tcW w:w="1072" w:type="pct"/>
            <w:tcBorders>
              <w:top w:val="nil"/>
              <w:bottom w:val="nil"/>
            </w:tcBorders>
            <w:shd w:val="clear" w:color="auto" w:fill="C6D9F1" w:themeFill="text2" w:themeFillTint="33"/>
            <w:vAlign w:val="center"/>
          </w:tcPr>
          <w:p w14:paraId="360B67F0" w14:textId="54891DD0" w:rsidR="00197A58" w:rsidRPr="008C164C" w:rsidRDefault="001D52D3" w:rsidP="00883A8D">
            <w:pPr>
              <w:pStyle w:val="TableText0"/>
              <w:keepNext w:val="0"/>
              <w:widowControl w:val="0"/>
              <w:rPr>
                <w:szCs w:val="18"/>
              </w:rPr>
            </w:pPr>
            <w:r w:rsidRPr="008C164C">
              <w:t>The New England journal of medicine</w:t>
            </w:r>
            <w:r w:rsidR="00197A58" w:rsidRPr="008C164C">
              <w:rPr>
                <w:szCs w:val="18"/>
              </w:rPr>
              <w:t xml:space="preserve"> 2008; 359(14): 1442-1455</w:t>
            </w:r>
          </w:p>
        </w:tc>
      </w:tr>
      <w:tr w:rsidR="00197A58" w:rsidRPr="008C164C" w14:paraId="217DE95A" w14:textId="77777777" w:rsidTr="00883A8D">
        <w:trPr>
          <w:cantSplit/>
        </w:trPr>
        <w:tc>
          <w:tcPr>
            <w:tcW w:w="940" w:type="pct"/>
            <w:tcBorders>
              <w:top w:val="nil"/>
              <w:bottom w:val="nil"/>
            </w:tcBorders>
            <w:shd w:val="clear" w:color="auto" w:fill="C6D9F1" w:themeFill="text2" w:themeFillTint="33"/>
            <w:vAlign w:val="center"/>
          </w:tcPr>
          <w:p w14:paraId="6F165B78" w14:textId="77777777" w:rsidR="00197A58" w:rsidRPr="008C164C" w:rsidRDefault="00197A58" w:rsidP="007310E3">
            <w:pPr>
              <w:pStyle w:val="TableText0"/>
              <w:keepNext w:val="0"/>
              <w:widowControl w:val="0"/>
              <w:jc w:val="both"/>
            </w:pPr>
          </w:p>
        </w:tc>
        <w:tc>
          <w:tcPr>
            <w:tcW w:w="2988" w:type="pct"/>
            <w:tcBorders>
              <w:top w:val="nil"/>
              <w:bottom w:val="nil"/>
            </w:tcBorders>
            <w:shd w:val="clear" w:color="auto" w:fill="C6D9F1" w:themeFill="text2" w:themeFillTint="33"/>
            <w:vAlign w:val="center"/>
          </w:tcPr>
          <w:p w14:paraId="47C000E8" w14:textId="77777777" w:rsidR="00197A58" w:rsidRPr="008C164C" w:rsidRDefault="00197A58" w:rsidP="007310E3">
            <w:pPr>
              <w:pStyle w:val="TableText0"/>
              <w:keepNext w:val="0"/>
              <w:widowControl w:val="0"/>
              <w:jc w:val="both"/>
              <w:rPr>
                <w:szCs w:val="18"/>
              </w:rPr>
            </w:pPr>
            <w:r w:rsidRPr="008C164C">
              <w:rPr>
                <w:rFonts w:eastAsia="Batang"/>
              </w:rPr>
              <w:t xml:space="preserve">Gulick, RM, </w:t>
            </w:r>
            <w:proofErr w:type="spellStart"/>
            <w:r w:rsidRPr="008C164C">
              <w:rPr>
                <w:rFonts w:eastAsia="Batang"/>
              </w:rPr>
              <w:t>Fatkenheuer</w:t>
            </w:r>
            <w:proofErr w:type="spellEnd"/>
            <w:r w:rsidRPr="008C164C">
              <w:rPr>
                <w:rFonts w:eastAsia="Batang"/>
              </w:rPr>
              <w:t xml:space="preserve">, G, et al. Five-year safety evaluation of maraviroc in HIV-1-infected treatment-experienced patients. </w:t>
            </w:r>
          </w:p>
        </w:tc>
        <w:tc>
          <w:tcPr>
            <w:tcW w:w="1072" w:type="pct"/>
            <w:tcBorders>
              <w:top w:val="nil"/>
              <w:bottom w:val="nil"/>
            </w:tcBorders>
            <w:shd w:val="clear" w:color="auto" w:fill="C6D9F1" w:themeFill="text2" w:themeFillTint="33"/>
            <w:vAlign w:val="center"/>
          </w:tcPr>
          <w:p w14:paraId="2BEF96EE" w14:textId="77777777" w:rsidR="00197A58" w:rsidRPr="008C164C" w:rsidRDefault="00197A58" w:rsidP="00883A8D">
            <w:pPr>
              <w:pStyle w:val="TableText0"/>
              <w:keepNext w:val="0"/>
              <w:widowControl w:val="0"/>
              <w:rPr>
                <w:szCs w:val="18"/>
              </w:rPr>
            </w:pPr>
            <w:r w:rsidRPr="008C164C">
              <w:rPr>
                <w:rFonts w:eastAsia="Batang"/>
              </w:rPr>
              <w:t>Journal of acquired immune deficiency syndromes 2014; 65(1): 78-81.</w:t>
            </w:r>
          </w:p>
        </w:tc>
      </w:tr>
      <w:tr w:rsidR="00197A58" w:rsidRPr="008C164C" w14:paraId="340904C3" w14:textId="77777777" w:rsidTr="00883A8D">
        <w:trPr>
          <w:cantSplit/>
        </w:trPr>
        <w:tc>
          <w:tcPr>
            <w:tcW w:w="940" w:type="pct"/>
            <w:tcBorders>
              <w:top w:val="nil"/>
              <w:bottom w:val="nil"/>
            </w:tcBorders>
            <w:shd w:val="clear" w:color="auto" w:fill="C6D9F1" w:themeFill="text2" w:themeFillTint="33"/>
            <w:vAlign w:val="center"/>
          </w:tcPr>
          <w:p w14:paraId="766DE0B5" w14:textId="77777777" w:rsidR="00197A58" w:rsidRPr="008C164C" w:rsidRDefault="00197A58" w:rsidP="007310E3">
            <w:pPr>
              <w:pStyle w:val="TableText0"/>
              <w:keepNext w:val="0"/>
              <w:widowControl w:val="0"/>
              <w:jc w:val="both"/>
            </w:pPr>
          </w:p>
        </w:tc>
        <w:tc>
          <w:tcPr>
            <w:tcW w:w="2988" w:type="pct"/>
            <w:tcBorders>
              <w:top w:val="nil"/>
              <w:bottom w:val="nil"/>
            </w:tcBorders>
            <w:shd w:val="clear" w:color="auto" w:fill="C6D9F1" w:themeFill="text2" w:themeFillTint="33"/>
            <w:vAlign w:val="center"/>
          </w:tcPr>
          <w:p w14:paraId="705276BD" w14:textId="77777777" w:rsidR="00197A58" w:rsidRPr="008C164C" w:rsidRDefault="00197A58" w:rsidP="007310E3">
            <w:pPr>
              <w:pStyle w:val="TableText0"/>
              <w:keepNext w:val="0"/>
              <w:widowControl w:val="0"/>
              <w:jc w:val="both"/>
              <w:rPr>
                <w:szCs w:val="18"/>
              </w:rPr>
            </w:pPr>
            <w:r w:rsidRPr="008C164C">
              <w:rPr>
                <w:szCs w:val="18"/>
              </w:rPr>
              <w:t xml:space="preserve">Hardy, WD, Gulick, RM, et al. Two-year safety and virologic efficacy of maraviroc in treatment-experienced patients with CCR5-tropic HIV-1 infection: 96-week combined analysis of MOTIVATE 1 and 2. </w:t>
            </w:r>
          </w:p>
        </w:tc>
        <w:tc>
          <w:tcPr>
            <w:tcW w:w="1072" w:type="pct"/>
            <w:tcBorders>
              <w:top w:val="nil"/>
              <w:bottom w:val="nil"/>
            </w:tcBorders>
            <w:shd w:val="clear" w:color="auto" w:fill="C6D9F1" w:themeFill="text2" w:themeFillTint="33"/>
            <w:vAlign w:val="center"/>
          </w:tcPr>
          <w:p w14:paraId="26A21B96" w14:textId="77777777" w:rsidR="00197A58" w:rsidRPr="008C164C" w:rsidRDefault="00197A58" w:rsidP="00883A8D">
            <w:pPr>
              <w:pStyle w:val="TableText0"/>
              <w:keepNext w:val="0"/>
              <w:widowControl w:val="0"/>
              <w:rPr>
                <w:szCs w:val="18"/>
              </w:rPr>
            </w:pPr>
            <w:r w:rsidRPr="008C164C">
              <w:rPr>
                <w:szCs w:val="18"/>
              </w:rPr>
              <w:t>Journal of acquired immune deficiency syndromes 2010;  55(5): 558-564.</w:t>
            </w:r>
          </w:p>
        </w:tc>
      </w:tr>
      <w:tr w:rsidR="00197A58" w:rsidRPr="008C164C" w14:paraId="45CA1B8B" w14:textId="77777777" w:rsidTr="00883A8D">
        <w:trPr>
          <w:cantSplit/>
        </w:trPr>
        <w:tc>
          <w:tcPr>
            <w:tcW w:w="940" w:type="pct"/>
            <w:tcBorders>
              <w:top w:val="nil"/>
              <w:bottom w:val="nil"/>
            </w:tcBorders>
            <w:shd w:val="clear" w:color="auto" w:fill="C6D9F1" w:themeFill="text2" w:themeFillTint="33"/>
            <w:vAlign w:val="center"/>
          </w:tcPr>
          <w:p w14:paraId="59087A51" w14:textId="77777777" w:rsidR="00197A58" w:rsidRPr="008C164C" w:rsidRDefault="00197A58" w:rsidP="007310E3">
            <w:pPr>
              <w:pStyle w:val="TableText0"/>
              <w:keepNext w:val="0"/>
              <w:widowControl w:val="0"/>
              <w:jc w:val="both"/>
            </w:pPr>
          </w:p>
        </w:tc>
        <w:tc>
          <w:tcPr>
            <w:tcW w:w="2988" w:type="pct"/>
            <w:tcBorders>
              <w:top w:val="nil"/>
              <w:bottom w:val="nil"/>
            </w:tcBorders>
            <w:shd w:val="clear" w:color="auto" w:fill="C6D9F1" w:themeFill="text2" w:themeFillTint="33"/>
            <w:vAlign w:val="center"/>
          </w:tcPr>
          <w:p w14:paraId="35494839" w14:textId="77777777" w:rsidR="00197A58" w:rsidRPr="008C164C" w:rsidRDefault="00197A58" w:rsidP="007310E3">
            <w:pPr>
              <w:pStyle w:val="TableText0"/>
              <w:keepNext w:val="0"/>
              <w:widowControl w:val="0"/>
              <w:jc w:val="both"/>
              <w:rPr>
                <w:szCs w:val="18"/>
              </w:rPr>
            </w:pPr>
            <w:r w:rsidRPr="008C164C">
              <w:rPr>
                <w:szCs w:val="18"/>
              </w:rPr>
              <w:t>Nelson, M, Fisher, M, et al. Impact of baseline antiretroviral resistance status on efficacy outcomes among patients receiving maraviroc plus optimized background therapy in the MOTIVATE 1 and 2 trials.</w:t>
            </w:r>
          </w:p>
        </w:tc>
        <w:tc>
          <w:tcPr>
            <w:tcW w:w="1072" w:type="pct"/>
            <w:tcBorders>
              <w:top w:val="nil"/>
              <w:bottom w:val="nil"/>
            </w:tcBorders>
            <w:shd w:val="clear" w:color="auto" w:fill="C6D9F1" w:themeFill="text2" w:themeFillTint="33"/>
            <w:vAlign w:val="center"/>
          </w:tcPr>
          <w:p w14:paraId="57648188" w14:textId="77777777" w:rsidR="00197A58" w:rsidRPr="008C164C" w:rsidRDefault="00197A58" w:rsidP="00883A8D">
            <w:pPr>
              <w:pStyle w:val="TableText0"/>
              <w:keepNext w:val="0"/>
              <w:widowControl w:val="0"/>
              <w:rPr>
                <w:szCs w:val="18"/>
              </w:rPr>
            </w:pPr>
            <w:r w:rsidRPr="008C164C">
              <w:rPr>
                <w:szCs w:val="18"/>
              </w:rPr>
              <w:t>HIV clinical trials 2010; 11(3): 145-155.</w:t>
            </w:r>
          </w:p>
        </w:tc>
      </w:tr>
      <w:tr w:rsidR="00197A58" w:rsidRPr="008C164C" w14:paraId="1D1B573E" w14:textId="77777777" w:rsidTr="00883A8D">
        <w:trPr>
          <w:cantSplit/>
        </w:trPr>
        <w:tc>
          <w:tcPr>
            <w:tcW w:w="940" w:type="pct"/>
            <w:tcBorders>
              <w:top w:val="nil"/>
              <w:bottom w:val="single" w:sz="4" w:space="0" w:color="auto"/>
            </w:tcBorders>
            <w:shd w:val="clear" w:color="auto" w:fill="C6D9F1" w:themeFill="text2" w:themeFillTint="33"/>
            <w:vAlign w:val="center"/>
          </w:tcPr>
          <w:p w14:paraId="758F74DE" w14:textId="77777777" w:rsidR="00197A58" w:rsidRPr="008C164C" w:rsidRDefault="00197A58" w:rsidP="007310E3">
            <w:pPr>
              <w:pStyle w:val="TableText0"/>
              <w:keepNext w:val="0"/>
              <w:widowControl w:val="0"/>
              <w:jc w:val="both"/>
            </w:pPr>
          </w:p>
        </w:tc>
        <w:tc>
          <w:tcPr>
            <w:tcW w:w="2988" w:type="pct"/>
            <w:tcBorders>
              <w:top w:val="nil"/>
              <w:bottom w:val="single" w:sz="4" w:space="0" w:color="auto"/>
            </w:tcBorders>
            <w:shd w:val="clear" w:color="auto" w:fill="C6D9F1" w:themeFill="text2" w:themeFillTint="33"/>
            <w:vAlign w:val="center"/>
          </w:tcPr>
          <w:p w14:paraId="1B834C88" w14:textId="77777777" w:rsidR="00197A58" w:rsidRPr="008C164C" w:rsidRDefault="00197A58" w:rsidP="007310E3">
            <w:pPr>
              <w:pStyle w:val="TableText0"/>
              <w:keepNext w:val="0"/>
              <w:widowControl w:val="0"/>
              <w:jc w:val="both"/>
              <w:rPr>
                <w:szCs w:val="18"/>
              </w:rPr>
            </w:pPr>
            <w:r w:rsidRPr="008C164C">
              <w:rPr>
                <w:szCs w:val="18"/>
              </w:rPr>
              <w:t xml:space="preserve">van </w:t>
            </w:r>
            <w:proofErr w:type="spellStart"/>
            <w:r w:rsidRPr="008C164C">
              <w:rPr>
                <w:szCs w:val="18"/>
              </w:rPr>
              <w:t>Lelyveld</w:t>
            </w:r>
            <w:proofErr w:type="spellEnd"/>
            <w:r w:rsidRPr="008C164C">
              <w:rPr>
                <w:szCs w:val="18"/>
              </w:rPr>
              <w:t xml:space="preserve">, SFL, </w:t>
            </w:r>
            <w:proofErr w:type="spellStart"/>
            <w:r w:rsidRPr="008C164C">
              <w:rPr>
                <w:szCs w:val="18"/>
              </w:rPr>
              <w:t>Wensing</w:t>
            </w:r>
            <w:proofErr w:type="spellEnd"/>
            <w:r w:rsidRPr="008C164C">
              <w:rPr>
                <w:szCs w:val="18"/>
              </w:rPr>
              <w:t>, AMJ, et al. The MOTIVATE trials: maraviroc therapy in antiretroviral treatment-experienced HIV-1-infected patients.</w:t>
            </w:r>
          </w:p>
        </w:tc>
        <w:tc>
          <w:tcPr>
            <w:tcW w:w="1072" w:type="pct"/>
            <w:tcBorders>
              <w:top w:val="nil"/>
              <w:bottom w:val="single" w:sz="4" w:space="0" w:color="auto"/>
            </w:tcBorders>
            <w:shd w:val="clear" w:color="auto" w:fill="C6D9F1" w:themeFill="text2" w:themeFillTint="33"/>
            <w:vAlign w:val="center"/>
          </w:tcPr>
          <w:p w14:paraId="171BB5D5" w14:textId="77777777" w:rsidR="00197A58" w:rsidRPr="008C164C" w:rsidRDefault="00197A58" w:rsidP="00883A8D">
            <w:pPr>
              <w:pStyle w:val="TableText0"/>
              <w:keepNext w:val="0"/>
              <w:widowControl w:val="0"/>
              <w:rPr>
                <w:szCs w:val="18"/>
              </w:rPr>
            </w:pPr>
            <w:r w:rsidRPr="008C164C">
              <w:rPr>
                <w:szCs w:val="18"/>
              </w:rPr>
              <w:t>Expert review of anti-infective therapy 2012; 10(11): 1241-1247</w:t>
            </w:r>
          </w:p>
        </w:tc>
      </w:tr>
      <w:tr w:rsidR="00197A58" w:rsidRPr="008C164C" w14:paraId="5DDDEE0E" w14:textId="77777777" w:rsidTr="00883A8D">
        <w:trPr>
          <w:cantSplit/>
        </w:trPr>
        <w:tc>
          <w:tcPr>
            <w:tcW w:w="940" w:type="pct"/>
            <w:tcBorders>
              <w:top w:val="single" w:sz="4" w:space="0" w:color="auto"/>
              <w:bottom w:val="nil"/>
            </w:tcBorders>
            <w:shd w:val="clear" w:color="auto" w:fill="C6D9F1" w:themeFill="text2" w:themeFillTint="33"/>
            <w:vAlign w:val="center"/>
          </w:tcPr>
          <w:p w14:paraId="723C408C" w14:textId="77777777" w:rsidR="00197A58" w:rsidRPr="008C164C" w:rsidRDefault="00197A58" w:rsidP="007310E3">
            <w:pPr>
              <w:pStyle w:val="TableText0"/>
              <w:keepNext w:val="0"/>
              <w:widowControl w:val="0"/>
              <w:jc w:val="both"/>
            </w:pPr>
            <w:r w:rsidRPr="008C164C">
              <w:t>VICTOR-E</w:t>
            </w:r>
          </w:p>
          <w:p w14:paraId="3CEE951A" w14:textId="479F4FB3" w:rsidR="007F0509" w:rsidRPr="008C164C" w:rsidRDefault="007F0509" w:rsidP="007310E3">
            <w:pPr>
              <w:pStyle w:val="TableText0"/>
              <w:keepNext w:val="0"/>
              <w:widowControl w:val="0"/>
              <w:jc w:val="both"/>
            </w:pPr>
            <w:r w:rsidRPr="008C164C">
              <w:rPr>
                <w:rFonts w:eastAsia="Batang"/>
              </w:rPr>
              <w:t>NCT00243230</w:t>
            </w:r>
          </w:p>
        </w:tc>
        <w:tc>
          <w:tcPr>
            <w:tcW w:w="2988" w:type="pct"/>
            <w:tcBorders>
              <w:top w:val="single" w:sz="4" w:space="0" w:color="auto"/>
              <w:bottom w:val="nil"/>
            </w:tcBorders>
            <w:shd w:val="clear" w:color="auto" w:fill="C6D9F1" w:themeFill="text2" w:themeFillTint="33"/>
            <w:vAlign w:val="center"/>
          </w:tcPr>
          <w:p w14:paraId="27DAED66" w14:textId="77777777" w:rsidR="00197A58" w:rsidRPr="008C164C" w:rsidRDefault="00197A58" w:rsidP="007310E3">
            <w:pPr>
              <w:pStyle w:val="TableText0"/>
              <w:keepNext w:val="0"/>
              <w:widowControl w:val="0"/>
              <w:jc w:val="both"/>
              <w:rPr>
                <w:szCs w:val="18"/>
              </w:rPr>
            </w:pPr>
            <w:r w:rsidRPr="008C164C">
              <w:rPr>
                <w:szCs w:val="18"/>
              </w:rPr>
              <w:t xml:space="preserve">Suleiman, J, </w:t>
            </w:r>
            <w:proofErr w:type="spellStart"/>
            <w:r w:rsidRPr="008C164C">
              <w:rPr>
                <w:szCs w:val="18"/>
              </w:rPr>
              <w:t>Zingman</w:t>
            </w:r>
            <w:proofErr w:type="spellEnd"/>
            <w:r w:rsidRPr="008C164C">
              <w:rPr>
                <w:szCs w:val="18"/>
              </w:rPr>
              <w:t>, BS, et al. Vicriviroc in combination therapy with an optimized regimen for treatment-experienced subjects: 48-week results of the VICTOR-E1 phase 2 trial.</w:t>
            </w:r>
          </w:p>
        </w:tc>
        <w:tc>
          <w:tcPr>
            <w:tcW w:w="1072" w:type="pct"/>
            <w:tcBorders>
              <w:top w:val="single" w:sz="4" w:space="0" w:color="auto"/>
              <w:bottom w:val="nil"/>
            </w:tcBorders>
            <w:shd w:val="clear" w:color="auto" w:fill="C6D9F1" w:themeFill="text2" w:themeFillTint="33"/>
            <w:vAlign w:val="center"/>
          </w:tcPr>
          <w:p w14:paraId="14D22B90" w14:textId="77777777" w:rsidR="00197A58" w:rsidRPr="008C164C" w:rsidRDefault="00197A58" w:rsidP="00883A8D">
            <w:pPr>
              <w:pStyle w:val="TableText0"/>
              <w:keepNext w:val="0"/>
              <w:widowControl w:val="0"/>
              <w:rPr>
                <w:szCs w:val="18"/>
              </w:rPr>
            </w:pPr>
            <w:r w:rsidRPr="008C164C">
              <w:rPr>
                <w:szCs w:val="18"/>
              </w:rPr>
              <w:t>The Journal of infectious diseases 2010; 201(4): 590-599.</w:t>
            </w:r>
          </w:p>
        </w:tc>
      </w:tr>
      <w:tr w:rsidR="00197A58" w:rsidRPr="008C164C" w14:paraId="3B8A9A68" w14:textId="77777777" w:rsidTr="00883A8D">
        <w:trPr>
          <w:cantSplit/>
        </w:trPr>
        <w:tc>
          <w:tcPr>
            <w:tcW w:w="940" w:type="pct"/>
            <w:tcBorders>
              <w:top w:val="nil"/>
              <w:bottom w:val="single" w:sz="4" w:space="0" w:color="auto"/>
            </w:tcBorders>
            <w:shd w:val="clear" w:color="auto" w:fill="C6D9F1" w:themeFill="text2" w:themeFillTint="33"/>
            <w:vAlign w:val="center"/>
          </w:tcPr>
          <w:p w14:paraId="26027883" w14:textId="77777777" w:rsidR="00197A58" w:rsidRPr="008C164C" w:rsidRDefault="00197A58" w:rsidP="007310E3">
            <w:pPr>
              <w:pStyle w:val="TableText0"/>
              <w:keepNext w:val="0"/>
              <w:widowControl w:val="0"/>
              <w:jc w:val="both"/>
            </w:pPr>
          </w:p>
        </w:tc>
        <w:tc>
          <w:tcPr>
            <w:tcW w:w="2988" w:type="pct"/>
            <w:tcBorders>
              <w:top w:val="nil"/>
              <w:bottom w:val="single" w:sz="4" w:space="0" w:color="auto"/>
            </w:tcBorders>
            <w:shd w:val="clear" w:color="auto" w:fill="C6D9F1" w:themeFill="text2" w:themeFillTint="33"/>
            <w:vAlign w:val="center"/>
          </w:tcPr>
          <w:p w14:paraId="47D602DF" w14:textId="77777777" w:rsidR="00197A58" w:rsidRPr="008C164C" w:rsidRDefault="00197A58" w:rsidP="007310E3">
            <w:pPr>
              <w:pStyle w:val="TableText0"/>
              <w:keepNext w:val="0"/>
              <w:widowControl w:val="0"/>
              <w:jc w:val="both"/>
              <w:rPr>
                <w:szCs w:val="18"/>
              </w:rPr>
            </w:pPr>
            <w:r w:rsidRPr="008C164C">
              <w:rPr>
                <w:rFonts w:eastAsia="Batang"/>
              </w:rPr>
              <w:t>Merck Sharp &amp; Dohme LLC NCT00243230: Vicriviroc (SCH 417690) in Combination Treatment With Optimized ARV Regimen in Experienced Participants (VICTOR-E1) (MK-7690-020/P03672) (VICTOR-E1).</w:t>
            </w:r>
          </w:p>
        </w:tc>
        <w:tc>
          <w:tcPr>
            <w:tcW w:w="1072" w:type="pct"/>
            <w:tcBorders>
              <w:top w:val="nil"/>
              <w:bottom w:val="single" w:sz="4" w:space="0" w:color="auto"/>
            </w:tcBorders>
            <w:shd w:val="clear" w:color="auto" w:fill="C6D9F1" w:themeFill="text2" w:themeFillTint="33"/>
            <w:vAlign w:val="center"/>
          </w:tcPr>
          <w:p w14:paraId="7838F136" w14:textId="77777777" w:rsidR="00197A58" w:rsidRPr="008C164C" w:rsidRDefault="00197A58" w:rsidP="00883A8D">
            <w:pPr>
              <w:pStyle w:val="TableText0"/>
              <w:keepNext w:val="0"/>
              <w:widowControl w:val="0"/>
              <w:rPr>
                <w:szCs w:val="18"/>
              </w:rPr>
            </w:pPr>
          </w:p>
        </w:tc>
      </w:tr>
      <w:tr w:rsidR="00197A58" w:rsidRPr="008C164C" w14:paraId="56F66F6C" w14:textId="77777777" w:rsidTr="00883A8D">
        <w:trPr>
          <w:cantSplit/>
        </w:trPr>
        <w:tc>
          <w:tcPr>
            <w:tcW w:w="940" w:type="pct"/>
            <w:tcBorders>
              <w:top w:val="single" w:sz="4" w:space="0" w:color="auto"/>
              <w:bottom w:val="nil"/>
            </w:tcBorders>
            <w:shd w:val="clear" w:color="auto" w:fill="auto"/>
            <w:vAlign w:val="center"/>
          </w:tcPr>
          <w:p w14:paraId="4F524FF0" w14:textId="77777777" w:rsidR="00197A58" w:rsidRPr="008C164C" w:rsidRDefault="00197A58" w:rsidP="007310E3">
            <w:pPr>
              <w:pStyle w:val="TableText0"/>
              <w:keepNext w:val="0"/>
              <w:widowControl w:val="0"/>
              <w:jc w:val="both"/>
            </w:pPr>
          </w:p>
        </w:tc>
        <w:tc>
          <w:tcPr>
            <w:tcW w:w="2988" w:type="pct"/>
            <w:tcBorders>
              <w:top w:val="single" w:sz="4" w:space="0" w:color="auto"/>
              <w:bottom w:val="nil"/>
            </w:tcBorders>
            <w:shd w:val="clear" w:color="auto" w:fill="auto"/>
            <w:vAlign w:val="center"/>
          </w:tcPr>
          <w:p w14:paraId="23D180F5" w14:textId="0B5A9D41" w:rsidR="00197A58" w:rsidRPr="008C164C" w:rsidRDefault="00197A58" w:rsidP="007310E3">
            <w:pPr>
              <w:pStyle w:val="TableText0"/>
              <w:jc w:val="both"/>
            </w:pPr>
            <w:proofErr w:type="spellStart"/>
            <w:r w:rsidRPr="008C164C">
              <w:t>Kozal</w:t>
            </w:r>
            <w:proofErr w:type="spellEnd"/>
            <w:r w:rsidRPr="008C164C">
              <w:t xml:space="preserve">, M., J. Aberg, G. </w:t>
            </w:r>
            <w:proofErr w:type="spellStart"/>
            <w:r w:rsidRPr="008C164C">
              <w:t>Pialoux</w:t>
            </w:r>
            <w:proofErr w:type="spellEnd"/>
            <w:r w:rsidRPr="008C164C">
              <w:t xml:space="preserve">, P. Cahn, M. Thompson, J.-M. Molina, B. </w:t>
            </w:r>
            <w:proofErr w:type="spellStart"/>
            <w:r w:rsidRPr="008C164C">
              <w:t>Grinsztejn</w:t>
            </w:r>
            <w:proofErr w:type="spellEnd"/>
            <w:r w:rsidRPr="008C164C">
              <w:t xml:space="preserve">, R. Diaz, A. </w:t>
            </w:r>
            <w:proofErr w:type="spellStart"/>
            <w:r w:rsidRPr="008C164C">
              <w:t>Castagna</w:t>
            </w:r>
            <w:proofErr w:type="spellEnd"/>
            <w:r w:rsidRPr="008C164C">
              <w:t xml:space="preserve">, P. Kumar, G. </w:t>
            </w:r>
            <w:proofErr w:type="spellStart"/>
            <w:r w:rsidRPr="008C164C">
              <w:t>Latiff</w:t>
            </w:r>
            <w:proofErr w:type="spellEnd"/>
            <w:r w:rsidRPr="008C164C">
              <w:t xml:space="preserve">, E. DeJesus, M. </w:t>
            </w:r>
            <w:proofErr w:type="spellStart"/>
            <w:r w:rsidRPr="008C164C">
              <w:t>Gummel</w:t>
            </w:r>
            <w:proofErr w:type="spellEnd"/>
            <w:r w:rsidRPr="008C164C">
              <w:t xml:space="preserve">, M. </w:t>
            </w:r>
            <w:proofErr w:type="spellStart"/>
            <w:r w:rsidRPr="008C164C">
              <w:t>Gartland</w:t>
            </w:r>
            <w:proofErr w:type="spellEnd"/>
            <w:r w:rsidRPr="008C164C">
              <w:t xml:space="preserve">, A. Pierce, P. Ackerman, C. </w:t>
            </w:r>
            <w:proofErr w:type="spellStart"/>
            <w:r w:rsidRPr="008C164C">
              <w:t>Llamoso</w:t>
            </w:r>
            <w:proofErr w:type="spellEnd"/>
            <w:r w:rsidRPr="008C164C">
              <w:t xml:space="preserve">, M. </w:t>
            </w:r>
            <w:proofErr w:type="spellStart"/>
            <w:r w:rsidRPr="008C164C">
              <w:t>Lataillade</w:t>
            </w:r>
            <w:proofErr w:type="spellEnd"/>
            <w:r w:rsidRPr="008C164C">
              <w:t xml:space="preserve"> and B. T. Team</w:t>
            </w:r>
            <w:r w:rsidR="008C164C">
              <w:t xml:space="preserve">. </w:t>
            </w:r>
            <w:r w:rsidRPr="008C164C">
              <w:t>Fostemsavir in Adults with Multidrug-Resistant HIV-1 Infection.</w:t>
            </w:r>
          </w:p>
        </w:tc>
        <w:tc>
          <w:tcPr>
            <w:tcW w:w="1072" w:type="pct"/>
            <w:tcBorders>
              <w:top w:val="single" w:sz="4" w:space="0" w:color="auto"/>
              <w:bottom w:val="nil"/>
            </w:tcBorders>
            <w:shd w:val="clear" w:color="auto" w:fill="auto"/>
            <w:vAlign w:val="center"/>
          </w:tcPr>
          <w:p w14:paraId="1EC06BDB" w14:textId="4C3F8F34" w:rsidR="00197A58" w:rsidRPr="008C164C" w:rsidRDefault="00197A58" w:rsidP="00883A8D">
            <w:pPr>
              <w:pStyle w:val="TableText0"/>
              <w:rPr>
                <w:szCs w:val="18"/>
              </w:rPr>
            </w:pPr>
            <w:r w:rsidRPr="008C164C">
              <w:t>The New England journal of medicine 2020; 382(13): 1232-1243.</w:t>
            </w:r>
          </w:p>
        </w:tc>
      </w:tr>
      <w:tr w:rsidR="00197A58" w:rsidRPr="008C164C" w14:paraId="0EDB7923" w14:textId="77777777" w:rsidTr="00883A8D">
        <w:trPr>
          <w:cantSplit/>
        </w:trPr>
        <w:tc>
          <w:tcPr>
            <w:tcW w:w="940" w:type="pct"/>
            <w:tcBorders>
              <w:top w:val="nil"/>
              <w:bottom w:val="nil"/>
            </w:tcBorders>
            <w:vAlign w:val="center"/>
          </w:tcPr>
          <w:p w14:paraId="09F3173C" w14:textId="77777777" w:rsidR="00197A58" w:rsidRPr="008C164C" w:rsidRDefault="00197A58" w:rsidP="007310E3">
            <w:pPr>
              <w:pStyle w:val="TableText0"/>
              <w:keepNext w:val="0"/>
              <w:widowControl w:val="0"/>
              <w:jc w:val="both"/>
            </w:pPr>
            <w:r w:rsidRPr="008C164C">
              <w:t>BRIGHTE</w:t>
            </w:r>
          </w:p>
          <w:p w14:paraId="471D6B49" w14:textId="47B3267F" w:rsidR="00CA4AC1" w:rsidRPr="008C164C" w:rsidRDefault="00CA4AC1" w:rsidP="007310E3">
            <w:pPr>
              <w:pStyle w:val="TableText0"/>
              <w:keepNext w:val="0"/>
              <w:widowControl w:val="0"/>
              <w:jc w:val="both"/>
            </w:pPr>
            <w:r w:rsidRPr="008C164C">
              <w:t>NCT02362503</w:t>
            </w:r>
          </w:p>
        </w:tc>
        <w:tc>
          <w:tcPr>
            <w:tcW w:w="2988" w:type="pct"/>
            <w:tcBorders>
              <w:top w:val="nil"/>
              <w:bottom w:val="nil"/>
            </w:tcBorders>
            <w:vAlign w:val="center"/>
          </w:tcPr>
          <w:p w14:paraId="4EA99C52" w14:textId="77777777" w:rsidR="00197A58" w:rsidRPr="008C164C" w:rsidRDefault="00197A58" w:rsidP="007310E3">
            <w:pPr>
              <w:pStyle w:val="TableText0"/>
              <w:keepNext w:val="0"/>
              <w:widowControl w:val="0"/>
              <w:jc w:val="both"/>
              <w:rPr>
                <w:rFonts w:eastAsia="Batang"/>
              </w:rPr>
            </w:pPr>
            <w:proofErr w:type="spellStart"/>
            <w:r w:rsidRPr="008C164C">
              <w:rPr>
                <w:rFonts w:eastAsia="Batang"/>
              </w:rPr>
              <w:t>ViiV</w:t>
            </w:r>
            <w:proofErr w:type="spellEnd"/>
            <w:r w:rsidRPr="008C164C">
              <w:rPr>
                <w:rFonts w:eastAsia="Batang"/>
              </w:rPr>
              <w:t xml:space="preserve"> Healthcare. NCT02362503: Attachment Inhibitor Comparison in Heavily Treatment Experienced Patients.</w:t>
            </w:r>
          </w:p>
        </w:tc>
        <w:tc>
          <w:tcPr>
            <w:tcW w:w="1072" w:type="pct"/>
            <w:tcBorders>
              <w:top w:val="nil"/>
              <w:bottom w:val="nil"/>
            </w:tcBorders>
            <w:vAlign w:val="center"/>
          </w:tcPr>
          <w:p w14:paraId="5BDED698" w14:textId="77777777" w:rsidR="00197A58" w:rsidRPr="008C164C" w:rsidRDefault="00197A58" w:rsidP="00883A8D">
            <w:pPr>
              <w:pStyle w:val="TableText0"/>
              <w:keepNext w:val="0"/>
              <w:widowControl w:val="0"/>
              <w:rPr>
                <w:szCs w:val="18"/>
              </w:rPr>
            </w:pPr>
            <w:r w:rsidRPr="008C164C">
              <w:rPr>
                <w:szCs w:val="18"/>
              </w:rPr>
              <w:t>2015</w:t>
            </w:r>
          </w:p>
        </w:tc>
      </w:tr>
      <w:tr w:rsidR="00197A58" w:rsidRPr="008C164C" w14:paraId="58B0B75A" w14:textId="77777777" w:rsidTr="00883A8D">
        <w:trPr>
          <w:cantSplit/>
        </w:trPr>
        <w:tc>
          <w:tcPr>
            <w:tcW w:w="940" w:type="pct"/>
            <w:tcBorders>
              <w:top w:val="nil"/>
              <w:bottom w:val="nil"/>
            </w:tcBorders>
            <w:vAlign w:val="center"/>
          </w:tcPr>
          <w:p w14:paraId="14C2E71E" w14:textId="77777777" w:rsidR="00197A58" w:rsidRPr="008C164C" w:rsidRDefault="00197A58" w:rsidP="007310E3">
            <w:pPr>
              <w:pStyle w:val="TableText0"/>
              <w:keepNext w:val="0"/>
              <w:widowControl w:val="0"/>
              <w:jc w:val="both"/>
            </w:pPr>
          </w:p>
        </w:tc>
        <w:tc>
          <w:tcPr>
            <w:tcW w:w="2988" w:type="pct"/>
            <w:tcBorders>
              <w:top w:val="nil"/>
              <w:bottom w:val="nil"/>
            </w:tcBorders>
            <w:vAlign w:val="center"/>
          </w:tcPr>
          <w:p w14:paraId="1429349B" w14:textId="77777777" w:rsidR="00197A58" w:rsidRPr="008C164C" w:rsidRDefault="00197A58" w:rsidP="007310E3">
            <w:pPr>
              <w:pStyle w:val="TableText0"/>
              <w:keepNext w:val="0"/>
              <w:widowControl w:val="0"/>
              <w:jc w:val="both"/>
              <w:rPr>
                <w:rFonts w:eastAsia="Batang"/>
              </w:rPr>
            </w:pPr>
            <w:r w:rsidRPr="008C164C">
              <w:rPr>
                <w:rFonts w:eastAsia="Batang"/>
              </w:rPr>
              <w:t>Ackerman, P, Thompson, M, et al. Long-term efficacy and safety of fostemsavir among subgroups of heavily treatment-experienced adults with HIV-1.</w:t>
            </w:r>
          </w:p>
        </w:tc>
        <w:tc>
          <w:tcPr>
            <w:tcW w:w="1072" w:type="pct"/>
            <w:tcBorders>
              <w:top w:val="nil"/>
              <w:bottom w:val="nil"/>
            </w:tcBorders>
            <w:vAlign w:val="center"/>
          </w:tcPr>
          <w:p w14:paraId="0BD3D576" w14:textId="77777777" w:rsidR="00197A58" w:rsidRPr="008C164C" w:rsidRDefault="00197A58" w:rsidP="00883A8D">
            <w:pPr>
              <w:pStyle w:val="TableText0"/>
              <w:keepNext w:val="0"/>
              <w:widowControl w:val="0"/>
              <w:rPr>
                <w:szCs w:val="18"/>
              </w:rPr>
            </w:pPr>
            <w:r w:rsidRPr="008C164C">
              <w:rPr>
                <w:rFonts w:eastAsia="Batang"/>
              </w:rPr>
              <w:t>AIDS 2021 (London, England) 35(7): 1061-1072.</w:t>
            </w:r>
          </w:p>
        </w:tc>
      </w:tr>
      <w:tr w:rsidR="00197A58" w:rsidRPr="008C164C" w14:paraId="05D22A95" w14:textId="77777777" w:rsidTr="00883A8D">
        <w:trPr>
          <w:cantSplit/>
        </w:trPr>
        <w:tc>
          <w:tcPr>
            <w:tcW w:w="940" w:type="pct"/>
            <w:tcBorders>
              <w:top w:val="nil"/>
              <w:bottom w:val="single" w:sz="4" w:space="0" w:color="auto"/>
            </w:tcBorders>
            <w:vAlign w:val="center"/>
          </w:tcPr>
          <w:p w14:paraId="238D8321" w14:textId="77777777" w:rsidR="00197A58" w:rsidRPr="008C164C" w:rsidRDefault="00197A58" w:rsidP="007310E3">
            <w:pPr>
              <w:pStyle w:val="TableText0"/>
              <w:keepNext w:val="0"/>
              <w:widowControl w:val="0"/>
              <w:jc w:val="both"/>
            </w:pPr>
          </w:p>
        </w:tc>
        <w:tc>
          <w:tcPr>
            <w:tcW w:w="2988" w:type="pct"/>
            <w:tcBorders>
              <w:top w:val="nil"/>
              <w:bottom w:val="single" w:sz="4" w:space="0" w:color="auto"/>
            </w:tcBorders>
            <w:vAlign w:val="center"/>
          </w:tcPr>
          <w:p w14:paraId="06EC47EF" w14:textId="77777777" w:rsidR="00197A58" w:rsidRPr="008C164C" w:rsidRDefault="00197A58" w:rsidP="007310E3">
            <w:pPr>
              <w:pStyle w:val="TableText0"/>
              <w:keepNext w:val="0"/>
              <w:widowControl w:val="0"/>
              <w:jc w:val="both"/>
              <w:rPr>
                <w:rFonts w:eastAsia="Batang"/>
              </w:rPr>
            </w:pPr>
            <w:proofErr w:type="spellStart"/>
            <w:r w:rsidRPr="008C164C">
              <w:rPr>
                <w:rFonts w:eastAsia="Batang"/>
              </w:rPr>
              <w:t>Gartland</w:t>
            </w:r>
            <w:proofErr w:type="spellEnd"/>
            <w:r w:rsidRPr="008C164C">
              <w:rPr>
                <w:rFonts w:eastAsia="Batang"/>
              </w:rPr>
              <w:t>, M, Cahn, P, et al. Week 96 Genotypic and Phenotypic Results of the Fostemsavir Phase 3 BRIGHTE Study in Heavily Treatment-Experienced Adults Living with Multidrug-Resistant HIV-1.</w:t>
            </w:r>
          </w:p>
        </w:tc>
        <w:tc>
          <w:tcPr>
            <w:tcW w:w="1072" w:type="pct"/>
            <w:tcBorders>
              <w:top w:val="nil"/>
              <w:bottom w:val="single" w:sz="4" w:space="0" w:color="auto"/>
            </w:tcBorders>
            <w:vAlign w:val="center"/>
          </w:tcPr>
          <w:p w14:paraId="31903F1E" w14:textId="77777777" w:rsidR="00197A58" w:rsidRPr="008C164C" w:rsidRDefault="00197A58" w:rsidP="00883A8D">
            <w:pPr>
              <w:pStyle w:val="TableText0"/>
              <w:rPr>
                <w:szCs w:val="18"/>
              </w:rPr>
            </w:pPr>
            <w:r w:rsidRPr="008C164C">
              <w:t>Antimicrobial agents and chemotherapy 2022; 66(6): e0175121</w:t>
            </w:r>
          </w:p>
        </w:tc>
      </w:tr>
      <w:tr w:rsidR="00197A58" w:rsidRPr="008C164C" w14:paraId="173F7780" w14:textId="77777777" w:rsidTr="00883A8D">
        <w:trPr>
          <w:cantSplit/>
        </w:trPr>
        <w:tc>
          <w:tcPr>
            <w:tcW w:w="940" w:type="pct"/>
            <w:tcBorders>
              <w:top w:val="single" w:sz="4" w:space="0" w:color="auto"/>
              <w:bottom w:val="nil"/>
            </w:tcBorders>
            <w:vAlign w:val="center"/>
          </w:tcPr>
          <w:p w14:paraId="6AB850F2" w14:textId="77777777" w:rsidR="00197A58" w:rsidRPr="008C164C" w:rsidRDefault="00197A58" w:rsidP="007310E3">
            <w:pPr>
              <w:pStyle w:val="TableText0"/>
              <w:keepNext w:val="0"/>
              <w:widowControl w:val="0"/>
              <w:jc w:val="both"/>
            </w:pPr>
          </w:p>
        </w:tc>
        <w:tc>
          <w:tcPr>
            <w:tcW w:w="2988" w:type="pct"/>
            <w:tcBorders>
              <w:top w:val="single" w:sz="4" w:space="0" w:color="auto"/>
              <w:bottom w:val="nil"/>
            </w:tcBorders>
            <w:vAlign w:val="center"/>
          </w:tcPr>
          <w:p w14:paraId="3C06444F" w14:textId="6674AD5D" w:rsidR="00197A58" w:rsidRPr="008C164C" w:rsidRDefault="00197A58" w:rsidP="007310E3">
            <w:pPr>
              <w:pStyle w:val="TableText0"/>
              <w:keepNext w:val="0"/>
              <w:widowControl w:val="0"/>
              <w:jc w:val="both"/>
              <w:rPr>
                <w:rFonts w:eastAsia="Batang"/>
              </w:rPr>
            </w:pPr>
            <w:r w:rsidRPr="008C164C">
              <w:rPr>
                <w:rFonts w:eastAsia="Batang"/>
              </w:rPr>
              <w:t xml:space="preserve">Emu B, </w:t>
            </w:r>
            <w:proofErr w:type="spellStart"/>
            <w:r w:rsidRPr="008C164C">
              <w:rPr>
                <w:rFonts w:eastAsia="Batang"/>
              </w:rPr>
              <w:t>Fessel</w:t>
            </w:r>
            <w:proofErr w:type="spellEnd"/>
            <w:r w:rsidRPr="008C164C">
              <w:rPr>
                <w:rFonts w:eastAsia="Batang"/>
              </w:rPr>
              <w:t xml:space="preserve"> J, Schrader S, et al. Phase 3 Study of Ibalizumab for Multidrug-Resistant HIV-1.</w:t>
            </w:r>
          </w:p>
        </w:tc>
        <w:tc>
          <w:tcPr>
            <w:tcW w:w="1072" w:type="pct"/>
            <w:tcBorders>
              <w:top w:val="single" w:sz="4" w:space="0" w:color="auto"/>
              <w:bottom w:val="nil"/>
            </w:tcBorders>
            <w:vAlign w:val="center"/>
          </w:tcPr>
          <w:p w14:paraId="57774FDB" w14:textId="1693861F" w:rsidR="00197A58" w:rsidRPr="008C164C" w:rsidRDefault="00EB239C" w:rsidP="00883A8D">
            <w:pPr>
              <w:pStyle w:val="TableText0"/>
              <w:keepNext w:val="0"/>
              <w:widowControl w:val="0"/>
              <w:rPr>
                <w:rFonts w:eastAsia="Batang"/>
              </w:rPr>
            </w:pPr>
            <w:r w:rsidRPr="008C164C">
              <w:t xml:space="preserve">The New England journal of medicine </w:t>
            </w:r>
            <w:r w:rsidR="00197A58" w:rsidRPr="008C164C">
              <w:rPr>
                <w:rFonts w:eastAsia="Batang"/>
              </w:rPr>
              <w:t>2018; 379(7): 645-54</w:t>
            </w:r>
          </w:p>
        </w:tc>
      </w:tr>
      <w:tr w:rsidR="00197A58" w:rsidRPr="008C164C" w14:paraId="56453E95" w14:textId="77777777" w:rsidTr="00883A8D">
        <w:trPr>
          <w:cantSplit/>
        </w:trPr>
        <w:tc>
          <w:tcPr>
            <w:tcW w:w="940" w:type="pct"/>
            <w:tcBorders>
              <w:top w:val="nil"/>
              <w:bottom w:val="nil"/>
            </w:tcBorders>
            <w:vAlign w:val="center"/>
          </w:tcPr>
          <w:p w14:paraId="3E1CE885" w14:textId="77777777" w:rsidR="00197A58" w:rsidRPr="008C164C" w:rsidRDefault="00197A58" w:rsidP="007310E3">
            <w:pPr>
              <w:pStyle w:val="TableText0"/>
              <w:keepNext w:val="0"/>
              <w:widowControl w:val="0"/>
              <w:jc w:val="both"/>
            </w:pPr>
            <w:r w:rsidRPr="008C164C">
              <w:t>TMB-301</w:t>
            </w:r>
          </w:p>
          <w:p w14:paraId="78D83566" w14:textId="2C9680EA" w:rsidR="00CA4AC1" w:rsidRPr="008C164C" w:rsidRDefault="00CA4AC1" w:rsidP="007310E3">
            <w:pPr>
              <w:pStyle w:val="TableText0"/>
              <w:keepNext w:val="0"/>
              <w:widowControl w:val="0"/>
              <w:jc w:val="both"/>
            </w:pPr>
            <w:r w:rsidRPr="008C164C">
              <w:t>NCT02475629</w:t>
            </w:r>
          </w:p>
        </w:tc>
        <w:tc>
          <w:tcPr>
            <w:tcW w:w="2988" w:type="pct"/>
            <w:tcBorders>
              <w:top w:val="nil"/>
              <w:bottom w:val="nil"/>
            </w:tcBorders>
            <w:vAlign w:val="center"/>
          </w:tcPr>
          <w:p w14:paraId="19858A56" w14:textId="77777777" w:rsidR="00197A58" w:rsidRPr="008C164C" w:rsidRDefault="00197A58" w:rsidP="007310E3">
            <w:pPr>
              <w:pStyle w:val="TableText0"/>
              <w:keepNext w:val="0"/>
              <w:widowControl w:val="0"/>
              <w:jc w:val="both"/>
              <w:rPr>
                <w:rFonts w:eastAsia="Batang"/>
              </w:rPr>
            </w:pPr>
            <w:proofErr w:type="spellStart"/>
            <w:r w:rsidRPr="008C164C">
              <w:rPr>
                <w:rFonts w:eastAsia="Batang"/>
              </w:rPr>
              <w:t>Mascolini</w:t>
            </w:r>
            <w:proofErr w:type="spellEnd"/>
            <w:r w:rsidRPr="008C164C">
              <w:rPr>
                <w:rFonts w:eastAsia="Batang"/>
              </w:rPr>
              <w:t xml:space="preserve"> M. Two Thirds Reach Sub-50 Viral Load Through 48 Weeks With Ibalizumab. </w:t>
            </w:r>
          </w:p>
        </w:tc>
        <w:tc>
          <w:tcPr>
            <w:tcW w:w="1072" w:type="pct"/>
            <w:tcBorders>
              <w:top w:val="nil"/>
              <w:bottom w:val="nil"/>
            </w:tcBorders>
            <w:vAlign w:val="center"/>
          </w:tcPr>
          <w:p w14:paraId="3318B785" w14:textId="77777777" w:rsidR="00197A58" w:rsidRPr="008C164C" w:rsidRDefault="00197A58" w:rsidP="00883A8D">
            <w:pPr>
              <w:pStyle w:val="TableText0"/>
              <w:keepNext w:val="0"/>
              <w:widowControl w:val="0"/>
              <w:rPr>
                <w:rFonts w:eastAsia="Batang"/>
              </w:rPr>
            </w:pPr>
            <w:r w:rsidRPr="008C164C">
              <w:rPr>
                <w:rFonts w:eastAsia="Batang"/>
              </w:rPr>
              <w:t>HIV Drug Therapy, 2018; Glasgow</w:t>
            </w:r>
          </w:p>
        </w:tc>
      </w:tr>
      <w:tr w:rsidR="00197A58" w:rsidRPr="008C164C" w14:paraId="1191E8D9" w14:textId="77777777" w:rsidTr="00883A8D">
        <w:trPr>
          <w:cantSplit/>
        </w:trPr>
        <w:tc>
          <w:tcPr>
            <w:tcW w:w="940" w:type="pct"/>
            <w:tcBorders>
              <w:top w:val="nil"/>
              <w:bottom w:val="single" w:sz="4" w:space="0" w:color="auto"/>
            </w:tcBorders>
            <w:vAlign w:val="center"/>
          </w:tcPr>
          <w:p w14:paraId="397ECF18" w14:textId="77777777" w:rsidR="00197A58" w:rsidRPr="008C164C" w:rsidRDefault="00197A58" w:rsidP="007310E3">
            <w:pPr>
              <w:pStyle w:val="TableText0"/>
              <w:keepNext w:val="0"/>
              <w:widowControl w:val="0"/>
              <w:jc w:val="both"/>
            </w:pPr>
          </w:p>
        </w:tc>
        <w:tc>
          <w:tcPr>
            <w:tcW w:w="2988" w:type="pct"/>
            <w:tcBorders>
              <w:top w:val="nil"/>
              <w:bottom w:val="single" w:sz="4" w:space="0" w:color="auto"/>
            </w:tcBorders>
            <w:vAlign w:val="center"/>
          </w:tcPr>
          <w:p w14:paraId="50DB93F3" w14:textId="77777777" w:rsidR="00197A58" w:rsidRPr="008C164C" w:rsidRDefault="00197A58" w:rsidP="007310E3">
            <w:pPr>
              <w:pStyle w:val="TableText0"/>
              <w:keepNext w:val="0"/>
              <w:widowControl w:val="0"/>
              <w:jc w:val="both"/>
              <w:rPr>
                <w:rFonts w:eastAsia="Batang"/>
              </w:rPr>
            </w:pPr>
            <w:proofErr w:type="spellStart"/>
            <w:r w:rsidRPr="008C164C">
              <w:rPr>
                <w:rFonts w:eastAsia="Batang"/>
              </w:rPr>
              <w:t>TaiMed</w:t>
            </w:r>
            <w:proofErr w:type="spellEnd"/>
            <w:r w:rsidRPr="008C164C">
              <w:rPr>
                <w:rFonts w:eastAsia="Batang"/>
              </w:rPr>
              <w:t xml:space="preserve"> Biologics Inc. NCT02475629: Ibalizumab Plus Optimized Background Regimen in Patient With Multi-Drug Resistant HIV.</w:t>
            </w:r>
          </w:p>
        </w:tc>
        <w:tc>
          <w:tcPr>
            <w:tcW w:w="1072" w:type="pct"/>
            <w:tcBorders>
              <w:top w:val="nil"/>
              <w:bottom w:val="single" w:sz="4" w:space="0" w:color="auto"/>
            </w:tcBorders>
            <w:vAlign w:val="center"/>
          </w:tcPr>
          <w:p w14:paraId="12C7AF04" w14:textId="77777777" w:rsidR="00197A58" w:rsidRPr="008C164C" w:rsidRDefault="00197A58" w:rsidP="00883A8D">
            <w:pPr>
              <w:pStyle w:val="TableText0"/>
              <w:keepNext w:val="0"/>
              <w:widowControl w:val="0"/>
              <w:rPr>
                <w:rFonts w:eastAsia="Batang"/>
              </w:rPr>
            </w:pPr>
            <w:r w:rsidRPr="008C164C">
              <w:rPr>
                <w:rFonts w:eastAsia="Batang"/>
              </w:rPr>
              <w:t>2015</w:t>
            </w:r>
          </w:p>
        </w:tc>
      </w:tr>
    </w:tbl>
    <w:p w14:paraId="0B282636" w14:textId="4746F64B" w:rsidR="00197A58" w:rsidRPr="008C164C" w:rsidRDefault="00197A58" w:rsidP="00197A58">
      <w:pPr>
        <w:pStyle w:val="FooterTableFigure"/>
      </w:pPr>
      <w:r w:rsidRPr="008C164C">
        <w:t xml:space="preserve">Blue shaded cells represent trials previously considered by </w:t>
      </w:r>
      <w:r w:rsidR="00995BD2" w:rsidRPr="008C164C">
        <w:t xml:space="preserve">the </w:t>
      </w:r>
      <w:r w:rsidRPr="008C164C">
        <w:t xml:space="preserve">PBAC. </w:t>
      </w:r>
    </w:p>
    <w:p w14:paraId="1E4E98DF" w14:textId="77777777" w:rsidR="00197A58" w:rsidRPr="008C164C" w:rsidRDefault="00197A58" w:rsidP="00197A58">
      <w:pPr>
        <w:pStyle w:val="FooterTableFigure"/>
        <w:rPr>
          <w:sz w:val="20"/>
        </w:rPr>
      </w:pPr>
      <w:r w:rsidRPr="008C164C">
        <w:t>Source: Table 2-4, pp41-44 of the resubmission.</w:t>
      </w:r>
    </w:p>
    <w:p w14:paraId="1DD06D7D" w14:textId="3F90EF88" w:rsidR="007F1017" w:rsidRPr="008C164C" w:rsidRDefault="008F120A" w:rsidP="00EC5836">
      <w:pPr>
        <w:pStyle w:val="3-BodyText"/>
      </w:pPr>
      <w:r w:rsidRPr="008C164C">
        <w:t xml:space="preserve">The key features of the </w:t>
      </w:r>
      <w:r w:rsidR="00197A58" w:rsidRPr="008C164C">
        <w:t>included ev</w:t>
      </w:r>
      <w:r w:rsidR="00446FCA" w:rsidRPr="008C164C">
        <w:t>i</w:t>
      </w:r>
      <w:r w:rsidR="00197A58" w:rsidRPr="008C164C">
        <w:t>dence</w:t>
      </w:r>
      <w:r w:rsidR="00140FCB" w:rsidRPr="008C164C">
        <w:t xml:space="preserve"> are summarised in </w:t>
      </w:r>
      <w:r w:rsidR="00140FCB" w:rsidRPr="008C164C">
        <w:fldChar w:fldCharType="begin" w:fldLock="1"/>
      </w:r>
      <w:r w:rsidR="00140FCB" w:rsidRPr="008C164C">
        <w:instrText xml:space="preserve"> REF _Ref104804098 \h  \* MERGEFORMAT </w:instrText>
      </w:r>
      <w:r w:rsidR="00140FCB" w:rsidRPr="008C164C">
        <w:fldChar w:fldCharType="separate"/>
      </w:r>
      <w:r w:rsidR="00682506" w:rsidRPr="00682506">
        <w:t>Table 4</w:t>
      </w:r>
      <w:r w:rsidR="00140FCB" w:rsidRPr="008C164C">
        <w:fldChar w:fldCharType="end"/>
      </w:r>
      <w:r w:rsidR="00140FCB" w:rsidRPr="008C164C">
        <w:t>.</w:t>
      </w:r>
    </w:p>
    <w:p w14:paraId="789AA9F3" w14:textId="69A3B3FE" w:rsidR="00197A58" w:rsidRPr="008C164C" w:rsidRDefault="00696EF9" w:rsidP="00197A58">
      <w:pPr>
        <w:pStyle w:val="TableFigureHeading"/>
        <w:rPr>
          <w:rStyle w:val="CommentReference"/>
          <w:b/>
          <w:szCs w:val="24"/>
        </w:rPr>
      </w:pPr>
      <w:bookmarkStart w:id="31" w:name="_Ref104804098"/>
      <w:r w:rsidRPr="008C164C">
        <w:rPr>
          <w:rStyle w:val="CommentReference"/>
          <w:b/>
          <w:szCs w:val="24"/>
        </w:rPr>
        <w:t xml:space="preserve">Table </w:t>
      </w:r>
      <w:r w:rsidRPr="008C164C">
        <w:rPr>
          <w:rStyle w:val="CommentReference"/>
          <w:b/>
          <w:szCs w:val="24"/>
        </w:rPr>
        <w:fldChar w:fldCharType="begin" w:fldLock="1"/>
      </w:r>
      <w:r w:rsidRPr="008C164C">
        <w:rPr>
          <w:rStyle w:val="CommentReference"/>
          <w:b/>
          <w:szCs w:val="24"/>
        </w:rPr>
        <w:instrText xml:space="preserve"> SEQ Table \* ARABIC </w:instrText>
      </w:r>
      <w:r w:rsidRPr="008C164C">
        <w:rPr>
          <w:rStyle w:val="CommentReference"/>
          <w:b/>
          <w:szCs w:val="24"/>
        </w:rPr>
        <w:fldChar w:fldCharType="separate"/>
      </w:r>
      <w:r w:rsidR="00682506">
        <w:rPr>
          <w:rStyle w:val="CommentReference"/>
          <w:b/>
          <w:noProof/>
          <w:szCs w:val="24"/>
        </w:rPr>
        <w:t>4</w:t>
      </w:r>
      <w:r w:rsidRPr="008C164C">
        <w:rPr>
          <w:rStyle w:val="CommentReference"/>
          <w:b/>
          <w:szCs w:val="24"/>
        </w:rPr>
        <w:fldChar w:fldCharType="end"/>
      </w:r>
      <w:bookmarkEnd w:id="31"/>
      <w:r w:rsidR="00D6076E" w:rsidRPr="008C164C">
        <w:rPr>
          <w:rStyle w:val="CommentReference"/>
          <w:b/>
          <w:szCs w:val="24"/>
        </w:rPr>
        <w:t>:</w:t>
      </w:r>
      <w:r w:rsidR="005863BA" w:rsidRPr="008C164C">
        <w:rPr>
          <w:rStyle w:val="CommentReference"/>
          <w:b/>
          <w:szCs w:val="24"/>
        </w:rPr>
        <w:t xml:space="preserve"> </w:t>
      </w:r>
      <w:r w:rsidR="00197A58" w:rsidRPr="008C164C">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434"/>
        <w:gridCol w:w="1125"/>
        <w:gridCol w:w="851"/>
        <w:gridCol w:w="2692"/>
        <w:gridCol w:w="1702"/>
        <w:gridCol w:w="941"/>
      </w:tblGrid>
      <w:tr w:rsidR="00197A58" w:rsidRPr="008C164C" w14:paraId="43402043" w14:textId="77777777" w:rsidTr="002F3708">
        <w:trPr>
          <w:trHeight w:val="296"/>
          <w:tblHeader/>
        </w:trPr>
        <w:tc>
          <w:tcPr>
            <w:tcW w:w="705" w:type="pct"/>
            <w:shd w:val="clear" w:color="auto" w:fill="auto"/>
            <w:vAlign w:val="center"/>
          </w:tcPr>
          <w:p w14:paraId="6076C331" w14:textId="77777777" w:rsidR="00197A58" w:rsidRPr="008C164C" w:rsidRDefault="00197A58" w:rsidP="00140FCB">
            <w:pPr>
              <w:pStyle w:val="In-tableHeading"/>
              <w:rPr>
                <w:lang w:val="en-AU"/>
              </w:rPr>
            </w:pPr>
            <w:r w:rsidRPr="008C164C">
              <w:rPr>
                <w:lang w:val="en-AU"/>
              </w:rPr>
              <w:t>Trial/ cohort</w:t>
            </w:r>
          </w:p>
        </w:tc>
        <w:tc>
          <w:tcPr>
            <w:tcW w:w="240" w:type="pct"/>
            <w:shd w:val="clear" w:color="auto" w:fill="auto"/>
            <w:vAlign w:val="center"/>
          </w:tcPr>
          <w:p w14:paraId="472B08A4" w14:textId="77777777" w:rsidR="00197A58" w:rsidRPr="008C164C" w:rsidRDefault="00197A58" w:rsidP="00140FCB">
            <w:pPr>
              <w:pStyle w:val="In-tableHeading"/>
              <w:jc w:val="center"/>
              <w:rPr>
                <w:lang w:val="en-AU"/>
              </w:rPr>
            </w:pPr>
            <w:r w:rsidRPr="008C164C">
              <w:rPr>
                <w:lang w:val="en-AU"/>
              </w:rPr>
              <w:t>N</w:t>
            </w:r>
          </w:p>
        </w:tc>
        <w:tc>
          <w:tcPr>
            <w:tcW w:w="624" w:type="pct"/>
            <w:shd w:val="clear" w:color="auto" w:fill="auto"/>
            <w:vAlign w:val="center"/>
          </w:tcPr>
          <w:p w14:paraId="58F74D40" w14:textId="77777777" w:rsidR="00197A58" w:rsidRPr="008C164C" w:rsidRDefault="00197A58" w:rsidP="00140FCB">
            <w:pPr>
              <w:pStyle w:val="In-tableHeading"/>
              <w:jc w:val="center"/>
              <w:rPr>
                <w:lang w:val="en-AU"/>
              </w:rPr>
            </w:pPr>
            <w:r w:rsidRPr="008C164C">
              <w:rPr>
                <w:lang w:val="en-AU"/>
              </w:rPr>
              <w:t>Design/ duration</w:t>
            </w:r>
          </w:p>
        </w:tc>
        <w:tc>
          <w:tcPr>
            <w:tcW w:w="472" w:type="pct"/>
            <w:shd w:val="clear" w:color="auto" w:fill="auto"/>
            <w:vAlign w:val="center"/>
          </w:tcPr>
          <w:p w14:paraId="225B69A4" w14:textId="77777777" w:rsidR="00197A58" w:rsidRPr="008C164C" w:rsidRDefault="00197A58" w:rsidP="00140FCB">
            <w:pPr>
              <w:pStyle w:val="In-tableHeading"/>
              <w:jc w:val="center"/>
              <w:rPr>
                <w:lang w:val="en-AU"/>
              </w:rPr>
            </w:pPr>
            <w:r w:rsidRPr="008C164C">
              <w:rPr>
                <w:lang w:val="en-AU"/>
              </w:rPr>
              <w:t>Risk of bias</w:t>
            </w:r>
          </w:p>
        </w:tc>
        <w:tc>
          <w:tcPr>
            <w:tcW w:w="1493" w:type="pct"/>
            <w:shd w:val="clear" w:color="auto" w:fill="auto"/>
            <w:vAlign w:val="center"/>
          </w:tcPr>
          <w:p w14:paraId="27F086CE" w14:textId="77777777" w:rsidR="00197A58" w:rsidRPr="008C164C" w:rsidRDefault="00197A58" w:rsidP="00140FCB">
            <w:pPr>
              <w:pStyle w:val="In-tableHeading"/>
              <w:jc w:val="center"/>
              <w:rPr>
                <w:lang w:val="en-AU"/>
              </w:rPr>
            </w:pPr>
            <w:r w:rsidRPr="008C164C">
              <w:rPr>
                <w:lang w:val="en-AU"/>
              </w:rPr>
              <w:t>Patient population</w:t>
            </w:r>
          </w:p>
        </w:tc>
        <w:tc>
          <w:tcPr>
            <w:tcW w:w="944" w:type="pct"/>
            <w:shd w:val="clear" w:color="auto" w:fill="auto"/>
            <w:vAlign w:val="center"/>
          </w:tcPr>
          <w:p w14:paraId="51705896" w14:textId="77777777" w:rsidR="00197A58" w:rsidRPr="008C164C" w:rsidRDefault="00197A58" w:rsidP="00140FCB">
            <w:pPr>
              <w:pStyle w:val="In-tableHeading"/>
              <w:jc w:val="center"/>
              <w:rPr>
                <w:lang w:val="en-AU"/>
              </w:rPr>
            </w:pPr>
            <w:r w:rsidRPr="008C164C">
              <w:rPr>
                <w:lang w:val="en-AU"/>
              </w:rPr>
              <w:t>Outcome(s)</w:t>
            </w:r>
          </w:p>
        </w:tc>
        <w:tc>
          <w:tcPr>
            <w:tcW w:w="522" w:type="pct"/>
            <w:shd w:val="clear" w:color="auto" w:fill="auto"/>
            <w:vAlign w:val="center"/>
          </w:tcPr>
          <w:p w14:paraId="5E0364D5" w14:textId="77777777" w:rsidR="00197A58" w:rsidRPr="008C164C" w:rsidRDefault="00197A58" w:rsidP="00140FCB">
            <w:pPr>
              <w:pStyle w:val="In-tableHeading"/>
              <w:jc w:val="center"/>
              <w:rPr>
                <w:lang w:val="en-AU"/>
              </w:rPr>
            </w:pPr>
            <w:r w:rsidRPr="008C164C">
              <w:rPr>
                <w:lang w:val="en-AU"/>
              </w:rPr>
              <w:t>Use in modelled evaluation</w:t>
            </w:r>
          </w:p>
        </w:tc>
      </w:tr>
      <w:tr w:rsidR="00197A58" w:rsidRPr="008C164C" w14:paraId="5C699390" w14:textId="77777777" w:rsidTr="00140FCB">
        <w:tc>
          <w:tcPr>
            <w:tcW w:w="5000" w:type="pct"/>
            <w:gridSpan w:val="7"/>
            <w:shd w:val="clear" w:color="auto" w:fill="auto"/>
            <w:vAlign w:val="center"/>
          </w:tcPr>
          <w:p w14:paraId="0E227EDD" w14:textId="77777777" w:rsidR="00197A58" w:rsidRPr="008C164C" w:rsidRDefault="00197A58" w:rsidP="00140FCB">
            <w:pPr>
              <w:pStyle w:val="In-tableHeading"/>
              <w:rPr>
                <w:lang w:val="en-AU"/>
              </w:rPr>
            </w:pPr>
            <w:proofErr w:type="spellStart"/>
            <w:r w:rsidRPr="008C164C">
              <w:rPr>
                <w:lang w:val="en-AU"/>
              </w:rPr>
              <w:t>Lenacapavir</w:t>
            </w:r>
            <w:proofErr w:type="spellEnd"/>
            <w:r w:rsidRPr="008C164C">
              <w:rPr>
                <w:lang w:val="en-AU"/>
              </w:rPr>
              <w:t xml:space="preserve">  + OBR versus Placebo + OBR CAPELLA trial</w:t>
            </w:r>
          </w:p>
        </w:tc>
      </w:tr>
      <w:tr w:rsidR="00197A58" w:rsidRPr="008C164C" w14:paraId="6C8D2A78" w14:textId="77777777" w:rsidTr="002F3708">
        <w:tc>
          <w:tcPr>
            <w:tcW w:w="705" w:type="pct"/>
            <w:shd w:val="clear" w:color="auto" w:fill="C6D9F1" w:themeFill="text2" w:themeFillTint="33"/>
            <w:vAlign w:val="center"/>
          </w:tcPr>
          <w:p w14:paraId="594EECC1" w14:textId="77777777" w:rsidR="00197A58" w:rsidRPr="008C164C" w:rsidRDefault="00197A58" w:rsidP="00140FCB">
            <w:pPr>
              <w:pStyle w:val="TableText0"/>
            </w:pPr>
            <w:r w:rsidRPr="008C164C">
              <w:t>LEN + OBR (cohort 1A)</w:t>
            </w:r>
          </w:p>
        </w:tc>
        <w:tc>
          <w:tcPr>
            <w:tcW w:w="240" w:type="pct"/>
            <w:shd w:val="clear" w:color="auto" w:fill="C6D9F1" w:themeFill="text2" w:themeFillTint="33"/>
            <w:vAlign w:val="center"/>
          </w:tcPr>
          <w:p w14:paraId="43DD821A" w14:textId="77777777" w:rsidR="00197A58" w:rsidRPr="008C164C" w:rsidRDefault="00197A58" w:rsidP="00140FCB">
            <w:pPr>
              <w:pStyle w:val="TableText0"/>
              <w:jc w:val="center"/>
            </w:pPr>
            <w:r w:rsidRPr="008C164C">
              <w:t>24</w:t>
            </w:r>
          </w:p>
        </w:tc>
        <w:tc>
          <w:tcPr>
            <w:tcW w:w="624" w:type="pct"/>
            <w:vMerge w:val="restart"/>
            <w:shd w:val="clear" w:color="auto" w:fill="C6D9F1" w:themeFill="text2" w:themeFillTint="33"/>
            <w:vAlign w:val="center"/>
          </w:tcPr>
          <w:p w14:paraId="23D4FF0E" w14:textId="2FADF392" w:rsidR="00197A58" w:rsidRPr="008C164C" w:rsidRDefault="00197A58" w:rsidP="00140FCB">
            <w:pPr>
              <w:pStyle w:val="TableText0"/>
              <w:jc w:val="center"/>
            </w:pPr>
            <w:r w:rsidRPr="008C164C">
              <w:t>R, DB/OL</w:t>
            </w:r>
          </w:p>
          <w:p w14:paraId="3D498D3C" w14:textId="77777777" w:rsidR="00197A58" w:rsidRPr="008C164C" w:rsidRDefault="00197A58" w:rsidP="00140FCB">
            <w:pPr>
              <w:pStyle w:val="TableText0"/>
              <w:jc w:val="center"/>
            </w:pPr>
            <w:r w:rsidRPr="008C164C">
              <w:t xml:space="preserve">14 days/ 52 weeks </w:t>
            </w:r>
            <w:r w:rsidRPr="008C164C">
              <w:rPr>
                <w:vertAlign w:val="superscript"/>
              </w:rPr>
              <w:t>a</w:t>
            </w:r>
          </w:p>
        </w:tc>
        <w:tc>
          <w:tcPr>
            <w:tcW w:w="472" w:type="pct"/>
            <w:vMerge w:val="restart"/>
            <w:shd w:val="clear" w:color="auto" w:fill="C6D9F1" w:themeFill="text2" w:themeFillTint="33"/>
            <w:vAlign w:val="center"/>
          </w:tcPr>
          <w:p w14:paraId="49BC05C5" w14:textId="77777777" w:rsidR="00197A58" w:rsidRPr="008C164C" w:rsidRDefault="00197A58" w:rsidP="00140FCB">
            <w:pPr>
              <w:pStyle w:val="TableText0"/>
              <w:jc w:val="center"/>
              <w:rPr>
                <w:vertAlign w:val="superscript"/>
              </w:rPr>
            </w:pPr>
            <w:r w:rsidRPr="008C164C">
              <w:t xml:space="preserve">Unclear </w:t>
            </w:r>
            <w:r w:rsidRPr="008C164C">
              <w:rPr>
                <w:vertAlign w:val="superscript"/>
              </w:rPr>
              <w:t>b</w:t>
            </w:r>
          </w:p>
        </w:tc>
        <w:tc>
          <w:tcPr>
            <w:tcW w:w="1493" w:type="pct"/>
            <w:vMerge w:val="restart"/>
            <w:shd w:val="clear" w:color="auto" w:fill="C6D9F1" w:themeFill="text2" w:themeFillTint="33"/>
            <w:vAlign w:val="center"/>
          </w:tcPr>
          <w:p w14:paraId="4D3641A3" w14:textId="3EF06325" w:rsidR="00197A58" w:rsidRPr="008C164C" w:rsidRDefault="00197A58" w:rsidP="00140FCB">
            <w:pPr>
              <w:pStyle w:val="TableText0"/>
              <w:jc w:val="center"/>
            </w:pPr>
            <w:r w:rsidRPr="008C164C">
              <w:t>HIV patients – Resistance to ≥</w:t>
            </w:r>
            <w:r w:rsidR="00233558" w:rsidRPr="008C164C">
              <w:t xml:space="preserve"> </w:t>
            </w:r>
            <w:r w:rsidRPr="008C164C">
              <w:t>2 ARV medications from each of ≥ 3 of the 4 main classes of ARV medications (NRTI, NNRTI, PI, INSTI).</w:t>
            </w:r>
          </w:p>
        </w:tc>
        <w:tc>
          <w:tcPr>
            <w:tcW w:w="944" w:type="pct"/>
            <w:vMerge w:val="restart"/>
            <w:shd w:val="clear" w:color="auto" w:fill="C6D9F1" w:themeFill="text2" w:themeFillTint="33"/>
            <w:vAlign w:val="center"/>
          </w:tcPr>
          <w:p w14:paraId="3580F9B6" w14:textId="77EF5BC7" w:rsidR="00197A58" w:rsidRPr="008C164C" w:rsidRDefault="00197A58" w:rsidP="00140FCB">
            <w:pPr>
              <w:pStyle w:val="TableText0"/>
              <w:jc w:val="center"/>
            </w:pPr>
            <w:r w:rsidRPr="008C164C">
              <w:t>HIV-1 RNA</w:t>
            </w:r>
            <w:r w:rsidR="00233558" w:rsidRPr="008C164C">
              <w:t xml:space="preserve"> levels</w:t>
            </w:r>
            <w:r w:rsidRPr="008C164C">
              <w:t xml:space="preserve"> &lt; 50 copies/mL and &lt; 200 copies/mL at </w:t>
            </w:r>
            <w:r w:rsidR="00233558" w:rsidRPr="008C164C">
              <w:t xml:space="preserve">week </w:t>
            </w:r>
            <w:r w:rsidRPr="008C164C">
              <w:t>52.</w:t>
            </w:r>
          </w:p>
          <w:p w14:paraId="2FF87962" w14:textId="77777777" w:rsidR="00197A58" w:rsidRPr="008C164C" w:rsidRDefault="00197A58" w:rsidP="00140FCB">
            <w:pPr>
              <w:pStyle w:val="TableText0"/>
              <w:jc w:val="center"/>
            </w:pPr>
            <w:r w:rsidRPr="008C164C">
              <w:t>Change from baseline in CD4 cells/mm3</w:t>
            </w:r>
          </w:p>
        </w:tc>
        <w:tc>
          <w:tcPr>
            <w:tcW w:w="522" w:type="pct"/>
            <w:vMerge w:val="restart"/>
            <w:shd w:val="clear" w:color="auto" w:fill="auto"/>
            <w:vAlign w:val="center"/>
          </w:tcPr>
          <w:p w14:paraId="6A557C44" w14:textId="77777777" w:rsidR="00197A58" w:rsidRPr="008C164C" w:rsidRDefault="00197A58" w:rsidP="00140FCB">
            <w:pPr>
              <w:pStyle w:val="TableText0"/>
              <w:jc w:val="center"/>
            </w:pPr>
            <w:r w:rsidRPr="008C164C">
              <w:t>Yes</w:t>
            </w:r>
          </w:p>
        </w:tc>
      </w:tr>
      <w:tr w:rsidR="00197A58" w:rsidRPr="008C164C" w14:paraId="020B42FA" w14:textId="77777777" w:rsidTr="002F3708">
        <w:tc>
          <w:tcPr>
            <w:tcW w:w="705" w:type="pct"/>
            <w:shd w:val="clear" w:color="auto" w:fill="C6D9F1" w:themeFill="text2" w:themeFillTint="33"/>
            <w:vAlign w:val="center"/>
          </w:tcPr>
          <w:p w14:paraId="7EA341C4" w14:textId="77777777" w:rsidR="00197A58" w:rsidRPr="008C164C" w:rsidRDefault="00197A58" w:rsidP="00140FCB">
            <w:pPr>
              <w:pStyle w:val="TableText0"/>
            </w:pPr>
            <w:r w:rsidRPr="008C164C">
              <w:t>PBO + OBR (Cohort 1B)</w:t>
            </w:r>
          </w:p>
        </w:tc>
        <w:tc>
          <w:tcPr>
            <w:tcW w:w="240" w:type="pct"/>
            <w:shd w:val="clear" w:color="auto" w:fill="C6D9F1" w:themeFill="text2" w:themeFillTint="33"/>
            <w:vAlign w:val="center"/>
          </w:tcPr>
          <w:p w14:paraId="581EE5ED" w14:textId="77777777" w:rsidR="00197A58" w:rsidRPr="008C164C" w:rsidRDefault="00197A58" w:rsidP="00140FCB">
            <w:pPr>
              <w:pStyle w:val="TableText0"/>
              <w:jc w:val="center"/>
            </w:pPr>
            <w:r w:rsidRPr="008C164C">
              <w:t>12</w:t>
            </w:r>
          </w:p>
        </w:tc>
        <w:tc>
          <w:tcPr>
            <w:tcW w:w="624" w:type="pct"/>
            <w:vMerge/>
            <w:shd w:val="clear" w:color="auto" w:fill="C6D9F1" w:themeFill="text2" w:themeFillTint="33"/>
            <w:vAlign w:val="center"/>
          </w:tcPr>
          <w:p w14:paraId="34679A54" w14:textId="77777777" w:rsidR="00197A58" w:rsidRPr="008C164C" w:rsidRDefault="00197A58" w:rsidP="00140FCB">
            <w:pPr>
              <w:pStyle w:val="TableText0"/>
              <w:jc w:val="center"/>
            </w:pPr>
          </w:p>
        </w:tc>
        <w:tc>
          <w:tcPr>
            <w:tcW w:w="472" w:type="pct"/>
            <w:vMerge/>
            <w:shd w:val="clear" w:color="auto" w:fill="C6D9F1" w:themeFill="text2" w:themeFillTint="33"/>
            <w:vAlign w:val="center"/>
          </w:tcPr>
          <w:p w14:paraId="05984B35" w14:textId="77777777" w:rsidR="00197A58" w:rsidRPr="008C164C" w:rsidRDefault="00197A58" w:rsidP="00140FCB">
            <w:pPr>
              <w:pStyle w:val="TableText0"/>
              <w:jc w:val="center"/>
            </w:pPr>
          </w:p>
        </w:tc>
        <w:tc>
          <w:tcPr>
            <w:tcW w:w="1493" w:type="pct"/>
            <w:vMerge/>
            <w:shd w:val="clear" w:color="auto" w:fill="C6D9F1" w:themeFill="text2" w:themeFillTint="33"/>
            <w:vAlign w:val="center"/>
          </w:tcPr>
          <w:p w14:paraId="3E89D6B1" w14:textId="77777777" w:rsidR="00197A58" w:rsidRPr="008C164C" w:rsidRDefault="00197A58" w:rsidP="00140FCB">
            <w:pPr>
              <w:pStyle w:val="TableText0"/>
              <w:jc w:val="center"/>
            </w:pPr>
          </w:p>
        </w:tc>
        <w:tc>
          <w:tcPr>
            <w:tcW w:w="944" w:type="pct"/>
            <w:vMerge/>
            <w:shd w:val="clear" w:color="auto" w:fill="C6D9F1" w:themeFill="text2" w:themeFillTint="33"/>
            <w:vAlign w:val="center"/>
          </w:tcPr>
          <w:p w14:paraId="48FE251C" w14:textId="77777777" w:rsidR="00197A58" w:rsidRPr="008C164C" w:rsidRDefault="00197A58" w:rsidP="00140FCB">
            <w:pPr>
              <w:pStyle w:val="TableText0"/>
              <w:jc w:val="center"/>
            </w:pPr>
          </w:p>
        </w:tc>
        <w:tc>
          <w:tcPr>
            <w:tcW w:w="522" w:type="pct"/>
            <w:vMerge/>
            <w:shd w:val="clear" w:color="auto" w:fill="auto"/>
            <w:vAlign w:val="center"/>
          </w:tcPr>
          <w:p w14:paraId="58E270B9" w14:textId="77777777" w:rsidR="00197A58" w:rsidRPr="008C164C" w:rsidRDefault="00197A58" w:rsidP="00140FCB">
            <w:pPr>
              <w:pStyle w:val="TableText0"/>
              <w:jc w:val="center"/>
            </w:pPr>
          </w:p>
        </w:tc>
      </w:tr>
      <w:tr w:rsidR="00197A58" w:rsidRPr="008C164C" w14:paraId="06F27083" w14:textId="77777777" w:rsidTr="002F3708">
        <w:tc>
          <w:tcPr>
            <w:tcW w:w="705" w:type="pct"/>
            <w:shd w:val="clear" w:color="auto" w:fill="C6D9F1" w:themeFill="text2" w:themeFillTint="33"/>
            <w:vAlign w:val="center"/>
          </w:tcPr>
          <w:p w14:paraId="0515152A" w14:textId="77777777" w:rsidR="00197A58" w:rsidRPr="008C164C" w:rsidRDefault="00197A58" w:rsidP="00140FCB">
            <w:pPr>
              <w:pStyle w:val="TableText0"/>
            </w:pPr>
            <w:r w:rsidRPr="008C164C">
              <w:t>LEN + OBR + cohort 2</w:t>
            </w:r>
          </w:p>
        </w:tc>
        <w:tc>
          <w:tcPr>
            <w:tcW w:w="240" w:type="pct"/>
            <w:shd w:val="clear" w:color="auto" w:fill="C6D9F1" w:themeFill="text2" w:themeFillTint="33"/>
            <w:vAlign w:val="center"/>
          </w:tcPr>
          <w:p w14:paraId="14D9A369" w14:textId="77777777" w:rsidR="00197A58" w:rsidRPr="008C164C" w:rsidRDefault="00197A58" w:rsidP="00140FCB">
            <w:pPr>
              <w:pStyle w:val="TableText0"/>
              <w:jc w:val="center"/>
            </w:pPr>
            <w:r w:rsidRPr="008C164C">
              <w:t>36</w:t>
            </w:r>
          </w:p>
        </w:tc>
        <w:tc>
          <w:tcPr>
            <w:tcW w:w="624" w:type="pct"/>
            <w:shd w:val="clear" w:color="auto" w:fill="C6D9F1" w:themeFill="text2" w:themeFillTint="33"/>
            <w:vAlign w:val="center"/>
          </w:tcPr>
          <w:p w14:paraId="7C5EB19F" w14:textId="77777777" w:rsidR="00197A58" w:rsidRPr="008C164C" w:rsidRDefault="00197A58" w:rsidP="00140FCB">
            <w:pPr>
              <w:pStyle w:val="TableText0"/>
              <w:jc w:val="center"/>
            </w:pPr>
            <w:r w:rsidRPr="008C164C">
              <w:t>OL</w:t>
            </w:r>
          </w:p>
          <w:p w14:paraId="57D12472" w14:textId="77777777" w:rsidR="00197A58" w:rsidRPr="008C164C" w:rsidRDefault="00197A58" w:rsidP="00140FCB">
            <w:pPr>
              <w:pStyle w:val="TableText0"/>
              <w:jc w:val="center"/>
            </w:pPr>
            <w:r w:rsidRPr="008C164C">
              <w:t>52 weeks</w:t>
            </w:r>
          </w:p>
        </w:tc>
        <w:tc>
          <w:tcPr>
            <w:tcW w:w="472" w:type="pct"/>
            <w:vMerge/>
            <w:shd w:val="clear" w:color="auto" w:fill="C6D9F1" w:themeFill="text2" w:themeFillTint="33"/>
            <w:vAlign w:val="center"/>
          </w:tcPr>
          <w:p w14:paraId="0D701F6E" w14:textId="77777777" w:rsidR="00197A58" w:rsidRPr="008C164C" w:rsidRDefault="00197A58" w:rsidP="00140FCB">
            <w:pPr>
              <w:pStyle w:val="TableText0"/>
              <w:jc w:val="center"/>
            </w:pPr>
          </w:p>
        </w:tc>
        <w:tc>
          <w:tcPr>
            <w:tcW w:w="1493" w:type="pct"/>
            <w:vMerge/>
            <w:shd w:val="clear" w:color="auto" w:fill="C6D9F1" w:themeFill="text2" w:themeFillTint="33"/>
            <w:vAlign w:val="center"/>
          </w:tcPr>
          <w:p w14:paraId="217275A9" w14:textId="77777777" w:rsidR="00197A58" w:rsidRPr="008C164C" w:rsidRDefault="00197A58" w:rsidP="00140FCB">
            <w:pPr>
              <w:pStyle w:val="TableText0"/>
              <w:jc w:val="center"/>
            </w:pPr>
          </w:p>
        </w:tc>
        <w:tc>
          <w:tcPr>
            <w:tcW w:w="944" w:type="pct"/>
            <w:vMerge/>
            <w:shd w:val="clear" w:color="auto" w:fill="C6D9F1" w:themeFill="text2" w:themeFillTint="33"/>
            <w:vAlign w:val="center"/>
          </w:tcPr>
          <w:p w14:paraId="3F189ECC" w14:textId="77777777" w:rsidR="00197A58" w:rsidRPr="008C164C" w:rsidRDefault="00197A58" w:rsidP="00140FCB">
            <w:pPr>
              <w:pStyle w:val="TableText0"/>
              <w:jc w:val="center"/>
            </w:pPr>
          </w:p>
        </w:tc>
        <w:tc>
          <w:tcPr>
            <w:tcW w:w="522" w:type="pct"/>
            <w:vMerge/>
            <w:shd w:val="clear" w:color="auto" w:fill="auto"/>
            <w:vAlign w:val="center"/>
          </w:tcPr>
          <w:p w14:paraId="2E90E01C" w14:textId="77777777" w:rsidR="00197A58" w:rsidRPr="008C164C" w:rsidRDefault="00197A58" w:rsidP="00140FCB">
            <w:pPr>
              <w:pStyle w:val="TableText0"/>
              <w:jc w:val="center"/>
            </w:pPr>
          </w:p>
        </w:tc>
      </w:tr>
      <w:tr w:rsidR="00197A58" w:rsidRPr="008C164C" w14:paraId="41A763AB" w14:textId="77777777" w:rsidTr="00140FCB">
        <w:tc>
          <w:tcPr>
            <w:tcW w:w="5000" w:type="pct"/>
            <w:gridSpan w:val="7"/>
            <w:shd w:val="clear" w:color="auto" w:fill="auto"/>
            <w:vAlign w:val="center"/>
          </w:tcPr>
          <w:p w14:paraId="1DD2F901" w14:textId="77777777" w:rsidR="00197A58" w:rsidRPr="008C164C" w:rsidRDefault="00197A58" w:rsidP="00140FCB">
            <w:pPr>
              <w:pStyle w:val="In-tableHeading"/>
              <w:rPr>
                <w:lang w:val="en-AU"/>
              </w:rPr>
            </w:pPr>
            <w:r w:rsidRPr="008C164C">
              <w:rPr>
                <w:lang w:val="en-AU"/>
              </w:rPr>
              <w:t>Included trials for indirect comparison (OBR arms)</w:t>
            </w:r>
          </w:p>
        </w:tc>
      </w:tr>
      <w:tr w:rsidR="00197A58" w:rsidRPr="008C164C" w14:paraId="6E703F0F" w14:textId="77777777" w:rsidTr="002F3708">
        <w:trPr>
          <w:trHeight w:val="349"/>
        </w:trPr>
        <w:tc>
          <w:tcPr>
            <w:tcW w:w="705" w:type="pct"/>
            <w:shd w:val="clear" w:color="auto" w:fill="C6D9F1" w:themeFill="text2" w:themeFillTint="33"/>
            <w:vAlign w:val="center"/>
          </w:tcPr>
          <w:p w14:paraId="4DA77BD3" w14:textId="77777777" w:rsidR="00197A58" w:rsidRPr="008C164C" w:rsidRDefault="00197A58" w:rsidP="00140FCB">
            <w:pPr>
              <w:pStyle w:val="TableText0"/>
            </w:pPr>
            <w:r w:rsidRPr="008C164C">
              <w:t>BENCHMRK 1</w:t>
            </w:r>
          </w:p>
        </w:tc>
        <w:tc>
          <w:tcPr>
            <w:tcW w:w="240" w:type="pct"/>
            <w:shd w:val="clear" w:color="auto" w:fill="C6D9F1" w:themeFill="text2" w:themeFillTint="33"/>
            <w:vAlign w:val="center"/>
          </w:tcPr>
          <w:p w14:paraId="2D462C4A" w14:textId="77777777" w:rsidR="00197A58" w:rsidRPr="008C164C" w:rsidRDefault="00197A58" w:rsidP="00140FCB">
            <w:pPr>
              <w:pStyle w:val="TableText0"/>
              <w:jc w:val="center"/>
            </w:pPr>
            <w:r w:rsidRPr="008C164C">
              <w:t>352</w:t>
            </w:r>
          </w:p>
        </w:tc>
        <w:tc>
          <w:tcPr>
            <w:tcW w:w="624" w:type="pct"/>
            <w:vMerge w:val="restart"/>
            <w:shd w:val="clear" w:color="auto" w:fill="C6D9F1" w:themeFill="text2" w:themeFillTint="33"/>
            <w:vAlign w:val="center"/>
          </w:tcPr>
          <w:p w14:paraId="2DF91981" w14:textId="77777777" w:rsidR="002F3708" w:rsidRPr="008C164C" w:rsidRDefault="00197A58" w:rsidP="00140FCB">
            <w:pPr>
              <w:pStyle w:val="TableText0"/>
              <w:jc w:val="center"/>
            </w:pPr>
            <w:r w:rsidRPr="008C164C">
              <w:t xml:space="preserve">R, DB, </w:t>
            </w:r>
          </w:p>
          <w:p w14:paraId="781DD62A" w14:textId="36CE9363" w:rsidR="00197A58" w:rsidRPr="008C164C" w:rsidRDefault="00197A58" w:rsidP="00140FCB">
            <w:pPr>
              <w:pStyle w:val="TableText0"/>
              <w:jc w:val="center"/>
            </w:pPr>
            <w:r w:rsidRPr="008C164C">
              <w:t>Phase 3</w:t>
            </w:r>
          </w:p>
        </w:tc>
        <w:tc>
          <w:tcPr>
            <w:tcW w:w="472" w:type="pct"/>
            <w:vMerge w:val="restart"/>
            <w:shd w:val="clear" w:color="auto" w:fill="C6D9F1" w:themeFill="text2" w:themeFillTint="33"/>
            <w:vAlign w:val="center"/>
          </w:tcPr>
          <w:p w14:paraId="2BAE0DCF" w14:textId="77777777" w:rsidR="00197A58" w:rsidRPr="008C164C" w:rsidRDefault="00197A58" w:rsidP="00140FCB">
            <w:pPr>
              <w:pStyle w:val="TableText0"/>
              <w:jc w:val="center"/>
            </w:pPr>
            <w:r w:rsidRPr="008C164C">
              <w:t>Low</w:t>
            </w:r>
          </w:p>
        </w:tc>
        <w:tc>
          <w:tcPr>
            <w:tcW w:w="1493" w:type="pct"/>
            <w:vMerge w:val="restart"/>
            <w:shd w:val="clear" w:color="auto" w:fill="C6D9F1" w:themeFill="text2" w:themeFillTint="33"/>
            <w:vAlign w:val="center"/>
          </w:tcPr>
          <w:p w14:paraId="4F547E1D" w14:textId="77777777" w:rsidR="00197A58" w:rsidRPr="008C164C" w:rsidRDefault="00197A58" w:rsidP="00140FCB">
            <w:pPr>
              <w:pStyle w:val="TableText0"/>
              <w:jc w:val="center"/>
            </w:pPr>
            <w:r w:rsidRPr="008C164C">
              <w:t>HIV patients -Resistance to at least 1 drug in each of 3 classes of oral ARVs (NRTI, NNRTI, PI)</w:t>
            </w:r>
          </w:p>
        </w:tc>
        <w:tc>
          <w:tcPr>
            <w:tcW w:w="944" w:type="pct"/>
            <w:vMerge w:val="restart"/>
            <w:shd w:val="clear" w:color="auto" w:fill="C6D9F1" w:themeFill="text2" w:themeFillTint="33"/>
            <w:vAlign w:val="center"/>
          </w:tcPr>
          <w:p w14:paraId="7776F60C" w14:textId="4ED4B1BD" w:rsidR="00197A58" w:rsidRPr="008C164C" w:rsidRDefault="00197A58" w:rsidP="00140FCB">
            <w:pPr>
              <w:pStyle w:val="TableText0"/>
              <w:jc w:val="center"/>
            </w:pPr>
            <w:r w:rsidRPr="008C164C">
              <w:t xml:space="preserve">Patients with a </w:t>
            </w:r>
            <w:r w:rsidR="00233558" w:rsidRPr="008C164C">
              <w:t xml:space="preserve">HIV-1 RNA levels </w:t>
            </w:r>
            <w:r w:rsidRPr="008C164C">
              <w:t>&lt;</w:t>
            </w:r>
            <w:r w:rsidR="00233558" w:rsidRPr="008C164C">
              <w:t xml:space="preserve"> </w:t>
            </w:r>
            <w:r w:rsidRPr="008C164C">
              <w:t>50 copies</w:t>
            </w:r>
            <w:r w:rsidR="00233558" w:rsidRPr="008C164C">
              <w:t>/</w:t>
            </w:r>
            <w:r w:rsidRPr="008C164C">
              <w:t>mL at week 4</w:t>
            </w:r>
            <w:r w:rsidR="00233558" w:rsidRPr="008C164C">
              <w:t>;</w:t>
            </w:r>
          </w:p>
          <w:p w14:paraId="29CA308F" w14:textId="00D3C3A1" w:rsidR="00197A58" w:rsidRPr="008C164C" w:rsidRDefault="00197A58" w:rsidP="00140FCB">
            <w:pPr>
              <w:pStyle w:val="TableText0"/>
              <w:jc w:val="center"/>
            </w:pPr>
            <w:r w:rsidRPr="008C164C">
              <w:t>patients with a viral load &lt;</w:t>
            </w:r>
            <w:r w:rsidR="00233558" w:rsidRPr="008C164C">
              <w:t xml:space="preserve"> </w:t>
            </w:r>
            <w:r w:rsidRPr="008C164C">
              <w:t>400 copies</w:t>
            </w:r>
            <w:r w:rsidR="00233558" w:rsidRPr="008C164C">
              <w:t>/</w:t>
            </w:r>
            <w:r w:rsidRPr="008C164C">
              <w:t xml:space="preserve"> mL at week 48</w:t>
            </w:r>
          </w:p>
        </w:tc>
        <w:tc>
          <w:tcPr>
            <w:tcW w:w="522" w:type="pct"/>
            <w:vMerge w:val="restart"/>
            <w:shd w:val="clear" w:color="auto" w:fill="auto"/>
            <w:vAlign w:val="center"/>
          </w:tcPr>
          <w:p w14:paraId="4CB59DB6" w14:textId="77777777" w:rsidR="00197A58" w:rsidRPr="008C164C" w:rsidRDefault="00197A58" w:rsidP="00140FCB">
            <w:pPr>
              <w:pStyle w:val="TableText0"/>
              <w:jc w:val="center"/>
            </w:pPr>
            <w:r w:rsidRPr="008C164C">
              <w:t>RR of meta-analysed virologic suppression results applied to the model</w:t>
            </w:r>
          </w:p>
        </w:tc>
      </w:tr>
      <w:tr w:rsidR="00197A58" w:rsidRPr="008C164C" w14:paraId="7B74ACF6" w14:textId="77777777" w:rsidTr="002F3708">
        <w:tc>
          <w:tcPr>
            <w:tcW w:w="705" w:type="pct"/>
            <w:shd w:val="clear" w:color="auto" w:fill="C6D9F1" w:themeFill="text2" w:themeFillTint="33"/>
            <w:vAlign w:val="center"/>
          </w:tcPr>
          <w:p w14:paraId="63300A86" w14:textId="77777777" w:rsidR="00197A58" w:rsidRPr="008C164C" w:rsidRDefault="00197A58" w:rsidP="00140FCB">
            <w:pPr>
              <w:pStyle w:val="TableText0"/>
            </w:pPr>
            <w:r w:rsidRPr="008C164C">
              <w:t>BENCHMRK 2</w:t>
            </w:r>
          </w:p>
        </w:tc>
        <w:tc>
          <w:tcPr>
            <w:tcW w:w="240" w:type="pct"/>
            <w:shd w:val="clear" w:color="auto" w:fill="C6D9F1" w:themeFill="text2" w:themeFillTint="33"/>
            <w:vAlign w:val="center"/>
          </w:tcPr>
          <w:p w14:paraId="45109C0F" w14:textId="77777777" w:rsidR="00197A58" w:rsidRPr="008C164C" w:rsidRDefault="00197A58" w:rsidP="00140FCB">
            <w:pPr>
              <w:pStyle w:val="TableText0"/>
              <w:jc w:val="center"/>
            </w:pPr>
            <w:r w:rsidRPr="008C164C">
              <w:t>353</w:t>
            </w:r>
          </w:p>
        </w:tc>
        <w:tc>
          <w:tcPr>
            <w:tcW w:w="624" w:type="pct"/>
            <w:vMerge/>
            <w:shd w:val="clear" w:color="auto" w:fill="C6D9F1" w:themeFill="text2" w:themeFillTint="33"/>
            <w:vAlign w:val="center"/>
          </w:tcPr>
          <w:p w14:paraId="293FBC13" w14:textId="77777777" w:rsidR="00197A58" w:rsidRPr="008C164C" w:rsidRDefault="00197A58" w:rsidP="00140FCB">
            <w:pPr>
              <w:pStyle w:val="TableText0"/>
              <w:jc w:val="center"/>
            </w:pPr>
          </w:p>
        </w:tc>
        <w:tc>
          <w:tcPr>
            <w:tcW w:w="472" w:type="pct"/>
            <w:vMerge/>
            <w:shd w:val="clear" w:color="auto" w:fill="C6D9F1" w:themeFill="text2" w:themeFillTint="33"/>
            <w:vAlign w:val="center"/>
          </w:tcPr>
          <w:p w14:paraId="0D1EE977" w14:textId="77777777" w:rsidR="00197A58" w:rsidRPr="008C164C" w:rsidRDefault="00197A58" w:rsidP="00140FCB">
            <w:pPr>
              <w:pStyle w:val="TableText0"/>
              <w:jc w:val="center"/>
            </w:pPr>
          </w:p>
        </w:tc>
        <w:tc>
          <w:tcPr>
            <w:tcW w:w="1493" w:type="pct"/>
            <w:vMerge/>
            <w:shd w:val="clear" w:color="auto" w:fill="C6D9F1" w:themeFill="text2" w:themeFillTint="33"/>
            <w:vAlign w:val="center"/>
          </w:tcPr>
          <w:p w14:paraId="75EF356C" w14:textId="77777777" w:rsidR="00197A58" w:rsidRPr="008C164C" w:rsidRDefault="00197A58" w:rsidP="00140FCB">
            <w:pPr>
              <w:pStyle w:val="TableText0"/>
              <w:jc w:val="center"/>
            </w:pPr>
          </w:p>
        </w:tc>
        <w:tc>
          <w:tcPr>
            <w:tcW w:w="944" w:type="pct"/>
            <w:vMerge/>
            <w:shd w:val="clear" w:color="auto" w:fill="C6D9F1" w:themeFill="text2" w:themeFillTint="33"/>
            <w:vAlign w:val="center"/>
          </w:tcPr>
          <w:p w14:paraId="74E15D1A" w14:textId="77777777" w:rsidR="00197A58" w:rsidRPr="008C164C" w:rsidRDefault="00197A58" w:rsidP="00140FCB">
            <w:pPr>
              <w:pStyle w:val="TableText0"/>
              <w:jc w:val="center"/>
            </w:pPr>
          </w:p>
        </w:tc>
        <w:tc>
          <w:tcPr>
            <w:tcW w:w="522" w:type="pct"/>
            <w:vMerge/>
            <w:shd w:val="clear" w:color="auto" w:fill="auto"/>
            <w:vAlign w:val="center"/>
          </w:tcPr>
          <w:p w14:paraId="04BDABCE" w14:textId="77777777" w:rsidR="00197A58" w:rsidRPr="008C164C" w:rsidRDefault="00197A58" w:rsidP="00140FCB">
            <w:pPr>
              <w:pStyle w:val="TableText0"/>
              <w:jc w:val="center"/>
            </w:pPr>
          </w:p>
        </w:tc>
      </w:tr>
      <w:tr w:rsidR="00197A58" w:rsidRPr="008C164C" w14:paraId="57CDB776" w14:textId="77777777" w:rsidTr="002F3708">
        <w:trPr>
          <w:trHeight w:val="784"/>
        </w:trPr>
        <w:tc>
          <w:tcPr>
            <w:tcW w:w="705" w:type="pct"/>
            <w:shd w:val="clear" w:color="auto" w:fill="C6D9F1" w:themeFill="text2" w:themeFillTint="33"/>
            <w:vAlign w:val="center"/>
          </w:tcPr>
          <w:p w14:paraId="461C633C" w14:textId="77777777" w:rsidR="00197A58" w:rsidRPr="008C164C" w:rsidRDefault="00197A58" w:rsidP="00140FCB">
            <w:pPr>
              <w:pStyle w:val="TableText0"/>
            </w:pPr>
            <w:r w:rsidRPr="008C164C">
              <w:t>MOTIVATE 1</w:t>
            </w:r>
          </w:p>
        </w:tc>
        <w:tc>
          <w:tcPr>
            <w:tcW w:w="240" w:type="pct"/>
            <w:shd w:val="clear" w:color="auto" w:fill="C6D9F1" w:themeFill="text2" w:themeFillTint="33"/>
            <w:vAlign w:val="center"/>
          </w:tcPr>
          <w:p w14:paraId="4A17D707" w14:textId="77777777" w:rsidR="00197A58" w:rsidRPr="008C164C" w:rsidRDefault="00197A58" w:rsidP="00140FCB">
            <w:pPr>
              <w:pStyle w:val="TableText0"/>
              <w:jc w:val="center"/>
            </w:pPr>
            <w:r w:rsidRPr="008C164C">
              <w:t>601</w:t>
            </w:r>
          </w:p>
        </w:tc>
        <w:tc>
          <w:tcPr>
            <w:tcW w:w="624" w:type="pct"/>
            <w:vMerge w:val="restart"/>
            <w:shd w:val="clear" w:color="auto" w:fill="C6D9F1" w:themeFill="text2" w:themeFillTint="33"/>
            <w:vAlign w:val="center"/>
          </w:tcPr>
          <w:p w14:paraId="0FA10668" w14:textId="77777777" w:rsidR="00197A58" w:rsidRPr="008C164C" w:rsidRDefault="00197A58" w:rsidP="00140FCB">
            <w:pPr>
              <w:pStyle w:val="TableText0"/>
              <w:jc w:val="center"/>
            </w:pPr>
            <w:r w:rsidRPr="008C164C">
              <w:t>R, DB, Phase 2/3</w:t>
            </w:r>
          </w:p>
        </w:tc>
        <w:tc>
          <w:tcPr>
            <w:tcW w:w="472" w:type="pct"/>
            <w:vMerge w:val="restart"/>
            <w:shd w:val="clear" w:color="auto" w:fill="C6D9F1" w:themeFill="text2" w:themeFillTint="33"/>
            <w:vAlign w:val="center"/>
          </w:tcPr>
          <w:p w14:paraId="2F7F759C" w14:textId="77777777" w:rsidR="00197A58" w:rsidRPr="008C164C" w:rsidRDefault="00197A58" w:rsidP="00140FCB">
            <w:pPr>
              <w:pStyle w:val="TableText0"/>
              <w:jc w:val="center"/>
            </w:pPr>
            <w:r w:rsidRPr="008C164C">
              <w:t>Low</w:t>
            </w:r>
          </w:p>
        </w:tc>
        <w:tc>
          <w:tcPr>
            <w:tcW w:w="1493" w:type="pct"/>
            <w:vMerge w:val="restart"/>
            <w:shd w:val="clear" w:color="auto" w:fill="C6D9F1" w:themeFill="text2" w:themeFillTint="33"/>
            <w:vAlign w:val="center"/>
          </w:tcPr>
          <w:p w14:paraId="47CFB37E" w14:textId="1B0CE3E2" w:rsidR="00197A58" w:rsidRPr="008C164C" w:rsidRDefault="00197A58" w:rsidP="00140FCB">
            <w:pPr>
              <w:pStyle w:val="TableText0"/>
              <w:jc w:val="center"/>
            </w:pPr>
            <w:r w:rsidRPr="008C164C">
              <w:t>Had taken ≥1 ARVS from 3 ARV classes (NRTI, NNRTI, at least 2 PIs or fusion inhibitors) for ≥</w:t>
            </w:r>
            <w:r w:rsidR="00233558" w:rsidRPr="008C164C">
              <w:t xml:space="preserve"> </w:t>
            </w:r>
            <w:r w:rsidRPr="008C164C">
              <w:t>6 months or had documented phenotypic or genotypic resistance to drugs from at least 3 of these classes</w:t>
            </w:r>
          </w:p>
        </w:tc>
        <w:tc>
          <w:tcPr>
            <w:tcW w:w="944" w:type="pct"/>
            <w:vMerge/>
            <w:shd w:val="clear" w:color="auto" w:fill="C6D9F1" w:themeFill="text2" w:themeFillTint="33"/>
            <w:vAlign w:val="center"/>
          </w:tcPr>
          <w:p w14:paraId="0625D01A" w14:textId="77777777" w:rsidR="00197A58" w:rsidRPr="008C164C" w:rsidRDefault="00197A58" w:rsidP="00140FCB">
            <w:pPr>
              <w:pStyle w:val="TableText0"/>
              <w:jc w:val="center"/>
            </w:pPr>
          </w:p>
        </w:tc>
        <w:tc>
          <w:tcPr>
            <w:tcW w:w="522" w:type="pct"/>
            <w:vMerge/>
            <w:shd w:val="clear" w:color="auto" w:fill="auto"/>
            <w:vAlign w:val="center"/>
          </w:tcPr>
          <w:p w14:paraId="73AD3B6D" w14:textId="77777777" w:rsidR="00197A58" w:rsidRPr="008C164C" w:rsidRDefault="00197A58" w:rsidP="00140FCB">
            <w:pPr>
              <w:pStyle w:val="TableText0"/>
              <w:jc w:val="center"/>
            </w:pPr>
          </w:p>
        </w:tc>
      </w:tr>
      <w:tr w:rsidR="00197A58" w:rsidRPr="008C164C" w14:paraId="5D3D6642" w14:textId="77777777" w:rsidTr="002F3708">
        <w:tc>
          <w:tcPr>
            <w:tcW w:w="705" w:type="pct"/>
            <w:shd w:val="clear" w:color="auto" w:fill="C6D9F1" w:themeFill="text2" w:themeFillTint="33"/>
            <w:vAlign w:val="center"/>
          </w:tcPr>
          <w:p w14:paraId="0A04153E" w14:textId="77777777" w:rsidR="00197A58" w:rsidRPr="008C164C" w:rsidRDefault="00197A58" w:rsidP="00140FCB">
            <w:pPr>
              <w:pStyle w:val="TableText0"/>
            </w:pPr>
            <w:r w:rsidRPr="008C164C">
              <w:t>MOTIVATE 2</w:t>
            </w:r>
          </w:p>
        </w:tc>
        <w:tc>
          <w:tcPr>
            <w:tcW w:w="240" w:type="pct"/>
            <w:shd w:val="clear" w:color="auto" w:fill="C6D9F1" w:themeFill="text2" w:themeFillTint="33"/>
            <w:vAlign w:val="center"/>
          </w:tcPr>
          <w:p w14:paraId="59AFAA2A" w14:textId="77777777" w:rsidR="00197A58" w:rsidRPr="008C164C" w:rsidRDefault="00197A58" w:rsidP="00140FCB">
            <w:pPr>
              <w:pStyle w:val="TableText0"/>
              <w:jc w:val="center"/>
            </w:pPr>
            <w:r w:rsidRPr="008C164C">
              <w:t>474</w:t>
            </w:r>
          </w:p>
        </w:tc>
        <w:tc>
          <w:tcPr>
            <w:tcW w:w="624" w:type="pct"/>
            <w:vMerge/>
            <w:shd w:val="clear" w:color="auto" w:fill="C6D9F1" w:themeFill="text2" w:themeFillTint="33"/>
            <w:vAlign w:val="center"/>
          </w:tcPr>
          <w:p w14:paraId="431FE167" w14:textId="77777777" w:rsidR="00197A58" w:rsidRPr="008C164C" w:rsidRDefault="00197A58" w:rsidP="00140FCB">
            <w:pPr>
              <w:pStyle w:val="TableText0"/>
              <w:jc w:val="center"/>
            </w:pPr>
          </w:p>
        </w:tc>
        <w:tc>
          <w:tcPr>
            <w:tcW w:w="472" w:type="pct"/>
            <w:vMerge/>
            <w:shd w:val="clear" w:color="auto" w:fill="C6D9F1" w:themeFill="text2" w:themeFillTint="33"/>
            <w:vAlign w:val="center"/>
          </w:tcPr>
          <w:p w14:paraId="39170595" w14:textId="77777777" w:rsidR="00197A58" w:rsidRPr="008C164C" w:rsidRDefault="00197A58" w:rsidP="00140FCB">
            <w:pPr>
              <w:pStyle w:val="TableText0"/>
              <w:jc w:val="center"/>
            </w:pPr>
          </w:p>
        </w:tc>
        <w:tc>
          <w:tcPr>
            <w:tcW w:w="1493" w:type="pct"/>
            <w:vMerge/>
            <w:shd w:val="clear" w:color="auto" w:fill="C6D9F1" w:themeFill="text2" w:themeFillTint="33"/>
            <w:vAlign w:val="center"/>
          </w:tcPr>
          <w:p w14:paraId="433E04D0" w14:textId="77777777" w:rsidR="00197A58" w:rsidRPr="008C164C" w:rsidRDefault="00197A58" w:rsidP="00140FCB">
            <w:pPr>
              <w:pStyle w:val="TableText0"/>
              <w:jc w:val="center"/>
            </w:pPr>
          </w:p>
        </w:tc>
        <w:tc>
          <w:tcPr>
            <w:tcW w:w="944" w:type="pct"/>
            <w:vMerge/>
            <w:shd w:val="clear" w:color="auto" w:fill="C6D9F1" w:themeFill="text2" w:themeFillTint="33"/>
            <w:vAlign w:val="center"/>
          </w:tcPr>
          <w:p w14:paraId="3D4B77AE" w14:textId="77777777" w:rsidR="00197A58" w:rsidRPr="008C164C" w:rsidRDefault="00197A58" w:rsidP="00140FCB">
            <w:pPr>
              <w:pStyle w:val="TableText0"/>
              <w:jc w:val="center"/>
            </w:pPr>
          </w:p>
        </w:tc>
        <w:tc>
          <w:tcPr>
            <w:tcW w:w="522" w:type="pct"/>
            <w:vMerge/>
            <w:shd w:val="clear" w:color="auto" w:fill="auto"/>
            <w:vAlign w:val="center"/>
          </w:tcPr>
          <w:p w14:paraId="133B1911" w14:textId="77777777" w:rsidR="00197A58" w:rsidRPr="008C164C" w:rsidRDefault="00197A58" w:rsidP="00140FCB">
            <w:pPr>
              <w:pStyle w:val="TableText0"/>
              <w:jc w:val="center"/>
            </w:pPr>
          </w:p>
        </w:tc>
      </w:tr>
      <w:tr w:rsidR="00197A58" w:rsidRPr="008C164C" w14:paraId="5C00B34F" w14:textId="77777777" w:rsidTr="002F3708">
        <w:tc>
          <w:tcPr>
            <w:tcW w:w="705" w:type="pct"/>
            <w:shd w:val="clear" w:color="auto" w:fill="C6D9F1" w:themeFill="text2" w:themeFillTint="33"/>
            <w:vAlign w:val="center"/>
          </w:tcPr>
          <w:p w14:paraId="1788DDF3" w14:textId="77777777" w:rsidR="00197A58" w:rsidRPr="008C164C" w:rsidRDefault="00197A58" w:rsidP="00140FCB">
            <w:pPr>
              <w:pStyle w:val="TableText0"/>
            </w:pPr>
            <w:r w:rsidRPr="008C164C">
              <w:t>VICTOR- E</w:t>
            </w:r>
          </w:p>
        </w:tc>
        <w:tc>
          <w:tcPr>
            <w:tcW w:w="240" w:type="pct"/>
            <w:shd w:val="clear" w:color="auto" w:fill="C6D9F1" w:themeFill="text2" w:themeFillTint="33"/>
            <w:vAlign w:val="center"/>
          </w:tcPr>
          <w:p w14:paraId="78B7834C" w14:textId="77777777" w:rsidR="00197A58" w:rsidRPr="008C164C" w:rsidRDefault="00197A58" w:rsidP="00140FCB">
            <w:pPr>
              <w:pStyle w:val="TableText0"/>
              <w:jc w:val="center"/>
            </w:pPr>
            <w:r w:rsidRPr="008C164C">
              <w:t>114</w:t>
            </w:r>
          </w:p>
        </w:tc>
        <w:tc>
          <w:tcPr>
            <w:tcW w:w="624" w:type="pct"/>
            <w:shd w:val="clear" w:color="auto" w:fill="C6D9F1" w:themeFill="text2" w:themeFillTint="33"/>
            <w:vAlign w:val="center"/>
          </w:tcPr>
          <w:p w14:paraId="3334FA83" w14:textId="77777777" w:rsidR="00197A58" w:rsidRPr="008C164C" w:rsidRDefault="00197A58" w:rsidP="00140FCB">
            <w:pPr>
              <w:pStyle w:val="TableText0"/>
              <w:jc w:val="center"/>
            </w:pPr>
            <w:r w:rsidRPr="008C164C">
              <w:t>R, DB</w:t>
            </w:r>
          </w:p>
        </w:tc>
        <w:tc>
          <w:tcPr>
            <w:tcW w:w="472" w:type="pct"/>
            <w:shd w:val="clear" w:color="auto" w:fill="C6D9F1" w:themeFill="text2" w:themeFillTint="33"/>
            <w:vAlign w:val="center"/>
          </w:tcPr>
          <w:p w14:paraId="127B4FD4" w14:textId="77777777" w:rsidR="00197A58" w:rsidRPr="008C164C" w:rsidRDefault="00197A58" w:rsidP="00140FCB">
            <w:pPr>
              <w:pStyle w:val="TableText0"/>
              <w:jc w:val="center"/>
            </w:pPr>
            <w:r w:rsidRPr="008C164C">
              <w:t>Low</w:t>
            </w:r>
          </w:p>
        </w:tc>
        <w:tc>
          <w:tcPr>
            <w:tcW w:w="1493" w:type="pct"/>
            <w:shd w:val="clear" w:color="auto" w:fill="C6D9F1" w:themeFill="text2" w:themeFillTint="33"/>
            <w:vAlign w:val="center"/>
          </w:tcPr>
          <w:p w14:paraId="1FB2427F" w14:textId="4BC1F3DC" w:rsidR="00197A58" w:rsidRPr="008C164C" w:rsidRDefault="00197A58" w:rsidP="00140FCB">
            <w:pPr>
              <w:pStyle w:val="TableText0"/>
              <w:jc w:val="center"/>
            </w:pPr>
            <w:r w:rsidRPr="008C164C">
              <w:t>Resistance mutation to the NRTI class and ≥</w:t>
            </w:r>
            <w:r w:rsidR="00233558" w:rsidRPr="008C164C">
              <w:t xml:space="preserve"> </w:t>
            </w:r>
            <w:r w:rsidRPr="008C164C">
              <w:t>1 primary resistance mutation to the PI class</w:t>
            </w:r>
          </w:p>
        </w:tc>
        <w:tc>
          <w:tcPr>
            <w:tcW w:w="944" w:type="pct"/>
            <w:vMerge/>
            <w:shd w:val="clear" w:color="auto" w:fill="C6D9F1" w:themeFill="text2" w:themeFillTint="33"/>
            <w:vAlign w:val="center"/>
          </w:tcPr>
          <w:p w14:paraId="14ADCABF" w14:textId="77777777" w:rsidR="00197A58" w:rsidRPr="008C164C" w:rsidRDefault="00197A58" w:rsidP="00140FCB">
            <w:pPr>
              <w:pStyle w:val="TableText0"/>
              <w:jc w:val="center"/>
            </w:pPr>
          </w:p>
        </w:tc>
        <w:tc>
          <w:tcPr>
            <w:tcW w:w="522" w:type="pct"/>
            <w:vMerge/>
            <w:shd w:val="clear" w:color="auto" w:fill="auto"/>
            <w:vAlign w:val="center"/>
          </w:tcPr>
          <w:p w14:paraId="6A47B53C" w14:textId="77777777" w:rsidR="00197A58" w:rsidRPr="008C164C" w:rsidRDefault="00197A58" w:rsidP="00140FCB">
            <w:pPr>
              <w:pStyle w:val="TableText0"/>
              <w:jc w:val="center"/>
            </w:pPr>
          </w:p>
        </w:tc>
      </w:tr>
      <w:tr w:rsidR="00197A58" w:rsidRPr="008C164C" w14:paraId="7A0EDAF6" w14:textId="77777777" w:rsidTr="002F3708">
        <w:tc>
          <w:tcPr>
            <w:tcW w:w="705" w:type="pct"/>
            <w:shd w:val="clear" w:color="auto" w:fill="auto"/>
            <w:vAlign w:val="center"/>
          </w:tcPr>
          <w:p w14:paraId="7D465376" w14:textId="77777777" w:rsidR="00E55D04" w:rsidRPr="008C164C" w:rsidRDefault="00197A58" w:rsidP="00140FCB">
            <w:pPr>
              <w:pStyle w:val="TableText0"/>
            </w:pPr>
            <w:r w:rsidRPr="008C164C">
              <w:t xml:space="preserve">BRIGHTE </w:t>
            </w:r>
          </w:p>
          <w:p w14:paraId="21EBC8D9" w14:textId="37B386C7" w:rsidR="00197A58" w:rsidRPr="008C164C" w:rsidRDefault="00197A58" w:rsidP="00140FCB">
            <w:pPr>
              <w:pStyle w:val="TableText0"/>
            </w:pPr>
            <w:r w:rsidRPr="008C164C">
              <w:t>FTR + OBR</w:t>
            </w:r>
          </w:p>
        </w:tc>
        <w:tc>
          <w:tcPr>
            <w:tcW w:w="240" w:type="pct"/>
            <w:shd w:val="clear" w:color="auto" w:fill="auto"/>
            <w:vAlign w:val="center"/>
          </w:tcPr>
          <w:p w14:paraId="6D84FCEE" w14:textId="77777777" w:rsidR="00197A58" w:rsidRPr="008C164C" w:rsidRDefault="00197A58" w:rsidP="00140FCB">
            <w:pPr>
              <w:pStyle w:val="TableText0"/>
              <w:jc w:val="center"/>
            </w:pPr>
            <w:r w:rsidRPr="008C164C">
              <w:t>203</w:t>
            </w:r>
          </w:p>
        </w:tc>
        <w:tc>
          <w:tcPr>
            <w:tcW w:w="624" w:type="pct"/>
            <w:vMerge w:val="restart"/>
            <w:shd w:val="clear" w:color="auto" w:fill="auto"/>
            <w:vAlign w:val="center"/>
          </w:tcPr>
          <w:p w14:paraId="21E816F9" w14:textId="77777777" w:rsidR="00197A58" w:rsidRPr="008C164C" w:rsidRDefault="00197A58" w:rsidP="00140FCB">
            <w:pPr>
              <w:pStyle w:val="TableText0"/>
              <w:jc w:val="center"/>
            </w:pPr>
            <w:r w:rsidRPr="008C164C">
              <w:t>R, DB/OL 7 days/96 weeks</w:t>
            </w:r>
          </w:p>
        </w:tc>
        <w:tc>
          <w:tcPr>
            <w:tcW w:w="472" w:type="pct"/>
            <w:vMerge w:val="restart"/>
            <w:shd w:val="clear" w:color="auto" w:fill="auto"/>
            <w:vAlign w:val="center"/>
          </w:tcPr>
          <w:p w14:paraId="5FC60022" w14:textId="77777777" w:rsidR="00197A58" w:rsidRPr="008C164C" w:rsidRDefault="00197A58" w:rsidP="00140FCB">
            <w:pPr>
              <w:pStyle w:val="TableText0"/>
              <w:jc w:val="center"/>
            </w:pPr>
            <w:r w:rsidRPr="008C164C">
              <w:t>Unclear</w:t>
            </w:r>
          </w:p>
        </w:tc>
        <w:tc>
          <w:tcPr>
            <w:tcW w:w="1493" w:type="pct"/>
            <w:vMerge w:val="restart"/>
            <w:shd w:val="clear" w:color="auto" w:fill="auto"/>
            <w:vAlign w:val="center"/>
          </w:tcPr>
          <w:p w14:paraId="4A000299" w14:textId="2E2061BF" w:rsidR="00197A58" w:rsidRPr="008C164C" w:rsidRDefault="00197A58" w:rsidP="00140FCB">
            <w:pPr>
              <w:pStyle w:val="TableText0"/>
              <w:jc w:val="center"/>
            </w:pPr>
            <w:r w:rsidRPr="008C164C">
              <w:t>ARV-experienced with documented historical or baseline resistance, intolerability, and/or contraindications to ARVs in ≥</w:t>
            </w:r>
            <w:r w:rsidR="00233558" w:rsidRPr="008C164C">
              <w:t xml:space="preserve"> </w:t>
            </w:r>
            <w:r w:rsidRPr="008C164C">
              <w:t>3 classes.</w:t>
            </w:r>
          </w:p>
        </w:tc>
        <w:tc>
          <w:tcPr>
            <w:tcW w:w="944" w:type="pct"/>
            <w:vMerge w:val="restart"/>
            <w:shd w:val="clear" w:color="auto" w:fill="auto"/>
            <w:vAlign w:val="center"/>
          </w:tcPr>
          <w:p w14:paraId="7D709726" w14:textId="53977266" w:rsidR="00197A58" w:rsidRPr="008C164C" w:rsidRDefault="00197A58" w:rsidP="00140FCB">
            <w:pPr>
              <w:pStyle w:val="TableText0"/>
              <w:jc w:val="center"/>
            </w:pPr>
            <w:r w:rsidRPr="008C164C">
              <w:t>Patients with HIV-1 RNA levels &lt;</w:t>
            </w:r>
            <w:r w:rsidR="00233558" w:rsidRPr="008C164C">
              <w:t xml:space="preserve"> </w:t>
            </w:r>
            <w:r w:rsidRPr="008C164C">
              <w:t>40 copies/mL, n (%) at 48 weeks</w:t>
            </w:r>
          </w:p>
        </w:tc>
        <w:tc>
          <w:tcPr>
            <w:tcW w:w="522" w:type="pct"/>
            <w:vMerge/>
            <w:shd w:val="clear" w:color="auto" w:fill="BFBFBF" w:themeFill="background1" w:themeFillShade="BF"/>
            <w:vAlign w:val="center"/>
          </w:tcPr>
          <w:p w14:paraId="63637866" w14:textId="77777777" w:rsidR="00197A58" w:rsidRPr="008C164C" w:rsidRDefault="00197A58" w:rsidP="00140FCB">
            <w:pPr>
              <w:pStyle w:val="TableText0"/>
              <w:jc w:val="center"/>
            </w:pPr>
          </w:p>
        </w:tc>
      </w:tr>
      <w:tr w:rsidR="00197A58" w:rsidRPr="008C164C" w14:paraId="0519182C" w14:textId="77777777" w:rsidTr="002F3708">
        <w:tc>
          <w:tcPr>
            <w:tcW w:w="705" w:type="pct"/>
            <w:shd w:val="clear" w:color="auto" w:fill="auto"/>
            <w:vAlign w:val="center"/>
          </w:tcPr>
          <w:p w14:paraId="77BF9ED5" w14:textId="77777777" w:rsidR="00E55D04" w:rsidRPr="008C164C" w:rsidRDefault="00197A58" w:rsidP="00140FCB">
            <w:pPr>
              <w:pStyle w:val="TableText0"/>
            </w:pPr>
            <w:r w:rsidRPr="008C164C">
              <w:t xml:space="preserve">BRIGHTE </w:t>
            </w:r>
          </w:p>
          <w:p w14:paraId="26F2FD83" w14:textId="39045F0F" w:rsidR="00197A58" w:rsidRPr="008C164C" w:rsidRDefault="00197A58" w:rsidP="00140FCB">
            <w:pPr>
              <w:pStyle w:val="TableText0"/>
            </w:pPr>
            <w:r w:rsidRPr="008C164C">
              <w:t>PBO + OBR</w:t>
            </w:r>
          </w:p>
        </w:tc>
        <w:tc>
          <w:tcPr>
            <w:tcW w:w="240" w:type="pct"/>
            <w:shd w:val="clear" w:color="auto" w:fill="auto"/>
            <w:vAlign w:val="center"/>
          </w:tcPr>
          <w:p w14:paraId="52F46507" w14:textId="77777777" w:rsidR="00197A58" w:rsidRPr="008C164C" w:rsidRDefault="00197A58" w:rsidP="00140FCB">
            <w:pPr>
              <w:pStyle w:val="TableText0"/>
              <w:jc w:val="center"/>
            </w:pPr>
            <w:r w:rsidRPr="008C164C">
              <w:t>69</w:t>
            </w:r>
          </w:p>
        </w:tc>
        <w:tc>
          <w:tcPr>
            <w:tcW w:w="624" w:type="pct"/>
            <w:vMerge/>
            <w:shd w:val="clear" w:color="auto" w:fill="auto"/>
            <w:vAlign w:val="center"/>
          </w:tcPr>
          <w:p w14:paraId="04D4A09A" w14:textId="77777777" w:rsidR="00197A58" w:rsidRPr="008C164C" w:rsidRDefault="00197A58" w:rsidP="00140FCB">
            <w:pPr>
              <w:pStyle w:val="TableText0"/>
              <w:jc w:val="center"/>
            </w:pPr>
          </w:p>
        </w:tc>
        <w:tc>
          <w:tcPr>
            <w:tcW w:w="472" w:type="pct"/>
            <w:vMerge/>
            <w:shd w:val="clear" w:color="auto" w:fill="auto"/>
            <w:vAlign w:val="center"/>
          </w:tcPr>
          <w:p w14:paraId="6C21EC5D" w14:textId="77777777" w:rsidR="00197A58" w:rsidRPr="008C164C" w:rsidRDefault="00197A58" w:rsidP="00140FCB">
            <w:pPr>
              <w:pStyle w:val="TableText0"/>
              <w:jc w:val="center"/>
            </w:pPr>
          </w:p>
        </w:tc>
        <w:tc>
          <w:tcPr>
            <w:tcW w:w="1493" w:type="pct"/>
            <w:vMerge/>
            <w:shd w:val="clear" w:color="auto" w:fill="auto"/>
            <w:vAlign w:val="center"/>
          </w:tcPr>
          <w:p w14:paraId="6C75A35E" w14:textId="77777777" w:rsidR="00197A58" w:rsidRPr="008C164C" w:rsidRDefault="00197A58" w:rsidP="00140FCB">
            <w:pPr>
              <w:pStyle w:val="TableText0"/>
              <w:jc w:val="center"/>
            </w:pPr>
          </w:p>
        </w:tc>
        <w:tc>
          <w:tcPr>
            <w:tcW w:w="944" w:type="pct"/>
            <w:vMerge/>
            <w:shd w:val="clear" w:color="auto" w:fill="auto"/>
            <w:vAlign w:val="center"/>
          </w:tcPr>
          <w:p w14:paraId="78094974" w14:textId="77777777" w:rsidR="00197A58" w:rsidRPr="008C164C" w:rsidRDefault="00197A58" w:rsidP="00140FCB">
            <w:pPr>
              <w:pStyle w:val="TableText0"/>
              <w:jc w:val="center"/>
            </w:pPr>
          </w:p>
        </w:tc>
        <w:tc>
          <w:tcPr>
            <w:tcW w:w="522" w:type="pct"/>
            <w:vMerge/>
            <w:shd w:val="clear" w:color="auto" w:fill="BFBFBF" w:themeFill="background1" w:themeFillShade="BF"/>
            <w:vAlign w:val="center"/>
          </w:tcPr>
          <w:p w14:paraId="1753CE2B" w14:textId="77777777" w:rsidR="00197A58" w:rsidRPr="008C164C" w:rsidRDefault="00197A58" w:rsidP="00140FCB">
            <w:pPr>
              <w:pStyle w:val="TableText0"/>
              <w:jc w:val="center"/>
            </w:pPr>
          </w:p>
        </w:tc>
      </w:tr>
      <w:tr w:rsidR="00197A58" w:rsidRPr="008C164C" w14:paraId="761B10B4" w14:textId="77777777" w:rsidTr="002F3708">
        <w:tc>
          <w:tcPr>
            <w:tcW w:w="705" w:type="pct"/>
            <w:shd w:val="clear" w:color="auto" w:fill="auto"/>
            <w:vAlign w:val="center"/>
          </w:tcPr>
          <w:p w14:paraId="44F7CCDD" w14:textId="77777777" w:rsidR="00E55D04" w:rsidRPr="008C164C" w:rsidRDefault="00197A58" w:rsidP="00140FCB">
            <w:pPr>
              <w:pStyle w:val="TableText0"/>
            </w:pPr>
            <w:r w:rsidRPr="008C164C">
              <w:t xml:space="preserve">BRIGHTE </w:t>
            </w:r>
          </w:p>
          <w:p w14:paraId="2EC10D94" w14:textId="0FB8F0BA" w:rsidR="00197A58" w:rsidRPr="008C164C" w:rsidRDefault="00197A58" w:rsidP="00140FCB">
            <w:pPr>
              <w:pStyle w:val="TableText0"/>
            </w:pPr>
            <w:r w:rsidRPr="008C164C">
              <w:t>FTR + OBR</w:t>
            </w:r>
          </w:p>
        </w:tc>
        <w:tc>
          <w:tcPr>
            <w:tcW w:w="240" w:type="pct"/>
            <w:shd w:val="clear" w:color="auto" w:fill="auto"/>
            <w:vAlign w:val="center"/>
          </w:tcPr>
          <w:p w14:paraId="3F32A615" w14:textId="77777777" w:rsidR="00197A58" w:rsidRPr="008C164C" w:rsidRDefault="00197A58" w:rsidP="00140FCB">
            <w:pPr>
              <w:pStyle w:val="TableText0"/>
              <w:jc w:val="center"/>
            </w:pPr>
            <w:r w:rsidRPr="008C164C">
              <w:t>99</w:t>
            </w:r>
          </w:p>
        </w:tc>
        <w:tc>
          <w:tcPr>
            <w:tcW w:w="624" w:type="pct"/>
            <w:shd w:val="clear" w:color="auto" w:fill="auto"/>
            <w:vAlign w:val="center"/>
          </w:tcPr>
          <w:p w14:paraId="151A39C4" w14:textId="77777777" w:rsidR="00197A58" w:rsidRPr="008C164C" w:rsidRDefault="00197A58" w:rsidP="00140FCB">
            <w:pPr>
              <w:pStyle w:val="TableText0"/>
              <w:jc w:val="center"/>
            </w:pPr>
            <w:r w:rsidRPr="008C164C">
              <w:t>OL, 96 weeks</w:t>
            </w:r>
          </w:p>
        </w:tc>
        <w:tc>
          <w:tcPr>
            <w:tcW w:w="472" w:type="pct"/>
            <w:vMerge/>
            <w:shd w:val="clear" w:color="auto" w:fill="auto"/>
            <w:vAlign w:val="center"/>
          </w:tcPr>
          <w:p w14:paraId="2A26C848" w14:textId="77777777" w:rsidR="00197A58" w:rsidRPr="008C164C" w:rsidRDefault="00197A58" w:rsidP="00140FCB">
            <w:pPr>
              <w:pStyle w:val="TableText0"/>
              <w:jc w:val="center"/>
            </w:pPr>
          </w:p>
        </w:tc>
        <w:tc>
          <w:tcPr>
            <w:tcW w:w="1493" w:type="pct"/>
            <w:vMerge/>
            <w:shd w:val="clear" w:color="auto" w:fill="auto"/>
            <w:vAlign w:val="center"/>
          </w:tcPr>
          <w:p w14:paraId="2CDE2EDA" w14:textId="77777777" w:rsidR="00197A58" w:rsidRPr="008C164C" w:rsidRDefault="00197A58" w:rsidP="00140FCB">
            <w:pPr>
              <w:pStyle w:val="TableText0"/>
              <w:jc w:val="center"/>
            </w:pPr>
          </w:p>
        </w:tc>
        <w:tc>
          <w:tcPr>
            <w:tcW w:w="944" w:type="pct"/>
            <w:vMerge/>
            <w:shd w:val="clear" w:color="auto" w:fill="auto"/>
            <w:vAlign w:val="center"/>
          </w:tcPr>
          <w:p w14:paraId="62B8199D" w14:textId="77777777" w:rsidR="00197A58" w:rsidRPr="008C164C" w:rsidRDefault="00197A58" w:rsidP="00140FCB">
            <w:pPr>
              <w:pStyle w:val="TableText0"/>
              <w:jc w:val="center"/>
            </w:pPr>
          </w:p>
        </w:tc>
        <w:tc>
          <w:tcPr>
            <w:tcW w:w="522" w:type="pct"/>
            <w:vMerge/>
            <w:shd w:val="clear" w:color="auto" w:fill="BFBFBF" w:themeFill="background1" w:themeFillShade="BF"/>
            <w:vAlign w:val="center"/>
          </w:tcPr>
          <w:p w14:paraId="4BBB939F" w14:textId="77777777" w:rsidR="00197A58" w:rsidRPr="008C164C" w:rsidRDefault="00197A58" w:rsidP="00140FCB">
            <w:pPr>
              <w:pStyle w:val="TableText0"/>
              <w:jc w:val="center"/>
            </w:pPr>
          </w:p>
        </w:tc>
      </w:tr>
      <w:tr w:rsidR="00197A58" w:rsidRPr="008C164C" w14:paraId="61497C19" w14:textId="77777777" w:rsidTr="002F3708">
        <w:tc>
          <w:tcPr>
            <w:tcW w:w="705" w:type="pct"/>
            <w:shd w:val="clear" w:color="auto" w:fill="auto"/>
            <w:vAlign w:val="center"/>
          </w:tcPr>
          <w:p w14:paraId="075CB059" w14:textId="77777777" w:rsidR="00197A58" w:rsidRPr="008C164C" w:rsidRDefault="00197A58" w:rsidP="00140FCB">
            <w:pPr>
              <w:pStyle w:val="TableText0"/>
            </w:pPr>
            <w:r w:rsidRPr="008C164C">
              <w:t>TMB-301</w:t>
            </w:r>
          </w:p>
        </w:tc>
        <w:tc>
          <w:tcPr>
            <w:tcW w:w="240" w:type="pct"/>
            <w:shd w:val="clear" w:color="auto" w:fill="auto"/>
            <w:vAlign w:val="center"/>
          </w:tcPr>
          <w:p w14:paraId="09E5E9A0" w14:textId="77777777" w:rsidR="00197A58" w:rsidRPr="008C164C" w:rsidRDefault="00197A58" w:rsidP="00140FCB">
            <w:pPr>
              <w:pStyle w:val="TableText0"/>
              <w:jc w:val="center"/>
            </w:pPr>
            <w:r w:rsidRPr="008C164C">
              <w:t>40</w:t>
            </w:r>
          </w:p>
        </w:tc>
        <w:tc>
          <w:tcPr>
            <w:tcW w:w="624" w:type="pct"/>
            <w:shd w:val="clear" w:color="auto" w:fill="auto"/>
            <w:vAlign w:val="center"/>
          </w:tcPr>
          <w:p w14:paraId="544067CE" w14:textId="77777777" w:rsidR="00197A58" w:rsidRPr="008C164C" w:rsidRDefault="00197A58" w:rsidP="00140FCB">
            <w:pPr>
              <w:pStyle w:val="TableText0"/>
              <w:jc w:val="center"/>
            </w:pPr>
            <w:r w:rsidRPr="008C164C">
              <w:t>SAS, OL, 25 weeks</w:t>
            </w:r>
          </w:p>
        </w:tc>
        <w:tc>
          <w:tcPr>
            <w:tcW w:w="472" w:type="pct"/>
            <w:shd w:val="clear" w:color="auto" w:fill="auto"/>
            <w:vAlign w:val="center"/>
          </w:tcPr>
          <w:p w14:paraId="45DB2B05" w14:textId="77777777" w:rsidR="00197A58" w:rsidRPr="008C164C" w:rsidRDefault="00197A58" w:rsidP="00140FCB">
            <w:pPr>
              <w:pStyle w:val="TableText0"/>
              <w:jc w:val="center"/>
            </w:pPr>
            <w:r w:rsidRPr="008C164C">
              <w:t>High</w:t>
            </w:r>
          </w:p>
        </w:tc>
        <w:tc>
          <w:tcPr>
            <w:tcW w:w="1493" w:type="pct"/>
            <w:shd w:val="clear" w:color="auto" w:fill="auto"/>
            <w:vAlign w:val="center"/>
          </w:tcPr>
          <w:p w14:paraId="040E28D9" w14:textId="6A0D3CD9" w:rsidR="00197A58" w:rsidRPr="008C164C" w:rsidRDefault="00197A58" w:rsidP="00140FCB">
            <w:pPr>
              <w:pStyle w:val="TableText0"/>
              <w:jc w:val="center"/>
            </w:pPr>
            <w:r w:rsidRPr="008C164C">
              <w:t>Resistance to ≥</w:t>
            </w:r>
            <w:r w:rsidR="00233558" w:rsidRPr="008C164C">
              <w:t xml:space="preserve"> </w:t>
            </w:r>
            <w:r w:rsidRPr="008C164C">
              <w:t>1 ARV medication from each of 3 classes of ARV medications as measured by resistance testing.</w:t>
            </w:r>
          </w:p>
        </w:tc>
        <w:tc>
          <w:tcPr>
            <w:tcW w:w="944" w:type="pct"/>
            <w:shd w:val="clear" w:color="auto" w:fill="auto"/>
            <w:vAlign w:val="center"/>
          </w:tcPr>
          <w:p w14:paraId="2E41D1FE" w14:textId="6DB965C6" w:rsidR="00197A58" w:rsidRPr="008C164C" w:rsidRDefault="00197A58" w:rsidP="00140FCB">
            <w:pPr>
              <w:pStyle w:val="TableText0"/>
              <w:jc w:val="center"/>
            </w:pPr>
            <w:r w:rsidRPr="008C164C">
              <w:t>Patients with HIV-1 RNA levels &lt;</w:t>
            </w:r>
            <w:r w:rsidR="00233558" w:rsidRPr="008C164C">
              <w:t xml:space="preserve"> </w:t>
            </w:r>
            <w:r w:rsidRPr="008C164C">
              <w:t>50 copies/mL, n (%) at 25 weeks</w:t>
            </w:r>
          </w:p>
        </w:tc>
        <w:tc>
          <w:tcPr>
            <w:tcW w:w="522" w:type="pct"/>
            <w:vMerge/>
            <w:shd w:val="clear" w:color="auto" w:fill="BFBFBF" w:themeFill="background1" w:themeFillShade="BF"/>
            <w:vAlign w:val="center"/>
          </w:tcPr>
          <w:p w14:paraId="2E21C9DA" w14:textId="77777777" w:rsidR="00197A58" w:rsidRPr="008C164C" w:rsidRDefault="00197A58" w:rsidP="00140FCB">
            <w:pPr>
              <w:pStyle w:val="TableText0"/>
              <w:jc w:val="center"/>
            </w:pPr>
          </w:p>
        </w:tc>
      </w:tr>
    </w:tbl>
    <w:p w14:paraId="5B2AA4FF" w14:textId="77777777" w:rsidR="00197A58" w:rsidRPr="008C164C" w:rsidRDefault="00197A58" w:rsidP="00197A58">
      <w:pPr>
        <w:pStyle w:val="FooterTableFigure"/>
      </w:pPr>
      <w:r w:rsidRPr="008C164C">
        <w:t xml:space="preserve">Source: Table 3, p10 of </w:t>
      </w:r>
      <w:proofErr w:type="spellStart"/>
      <w:r w:rsidRPr="008C164C">
        <w:t>Lenacapavir</w:t>
      </w:r>
      <w:proofErr w:type="spellEnd"/>
      <w:r w:rsidRPr="008C164C">
        <w:t xml:space="preserve"> November 2022 PBAC PSD and pp51 – 92 of the resubmission.</w:t>
      </w:r>
    </w:p>
    <w:p w14:paraId="0E08A348" w14:textId="4332F6DD" w:rsidR="00197A58" w:rsidRPr="008C164C" w:rsidRDefault="00197A58" w:rsidP="00197A58">
      <w:pPr>
        <w:pStyle w:val="FooterTableFigure"/>
      </w:pPr>
      <w:r w:rsidRPr="008C164C">
        <w:t>Blue shaded cells represent trials previously considered by</w:t>
      </w:r>
      <w:r w:rsidR="00995BD2" w:rsidRPr="008C164C">
        <w:t xml:space="preserve"> the</w:t>
      </w:r>
      <w:r w:rsidRPr="008C164C">
        <w:t xml:space="preserve"> PBAC. </w:t>
      </w:r>
    </w:p>
    <w:p w14:paraId="7C6CB00F" w14:textId="1EB3252A" w:rsidR="00197A58" w:rsidRPr="008C164C" w:rsidRDefault="00197A58" w:rsidP="00197A58">
      <w:pPr>
        <w:pStyle w:val="FooterTableFigure"/>
      </w:pPr>
      <w:r w:rsidRPr="008C164C">
        <w:t xml:space="preserve">ARV = antiretroviral; DB = double blind; FTR = fostemsavir;  HIV = human immunodeficiency virus; INSTI = integrase strand transcriptase inhibitors; LEN = </w:t>
      </w:r>
      <w:proofErr w:type="spellStart"/>
      <w:r w:rsidRPr="008C164C">
        <w:t>lenacapavir</w:t>
      </w:r>
      <w:proofErr w:type="spellEnd"/>
      <w:r w:rsidRPr="008C164C">
        <w:t xml:space="preserve">; MC = multi-centre; NNRTI = non-nucleoside reverse transcriptase inhibitors; NRTI = </w:t>
      </w:r>
      <w:proofErr w:type="spellStart"/>
      <w:r w:rsidRPr="008C164C">
        <w:t>nucleo</w:t>
      </w:r>
      <w:proofErr w:type="spellEnd"/>
      <w:r w:rsidRPr="008C164C">
        <w:t>(s/t)ide reverse transcriptase inhibitors; OBR = optimised background regimen;  OL = open label; OS = overall survival; PBO = placebo; PFS = progression-free survival; PI = protease inhibitor;  R = randomised</w:t>
      </w:r>
      <w:r w:rsidR="00E55D04" w:rsidRPr="008C164C">
        <w:t>;</w:t>
      </w:r>
      <w:r w:rsidRPr="008C164C">
        <w:t xml:space="preserve"> RNA = ribonucleic acid; </w:t>
      </w:r>
      <w:r w:rsidR="00C64845" w:rsidRPr="008C164C">
        <w:t>SAS = single arm study</w:t>
      </w:r>
      <w:r w:rsidRPr="008C164C">
        <w:t>.</w:t>
      </w:r>
    </w:p>
    <w:p w14:paraId="70AB2469" w14:textId="77777777" w:rsidR="00197A58" w:rsidRPr="008C164C" w:rsidRDefault="00197A58" w:rsidP="00197A58">
      <w:pPr>
        <w:pStyle w:val="FooterTableFigure"/>
      </w:pPr>
      <w:r w:rsidRPr="008C164C">
        <w:rPr>
          <w:vertAlign w:val="superscript"/>
        </w:rPr>
        <w:lastRenderedPageBreak/>
        <w:t xml:space="preserve">a </w:t>
      </w:r>
      <w:r w:rsidRPr="008C164C">
        <w:t xml:space="preserve">As per FDA guidance, the trial consisted of a 14-day randomised double blind phase followed by 52-week OL phase where all patients switched to LEN + OBR. </w:t>
      </w:r>
    </w:p>
    <w:p w14:paraId="70A0BED0" w14:textId="6BD1A97C" w:rsidR="00197A58" w:rsidRPr="008C164C" w:rsidRDefault="00197A58" w:rsidP="00197A58">
      <w:pPr>
        <w:pStyle w:val="FooterTableFigure"/>
      </w:pPr>
      <w:r w:rsidRPr="008C164C">
        <w:rPr>
          <w:vertAlign w:val="superscript"/>
        </w:rPr>
        <w:t xml:space="preserve">b </w:t>
      </w:r>
      <w:r w:rsidRPr="008C164C">
        <w:t>The randomised 14-day comparison in Cohort 1 generally had a low risk of bias, but the clinical claim is primarily based on long term non-comparative open-label data. It is unclear overall what the risk of bias is for the trial as a whole</w:t>
      </w:r>
      <w:r w:rsidR="00A759D6" w:rsidRPr="008C164C">
        <w:t>.</w:t>
      </w:r>
    </w:p>
    <w:p w14:paraId="1A9F9AD9" w14:textId="245AA795" w:rsidR="005019B0" w:rsidRPr="008C164C" w:rsidRDefault="00C64845" w:rsidP="005019B0">
      <w:pPr>
        <w:pStyle w:val="3-BodyText"/>
      </w:pPr>
      <w:r w:rsidRPr="008C164C">
        <w:t xml:space="preserve">The </w:t>
      </w:r>
      <w:r w:rsidR="005019B0" w:rsidRPr="008C164C">
        <w:t>initial 14</w:t>
      </w:r>
      <w:r w:rsidR="002151AE" w:rsidRPr="008C164C">
        <w:noBreakHyphen/>
      </w:r>
      <w:r w:rsidR="005019B0" w:rsidRPr="008C164C">
        <w:t>day functional monotherapy period</w:t>
      </w:r>
      <w:r w:rsidR="001924CF" w:rsidRPr="008C164C">
        <w:t xml:space="preserve"> of</w:t>
      </w:r>
      <w:r w:rsidR="005019B0" w:rsidRPr="008C164C">
        <w:t xml:space="preserve"> CAPELLA overall had a low risk of bias. However, a major part of the clinical claim is based on data after the initial 14-day period, where results were open label and had no control group, which, based on the Cochrane risk of bias tool, is high risk of bias, suggesting an unclear risk of bias overall. The PBAC</w:t>
      </w:r>
      <w:r w:rsidR="00BE23A7" w:rsidRPr="008C164C">
        <w:t xml:space="preserve"> previously</w:t>
      </w:r>
      <w:r w:rsidR="005019B0" w:rsidRPr="008C164C">
        <w:t xml:space="preserve"> noted the additional risk of bias in the CAPELLA trial beyond 14 days due to its open label nature, however considered this risk was mitigated somewhat by the primary outcomes of viral load and CD4 counts being serologically measured (</w:t>
      </w:r>
      <w:r w:rsidR="00737417" w:rsidRPr="008C164C">
        <w:t xml:space="preserve">paragraph 6.7, </w:t>
      </w:r>
      <w:proofErr w:type="spellStart"/>
      <w:r w:rsidR="00737417" w:rsidRPr="008C164C">
        <w:t>l</w:t>
      </w:r>
      <w:r w:rsidR="005019B0" w:rsidRPr="008C164C">
        <w:t>enacapavir</w:t>
      </w:r>
      <w:proofErr w:type="spellEnd"/>
      <w:r w:rsidR="005019B0" w:rsidRPr="008C164C">
        <w:t xml:space="preserve"> </w:t>
      </w:r>
      <w:r w:rsidR="00737417" w:rsidRPr="008C164C">
        <w:t xml:space="preserve">PSD, </w:t>
      </w:r>
      <w:r w:rsidR="005019B0" w:rsidRPr="008C164C">
        <w:t xml:space="preserve">November 2022 </w:t>
      </w:r>
      <w:r w:rsidR="00737417" w:rsidRPr="008C164C">
        <w:t>PBAC meeting</w:t>
      </w:r>
      <w:r w:rsidR="005019B0" w:rsidRPr="008C164C">
        <w:t>).</w:t>
      </w:r>
    </w:p>
    <w:p w14:paraId="780449D9" w14:textId="67AD58D9" w:rsidR="005019B0" w:rsidRPr="008C164C" w:rsidRDefault="001924CF" w:rsidP="005019B0">
      <w:pPr>
        <w:pStyle w:val="3-BodyText"/>
      </w:pPr>
      <w:r w:rsidRPr="008C164C">
        <w:t>For the November 2022 submission it was noted</w:t>
      </w:r>
      <w:r w:rsidR="005019B0" w:rsidRPr="008C164C">
        <w:t xml:space="preserve"> that </w:t>
      </w:r>
      <w:r w:rsidR="00520DFD" w:rsidRPr="008C164C">
        <w:t>‘</w:t>
      </w:r>
      <w:r w:rsidR="005019B0" w:rsidRPr="008C164C">
        <w:t>(a)</w:t>
      </w:r>
      <w:proofErr w:type="spellStart"/>
      <w:r w:rsidR="005019B0" w:rsidRPr="008C164C">
        <w:t>ll</w:t>
      </w:r>
      <w:proofErr w:type="spellEnd"/>
      <w:r w:rsidR="005019B0" w:rsidRPr="008C164C">
        <w:t xml:space="preserve"> of the comparator trials (BENCHMRK 1 &amp; 2, MOTIVATE 1 &amp; 2, VICTOR-E) were adequately randomised and double blind, with low risk of reporting and attrition bias, and overall had low risks of bias within each trial. However, as the submission included only the single treatment arms of interest in the clinical evaluation by the resubmission, the risk of bias from using data from only the comparators in these trials should be considered high as the benefits of randomisation for the respective trials were not retained</w:t>
      </w:r>
      <w:r w:rsidR="00520DFD" w:rsidRPr="008C164C">
        <w:t>’</w:t>
      </w:r>
      <w:r w:rsidR="005019B0" w:rsidRPr="008C164C">
        <w:t xml:space="preserve"> (</w:t>
      </w:r>
      <w:r w:rsidR="00520DFD" w:rsidRPr="008C164C">
        <w:t>p</w:t>
      </w:r>
      <w:r w:rsidR="00CA2850" w:rsidRPr="008C164C">
        <w:t xml:space="preserve">aragraph 6.12, </w:t>
      </w:r>
      <w:proofErr w:type="spellStart"/>
      <w:r w:rsidR="005019B0" w:rsidRPr="008C164C">
        <w:t>Lenacapavir</w:t>
      </w:r>
      <w:proofErr w:type="spellEnd"/>
      <w:r w:rsidR="005019B0" w:rsidRPr="008C164C">
        <w:t xml:space="preserve"> </w:t>
      </w:r>
      <w:r w:rsidR="00CA2850" w:rsidRPr="008C164C">
        <w:t xml:space="preserve">PSD, </w:t>
      </w:r>
      <w:r w:rsidR="005019B0" w:rsidRPr="008C164C">
        <w:t xml:space="preserve">November 2022 </w:t>
      </w:r>
      <w:r w:rsidR="00CA2850" w:rsidRPr="008C164C">
        <w:t>PBAC meeting</w:t>
      </w:r>
      <w:r w:rsidR="005019B0" w:rsidRPr="008C164C">
        <w:t>)</w:t>
      </w:r>
      <w:r w:rsidR="00520DFD" w:rsidRPr="008C164C">
        <w:t>.</w:t>
      </w:r>
    </w:p>
    <w:p w14:paraId="7F5DEFCB" w14:textId="2C4E1F32" w:rsidR="00D533E8" w:rsidRPr="008C164C" w:rsidRDefault="00446FCA" w:rsidP="00D533E8">
      <w:pPr>
        <w:pStyle w:val="3-BodyText"/>
      </w:pPr>
      <w:r w:rsidRPr="008C164C">
        <w:t>Similar to CAPELLA, BRIGHTE included an 8-day randomised, placebo-controlled functional monotherapy period where FTR or placebo were added to failing ARV, followed by a longer-term phase where all patients received FTR and OBT (i.e., OBR). In addition, BRIGHTE had a separate, non-randomised cohort where all patients received FTR plus OBR for 96 weeks. Overall, the</w:t>
      </w:r>
      <w:r w:rsidR="00EE16C8" w:rsidRPr="008C164C">
        <w:t xml:space="preserve"> evaluation considered that the</w:t>
      </w:r>
      <w:r w:rsidRPr="008C164C">
        <w:t xml:space="preserve"> risk of bias in BRIGHTE was </w:t>
      </w:r>
      <w:r w:rsidR="00737417" w:rsidRPr="008C164C">
        <w:t xml:space="preserve">similar to </w:t>
      </w:r>
      <w:r w:rsidRPr="008C164C">
        <w:t>that of CAPELLA, with the initial randomisation period (eight days) having a low risk of bias and the later open label periods, on which the ITC is based</w:t>
      </w:r>
      <w:r w:rsidR="00DC7358" w:rsidRPr="008C164C">
        <w:t>,</w:t>
      </w:r>
      <w:r w:rsidRPr="008C164C">
        <w:t xml:space="preserve"> having a high risk of bias</w:t>
      </w:r>
      <w:r w:rsidR="000F5220" w:rsidRPr="008C164C">
        <w:t xml:space="preserve"> and unclear risk of bias overall</w:t>
      </w:r>
      <w:r w:rsidRPr="008C164C">
        <w:t>.</w:t>
      </w:r>
    </w:p>
    <w:p w14:paraId="6B5293C1" w14:textId="40F54728" w:rsidR="00D533E8" w:rsidRPr="008C164C" w:rsidRDefault="00B3278F" w:rsidP="00D533E8">
      <w:pPr>
        <w:pStyle w:val="3-BodyText"/>
      </w:pPr>
      <w:r w:rsidRPr="008C164C">
        <w:t>I</w:t>
      </w:r>
      <w:r w:rsidR="00D533E8" w:rsidRPr="008C164C">
        <w:t>n BRIGHTE, the threshold for undetectable viral load was &lt;</w:t>
      </w:r>
      <w:r w:rsidR="00DC7358" w:rsidRPr="008C164C">
        <w:t xml:space="preserve"> </w:t>
      </w:r>
      <w:r w:rsidR="00D533E8" w:rsidRPr="008C164C">
        <w:t>40 copies/mL</w:t>
      </w:r>
      <w:r w:rsidR="005215F3" w:rsidRPr="008C164C">
        <w:t xml:space="preserve">, which the resubmission assumed </w:t>
      </w:r>
      <w:r w:rsidR="002C7017" w:rsidRPr="008C164C">
        <w:t>to be equal to a threshold of &lt;</w:t>
      </w:r>
      <w:r w:rsidR="00DC7358" w:rsidRPr="008C164C">
        <w:t xml:space="preserve"> </w:t>
      </w:r>
      <w:r w:rsidR="002C7017" w:rsidRPr="008C164C">
        <w:t>50 copies/mL in the ITC</w:t>
      </w:r>
      <w:r w:rsidR="00D533E8" w:rsidRPr="008C164C">
        <w:t xml:space="preserve">. </w:t>
      </w:r>
      <w:r w:rsidR="00EE16C8" w:rsidRPr="008C164C">
        <w:t>The evaluation considered</w:t>
      </w:r>
      <w:r w:rsidR="00194639" w:rsidRPr="008C164C">
        <w:t xml:space="preserve"> that</w:t>
      </w:r>
      <w:r w:rsidR="00EE16C8" w:rsidRPr="008C164C">
        <w:t xml:space="preserve"> i</w:t>
      </w:r>
      <w:r w:rsidR="00D533E8" w:rsidRPr="008C164C">
        <w:t xml:space="preserve">t was unclear to what extent this would bias results of the ITC, but the more stringent definition of undetectable viral load may bias in favour of </w:t>
      </w:r>
      <w:r w:rsidR="00827A01" w:rsidRPr="008C164C">
        <w:t>LEN</w:t>
      </w:r>
      <w:r w:rsidR="00D533E8" w:rsidRPr="008C164C">
        <w:t>.</w:t>
      </w:r>
    </w:p>
    <w:p w14:paraId="6CEE23D9" w14:textId="28422BDF" w:rsidR="00446FCA" w:rsidRPr="008C164C" w:rsidRDefault="00446FCA" w:rsidP="00240629">
      <w:pPr>
        <w:pStyle w:val="3-BodyText"/>
      </w:pPr>
      <w:r w:rsidRPr="008C164C">
        <w:t>TMB-301 was a non-comparative single arm study. The resubmission noted it had a 7</w:t>
      </w:r>
      <w:r w:rsidR="000F5220" w:rsidRPr="008C164C">
        <w:noBreakHyphen/>
      </w:r>
      <w:r w:rsidRPr="008C164C">
        <w:t xml:space="preserve">day baseline period, then the IBA loading dose was given (2000 mg intravenous [IV]) with failing ARV for </w:t>
      </w:r>
      <w:r w:rsidR="000F5220" w:rsidRPr="008C164C">
        <w:t>seven</w:t>
      </w:r>
      <w:r w:rsidRPr="008C164C">
        <w:t xml:space="preserve"> days and then maintenance IBA (800 mg IV every 14 days) in combination with OBR was commenced.</w:t>
      </w:r>
      <w:r w:rsidR="00712F7A" w:rsidRPr="008C164C">
        <w:t xml:space="preserve"> </w:t>
      </w:r>
      <w:r w:rsidRPr="008C164C">
        <w:t xml:space="preserve">The study duration was 25 weeks, and there </w:t>
      </w:r>
      <w:r w:rsidR="00E05021" w:rsidRPr="008C164C">
        <w:t>wa</w:t>
      </w:r>
      <w:r w:rsidRPr="008C164C">
        <w:t xml:space="preserve">s no longer-term extension study </w:t>
      </w:r>
      <w:r w:rsidR="00E05021" w:rsidRPr="008C164C">
        <w:t xml:space="preserve">which included all patients </w:t>
      </w:r>
      <w:r w:rsidRPr="008C164C">
        <w:t>of TMB</w:t>
      </w:r>
      <w:r w:rsidR="000F5220" w:rsidRPr="008C164C">
        <w:noBreakHyphen/>
      </w:r>
      <w:r w:rsidRPr="008C164C">
        <w:t xml:space="preserve">301 out to 48/52 weeks. </w:t>
      </w:r>
      <w:r w:rsidR="009221B1" w:rsidRPr="008C164C">
        <w:t xml:space="preserve">The resubmission claimed that </w:t>
      </w:r>
      <w:r w:rsidR="0050392E" w:rsidRPr="008C164C">
        <w:t>even though t</w:t>
      </w:r>
      <w:r w:rsidRPr="008C164C">
        <w:t xml:space="preserve">here </w:t>
      </w:r>
      <w:r w:rsidR="0050392E" w:rsidRPr="008C164C">
        <w:t>we</w:t>
      </w:r>
      <w:r w:rsidRPr="008C164C">
        <w:t>re some published details reported for some of the patients</w:t>
      </w:r>
      <w:r w:rsidR="006F011D" w:rsidRPr="008C164C">
        <w:t xml:space="preserve"> who were eligible for a continuation phase</w:t>
      </w:r>
      <w:r w:rsidRPr="008C164C">
        <w:t>, outcomes</w:t>
      </w:r>
      <w:r w:rsidR="00E64073" w:rsidRPr="008C164C">
        <w:t xml:space="preserve"> were not reported</w:t>
      </w:r>
      <w:r w:rsidRPr="008C164C">
        <w:t xml:space="preserve"> for all patients </w:t>
      </w:r>
      <w:r w:rsidR="006F011D" w:rsidRPr="008C164C">
        <w:t xml:space="preserve">and therefore </w:t>
      </w:r>
      <w:r w:rsidRPr="008C164C">
        <w:t>c</w:t>
      </w:r>
      <w:r w:rsidR="00172690" w:rsidRPr="008C164C">
        <w:t xml:space="preserve">ould </w:t>
      </w:r>
      <w:r w:rsidRPr="008C164C">
        <w:lastRenderedPageBreak/>
        <w:t>not be used. As such, the resubmission assumed that similar viral load undetectability was achieved at Week 48/52</w:t>
      </w:r>
      <w:r w:rsidR="00B86377" w:rsidRPr="008C164C">
        <w:t xml:space="preserve"> as reported at 25 weeks</w:t>
      </w:r>
      <w:r w:rsidRPr="008C164C">
        <w:t xml:space="preserve">. </w:t>
      </w:r>
    </w:p>
    <w:p w14:paraId="5D43A089" w14:textId="054EB84C" w:rsidR="00D533E8" w:rsidRPr="008C164C" w:rsidRDefault="00EE16C8" w:rsidP="009C074E">
      <w:pPr>
        <w:pStyle w:val="3-BodyText"/>
      </w:pPr>
      <w:r w:rsidRPr="008C164C">
        <w:t>The evaluation considered that o</w:t>
      </w:r>
      <w:r w:rsidR="00446FCA" w:rsidRPr="008C164C">
        <w:t xml:space="preserve">verall, as a non-comparative study, TMB-301 would have a high risk of bias and </w:t>
      </w:r>
      <w:r w:rsidR="00B86377" w:rsidRPr="008C164C">
        <w:t xml:space="preserve">the </w:t>
      </w:r>
      <w:r w:rsidR="00446FCA" w:rsidRPr="008C164C">
        <w:t>assumption of the 25-week result applying to 48/52 weeks further increase</w:t>
      </w:r>
      <w:r w:rsidR="00E64073" w:rsidRPr="008C164C">
        <w:t>d</w:t>
      </w:r>
      <w:r w:rsidR="00446FCA" w:rsidRPr="008C164C">
        <w:t xml:space="preserve"> the risk of bias. While incomplete, available results for the 27 patients </w:t>
      </w:r>
      <w:r w:rsidR="00E64073" w:rsidRPr="008C164C">
        <w:t>at</w:t>
      </w:r>
      <w:r w:rsidR="00446FCA" w:rsidRPr="008C164C">
        <w:t xml:space="preserve"> week 48 (compared to 40 patients at week 25) reported for TMB</w:t>
      </w:r>
      <w:r w:rsidR="0050392E" w:rsidRPr="008C164C">
        <w:noBreakHyphen/>
      </w:r>
      <w:r w:rsidR="00446FCA" w:rsidRPr="008C164C">
        <w:t xml:space="preserve">301 in </w:t>
      </w:r>
      <w:proofErr w:type="spellStart"/>
      <w:r w:rsidR="00446FCA" w:rsidRPr="008C164C">
        <w:t>Mascolini</w:t>
      </w:r>
      <w:proofErr w:type="spellEnd"/>
      <w:r w:rsidR="00446FCA" w:rsidRPr="008C164C">
        <w:t xml:space="preserve"> 2018 indicated a response rate of 67% (compared to 43% at week 25). Using the week 25 response rate to inform week 48 results may potentially underestimate response to IBA and would lower </w:t>
      </w:r>
      <w:r w:rsidR="00E64073" w:rsidRPr="008C164C">
        <w:t xml:space="preserve">the </w:t>
      </w:r>
      <w:r w:rsidR="00446FCA" w:rsidRPr="008C164C">
        <w:t>incremental effect estimated in the ITC, favouring LEN</w:t>
      </w:r>
      <w:r w:rsidR="008C164C">
        <w:t xml:space="preserve">. </w:t>
      </w:r>
      <w:r w:rsidR="00D64078" w:rsidRPr="008C164C">
        <w:t xml:space="preserve">It is possible that the higher response rate was influenced by attrition bias. </w:t>
      </w:r>
      <w:r w:rsidR="009C074E" w:rsidRPr="008C164C">
        <w:t xml:space="preserve">The </w:t>
      </w:r>
      <w:r w:rsidR="00105F49" w:rsidRPr="008C164C">
        <w:t xml:space="preserve">Pre-Sub-Committee Response </w:t>
      </w:r>
      <w:r w:rsidR="00105F49">
        <w:t>(</w:t>
      </w:r>
      <w:r w:rsidR="009C074E" w:rsidRPr="008C164C">
        <w:t>PSCR</w:t>
      </w:r>
      <w:r w:rsidR="00105F49">
        <w:t>)</w:t>
      </w:r>
      <w:r w:rsidR="009C074E" w:rsidRPr="008C164C">
        <w:t xml:space="preserve"> stated the 67% response rate was an incomplete efficacy analysis response rate for the extension phase and was not an intention-to-treat (ITT) population analysis</w:t>
      </w:r>
      <w:r w:rsidR="00180F5E">
        <w:t>. Furthermore,</w:t>
      </w:r>
      <w:r w:rsidR="00E64073" w:rsidRPr="008C164C">
        <w:t xml:space="preserve"> it only included 27/40 patients</w:t>
      </w:r>
      <w:r w:rsidR="00E75B7D">
        <w:t xml:space="preserve"> and</w:t>
      </w:r>
      <w:r w:rsidR="009C074E" w:rsidRPr="008C164C">
        <w:t xml:space="preserve"> as the initial phase ceased at 25 weeks</w:t>
      </w:r>
      <w:r w:rsidR="00E64073" w:rsidRPr="008C164C">
        <w:t>,</w:t>
      </w:r>
      <w:r w:rsidR="009C074E" w:rsidRPr="008C164C">
        <w:t xml:space="preserve"> patients for whom there was no data were assumed to be treatment successes</w:t>
      </w:r>
      <w:r w:rsidR="005160E7" w:rsidRPr="008C164C">
        <w:t xml:space="preserve"> for analyses beyond this point</w:t>
      </w:r>
      <w:r w:rsidR="009C074E" w:rsidRPr="008C164C">
        <w:t>. The Response therefore argued the use of the ITT response rate at 25 weeks was reasonable.</w:t>
      </w:r>
    </w:p>
    <w:p w14:paraId="01D24075" w14:textId="0E9D1458" w:rsidR="00356961" w:rsidRPr="008C164C" w:rsidRDefault="002651CC" w:rsidP="00D533E8">
      <w:pPr>
        <w:pStyle w:val="3-BodyText"/>
      </w:pPr>
      <w:r w:rsidRPr="008C164C">
        <w:rPr>
          <w:color w:val="000000" w:themeColor="text1"/>
        </w:rPr>
        <w:t>The resubmission claimed that to address the imbalances in use of INSTIs and newer agents between LEN + OBR (in CAPELLA) and OBR alone (from the comparator studies), BRIGHTE and TMB-301 trials were included in the meta-analysis of OBR alone</w:t>
      </w:r>
      <w:r w:rsidR="00500EF2" w:rsidRPr="008C164C">
        <w:rPr>
          <w:color w:val="000000" w:themeColor="text1"/>
        </w:rPr>
        <w:t xml:space="preserve">. The </w:t>
      </w:r>
      <w:r w:rsidR="00D64078" w:rsidRPr="008C164C">
        <w:rPr>
          <w:color w:val="000000" w:themeColor="text1"/>
        </w:rPr>
        <w:t>re</w:t>
      </w:r>
      <w:r w:rsidR="00500EF2" w:rsidRPr="008C164C">
        <w:rPr>
          <w:color w:val="000000" w:themeColor="text1"/>
        </w:rPr>
        <w:t>submission</w:t>
      </w:r>
      <w:r w:rsidRPr="008C164C">
        <w:rPr>
          <w:color w:val="000000" w:themeColor="text1"/>
        </w:rPr>
        <w:t xml:space="preserve"> claimed</w:t>
      </w:r>
      <w:r w:rsidR="00500EF2" w:rsidRPr="008C164C">
        <w:rPr>
          <w:color w:val="000000" w:themeColor="text1"/>
        </w:rPr>
        <w:t xml:space="preserve"> this</w:t>
      </w:r>
      <w:r w:rsidRPr="008C164C">
        <w:rPr>
          <w:color w:val="000000" w:themeColor="text1"/>
        </w:rPr>
        <w:t xml:space="preserve"> introduce</w:t>
      </w:r>
      <w:r w:rsidR="00E64073" w:rsidRPr="008C164C">
        <w:rPr>
          <w:color w:val="000000" w:themeColor="text1"/>
        </w:rPr>
        <w:t>d</w:t>
      </w:r>
      <w:r w:rsidRPr="008C164C">
        <w:rPr>
          <w:color w:val="000000" w:themeColor="text1"/>
        </w:rPr>
        <w:t xml:space="preserve"> a proportion of FTR and IBA use consistent with their use forming OBR in the LEN + OBR arm of CAPELLA. </w:t>
      </w:r>
    </w:p>
    <w:p w14:paraId="7700DAB6" w14:textId="3B2222F3" w:rsidR="00D533E8" w:rsidRPr="008C164C" w:rsidRDefault="00D533E8" w:rsidP="00D533E8">
      <w:pPr>
        <w:pStyle w:val="3-BodyText"/>
      </w:pPr>
      <w:r w:rsidRPr="008C164C">
        <w:t xml:space="preserve">The </w:t>
      </w:r>
      <w:r w:rsidR="00194639" w:rsidRPr="008C164C">
        <w:t xml:space="preserve">evaluation considered that the </w:t>
      </w:r>
      <w:r w:rsidRPr="008C164C">
        <w:t>inclusion of BRIGHTE and TMB-301 may not be justified as neither IBA nor FTR is available on the PBS and none of the Australian clinicians surveyed by the sponsor indicated that they use IBA or FTR in any HIV patients. While the resubmission argued that the inclusion of BRIGHTE and TMB</w:t>
      </w:r>
      <w:r w:rsidRPr="008C164C">
        <w:noBreakHyphen/>
        <w:t xml:space="preserve">301 in the comparator would allow adjustments for the use of IBA and FTR in the LEN + OBR arm, it would misrepresent the response rate of OBR alone in Australian practice. Further, this approach assumed that there </w:t>
      </w:r>
      <w:r w:rsidR="002B14DD" w:rsidRPr="008C164C">
        <w:t>wa</w:t>
      </w:r>
      <w:r w:rsidRPr="008C164C">
        <w:t xml:space="preserve">s no synergistic benefit between IBA or FTR with LEN, which may not be appropriate given that different ARVs with different mechanisms of actions are commonly used as there is synergy between classes. </w:t>
      </w:r>
    </w:p>
    <w:p w14:paraId="510369AA" w14:textId="3800FFCC" w:rsidR="009C074E" w:rsidRPr="008C164C" w:rsidRDefault="009C074E" w:rsidP="00D533E8">
      <w:pPr>
        <w:pStyle w:val="3-BodyText"/>
      </w:pPr>
      <w:r w:rsidRPr="008C164C">
        <w:t>The PSCR argued the FTR and I</w:t>
      </w:r>
      <w:r w:rsidR="003C3329" w:rsidRPr="008C164C">
        <w:t>B</w:t>
      </w:r>
      <w:r w:rsidRPr="008C164C">
        <w:t xml:space="preserve">A trials are the most contemporary studies to investigate an intervention, in combination with OBR, in </w:t>
      </w:r>
      <w:proofErr w:type="spellStart"/>
      <w:r w:rsidRPr="008C164C">
        <w:t>hMDR</w:t>
      </w:r>
      <w:proofErr w:type="spellEnd"/>
      <w:r w:rsidRPr="008C164C">
        <w:t xml:space="preserve"> patients living with HIV, and argued the composition of OBR in these trials largely reflects contemporary clinical practice given all medicines are available and used in Australia (except for FTR and IBA themselves). The Response further argued that as more recent trials, the increased use of INSTIs in the OBR composition of these studies should more appropriately reflect utilisation in Australian practice, and </w:t>
      </w:r>
      <w:r w:rsidR="00803F84" w:rsidRPr="008C164C">
        <w:t xml:space="preserve">their inclusion </w:t>
      </w:r>
      <w:r w:rsidR="00D8354B" w:rsidRPr="008C164C">
        <w:t>resulted</w:t>
      </w:r>
      <w:r w:rsidR="00653EC9" w:rsidRPr="008C164C">
        <w:t xml:space="preserve"> in</w:t>
      </w:r>
      <w:r w:rsidR="00D8354B" w:rsidRPr="008C164C">
        <w:t xml:space="preserve"> more</w:t>
      </w:r>
      <w:r w:rsidR="00803F84" w:rsidRPr="008C164C">
        <w:t xml:space="preserve"> </w:t>
      </w:r>
      <w:r w:rsidR="00556CCB" w:rsidRPr="008C164C">
        <w:t>consistency in the OBR</w:t>
      </w:r>
      <w:r w:rsidR="00D8354B" w:rsidRPr="008C164C">
        <w:t xml:space="preserve"> in</w:t>
      </w:r>
      <w:r w:rsidR="00556CCB" w:rsidRPr="008C164C">
        <w:t xml:space="preserve"> </w:t>
      </w:r>
      <w:r w:rsidR="00803F84" w:rsidRPr="008C164C">
        <w:t xml:space="preserve">the comparator arm </w:t>
      </w:r>
      <w:r w:rsidR="00D8354B" w:rsidRPr="008C164C">
        <w:t>and</w:t>
      </w:r>
      <w:r w:rsidR="00803F84" w:rsidRPr="008C164C">
        <w:t xml:space="preserve"> the LEN + OBR arm of CAPELLA. </w:t>
      </w:r>
    </w:p>
    <w:p w14:paraId="4A4FE085" w14:textId="58FE09FC" w:rsidR="00B60939" w:rsidRPr="008C164C" w:rsidRDefault="00B60939" w:rsidP="00EC5836">
      <w:pPr>
        <w:pStyle w:val="4-SubsectionHeading"/>
      </w:pPr>
      <w:bookmarkStart w:id="32" w:name="_Toc22897641"/>
      <w:bookmarkStart w:id="33" w:name="_Toc145485260"/>
      <w:r w:rsidRPr="008C164C">
        <w:lastRenderedPageBreak/>
        <w:t>Comparative effectiveness</w:t>
      </w:r>
      <w:bookmarkEnd w:id="32"/>
      <w:bookmarkEnd w:id="33"/>
    </w:p>
    <w:p w14:paraId="73973C0E" w14:textId="31B3F04C" w:rsidR="007C09B3" w:rsidRPr="008C164C" w:rsidRDefault="007C09B3" w:rsidP="007C09B3">
      <w:pPr>
        <w:pStyle w:val="3-BodyText"/>
      </w:pPr>
      <w:r w:rsidRPr="008C164C">
        <w:t>The primary outcome of CAPELLA was the proportion of patients with a reduction in HIV-1 RNA of ≥ 0.5 log</w:t>
      </w:r>
      <w:r w:rsidRPr="00EC32F4">
        <w:rPr>
          <w:vertAlign w:val="subscript"/>
        </w:rPr>
        <w:t>10</w:t>
      </w:r>
      <w:r w:rsidRPr="008C164C">
        <w:t xml:space="preserve"> copies/mL from baseline at the end of the 14-day Functional Monotherapy period. </w:t>
      </w:r>
      <w:r w:rsidR="004E4663" w:rsidRPr="008C164C">
        <w:t>A</w:t>
      </w:r>
      <w:r w:rsidRPr="008C164C">
        <w:t xml:space="preserve"> significantly improved efficacy was observed with LEN compared with placebo (87.5% vs. 16.7%, respectively; p&lt;0.0001)</w:t>
      </w:r>
      <w:r w:rsidR="008E0993" w:rsidRPr="008C164C">
        <w:t xml:space="preserve">, </w:t>
      </w:r>
      <w:r w:rsidR="0086235D" w:rsidRPr="008C164C">
        <w:t xml:space="preserve">with the same treatment difference reported </w:t>
      </w:r>
      <w:r w:rsidRPr="008C164C">
        <w:t>when baseline HIV-1 RNA was adjusted using rank analysis of covariance.</w:t>
      </w:r>
    </w:p>
    <w:p w14:paraId="547D3C75" w14:textId="448A83B4" w:rsidR="007C09B3" w:rsidRPr="008C164C" w:rsidRDefault="00842C77" w:rsidP="007C09B3">
      <w:pPr>
        <w:pStyle w:val="3-BodyText"/>
      </w:pPr>
      <w:r w:rsidRPr="008C164C">
        <w:t xml:space="preserve">In the resubmission, </w:t>
      </w:r>
      <w:r w:rsidR="007C09B3" w:rsidRPr="008C164C">
        <w:t xml:space="preserve">CAPELLA data up to week 104 for </w:t>
      </w:r>
      <w:r w:rsidR="00D76E8D" w:rsidRPr="008C164C">
        <w:t>s</w:t>
      </w:r>
      <w:r w:rsidR="007C09B3" w:rsidRPr="008C164C">
        <w:t xml:space="preserve">econdary outcomes </w:t>
      </w:r>
      <w:r w:rsidR="00C42E77" w:rsidRPr="008C164C">
        <w:t xml:space="preserve">from the open label single arm phase </w:t>
      </w:r>
      <w:r w:rsidR="007C09B3" w:rsidRPr="008C164C">
        <w:t>(compared to week 52 in the previous submission)</w:t>
      </w:r>
      <w:r w:rsidR="00355335" w:rsidRPr="008C164C">
        <w:t xml:space="preserve"> was reported</w:t>
      </w:r>
      <w:r w:rsidR="003A6F69" w:rsidRPr="008C164C">
        <w:t xml:space="preserve"> (</w:t>
      </w:r>
      <w:r w:rsidR="003A6F69" w:rsidRPr="008C164C">
        <w:fldChar w:fldCharType="begin" w:fldLock="1"/>
      </w:r>
      <w:r w:rsidR="003A6F69" w:rsidRPr="008C164C">
        <w:instrText xml:space="preserve"> REF _Ref142854022 \h </w:instrText>
      </w:r>
      <w:r w:rsidR="003A6F69" w:rsidRPr="008C164C">
        <w:fldChar w:fldCharType="separate"/>
      </w:r>
      <w:r w:rsidR="00682506" w:rsidRPr="008C164C">
        <w:t xml:space="preserve">Table </w:t>
      </w:r>
      <w:r w:rsidR="00682506">
        <w:rPr>
          <w:noProof/>
        </w:rPr>
        <w:t>5</w:t>
      </w:r>
      <w:r w:rsidR="003A6F69" w:rsidRPr="008C164C">
        <w:fldChar w:fldCharType="end"/>
      </w:r>
      <w:r w:rsidR="003A6F69" w:rsidRPr="008C164C">
        <w:t xml:space="preserve"> and </w:t>
      </w:r>
      <w:r w:rsidR="003A6F69" w:rsidRPr="008C164C">
        <w:fldChar w:fldCharType="begin" w:fldLock="1"/>
      </w:r>
      <w:r w:rsidR="003A6F69" w:rsidRPr="008C164C">
        <w:instrText xml:space="preserve"> REF _Ref142854037 \h </w:instrText>
      </w:r>
      <w:r w:rsidR="003A6F69" w:rsidRPr="008C164C">
        <w:fldChar w:fldCharType="separate"/>
      </w:r>
      <w:r w:rsidR="00682506" w:rsidRPr="008C164C">
        <w:rPr>
          <w:szCs w:val="20"/>
        </w:rPr>
        <w:t xml:space="preserve">Figure </w:t>
      </w:r>
      <w:r w:rsidR="00682506" w:rsidRPr="00682506">
        <w:rPr>
          <w:noProof/>
        </w:rPr>
        <w:t>1</w:t>
      </w:r>
      <w:r w:rsidR="003A6F69" w:rsidRPr="008C164C">
        <w:fldChar w:fldCharType="end"/>
      </w:r>
      <w:r w:rsidR="003A6F69" w:rsidRPr="008C164C">
        <w:t>)</w:t>
      </w:r>
      <w:r w:rsidR="007C09B3" w:rsidRPr="008C164C">
        <w:t>.</w:t>
      </w:r>
      <w:r w:rsidR="00355335" w:rsidRPr="008C164C">
        <w:t xml:space="preserve"> </w:t>
      </w:r>
    </w:p>
    <w:p w14:paraId="0AB77558" w14:textId="4118EBF9" w:rsidR="001A43F9" w:rsidRPr="008C164C" w:rsidRDefault="001A43F9" w:rsidP="00171B5A">
      <w:pPr>
        <w:pStyle w:val="TableFigureHeading"/>
        <w:keepLines/>
      </w:pPr>
      <w:bookmarkStart w:id="34" w:name="_Ref142854022"/>
      <w:r w:rsidRPr="008C164C">
        <w:lastRenderedPageBreak/>
        <w:t xml:space="preserve">Table </w:t>
      </w:r>
      <w:r w:rsidR="00B25BFE">
        <w:fldChar w:fldCharType="begin" w:fldLock="1"/>
      </w:r>
      <w:r w:rsidR="00B25BFE">
        <w:instrText xml:space="preserve"> SEQ Table \* ARABIC </w:instrText>
      </w:r>
      <w:r w:rsidR="00B25BFE">
        <w:fldChar w:fldCharType="separate"/>
      </w:r>
      <w:r w:rsidR="00682506">
        <w:rPr>
          <w:noProof/>
        </w:rPr>
        <w:t>5</w:t>
      </w:r>
      <w:r w:rsidR="00B25BFE">
        <w:rPr>
          <w:noProof/>
        </w:rPr>
        <w:fldChar w:fldCharType="end"/>
      </w:r>
      <w:bookmarkEnd w:id="34"/>
      <w:r w:rsidRPr="008C164C">
        <w:t>: Key secondary efficacy outcomes (Week 52, Week 104; FAS)</w:t>
      </w:r>
    </w:p>
    <w:tbl>
      <w:tblPr>
        <w:tblStyle w:val="TableGrid"/>
        <w:tblW w:w="9010" w:type="dxa"/>
        <w:tblLayout w:type="fixed"/>
        <w:tblLook w:val="0600" w:firstRow="0" w:lastRow="0" w:firstColumn="0" w:lastColumn="0" w:noHBand="1" w:noVBand="1"/>
      </w:tblPr>
      <w:tblGrid>
        <w:gridCol w:w="2405"/>
        <w:gridCol w:w="851"/>
        <w:gridCol w:w="1134"/>
        <w:gridCol w:w="1134"/>
        <w:gridCol w:w="1134"/>
        <w:gridCol w:w="1134"/>
        <w:gridCol w:w="1218"/>
      </w:tblGrid>
      <w:tr w:rsidR="001A43F9" w:rsidRPr="008C164C" w14:paraId="36383DC5" w14:textId="77777777" w:rsidTr="00B348E4">
        <w:trPr>
          <w:trHeight w:val="20"/>
        </w:trPr>
        <w:tc>
          <w:tcPr>
            <w:tcW w:w="2405" w:type="dxa"/>
            <w:vAlign w:val="center"/>
            <w:hideMark/>
          </w:tcPr>
          <w:p w14:paraId="3B1D6F89" w14:textId="77777777" w:rsidR="001A43F9" w:rsidRPr="008C164C" w:rsidRDefault="001A43F9" w:rsidP="00171B5A">
            <w:pPr>
              <w:pStyle w:val="TableText0"/>
              <w:keepLines/>
              <w:rPr>
                <w:b/>
                <w:bCs w:val="0"/>
              </w:rPr>
            </w:pPr>
            <w:r w:rsidRPr="008C164C">
              <w:rPr>
                <w:b/>
                <w:bCs w:val="0"/>
              </w:rPr>
              <w:t>Outcome</w:t>
            </w:r>
          </w:p>
        </w:tc>
        <w:tc>
          <w:tcPr>
            <w:tcW w:w="851" w:type="dxa"/>
            <w:vAlign w:val="center"/>
          </w:tcPr>
          <w:p w14:paraId="734CA7F1" w14:textId="77777777" w:rsidR="001A43F9" w:rsidRPr="008C164C" w:rsidRDefault="001A43F9" w:rsidP="00171B5A">
            <w:pPr>
              <w:pStyle w:val="TableText0"/>
              <w:keepLines/>
              <w:jc w:val="center"/>
              <w:rPr>
                <w:b/>
                <w:bCs w:val="0"/>
              </w:rPr>
            </w:pPr>
            <w:r w:rsidRPr="008C164C">
              <w:rPr>
                <w:b/>
                <w:bCs w:val="0"/>
              </w:rPr>
              <w:t>Time-point</w:t>
            </w:r>
          </w:p>
        </w:tc>
        <w:tc>
          <w:tcPr>
            <w:tcW w:w="1134" w:type="dxa"/>
            <w:vAlign w:val="center"/>
            <w:hideMark/>
          </w:tcPr>
          <w:p w14:paraId="5ED3CC33" w14:textId="77777777" w:rsidR="001A43F9" w:rsidRPr="008C164C" w:rsidRDefault="001A43F9" w:rsidP="00171B5A">
            <w:pPr>
              <w:pStyle w:val="TableText0"/>
              <w:keepLines/>
              <w:jc w:val="center"/>
              <w:rPr>
                <w:b/>
                <w:bCs w:val="0"/>
              </w:rPr>
            </w:pPr>
            <w:r w:rsidRPr="008C164C">
              <w:rPr>
                <w:b/>
                <w:bCs w:val="0"/>
              </w:rPr>
              <w:t>Cohort 1A</w:t>
            </w:r>
          </w:p>
          <w:p w14:paraId="7E4D9FE8" w14:textId="77777777" w:rsidR="001A43F9" w:rsidRPr="008C164C" w:rsidRDefault="001A43F9" w:rsidP="00171B5A">
            <w:pPr>
              <w:pStyle w:val="TableText0"/>
              <w:keepLines/>
              <w:jc w:val="center"/>
              <w:rPr>
                <w:b/>
                <w:bCs w:val="0"/>
              </w:rPr>
            </w:pPr>
            <w:r w:rsidRPr="008C164C">
              <w:rPr>
                <w:b/>
                <w:bCs w:val="0"/>
              </w:rPr>
              <w:t>LEN + OBR</w:t>
            </w:r>
          </w:p>
          <w:p w14:paraId="02FC9041" w14:textId="77777777" w:rsidR="001A43F9" w:rsidRPr="008C164C" w:rsidRDefault="001A43F9" w:rsidP="00171B5A">
            <w:pPr>
              <w:pStyle w:val="TableText0"/>
              <w:keepLines/>
              <w:jc w:val="center"/>
              <w:rPr>
                <w:b/>
                <w:bCs w:val="0"/>
              </w:rPr>
            </w:pPr>
            <w:r w:rsidRPr="008C164C">
              <w:rPr>
                <w:b/>
                <w:bCs w:val="0"/>
              </w:rPr>
              <w:t>(N=24)</w:t>
            </w:r>
          </w:p>
        </w:tc>
        <w:tc>
          <w:tcPr>
            <w:tcW w:w="1134" w:type="dxa"/>
            <w:vAlign w:val="center"/>
          </w:tcPr>
          <w:p w14:paraId="2E36C297" w14:textId="77777777" w:rsidR="001A43F9" w:rsidRPr="008C164C" w:rsidRDefault="001A43F9" w:rsidP="00171B5A">
            <w:pPr>
              <w:pStyle w:val="TableText0"/>
              <w:keepLines/>
              <w:jc w:val="center"/>
              <w:rPr>
                <w:rFonts w:eastAsia="Times New Roman"/>
                <w:b/>
                <w:bCs w:val="0"/>
              </w:rPr>
            </w:pPr>
            <w:r w:rsidRPr="008C164C">
              <w:rPr>
                <w:rFonts w:eastAsia="Times New Roman"/>
                <w:b/>
                <w:bCs w:val="0"/>
              </w:rPr>
              <w:t>Cohort 1B</w:t>
            </w:r>
          </w:p>
          <w:p w14:paraId="05D3DE72" w14:textId="77777777" w:rsidR="001A43F9" w:rsidRPr="008C164C" w:rsidRDefault="001A43F9" w:rsidP="00171B5A">
            <w:pPr>
              <w:pStyle w:val="TableText0"/>
              <w:keepLines/>
              <w:jc w:val="center"/>
              <w:rPr>
                <w:rFonts w:eastAsia="Times New Roman"/>
                <w:b/>
                <w:bCs w:val="0"/>
              </w:rPr>
            </w:pPr>
            <w:r w:rsidRPr="008C164C">
              <w:rPr>
                <w:rFonts w:eastAsia="Times New Roman"/>
                <w:b/>
                <w:bCs w:val="0"/>
              </w:rPr>
              <w:t>Placebo to LEN + OBR</w:t>
            </w:r>
          </w:p>
          <w:p w14:paraId="2C097FC0" w14:textId="77777777" w:rsidR="001A43F9" w:rsidRPr="008C164C" w:rsidRDefault="001A43F9" w:rsidP="00171B5A">
            <w:pPr>
              <w:pStyle w:val="TableText0"/>
              <w:keepLines/>
              <w:jc w:val="center"/>
              <w:rPr>
                <w:rFonts w:eastAsia="Times New Roman"/>
                <w:b/>
                <w:bCs w:val="0"/>
              </w:rPr>
            </w:pPr>
            <w:r w:rsidRPr="008C164C">
              <w:rPr>
                <w:rFonts w:eastAsia="Times New Roman"/>
                <w:b/>
                <w:bCs w:val="0"/>
              </w:rPr>
              <w:t>(N=12)</w:t>
            </w:r>
          </w:p>
        </w:tc>
        <w:tc>
          <w:tcPr>
            <w:tcW w:w="1134" w:type="dxa"/>
            <w:vAlign w:val="center"/>
          </w:tcPr>
          <w:p w14:paraId="0376B568" w14:textId="77777777" w:rsidR="001A43F9" w:rsidRPr="008C164C" w:rsidRDefault="001A43F9" w:rsidP="00171B5A">
            <w:pPr>
              <w:pStyle w:val="TableText0"/>
              <w:keepLines/>
              <w:jc w:val="center"/>
              <w:rPr>
                <w:b/>
                <w:bCs w:val="0"/>
              </w:rPr>
            </w:pPr>
            <w:r w:rsidRPr="008C164C">
              <w:rPr>
                <w:b/>
                <w:bCs w:val="0"/>
              </w:rPr>
              <w:t>Cohort 1 (1A &amp; 1B)</w:t>
            </w:r>
          </w:p>
          <w:p w14:paraId="7C1A0349" w14:textId="77777777" w:rsidR="001A43F9" w:rsidRPr="008C164C" w:rsidRDefault="001A43F9" w:rsidP="00171B5A">
            <w:pPr>
              <w:pStyle w:val="TableText0"/>
              <w:keepLines/>
              <w:jc w:val="center"/>
              <w:rPr>
                <w:b/>
                <w:bCs w:val="0"/>
              </w:rPr>
            </w:pPr>
            <w:r w:rsidRPr="008C164C">
              <w:rPr>
                <w:b/>
                <w:bCs w:val="0"/>
              </w:rPr>
              <w:t>All LEN + OBR (N=36)</w:t>
            </w:r>
          </w:p>
        </w:tc>
        <w:tc>
          <w:tcPr>
            <w:tcW w:w="1134" w:type="dxa"/>
            <w:vAlign w:val="center"/>
            <w:hideMark/>
          </w:tcPr>
          <w:p w14:paraId="0CFD03AE" w14:textId="77777777" w:rsidR="001A43F9" w:rsidRPr="008C164C" w:rsidRDefault="001A43F9" w:rsidP="00171B5A">
            <w:pPr>
              <w:pStyle w:val="TableText0"/>
              <w:keepLines/>
              <w:jc w:val="center"/>
              <w:rPr>
                <w:rFonts w:eastAsia="Times New Roman"/>
                <w:b/>
                <w:bCs w:val="0"/>
              </w:rPr>
            </w:pPr>
            <w:r w:rsidRPr="008C164C">
              <w:rPr>
                <w:rFonts w:eastAsia="Times New Roman"/>
                <w:b/>
                <w:bCs w:val="0"/>
              </w:rPr>
              <w:t>Cohort 2</w:t>
            </w:r>
          </w:p>
          <w:p w14:paraId="6182DCF0" w14:textId="77777777" w:rsidR="001A43F9" w:rsidRPr="008C164C" w:rsidRDefault="001A43F9" w:rsidP="00171B5A">
            <w:pPr>
              <w:pStyle w:val="TableText0"/>
              <w:keepLines/>
              <w:jc w:val="center"/>
              <w:rPr>
                <w:rFonts w:eastAsia="Times New Roman"/>
                <w:b/>
                <w:bCs w:val="0"/>
              </w:rPr>
            </w:pPr>
            <w:r w:rsidRPr="008C164C">
              <w:rPr>
                <w:rFonts w:eastAsia="Times New Roman"/>
                <w:b/>
                <w:bCs w:val="0"/>
              </w:rPr>
              <w:t>LEN + OBR</w:t>
            </w:r>
          </w:p>
          <w:p w14:paraId="7462BBE6" w14:textId="77777777" w:rsidR="001A43F9" w:rsidRPr="008C164C" w:rsidRDefault="001A43F9" w:rsidP="00171B5A">
            <w:pPr>
              <w:pStyle w:val="TableText0"/>
              <w:keepLines/>
              <w:jc w:val="center"/>
              <w:rPr>
                <w:b/>
                <w:bCs w:val="0"/>
              </w:rPr>
            </w:pPr>
            <w:r w:rsidRPr="008C164C">
              <w:rPr>
                <w:rFonts w:eastAsia="Times New Roman"/>
                <w:b/>
                <w:bCs w:val="0"/>
              </w:rPr>
              <w:t>(N=36)</w:t>
            </w:r>
          </w:p>
        </w:tc>
        <w:tc>
          <w:tcPr>
            <w:tcW w:w="1218" w:type="dxa"/>
            <w:vAlign w:val="center"/>
            <w:hideMark/>
          </w:tcPr>
          <w:p w14:paraId="0ACF6929" w14:textId="77777777" w:rsidR="001A43F9" w:rsidRPr="008C164C" w:rsidRDefault="001A43F9" w:rsidP="00171B5A">
            <w:pPr>
              <w:pStyle w:val="TableText0"/>
              <w:keepLines/>
              <w:jc w:val="center"/>
              <w:rPr>
                <w:rFonts w:eastAsia="Times New Roman"/>
                <w:b/>
                <w:bCs w:val="0"/>
              </w:rPr>
            </w:pPr>
            <w:r w:rsidRPr="008C164C">
              <w:rPr>
                <w:rFonts w:eastAsia="Times New Roman"/>
                <w:b/>
                <w:bCs w:val="0"/>
              </w:rPr>
              <w:t>Cohort 1 &amp; 2 combined</w:t>
            </w:r>
          </w:p>
          <w:p w14:paraId="5201EE16" w14:textId="77777777" w:rsidR="001A43F9" w:rsidRPr="008C164C" w:rsidRDefault="001A43F9" w:rsidP="00171B5A">
            <w:pPr>
              <w:pStyle w:val="TableText0"/>
              <w:keepLines/>
              <w:jc w:val="center"/>
              <w:rPr>
                <w:rFonts w:eastAsia="Times New Roman"/>
                <w:b/>
                <w:bCs w:val="0"/>
              </w:rPr>
            </w:pPr>
            <w:r w:rsidRPr="008C164C">
              <w:rPr>
                <w:rFonts w:eastAsia="Times New Roman"/>
                <w:b/>
                <w:bCs w:val="0"/>
              </w:rPr>
              <w:t>LEN + OBR</w:t>
            </w:r>
          </w:p>
          <w:p w14:paraId="2F179191" w14:textId="77777777" w:rsidR="001A43F9" w:rsidRPr="008C164C" w:rsidRDefault="001A43F9" w:rsidP="00171B5A">
            <w:pPr>
              <w:pStyle w:val="TableText0"/>
              <w:keepLines/>
              <w:jc w:val="center"/>
              <w:rPr>
                <w:b/>
                <w:bCs w:val="0"/>
              </w:rPr>
            </w:pPr>
            <w:r w:rsidRPr="008C164C">
              <w:rPr>
                <w:rFonts w:eastAsia="Times New Roman"/>
                <w:b/>
                <w:bCs w:val="0"/>
              </w:rPr>
              <w:t>(N=72)</w:t>
            </w:r>
          </w:p>
        </w:tc>
      </w:tr>
      <w:tr w:rsidR="008546DB" w:rsidRPr="008C164C" w14:paraId="7F72768C" w14:textId="77777777" w:rsidTr="00240629">
        <w:trPr>
          <w:trHeight w:val="20"/>
        </w:trPr>
        <w:tc>
          <w:tcPr>
            <w:tcW w:w="9010" w:type="dxa"/>
            <w:gridSpan w:val="7"/>
            <w:vAlign w:val="center"/>
          </w:tcPr>
          <w:p w14:paraId="65B58314" w14:textId="08BC15AD" w:rsidR="008546DB" w:rsidRPr="008C164C" w:rsidRDefault="008546DB" w:rsidP="00171B5A">
            <w:pPr>
              <w:pStyle w:val="TableText0"/>
              <w:keepLines/>
              <w:rPr>
                <w:rFonts w:eastAsia="Times New Roman"/>
              </w:rPr>
            </w:pPr>
            <w:r w:rsidRPr="008C164C">
              <w:rPr>
                <w:rFonts w:eastAsia="Times New Roman"/>
                <w:b/>
                <w:bCs w:val="0"/>
              </w:rPr>
              <w:t>Viral load</w:t>
            </w:r>
          </w:p>
        </w:tc>
      </w:tr>
      <w:tr w:rsidR="00171B5A" w:rsidRPr="008C164C" w14:paraId="75F467C3" w14:textId="77777777" w:rsidTr="00171B5A">
        <w:trPr>
          <w:trHeight w:val="459"/>
        </w:trPr>
        <w:tc>
          <w:tcPr>
            <w:tcW w:w="2405" w:type="dxa"/>
            <w:vMerge w:val="restart"/>
            <w:vAlign w:val="center"/>
          </w:tcPr>
          <w:p w14:paraId="79A07394" w14:textId="64CAA649" w:rsidR="00171B5A" w:rsidRPr="008C164C" w:rsidRDefault="00171B5A" w:rsidP="00171B5A">
            <w:pPr>
              <w:pStyle w:val="TableText0"/>
              <w:keepLines/>
              <w:rPr>
                <w:rFonts w:eastAsia="Times New Roman"/>
              </w:rPr>
            </w:pPr>
            <w:r w:rsidRPr="008C164C">
              <w:rPr>
                <w:rFonts w:eastAsia="Times New Roman"/>
              </w:rPr>
              <w:t>Patients with viral load &lt;</w:t>
            </w:r>
            <w:r w:rsidR="00F515BC" w:rsidRPr="008C164C">
              <w:rPr>
                <w:rFonts w:eastAsia="Times New Roman"/>
              </w:rPr>
              <w:t xml:space="preserve"> </w:t>
            </w:r>
            <w:r w:rsidRPr="008C164C">
              <w:rPr>
                <w:rFonts w:eastAsia="Times New Roman"/>
              </w:rPr>
              <w:t>50 copies/mL: US FDA-defined snapshot method, n (n/N at Week 104</w:t>
            </w:r>
            <w:r w:rsidR="00D64078" w:rsidRPr="008C164C">
              <w:rPr>
                <w:rFonts w:eastAsia="Times New Roman"/>
                <w:vertAlign w:val="superscript"/>
              </w:rPr>
              <w:t>a</w:t>
            </w:r>
            <w:r w:rsidR="00D64078" w:rsidRPr="008C164C">
              <w:rPr>
                <w:rFonts w:eastAsia="Times New Roman"/>
              </w:rPr>
              <w:t xml:space="preserve"> </w:t>
            </w:r>
            <w:r w:rsidRPr="008C164C">
              <w:rPr>
                <w:rFonts w:eastAsia="Times New Roman"/>
              </w:rPr>
              <w:t>(%); (95% CI)</w:t>
            </w:r>
          </w:p>
        </w:tc>
        <w:tc>
          <w:tcPr>
            <w:tcW w:w="851" w:type="dxa"/>
            <w:shd w:val="clear" w:color="auto" w:fill="C6D9F1" w:themeFill="text2" w:themeFillTint="33"/>
            <w:vAlign w:val="center"/>
          </w:tcPr>
          <w:p w14:paraId="1B7EF8CB" w14:textId="77777777" w:rsidR="00171B5A" w:rsidRPr="008C164C" w:rsidRDefault="00171B5A" w:rsidP="00171B5A">
            <w:pPr>
              <w:pStyle w:val="TableText0"/>
              <w:keepLines/>
              <w:jc w:val="center"/>
              <w:rPr>
                <w:rFonts w:eastAsia="Times New Roman"/>
              </w:rPr>
            </w:pPr>
            <w:proofErr w:type="spellStart"/>
            <w:r w:rsidRPr="008C164C">
              <w:rPr>
                <w:rFonts w:eastAsia="Times New Roman"/>
              </w:rPr>
              <w:t>Wk</w:t>
            </w:r>
            <w:proofErr w:type="spellEnd"/>
            <w:r w:rsidRPr="008C164C">
              <w:rPr>
                <w:rFonts w:eastAsia="Times New Roman"/>
              </w:rPr>
              <w:t xml:space="preserve"> 52</w:t>
            </w:r>
          </w:p>
        </w:tc>
        <w:tc>
          <w:tcPr>
            <w:tcW w:w="1134" w:type="dxa"/>
            <w:shd w:val="clear" w:color="auto" w:fill="C6D9F1" w:themeFill="text2" w:themeFillTint="33"/>
            <w:vAlign w:val="center"/>
          </w:tcPr>
          <w:p w14:paraId="711B3951" w14:textId="77777777" w:rsidR="00171B5A" w:rsidRPr="008C164C" w:rsidRDefault="00171B5A" w:rsidP="00171B5A">
            <w:pPr>
              <w:pStyle w:val="TableText0"/>
              <w:keepLines/>
              <w:jc w:val="center"/>
              <w:rPr>
                <w:rFonts w:eastAsia="Times New Roman"/>
              </w:rPr>
            </w:pPr>
            <w:r w:rsidRPr="008C164C">
              <w:rPr>
                <w:rFonts w:eastAsia="Times New Roman"/>
              </w:rPr>
              <w:t>21 (87.5)</w:t>
            </w:r>
          </w:p>
          <w:p w14:paraId="3C72D3C2" w14:textId="77777777" w:rsidR="00171B5A" w:rsidRPr="008C164C" w:rsidRDefault="00171B5A" w:rsidP="00171B5A">
            <w:pPr>
              <w:pStyle w:val="TableText0"/>
              <w:keepLines/>
              <w:jc w:val="center"/>
              <w:rPr>
                <w:rFonts w:eastAsia="Times New Roman"/>
              </w:rPr>
            </w:pPr>
            <w:r w:rsidRPr="008C164C">
              <w:rPr>
                <w:rFonts w:eastAsia="Times New Roman"/>
              </w:rPr>
              <w:t>(67.6, 97.3)</w:t>
            </w:r>
          </w:p>
        </w:tc>
        <w:tc>
          <w:tcPr>
            <w:tcW w:w="1134" w:type="dxa"/>
            <w:shd w:val="clear" w:color="auto" w:fill="C6D9F1" w:themeFill="text2" w:themeFillTint="33"/>
            <w:vAlign w:val="center"/>
          </w:tcPr>
          <w:p w14:paraId="1C3292B8" w14:textId="77777777" w:rsidR="00171B5A" w:rsidRPr="008C164C" w:rsidRDefault="00171B5A" w:rsidP="00171B5A">
            <w:pPr>
              <w:pStyle w:val="TableText0"/>
              <w:keepLines/>
              <w:jc w:val="center"/>
              <w:rPr>
                <w:rFonts w:eastAsia="Times New Roman"/>
              </w:rPr>
            </w:pPr>
            <w:r w:rsidRPr="008C164C">
              <w:rPr>
                <w:rFonts w:eastAsia="Times New Roman"/>
              </w:rPr>
              <w:t>9 (75.0)</w:t>
            </w:r>
          </w:p>
          <w:p w14:paraId="5B335D22" w14:textId="77777777" w:rsidR="00171B5A" w:rsidRPr="008C164C" w:rsidRDefault="00171B5A" w:rsidP="00171B5A">
            <w:pPr>
              <w:pStyle w:val="TableText0"/>
              <w:keepLines/>
              <w:jc w:val="center"/>
              <w:rPr>
                <w:rFonts w:eastAsia="Times New Roman"/>
              </w:rPr>
            </w:pPr>
            <w:r w:rsidRPr="008C164C">
              <w:rPr>
                <w:rFonts w:eastAsia="Times New Roman"/>
              </w:rPr>
              <w:t>(42.8, 94.5)</w:t>
            </w:r>
          </w:p>
        </w:tc>
        <w:tc>
          <w:tcPr>
            <w:tcW w:w="1134" w:type="dxa"/>
            <w:shd w:val="clear" w:color="auto" w:fill="C6D9F1" w:themeFill="text2" w:themeFillTint="33"/>
            <w:vAlign w:val="center"/>
          </w:tcPr>
          <w:p w14:paraId="5C88B558" w14:textId="77777777" w:rsidR="00171B5A" w:rsidRPr="008C164C" w:rsidRDefault="00171B5A" w:rsidP="00171B5A">
            <w:pPr>
              <w:pStyle w:val="TableText0"/>
              <w:keepLines/>
              <w:jc w:val="center"/>
            </w:pPr>
            <w:r w:rsidRPr="008C164C">
              <w:t>30 (83.3)</w:t>
            </w:r>
          </w:p>
          <w:p w14:paraId="03A1E290" w14:textId="77777777" w:rsidR="00171B5A" w:rsidRPr="008C164C" w:rsidRDefault="00171B5A" w:rsidP="00171B5A">
            <w:pPr>
              <w:pStyle w:val="TableText0"/>
              <w:keepLines/>
              <w:jc w:val="center"/>
            </w:pPr>
            <w:r w:rsidRPr="008C164C">
              <w:t>(67.2, 93.6)</w:t>
            </w:r>
          </w:p>
        </w:tc>
        <w:tc>
          <w:tcPr>
            <w:tcW w:w="1134" w:type="dxa"/>
            <w:shd w:val="clear" w:color="auto" w:fill="C6D9F1" w:themeFill="text2" w:themeFillTint="33"/>
            <w:vAlign w:val="center"/>
          </w:tcPr>
          <w:p w14:paraId="747D6FDF" w14:textId="77777777" w:rsidR="00171B5A" w:rsidRPr="008C164C" w:rsidRDefault="00171B5A" w:rsidP="00171B5A">
            <w:pPr>
              <w:pStyle w:val="TableText0"/>
              <w:keepLines/>
              <w:jc w:val="center"/>
              <w:rPr>
                <w:rFonts w:eastAsia="Times New Roman"/>
              </w:rPr>
            </w:pPr>
            <w:r w:rsidRPr="008C164C">
              <w:rPr>
                <w:rFonts w:eastAsia="Times New Roman"/>
              </w:rPr>
              <w:t>26 (72.2)</w:t>
            </w:r>
          </w:p>
          <w:p w14:paraId="0B39BBBF" w14:textId="77777777" w:rsidR="00171B5A" w:rsidRPr="008C164C" w:rsidRDefault="00171B5A" w:rsidP="00171B5A">
            <w:pPr>
              <w:pStyle w:val="TableText0"/>
              <w:keepLines/>
              <w:jc w:val="center"/>
              <w:rPr>
                <w:rFonts w:eastAsia="Times New Roman"/>
              </w:rPr>
            </w:pPr>
            <w:r w:rsidRPr="008C164C">
              <w:rPr>
                <w:rFonts w:eastAsia="Times New Roman"/>
              </w:rPr>
              <w:t>(54.8, 85.8)</w:t>
            </w:r>
          </w:p>
        </w:tc>
        <w:tc>
          <w:tcPr>
            <w:tcW w:w="1218" w:type="dxa"/>
            <w:shd w:val="clear" w:color="auto" w:fill="C6D9F1" w:themeFill="text2" w:themeFillTint="33"/>
            <w:vAlign w:val="center"/>
          </w:tcPr>
          <w:p w14:paraId="40E43A12" w14:textId="77777777" w:rsidR="00171B5A" w:rsidRPr="008C164C" w:rsidRDefault="00171B5A" w:rsidP="00171B5A">
            <w:pPr>
              <w:pStyle w:val="TableText0"/>
              <w:keepLines/>
              <w:jc w:val="center"/>
              <w:rPr>
                <w:rFonts w:eastAsia="Times New Roman"/>
                <w:b/>
                <w:bCs w:val="0"/>
              </w:rPr>
            </w:pPr>
            <w:r w:rsidRPr="008C164C">
              <w:rPr>
                <w:rFonts w:eastAsia="Times New Roman"/>
                <w:b/>
                <w:bCs w:val="0"/>
              </w:rPr>
              <w:t>56 (77.8)</w:t>
            </w:r>
          </w:p>
          <w:p w14:paraId="0E949A69" w14:textId="77777777" w:rsidR="00171B5A" w:rsidRPr="008C164C" w:rsidRDefault="00171B5A" w:rsidP="00171B5A">
            <w:pPr>
              <w:pStyle w:val="TableText0"/>
              <w:keepLines/>
              <w:jc w:val="center"/>
              <w:rPr>
                <w:rFonts w:eastAsia="Times New Roman"/>
              </w:rPr>
            </w:pPr>
            <w:r w:rsidRPr="008C164C">
              <w:rPr>
                <w:rFonts w:eastAsia="Times New Roman"/>
                <w:b/>
                <w:bCs w:val="0"/>
              </w:rPr>
              <w:t>(66.4, 86.7)</w:t>
            </w:r>
          </w:p>
        </w:tc>
      </w:tr>
      <w:tr w:rsidR="00171B5A" w:rsidRPr="008C164C" w14:paraId="2282FA59" w14:textId="77777777" w:rsidTr="00171B5A">
        <w:trPr>
          <w:trHeight w:val="459"/>
        </w:trPr>
        <w:tc>
          <w:tcPr>
            <w:tcW w:w="2405" w:type="dxa"/>
            <w:vMerge/>
            <w:vAlign w:val="center"/>
          </w:tcPr>
          <w:p w14:paraId="3C3D97D4" w14:textId="77777777" w:rsidR="00171B5A" w:rsidRPr="008C164C" w:rsidRDefault="00171B5A" w:rsidP="00171B5A">
            <w:pPr>
              <w:pStyle w:val="TableText0"/>
              <w:keepLines/>
              <w:rPr>
                <w:rFonts w:eastAsia="Times New Roman"/>
              </w:rPr>
            </w:pPr>
          </w:p>
        </w:tc>
        <w:tc>
          <w:tcPr>
            <w:tcW w:w="851" w:type="dxa"/>
            <w:vAlign w:val="center"/>
          </w:tcPr>
          <w:p w14:paraId="21F680C0" w14:textId="77777777" w:rsidR="00171B5A" w:rsidRPr="008C164C" w:rsidRDefault="00171B5A" w:rsidP="00171B5A">
            <w:pPr>
              <w:pStyle w:val="TableText0"/>
              <w:keepLines/>
              <w:jc w:val="center"/>
              <w:rPr>
                <w:rFonts w:eastAsia="Times New Roman"/>
              </w:rPr>
            </w:pPr>
            <w:proofErr w:type="spellStart"/>
            <w:r w:rsidRPr="008C164C">
              <w:rPr>
                <w:rFonts w:eastAsia="Times New Roman"/>
              </w:rPr>
              <w:t>Wk</w:t>
            </w:r>
            <w:proofErr w:type="spellEnd"/>
            <w:r w:rsidRPr="008C164C">
              <w:rPr>
                <w:rFonts w:eastAsia="Times New Roman"/>
              </w:rPr>
              <w:t xml:space="preserve"> 104</w:t>
            </w:r>
          </w:p>
        </w:tc>
        <w:tc>
          <w:tcPr>
            <w:tcW w:w="1134" w:type="dxa"/>
            <w:vAlign w:val="center"/>
          </w:tcPr>
          <w:p w14:paraId="08B60C56" w14:textId="77777777" w:rsidR="00171B5A" w:rsidRPr="008C164C" w:rsidRDefault="00171B5A" w:rsidP="00171B5A">
            <w:pPr>
              <w:pStyle w:val="TableText0"/>
              <w:keepLines/>
              <w:jc w:val="center"/>
              <w:rPr>
                <w:rFonts w:eastAsia="Times New Roman"/>
              </w:rPr>
            </w:pPr>
            <w:r w:rsidRPr="008C164C">
              <w:rPr>
                <w:rFonts w:eastAsia="Times New Roman"/>
              </w:rPr>
              <w:t>17/24 (70.8)</w:t>
            </w:r>
          </w:p>
          <w:p w14:paraId="4B03F6C4" w14:textId="77777777" w:rsidR="00171B5A" w:rsidRPr="008C164C" w:rsidRDefault="00171B5A" w:rsidP="00171B5A">
            <w:pPr>
              <w:pStyle w:val="TableText0"/>
              <w:keepLines/>
              <w:jc w:val="center"/>
              <w:rPr>
                <w:rFonts w:eastAsia="Times New Roman"/>
              </w:rPr>
            </w:pPr>
            <w:r w:rsidRPr="008C164C">
              <w:rPr>
                <w:rFonts w:eastAsia="Times New Roman"/>
              </w:rPr>
              <w:t>(48.9, 87.4)</w:t>
            </w:r>
          </w:p>
        </w:tc>
        <w:tc>
          <w:tcPr>
            <w:tcW w:w="1134" w:type="dxa"/>
            <w:vAlign w:val="center"/>
          </w:tcPr>
          <w:p w14:paraId="721E8787" w14:textId="77777777" w:rsidR="00171B5A" w:rsidRPr="008C164C" w:rsidRDefault="00171B5A" w:rsidP="00171B5A">
            <w:pPr>
              <w:pStyle w:val="TableText0"/>
              <w:keepLines/>
              <w:jc w:val="center"/>
              <w:rPr>
                <w:rFonts w:eastAsia="Times New Roman"/>
              </w:rPr>
            </w:pPr>
            <w:r w:rsidRPr="008C164C">
              <w:rPr>
                <w:rFonts w:eastAsia="Times New Roman"/>
              </w:rPr>
              <w:t>7/11 (63.6)</w:t>
            </w:r>
          </w:p>
          <w:p w14:paraId="18424D71" w14:textId="77777777" w:rsidR="00171B5A" w:rsidRPr="008C164C" w:rsidRDefault="00171B5A" w:rsidP="00171B5A">
            <w:pPr>
              <w:pStyle w:val="TableText0"/>
              <w:keepLines/>
              <w:jc w:val="center"/>
              <w:rPr>
                <w:rFonts w:eastAsia="Times New Roman"/>
              </w:rPr>
            </w:pPr>
            <w:r w:rsidRPr="008C164C">
              <w:rPr>
                <w:rFonts w:eastAsia="Times New Roman"/>
              </w:rPr>
              <w:t>(30.8, 89.1)</w:t>
            </w:r>
          </w:p>
        </w:tc>
        <w:tc>
          <w:tcPr>
            <w:tcW w:w="1134" w:type="dxa"/>
            <w:vAlign w:val="center"/>
          </w:tcPr>
          <w:p w14:paraId="42A1A438" w14:textId="77777777" w:rsidR="00171B5A" w:rsidRPr="008C164C" w:rsidRDefault="00171B5A" w:rsidP="00171B5A">
            <w:pPr>
              <w:pStyle w:val="TableText0"/>
              <w:keepLines/>
              <w:jc w:val="center"/>
            </w:pPr>
            <w:r w:rsidRPr="008C164C">
              <w:t>24/35 (68.6)</w:t>
            </w:r>
          </w:p>
          <w:p w14:paraId="4E25CCB6" w14:textId="77777777" w:rsidR="00171B5A" w:rsidRPr="008C164C" w:rsidRDefault="00171B5A" w:rsidP="00171B5A">
            <w:pPr>
              <w:pStyle w:val="TableText0"/>
              <w:keepLines/>
              <w:jc w:val="center"/>
            </w:pPr>
            <w:r w:rsidRPr="008C164C">
              <w:t>(50.7, 83.1)</w:t>
            </w:r>
          </w:p>
        </w:tc>
        <w:tc>
          <w:tcPr>
            <w:tcW w:w="1134" w:type="dxa"/>
            <w:vAlign w:val="center"/>
          </w:tcPr>
          <w:p w14:paraId="1B2B5030" w14:textId="77777777" w:rsidR="00171B5A" w:rsidRPr="008C164C" w:rsidRDefault="00171B5A" w:rsidP="00171B5A">
            <w:pPr>
              <w:pStyle w:val="TableText0"/>
              <w:keepLines/>
              <w:jc w:val="center"/>
              <w:rPr>
                <w:rFonts w:eastAsia="Times New Roman"/>
              </w:rPr>
            </w:pPr>
            <w:r w:rsidRPr="008C164C">
              <w:rPr>
                <w:rFonts w:eastAsia="Times New Roman"/>
              </w:rPr>
              <w:t>20/36 (55.6)</w:t>
            </w:r>
          </w:p>
          <w:p w14:paraId="67B014C1" w14:textId="77777777" w:rsidR="00171B5A" w:rsidRPr="008C164C" w:rsidRDefault="00171B5A" w:rsidP="00171B5A">
            <w:pPr>
              <w:pStyle w:val="TableText0"/>
              <w:keepLines/>
              <w:jc w:val="center"/>
              <w:rPr>
                <w:rFonts w:eastAsia="Times New Roman"/>
              </w:rPr>
            </w:pPr>
            <w:r w:rsidRPr="008C164C">
              <w:rPr>
                <w:rFonts w:eastAsia="Times New Roman"/>
              </w:rPr>
              <w:t>(38.1, 72.1)</w:t>
            </w:r>
          </w:p>
        </w:tc>
        <w:tc>
          <w:tcPr>
            <w:tcW w:w="1218" w:type="dxa"/>
            <w:vAlign w:val="center"/>
          </w:tcPr>
          <w:p w14:paraId="69192FB7" w14:textId="77777777" w:rsidR="00171B5A" w:rsidRPr="008C164C" w:rsidRDefault="00171B5A" w:rsidP="00171B5A">
            <w:pPr>
              <w:pStyle w:val="TableText0"/>
              <w:keepLines/>
              <w:jc w:val="center"/>
              <w:rPr>
                <w:rFonts w:eastAsia="Times New Roman"/>
              </w:rPr>
            </w:pPr>
            <w:r w:rsidRPr="008C164C">
              <w:rPr>
                <w:rFonts w:eastAsia="Times New Roman"/>
              </w:rPr>
              <w:t>44/71 (62.0)</w:t>
            </w:r>
          </w:p>
          <w:p w14:paraId="06486623" w14:textId="77777777" w:rsidR="00171B5A" w:rsidRPr="008C164C" w:rsidRDefault="00171B5A" w:rsidP="00171B5A">
            <w:pPr>
              <w:pStyle w:val="TableText0"/>
              <w:keepLines/>
              <w:jc w:val="center"/>
              <w:rPr>
                <w:rFonts w:eastAsia="Times New Roman"/>
              </w:rPr>
            </w:pPr>
            <w:r w:rsidRPr="008C164C">
              <w:rPr>
                <w:rFonts w:eastAsia="Times New Roman"/>
              </w:rPr>
              <w:t>(49.7, 73.2)</w:t>
            </w:r>
          </w:p>
        </w:tc>
      </w:tr>
      <w:tr w:rsidR="00171B5A" w:rsidRPr="008C164C" w14:paraId="02DEDAC1" w14:textId="77777777" w:rsidTr="00171B5A">
        <w:trPr>
          <w:trHeight w:val="454"/>
        </w:trPr>
        <w:tc>
          <w:tcPr>
            <w:tcW w:w="2405" w:type="dxa"/>
            <w:vMerge w:val="restart"/>
            <w:vAlign w:val="center"/>
          </w:tcPr>
          <w:p w14:paraId="73153784" w14:textId="7851B097" w:rsidR="00171B5A" w:rsidRPr="008C164C" w:rsidRDefault="00171B5A" w:rsidP="00171B5A">
            <w:pPr>
              <w:pStyle w:val="TableText0"/>
              <w:keepLines/>
              <w:rPr>
                <w:rFonts w:eastAsia="Times New Roman"/>
              </w:rPr>
            </w:pPr>
            <w:r w:rsidRPr="008C164C">
              <w:rPr>
                <w:rFonts w:eastAsia="Times New Roman"/>
              </w:rPr>
              <w:t>Patients with viral load &lt;</w:t>
            </w:r>
            <w:r w:rsidR="00F515BC" w:rsidRPr="008C164C">
              <w:rPr>
                <w:rFonts w:eastAsia="Times New Roman"/>
              </w:rPr>
              <w:t xml:space="preserve"> </w:t>
            </w:r>
            <w:r w:rsidRPr="008C164C">
              <w:rPr>
                <w:rFonts w:eastAsia="Times New Roman"/>
              </w:rPr>
              <w:t>50 copies/mL: Missing = failure, n (</w:t>
            </w:r>
            <w:r w:rsidR="006033C8" w:rsidRPr="008C164C">
              <w:rPr>
                <w:rFonts w:eastAsia="Times New Roman"/>
              </w:rPr>
              <w:t>%) (</w:t>
            </w:r>
            <w:r w:rsidRPr="008C164C">
              <w:rPr>
                <w:rFonts w:eastAsia="Times New Roman"/>
              </w:rPr>
              <w:t>n/N at Week 104</w:t>
            </w:r>
            <w:r w:rsidR="00D64078" w:rsidRPr="008C164C">
              <w:rPr>
                <w:rFonts w:eastAsia="Times New Roman"/>
                <w:vertAlign w:val="superscript"/>
              </w:rPr>
              <w:t>a</w:t>
            </w:r>
            <w:r w:rsidR="00D64078" w:rsidRPr="008C164C">
              <w:rPr>
                <w:rFonts w:eastAsia="Times New Roman"/>
              </w:rPr>
              <w:t xml:space="preserve">); </w:t>
            </w:r>
            <w:r w:rsidRPr="008C164C">
              <w:rPr>
                <w:rFonts w:eastAsia="Times New Roman"/>
              </w:rPr>
              <w:t>95% CI not reported.</w:t>
            </w:r>
          </w:p>
        </w:tc>
        <w:tc>
          <w:tcPr>
            <w:tcW w:w="851" w:type="dxa"/>
            <w:shd w:val="clear" w:color="auto" w:fill="C6D9F1" w:themeFill="text2" w:themeFillTint="33"/>
            <w:vAlign w:val="center"/>
          </w:tcPr>
          <w:p w14:paraId="0FFFC375" w14:textId="77777777" w:rsidR="00171B5A" w:rsidRPr="008C164C" w:rsidRDefault="00171B5A" w:rsidP="00171B5A">
            <w:pPr>
              <w:pStyle w:val="TableText0"/>
              <w:keepLines/>
              <w:jc w:val="center"/>
              <w:rPr>
                <w:rFonts w:eastAsia="Times New Roman"/>
              </w:rPr>
            </w:pPr>
            <w:proofErr w:type="spellStart"/>
            <w:r w:rsidRPr="008C164C">
              <w:rPr>
                <w:rFonts w:eastAsia="Times New Roman"/>
              </w:rPr>
              <w:t>Wk</w:t>
            </w:r>
            <w:proofErr w:type="spellEnd"/>
            <w:r w:rsidRPr="008C164C">
              <w:rPr>
                <w:rFonts w:eastAsia="Times New Roman"/>
              </w:rPr>
              <w:t xml:space="preserve"> 52</w:t>
            </w:r>
          </w:p>
        </w:tc>
        <w:tc>
          <w:tcPr>
            <w:tcW w:w="1134" w:type="dxa"/>
            <w:shd w:val="clear" w:color="auto" w:fill="C6D9F1" w:themeFill="text2" w:themeFillTint="33"/>
            <w:vAlign w:val="center"/>
          </w:tcPr>
          <w:p w14:paraId="61FA26C2" w14:textId="77777777" w:rsidR="00171B5A" w:rsidRPr="008C164C" w:rsidRDefault="00171B5A" w:rsidP="00171B5A">
            <w:pPr>
              <w:pStyle w:val="TableText0"/>
              <w:keepLines/>
              <w:jc w:val="center"/>
              <w:rPr>
                <w:rFonts w:eastAsia="Times New Roman"/>
              </w:rPr>
            </w:pPr>
            <w:r w:rsidRPr="008C164C">
              <w:rPr>
                <w:rFonts w:eastAsia="Times New Roman"/>
              </w:rPr>
              <w:t>21 (87.5)</w:t>
            </w:r>
          </w:p>
        </w:tc>
        <w:tc>
          <w:tcPr>
            <w:tcW w:w="1134" w:type="dxa"/>
            <w:shd w:val="clear" w:color="auto" w:fill="C6D9F1" w:themeFill="text2" w:themeFillTint="33"/>
            <w:vAlign w:val="center"/>
          </w:tcPr>
          <w:p w14:paraId="54ADD6B6" w14:textId="77777777" w:rsidR="00171B5A" w:rsidRPr="008C164C" w:rsidRDefault="00171B5A" w:rsidP="00171B5A">
            <w:pPr>
              <w:pStyle w:val="TableText0"/>
              <w:keepLines/>
              <w:jc w:val="center"/>
              <w:rPr>
                <w:rFonts w:eastAsia="Times New Roman"/>
              </w:rPr>
            </w:pPr>
            <w:r w:rsidRPr="008C164C">
              <w:rPr>
                <w:rFonts w:eastAsia="Times New Roman"/>
              </w:rPr>
              <w:t>9 (75.0)</w:t>
            </w:r>
          </w:p>
        </w:tc>
        <w:tc>
          <w:tcPr>
            <w:tcW w:w="1134" w:type="dxa"/>
            <w:shd w:val="clear" w:color="auto" w:fill="C6D9F1" w:themeFill="text2" w:themeFillTint="33"/>
            <w:vAlign w:val="center"/>
          </w:tcPr>
          <w:p w14:paraId="2C12F616" w14:textId="77777777" w:rsidR="00171B5A" w:rsidRPr="008C164C" w:rsidRDefault="00171B5A" w:rsidP="00171B5A">
            <w:pPr>
              <w:pStyle w:val="TableText0"/>
              <w:keepLines/>
              <w:jc w:val="center"/>
            </w:pPr>
            <w:r w:rsidRPr="008C164C">
              <w:t>30 (83.3)</w:t>
            </w:r>
          </w:p>
        </w:tc>
        <w:tc>
          <w:tcPr>
            <w:tcW w:w="1134" w:type="dxa"/>
            <w:shd w:val="clear" w:color="auto" w:fill="C6D9F1" w:themeFill="text2" w:themeFillTint="33"/>
            <w:vAlign w:val="center"/>
          </w:tcPr>
          <w:p w14:paraId="6E776808" w14:textId="77777777" w:rsidR="00171B5A" w:rsidRPr="008C164C" w:rsidRDefault="00171B5A" w:rsidP="00171B5A">
            <w:pPr>
              <w:pStyle w:val="TableText0"/>
              <w:keepLines/>
              <w:jc w:val="center"/>
              <w:rPr>
                <w:rFonts w:eastAsia="Times New Roman"/>
              </w:rPr>
            </w:pPr>
            <w:r w:rsidRPr="008C164C">
              <w:rPr>
                <w:rFonts w:eastAsia="Times New Roman"/>
              </w:rPr>
              <w:t>27 (75.0)</w:t>
            </w:r>
          </w:p>
        </w:tc>
        <w:tc>
          <w:tcPr>
            <w:tcW w:w="1218" w:type="dxa"/>
            <w:shd w:val="clear" w:color="auto" w:fill="C6D9F1" w:themeFill="text2" w:themeFillTint="33"/>
            <w:vAlign w:val="center"/>
          </w:tcPr>
          <w:p w14:paraId="75DEE407" w14:textId="77777777" w:rsidR="00171B5A" w:rsidRPr="008C164C" w:rsidRDefault="00171B5A" w:rsidP="00171B5A">
            <w:pPr>
              <w:pStyle w:val="TableText0"/>
              <w:keepLines/>
              <w:jc w:val="center"/>
              <w:rPr>
                <w:rFonts w:eastAsia="Times New Roman"/>
              </w:rPr>
            </w:pPr>
            <w:r w:rsidRPr="008C164C">
              <w:rPr>
                <w:rFonts w:eastAsia="Times New Roman"/>
              </w:rPr>
              <w:t>57 (79.2)</w:t>
            </w:r>
          </w:p>
        </w:tc>
      </w:tr>
      <w:tr w:rsidR="00171B5A" w:rsidRPr="008C164C" w14:paraId="6A7531B3" w14:textId="77777777" w:rsidTr="00171B5A">
        <w:trPr>
          <w:trHeight w:val="454"/>
        </w:trPr>
        <w:tc>
          <w:tcPr>
            <w:tcW w:w="2405" w:type="dxa"/>
            <w:vMerge/>
            <w:vAlign w:val="center"/>
          </w:tcPr>
          <w:p w14:paraId="3A7ADB7B" w14:textId="77777777" w:rsidR="00171B5A" w:rsidRPr="008C164C" w:rsidRDefault="00171B5A" w:rsidP="00171B5A">
            <w:pPr>
              <w:pStyle w:val="TableText0"/>
              <w:keepLines/>
              <w:rPr>
                <w:rFonts w:eastAsia="Times New Roman"/>
              </w:rPr>
            </w:pPr>
          </w:p>
        </w:tc>
        <w:tc>
          <w:tcPr>
            <w:tcW w:w="851" w:type="dxa"/>
            <w:vAlign w:val="center"/>
          </w:tcPr>
          <w:p w14:paraId="1642CE76" w14:textId="77777777" w:rsidR="00171B5A" w:rsidRPr="008C164C" w:rsidRDefault="00171B5A" w:rsidP="00171B5A">
            <w:pPr>
              <w:pStyle w:val="TableText0"/>
              <w:keepLines/>
              <w:jc w:val="center"/>
              <w:rPr>
                <w:rFonts w:eastAsia="Times New Roman"/>
              </w:rPr>
            </w:pPr>
            <w:proofErr w:type="spellStart"/>
            <w:r w:rsidRPr="008C164C">
              <w:rPr>
                <w:rFonts w:eastAsia="Times New Roman"/>
              </w:rPr>
              <w:t>Wk</w:t>
            </w:r>
            <w:proofErr w:type="spellEnd"/>
            <w:r w:rsidRPr="008C164C">
              <w:rPr>
                <w:rFonts w:eastAsia="Times New Roman"/>
              </w:rPr>
              <w:t xml:space="preserve"> 104</w:t>
            </w:r>
          </w:p>
        </w:tc>
        <w:tc>
          <w:tcPr>
            <w:tcW w:w="1134" w:type="dxa"/>
            <w:vAlign w:val="center"/>
          </w:tcPr>
          <w:p w14:paraId="1BF74801" w14:textId="77777777" w:rsidR="00171B5A" w:rsidRPr="008C164C" w:rsidRDefault="00171B5A" w:rsidP="00171B5A">
            <w:pPr>
              <w:pStyle w:val="TableText0"/>
              <w:keepLines/>
              <w:jc w:val="center"/>
              <w:rPr>
                <w:rFonts w:eastAsia="Times New Roman"/>
              </w:rPr>
            </w:pPr>
            <w:r w:rsidRPr="008C164C">
              <w:rPr>
                <w:rFonts w:eastAsia="Times New Roman"/>
              </w:rPr>
              <w:t>17/24 (70.8)</w:t>
            </w:r>
          </w:p>
        </w:tc>
        <w:tc>
          <w:tcPr>
            <w:tcW w:w="1134" w:type="dxa"/>
            <w:vAlign w:val="center"/>
          </w:tcPr>
          <w:p w14:paraId="78921E9C" w14:textId="77777777" w:rsidR="00171B5A" w:rsidRPr="008C164C" w:rsidRDefault="00171B5A" w:rsidP="00171B5A">
            <w:pPr>
              <w:pStyle w:val="TableText0"/>
              <w:keepLines/>
              <w:jc w:val="center"/>
              <w:rPr>
                <w:rFonts w:eastAsia="Times New Roman"/>
              </w:rPr>
            </w:pPr>
            <w:r w:rsidRPr="008C164C">
              <w:rPr>
                <w:rFonts w:eastAsia="Times New Roman"/>
              </w:rPr>
              <w:t>7/11 (63.6)</w:t>
            </w:r>
          </w:p>
        </w:tc>
        <w:tc>
          <w:tcPr>
            <w:tcW w:w="1134" w:type="dxa"/>
            <w:vAlign w:val="center"/>
          </w:tcPr>
          <w:p w14:paraId="18AD351E" w14:textId="77777777" w:rsidR="00171B5A" w:rsidRPr="008C164C" w:rsidRDefault="00171B5A" w:rsidP="00171B5A">
            <w:pPr>
              <w:pStyle w:val="TableText0"/>
              <w:keepLines/>
              <w:jc w:val="center"/>
            </w:pPr>
            <w:r w:rsidRPr="008C164C">
              <w:t>24/35 (68.6)</w:t>
            </w:r>
          </w:p>
        </w:tc>
        <w:tc>
          <w:tcPr>
            <w:tcW w:w="1134" w:type="dxa"/>
            <w:vAlign w:val="center"/>
          </w:tcPr>
          <w:p w14:paraId="47DB8FD9" w14:textId="77777777" w:rsidR="00171B5A" w:rsidRPr="008C164C" w:rsidRDefault="00171B5A" w:rsidP="00171B5A">
            <w:pPr>
              <w:pStyle w:val="TableText0"/>
              <w:keepLines/>
              <w:jc w:val="center"/>
              <w:rPr>
                <w:rFonts w:eastAsia="Times New Roman"/>
              </w:rPr>
            </w:pPr>
            <w:r w:rsidRPr="008C164C">
              <w:rPr>
                <w:rFonts w:eastAsia="Times New Roman"/>
              </w:rPr>
              <w:t>20/36 (55.6)</w:t>
            </w:r>
          </w:p>
        </w:tc>
        <w:tc>
          <w:tcPr>
            <w:tcW w:w="1218" w:type="dxa"/>
            <w:vAlign w:val="center"/>
          </w:tcPr>
          <w:p w14:paraId="4D2A4A67" w14:textId="77777777" w:rsidR="00171B5A" w:rsidRPr="008C164C" w:rsidRDefault="00171B5A" w:rsidP="00171B5A">
            <w:pPr>
              <w:pStyle w:val="TableText0"/>
              <w:keepLines/>
              <w:jc w:val="center"/>
              <w:rPr>
                <w:rFonts w:eastAsia="Times New Roman"/>
              </w:rPr>
            </w:pPr>
            <w:r w:rsidRPr="008C164C">
              <w:rPr>
                <w:rFonts w:eastAsia="Times New Roman"/>
              </w:rPr>
              <w:t>44/71 (62.0)</w:t>
            </w:r>
          </w:p>
        </w:tc>
      </w:tr>
      <w:tr w:rsidR="00171B5A" w:rsidRPr="008C164C" w14:paraId="50DE6F84" w14:textId="77777777" w:rsidTr="00171B5A">
        <w:trPr>
          <w:trHeight w:val="459"/>
        </w:trPr>
        <w:tc>
          <w:tcPr>
            <w:tcW w:w="2405" w:type="dxa"/>
            <w:vMerge w:val="restart"/>
            <w:vAlign w:val="center"/>
          </w:tcPr>
          <w:p w14:paraId="223C37A2" w14:textId="5708490F" w:rsidR="00171B5A" w:rsidRPr="008C164C" w:rsidRDefault="00171B5A" w:rsidP="00171B5A">
            <w:pPr>
              <w:pStyle w:val="TableText0"/>
              <w:keepLines/>
              <w:rPr>
                <w:rFonts w:eastAsia="Times New Roman"/>
              </w:rPr>
            </w:pPr>
            <w:r w:rsidRPr="008C164C">
              <w:rPr>
                <w:rFonts w:eastAsia="Times New Roman"/>
              </w:rPr>
              <w:t>Patients with viral load &lt;</w:t>
            </w:r>
            <w:r w:rsidR="00F515BC" w:rsidRPr="008C164C">
              <w:rPr>
                <w:rFonts w:eastAsia="Times New Roman"/>
              </w:rPr>
              <w:t xml:space="preserve"> </w:t>
            </w:r>
            <w:r w:rsidRPr="008C164C">
              <w:rPr>
                <w:rFonts w:eastAsia="Times New Roman"/>
              </w:rPr>
              <w:t>200 copies/mL: FDA snapshot method, n (%) (n/N at Week 104</w:t>
            </w:r>
            <w:r w:rsidR="00D64078" w:rsidRPr="008C164C">
              <w:rPr>
                <w:rFonts w:eastAsia="Times New Roman"/>
                <w:vertAlign w:val="superscript"/>
              </w:rPr>
              <w:t>a</w:t>
            </w:r>
            <w:r w:rsidR="00D64078" w:rsidRPr="008C164C">
              <w:rPr>
                <w:rFonts w:eastAsia="Times New Roman"/>
              </w:rPr>
              <w:t xml:space="preserve">); </w:t>
            </w:r>
            <w:r w:rsidRPr="008C164C">
              <w:rPr>
                <w:rFonts w:eastAsia="Times New Roman"/>
              </w:rPr>
              <w:t>(95% CI)</w:t>
            </w:r>
          </w:p>
        </w:tc>
        <w:tc>
          <w:tcPr>
            <w:tcW w:w="851" w:type="dxa"/>
            <w:shd w:val="clear" w:color="auto" w:fill="C6D9F1" w:themeFill="text2" w:themeFillTint="33"/>
            <w:vAlign w:val="center"/>
          </w:tcPr>
          <w:p w14:paraId="7B2EFEB1" w14:textId="77777777" w:rsidR="00171B5A" w:rsidRPr="008C164C" w:rsidRDefault="00171B5A" w:rsidP="00171B5A">
            <w:pPr>
              <w:pStyle w:val="TableText0"/>
              <w:keepLines/>
              <w:jc w:val="center"/>
              <w:rPr>
                <w:rFonts w:eastAsia="Times New Roman"/>
              </w:rPr>
            </w:pPr>
            <w:proofErr w:type="spellStart"/>
            <w:r w:rsidRPr="008C164C">
              <w:rPr>
                <w:rFonts w:eastAsia="Times New Roman"/>
              </w:rPr>
              <w:t>Wk</w:t>
            </w:r>
            <w:proofErr w:type="spellEnd"/>
            <w:r w:rsidRPr="008C164C">
              <w:rPr>
                <w:rFonts w:eastAsia="Times New Roman"/>
              </w:rPr>
              <w:t xml:space="preserve"> 52</w:t>
            </w:r>
          </w:p>
        </w:tc>
        <w:tc>
          <w:tcPr>
            <w:tcW w:w="1134" w:type="dxa"/>
            <w:shd w:val="clear" w:color="auto" w:fill="C6D9F1" w:themeFill="text2" w:themeFillTint="33"/>
            <w:vAlign w:val="center"/>
          </w:tcPr>
          <w:p w14:paraId="54EDB905" w14:textId="77777777" w:rsidR="00171B5A" w:rsidRPr="008C164C" w:rsidRDefault="00171B5A" w:rsidP="00171B5A">
            <w:pPr>
              <w:pStyle w:val="TableText0"/>
              <w:keepLines/>
              <w:jc w:val="center"/>
              <w:rPr>
                <w:rFonts w:eastAsia="Times New Roman"/>
              </w:rPr>
            </w:pPr>
            <w:r w:rsidRPr="008C164C">
              <w:rPr>
                <w:rFonts w:eastAsia="Times New Roman"/>
              </w:rPr>
              <w:t>22 (91.7)</w:t>
            </w:r>
          </w:p>
          <w:p w14:paraId="3EDFE43C" w14:textId="77777777" w:rsidR="00171B5A" w:rsidRPr="008C164C" w:rsidRDefault="00171B5A" w:rsidP="00171B5A">
            <w:pPr>
              <w:pStyle w:val="TableText0"/>
              <w:keepLines/>
              <w:jc w:val="center"/>
              <w:rPr>
                <w:rFonts w:eastAsia="Times New Roman"/>
              </w:rPr>
            </w:pPr>
            <w:r w:rsidRPr="008C164C">
              <w:rPr>
                <w:rFonts w:eastAsia="Times New Roman"/>
              </w:rPr>
              <w:t>(73.0, 99.0)</w:t>
            </w:r>
          </w:p>
        </w:tc>
        <w:tc>
          <w:tcPr>
            <w:tcW w:w="1134" w:type="dxa"/>
            <w:shd w:val="clear" w:color="auto" w:fill="C6D9F1" w:themeFill="text2" w:themeFillTint="33"/>
            <w:vAlign w:val="center"/>
          </w:tcPr>
          <w:p w14:paraId="2E43AF75" w14:textId="77777777" w:rsidR="00171B5A" w:rsidRPr="008C164C" w:rsidRDefault="00171B5A" w:rsidP="00171B5A">
            <w:pPr>
              <w:pStyle w:val="TableText0"/>
              <w:keepLines/>
              <w:jc w:val="center"/>
              <w:rPr>
                <w:rFonts w:eastAsia="Times New Roman"/>
              </w:rPr>
            </w:pPr>
            <w:r w:rsidRPr="008C164C">
              <w:rPr>
                <w:rFonts w:eastAsia="Times New Roman"/>
              </w:rPr>
              <w:t>9 (75.0)</w:t>
            </w:r>
          </w:p>
          <w:p w14:paraId="75AEF74A" w14:textId="77777777" w:rsidR="00171B5A" w:rsidRPr="008C164C" w:rsidRDefault="00171B5A" w:rsidP="00171B5A">
            <w:pPr>
              <w:pStyle w:val="TableText0"/>
              <w:keepLines/>
              <w:jc w:val="center"/>
              <w:rPr>
                <w:rFonts w:eastAsia="Times New Roman"/>
              </w:rPr>
            </w:pPr>
            <w:r w:rsidRPr="008C164C">
              <w:rPr>
                <w:rFonts w:eastAsia="Times New Roman"/>
              </w:rPr>
              <w:t>(42.8, 94.5)</w:t>
            </w:r>
          </w:p>
        </w:tc>
        <w:tc>
          <w:tcPr>
            <w:tcW w:w="1134" w:type="dxa"/>
            <w:shd w:val="clear" w:color="auto" w:fill="C6D9F1" w:themeFill="text2" w:themeFillTint="33"/>
            <w:vAlign w:val="center"/>
          </w:tcPr>
          <w:p w14:paraId="5451BF47" w14:textId="77777777" w:rsidR="00171B5A" w:rsidRPr="008C164C" w:rsidRDefault="00171B5A" w:rsidP="00171B5A">
            <w:pPr>
              <w:pStyle w:val="TableText0"/>
              <w:keepLines/>
              <w:jc w:val="center"/>
            </w:pPr>
            <w:r w:rsidRPr="008C164C">
              <w:t>31 (86.1)</w:t>
            </w:r>
          </w:p>
          <w:p w14:paraId="5F23E820" w14:textId="77777777" w:rsidR="00171B5A" w:rsidRPr="008C164C" w:rsidRDefault="00171B5A" w:rsidP="00171B5A">
            <w:pPr>
              <w:pStyle w:val="TableText0"/>
              <w:keepLines/>
              <w:jc w:val="center"/>
            </w:pPr>
            <w:r w:rsidRPr="008C164C">
              <w:t>(70.5, 95.3)</w:t>
            </w:r>
          </w:p>
        </w:tc>
        <w:tc>
          <w:tcPr>
            <w:tcW w:w="1134" w:type="dxa"/>
            <w:shd w:val="clear" w:color="auto" w:fill="C6D9F1" w:themeFill="text2" w:themeFillTint="33"/>
            <w:vAlign w:val="center"/>
          </w:tcPr>
          <w:p w14:paraId="7F8CEB96" w14:textId="77777777" w:rsidR="00171B5A" w:rsidRPr="008C164C" w:rsidRDefault="00171B5A" w:rsidP="00171B5A">
            <w:pPr>
              <w:pStyle w:val="TableText0"/>
              <w:keepLines/>
              <w:jc w:val="center"/>
              <w:rPr>
                <w:rFonts w:eastAsia="Times New Roman"/>
              </w:rPr>
            </w:pPr>
            <w:r w:rsidRPr="008C164C">
              <w:rPr>
                <w:rFonts w:eastAsia="Times New Roman"/>
              </w:rPr>
              <w:t>28 (77.8)</w:t>
            </w:r>
          </w:p>
          <w:p w14:paraId="5C36E322" w14:textId="77777777" w:rsidR="00171B5A" w:rsidRPr="008C164C" w:rsidRDefault="00171B5A" w:rsidP="00171B5A">
            <w:pPr>
              <w:pStyle w:val="TableText0"/>
              <w:keepLines/>
              <w:jc w:val="center"/>
              <w:rPr>
                <w:rFonts w:eastAsia="Times New Roman"/>
              </w:rPr>
            </w:pPr>
            <w:r w:rsidRPr="008C164C">
              <w:rPr>
                <w:rFonts w:eastAsia="Times New Roman"/>
              </w:rPr>
              <w:t>(60.8, 89.9)</w:t>
            </w:r>
          </w:p>
        </w:tc>
        <w:tc>
          <w:tcPr>
            <w:tcW w:w="1218" w:type="dxa"/>
            <w:shd w:val="clear" w:color="auto" w:fill="C6D9F1" w:themeFill="text2" w:themeFillTint="33"/>
            <w:vAlign w:val="center"/>
          </w:tcPr>
          <w:p w14:paraId="40B4831E" w14:textId="77777777" w:rsidR="00171B5A" w:rsidRPr="008C164C" w:rsidRDefault="00171B5A" w:rsidP="00171B5A">
            <w:pPr>
              <w:pStyle w:val="TableText0"/>
              <w:keepLines/>
              <w:jc w:val="center"/>
              <w:rPr>
                <w:rFonts w:eastAsia="Times New Roman"/>
              </w:rPr>
            </w:pPr>
            <w:r w:rsidRPr="008C164C">
              <w:rPr>
                <w:rFonts w:eastAsia="Times New Roman"/>
              </w:rPr>
              <w:t>59 (81.9)</w:t>
            </w:r>
          </w:p>
          <w:p w14:paraId="6816E1B9" w14:textId="77777777" w:rsidR="00171B5A" w:rsidRPr="008C164C" w:rsidRDefault="00171B5A" w:rsidP="00171B5A">
            <w:pPr>
              <w:pStyle w:val="TableText0"/>
              <w:keepLines/>
              <w:jc w:val="center"/>
              <w:rPr>
                <w:rFonts w:eastAsia="Times New Roman"/>
              </w:rPr>
            </w:pPr>
            <w:r w:rsidRPr="008C164C">
              <w:rPr>
                <w:rFonts w:eastAsia="Times New Roman"/>
              </w:rPr>
              <w:t>(71.1, 90.0)</w:t>
            </w:r>
          </w:p>
        </w:tc>
      </w:tr>
      <w:tr w:rsidR="00171B5A" w:rsidRPr="008C164C" w14:paraId="40C7486F" w14:textId="77777777" w:rsidTr="00171B5A">
        <w:trPr>
          <w:trHeight w:val="459"/>
        </w:trPr>
        <w:tc>
          <w:tcPr>
            <w:tcW w:w="2405" w:type="dxa"/>
            <w:vMerge/>
            <w:vAlign w:val="center"/>
          </w:tcPr>
          <w:p w14:paraId="0068F7B8" w14:textId="77777777" w:rsidR="00171B5A" w:rsidRPr="008C164C" w:rsidRDefault="00171B5A" w:rsidP="00171B5A">
            <w:pPr>
              <w:pStyle w:val="TableText0"/>
              <w:keepLines/>
              <w:rPr>
                <w:rFonts w:eastAsia="Times New Roman"/>
              </w:rPr>
            </w:pPr>
          </w:p>
        </w:tc>
        <w:tc>
          <w:tcPr>
            <w:tcW w:w="851" w:type="dxa"/>
            <w:vAlign w:val="center"/>
          </w:tcPr>
          <w:p w14:paraId="55F3FC60" w14:textId="77777777" w:rsidR="00171B5A" w:rsidRPr="008C164C" w:rsidRDefault="00171B5A" w:rsidP="00171B5A">
            <w:pPr>
              <w:pStyle w:val="TableText0"/>
              <w:keepLines/>
              <w:jc w:val="center"/>
              <w:rPr>
                <w:rFonts w:eastAsia="Times New Roman"/>
              </w:rPr>
            </w:pPr>
            <w:proofErr w:type="spellStart"/>
            <w:r w:rsidRPr="008C164C">
              <w:rPr>
                <w:rFonts w:eastAsia="Times New Roman"/>
              </w:rPr>
              <w:t>Wk</w:t>
            </w:r>
            <w:proofErr w:type="spellEnd"/>
            <w:r w:rsidRPr="008C164C">
              <w:rPr>
                <w:rFonts w:eastAsia="Times New Roman"/>
              </w:rPr>
              <w:t xml:space="preserve"> 104</w:t>
            </w:r>
          </w:p>
        </w:tc>
        <w:tc>
          <w:tcPr>
            <w:tcW w:w="1134" w:type="dxa"/>
            <w:vAlign w:val="center"/>
          </w:tcPr>
          <w:p w14:paraId="0C25C100" w14:textId="77777777" w:rsidR="00171B5A" w:rsidRPr="008C164C" w:rsidRDefault="00171B5A" w:rsidP="00171B5A">
            <w:pPr>
              <w:pStyle w:val="TableText0"/>
              <w:keepLines/>
              <w:jc w:val="center"/>
              <w:rPr>
                <w:rFonts w:eastAsia="Times New Roman"/>
              </w:rPr>
            </w:pPr>
            <w:r w:rsidRPr="008C164C">
              <w:rPr>
                <w:rFonts w:eastAsia="Times New Roman"/>
              </w:rPr>
              <w:t>17/24 (70.8)</w:t>
            </w:r>
          </w:p>
          <w:p w14:paraId="1F69E1DD" w14:textId="77777777" w:rsidR="00171B5A" w:rsidRPr="008C164C" w:rsidRDefault="00171B5A" w:rsidP="00171B5A">
            <w:pPr>
              <w:pStyle w:val="TableText0"/>
              <w:keepLines/>
              <w:jc w:val="center"/>
              <w:rPr>
                <w:rFonts w:eastAsia="Times New Roman"/>
              </w:rPr>
            </w:pPr>
            <w:r w:rsidRPr="008C164C">
              <w:rPr>
                <w:rFonts w:eastAsia="Times New Roman"/>
              </w:rPr>
              <w:t>(48.9, 87.4)</w:t>
            </w:r>
          </w:p>
        </w:tc>
        <w:tc>
          <w:tcPr>
            <w:tcW w:w="1134" w:type="dxa"/>
            <w:vAlign w:val="center"/>
          </w:tcPr>
          <w:p w14:paraId="3C0A8BFD" w14:textId="77777777" w:rsidR="00171B5A" w:rsidRPr="008C164C" w:rsidRDefault="00171B5A" w:rsidP="00171B5A">
            <w:pPr>
              <w:pStyle w:val="TableText0"/>
              <w:keepLines/>
              <w:jc w:val="center"/>
              <w:rPr>
                <w:rFonts w:eastAsia="Times New Roman"/>
              </w:rPr>
            </w:pPr>
            <w:r w:rsidRPr="008C164C">
              <w:rPr>
                <w:rFonts w:eastAsia="Times New Roman"/>
              </w:rPr>
              <w:t>7/11 (63.6)</w:t>
            </w:r>
          </w:p>
          <w:p w14:paraId="7BA9454B" w14:textId="585C2597" w:rsidR="00171B5A" w:rsidRPr="008C164C" w:rsidRDefault="00171B5A" w:rsidP="00171B5A">
            <w:pPr>
              <w:pStyle w:val="TableText0"/>
              <w:keepLines/>
              <w:jc w:val="center"/>
              <w:rPr>
                <w:rFonts w:eastAsia="Times New Roman"/>
              </w:rPr>
            </w:pPr>
            <w:r w:rsidRPr="008C164C">
              <w:rPr>
                <w:rFonts w:eastAsia="Times New Roman"/>
              </w:rPr>
              <w:t>(30.8, 89.1</w:t>
            </w:r>
            <w:r w:rsidR="00F543C3" w:rsidRPr="008C164C">
              <w:rPr>
                <w:rFonts w:eastAsia="Times New Roman"/>
              </w:rPr>
              <w:t>)</w:t>
            </w:r>
          </w:p>
        </w:tc>
        <w:tc>
          <w:tcPr>
            <w:tcW w:w="1134" w:type="dxa"/>
            <w:vAlign w:val="center"/>
          </w:tcPr>
          <w:p w14:paraId="27D44D07" w14:textId="77777777" w:rsidR="00171B5A" w:rsidRPr="008C164C" w:rsidRDefault="00171B5A" w:rsidP="00171B5A">
            <w:pPr>
              <w:pStyle w:val="TableText0"/>
              <w:keepLines/>
              <w:jc w:val="center"/>
            </w:pPr>
            <w:r w:rsidRPr="008C164C">
              <w:t>24/35 (68.6)</w:t>
            </w:r>
          </w:p>
          <w:p w14:paraId="169BC5E9" w14:textId="77777777" w:rsidR="00171B5A" w:rsidRPr="008C164C" w:rsidRDefault="00171B5A" w:rsidP="00171B5A">
            <w:pPr>
              <w:pStyle w:val="TableText0"/>
              <w:keepLines/>
              <w:jc w:val="center"/>
            </w:pPr>
            <w:r w:rsidRPr="008C164C">
              <w:t>(50.7, 83.1)</w:t>
            </w:r>
          </w:p>
        </w:tc>
        <w:tc>
          <w:tcPr>
            <w:tcW w:w="1134" w:type="dxa"/>
            <w:vAlign w:val="center"/>
          </w:tcPr>
          <w:p w14:paraId="7104303E" w14:textId="77777777" w:rsidR="00171B5A" w:rsidRPr="008C164C" w:rsidRDefault="00171B5A" w:rsidP="00171B5A">
            <w:pPr>
              <w:pStyle w:val="TableText0"/>
              <w:keepLines/>
              <w:jc w:val="center"/>
              <w:rPr>
                <w:rFonts w:eastAsia="Times New Roman"/>
              </w:rPr>
            </w:pPr>
            <w:r w:rsidRPr="008C164C">
              <w:rPr>
                <w:rFonts w:eastAsia="Times New Roman"/>
              </w:rPr>
              <w:t>21/36 (58.3)</w:t>
            </w:r>
          </w:p>
          <w:p w14:paraId="48BBA7FE" w14:textId="77777777" w:rsidR="00171B5A" w:rsidRPr="008C164C" w:rsidRDefault="00171B5A" w:rsidP="00171B5A">
            <w:pPr>
              <w:pStyle w:val="TableText0"/>
              <w:keepLines/>
              <w:jc w:val="center"/>
              <w:rPr>
                <w:rFonts w:eastAsia="Times New Roman"/>
              </w:rPr>
            </w:pPr>
            <w:r w:rsidRPr="008C164C">
              <w:rPr>
                <w:rFonts w:eastAsia="Times New Roman"/>
              </w:rPr>
              <w:t>(40.8, 74.5)</w:t>
            </w:r>
          </w:p>
        </w:tc>
        <w:tc>
          <w:tcPr>
            <w:tcW w:w="1218" w:type="dxa"/>
            <w:vAlign w:val="center"/>
          </w:tcPr>
          <w:p w14:paraId="6228A3A6" w14:textId="77777777" w:rsidR="00171B5A" w:rsidRPr="008C164C" w:rsidRDefault="00171B5A" w:rsidP="00171B5A">
            <w:pPr>
              <w:pStyle w:val="TableText0"/>
              <w:keepLines/>
              <w:jc w:val="center"/>
              <w:rPr>
                <w:rFonts w:eastAsia="Times New Roman"/>
              </w:rPr>
            </w:pPr>
            <w:r w:rsidRPr="008C164C">
              <w:rPr>
                <w:rFonts w:eastAsia="Times New Roman"/>
              </w:rPr>
              <w:t>45/71 (63.4)</w:t>
            </w:r>
          </w:p>
          <w:p w14:paraId="4C1AF21E" w14:textId="77777777" w:rsidR="00171B5A" w:rsidRPr="008C164C" w:rsidRDefault="00171B5A" w:rsidP="00171B5A">
            <w:pPr>
              <w:pStyle w:val="TableText0"/>
              <w:keepLines/>
              <w:jc w:val="center"/>
              <w:rPr>
                <w:rFonts w:eastAsia="Times New Roman"/>
              </w:rPr>
            </w:pPr>
            <w:r w:rsidRPr="008C164C">
              <w:rPr>
                <w:rFonts w:eastAsia="Times New Roman"/>
              </w:rPr>
              <w:t>(51.1, 74.5)</w:t>
            </w:r>
          </w:p>
        </w:tc>
      </w:tr>
      <w:tr w:rsidR="00171B5A" w:rsidRPr="008C164C" w14:paraId="028F9F1E" w14:textId="77777777" w:rsidTr="00171B5A">
        <w:trPr>
          <w:trHeight w:val="454"/>
        </w:trPr>
        <w:tc>
          <w:tcPr>
            <w:tcW w:w="2405" w:type="dxa"/>
            <w:vMerge w:val="restart"/>
            <w:vAlign w:val="center"/>
          </w:tcPr>
          <w:p w14:paraId="489C4F64" w14:textId="18CFC1A0" w:rsidR="00171B5A" w:rsidRPr="008C164C" w:rsidRDefault="00171B5A" w:rsidP="00171B5A">
            <w:pPr>
              <w:pStyle w:val="TableText0"/>
              <w:keepLines/>
              <w:rPr>
                <w:rFonts w:eastAsia="Times New Roman"/>
              </w:rPr>
            </w:pPr>
            <w:r w:rsidRPr="008C164C">
              <w:rPr>
                <w:rFonts w:eastAsia="Times New Roman"/>
              </w:rPr>
              <w:t>Patients with viral load &lt;</w:t>
            </w:r>
            <w:r w:rsidR="00F515BC" w:rsidRPr="008C164C">
              <w:rPr>
                <w:rFonts w:eastAsia="Times New Roman"/>
              </w:rPr>
              <w:t xml:space="preserve"> </w:t>
            </w:r>
            <w:r w:rsidRPr="008C164C">
              <w:rPr>
                <w:rFonts w:eastAsia="Times New Roman"/>
              </w:rPr>
              <w:t>200 copies/mL: Missing = failure, n (%), (n/N at Week 104</w:t>
            </w:r>
            <w:r w:rsidR="00D64078" w:rsidRPr="008C164C">
              <w:rPr>
                <w:rFonts w:eastAsia="Times New Roman"/>
                <w:vertAlign w:val="superscript"/>
              </w:rPr>
              <w:t>a</w:t>
            </w:r>
            <w:r w:rsidR="00D64078" w:rsidRPr="008C164C">
              <w:rPr>
                <w:rFonts w:eastAsia="Times New Roman"/>
              </w:rPr>
              <w:t xml:space="preserve">) </w:t>
            </w:r>
            <w:r w:rsidRPr="008C164C">
              <w:rPr>
                <w:rFonts w:eastAsia="Times New Roman"/>
              </w:rPr>
              <w:t>95% CI not reported.</w:t>
            </w:r>
          </w:p>
        </w:tc>
        <w:tc>
          <w:tcPr>
            <w:tcW w:w="851" w:type="dxa"/>
            <w:shd w:val="clear" w:color="auto" w:fill="C6D9F1" w:themeFill="text2" w:themeFillTint="33"/>
            <w:vAlign w:val="center"/>
          </w:tcPr>
          <w:p w14:paraId="2F9E7A42" w14:textId="77777777" w:rsidR="00171B5A" w:rsidRPr="008C164C" w:rsidRDefault="00171B5A" w:rsidP="00171B5A">
            <w:pPr>
              <w:pStyle w:val="TableText0"/>
              <w:keepLines/>
              <w:jc w:val="center"/>
              <w:rPr>
                <w:rFonts w:eastAsia="Times New Roman"/>
              </w:rPr>
            </w:pPr>
            <w:proofErr w:type="spellStart"/>
            <w:r w:rsidRPr="008C164C">
              <w:rPr>
                <w:rFonts w:eastAsia="Times New Roman"/>
              </w:rPr>
              <w:t>Wk</w:t>
            </w:r>
            <w:proofErr w:type="spellEnd"/>
            <w:r w:rsidRPr="008C164C">
              <w:rPr>
                <w:rFonts w:eastAsia="Times New Roman"/>
              </w:rPr>
              <w:t xml:space="preserve"> 52</w:t>
            </w:r>
          </w:p>
        </w:tc>
        <w:tc>
          <w:tcPr>
            <w:tcW w:w="1134" w:type="dxa"/>
            <w:shd w:val="clear" w:color="auto" w:fill="C6D9F1" w:themeFill="text2" w:themeFillTint="33"/>
            <w:vAlign w:val="center"/>
          </w:tcPr>
          <w:p w14:paraId="6DC50207" w14:textId="77777777" w:rsidR="00171B5A" w:rsidRPr="008C164C" w:rsidRDefault="00171B5A" w:rsidP="00171B5A">
            <w:pPr>
              <w:pStyle w:val="TableText0"/>
              <w:keepLines/>
              <w:jc w:val="center"/>
              <w:rPr>
                <w:rFonts w:eastAsia="Times New Roman"/>
              </w:rPr>
            </w:pPr>
            <w:r w:rsidRPr="008C164C">
              <w:rPr>
                <w:rFonts w:eastAsia="Times New Roman"/>
              </w:rPr>
              <w:t>22 (91.7)</w:t>
            </w:r>
          </w:p>
        </w:tc>
        <w:tc>
          <w:tcPr>
            <w:tcW w:w="1134" w:type="dxa"/>
            <w:shd w:val="clear" w:color="auto" w:fill="C6D9F1" w:themeFill="text2" w:themeFillTint="33"/>
            <w:vAlign w:val="center"/>
          </w:tcPr>
          <w:p w14:paraId="39EBAE65" w14:textId="77777777" w:rsidR="00171B5A" w:rsidRPr="008C164C" w:rsidRDefault="00171B5A" w:rsidP="00171B5A">
            <w:pPr>
              <w:pStyle w:val="TableText0"/>
              <w:keepLines/>
              <w:jc w:val="center"/>
              <w:rPr>
                <w:rFonts w:eastAsia="Times New Roman"/>
              </w:rPr>
            </w:pPr>
            <w:r w:rsidRPr="008C164C">
              <w:rPr>
                <w:rFonts w:eastAsia="Times New Roman"/>
              </w:rPr>
              <w:t>9 (75.0)</w:t>
            </w:r>
          </w:p>
        </w:tc>
        <w:tc>
          <w:tcPr>
            <w:tcW w:w="1134" w:type="dxa"/>
            <w:shd w:val="clear" w:color="auto" w:fill="C6D9F1" w:themeFill="text2" w:themeFillTint="33"/>
            <w:vAlign w:val="center"/>
          </w:tcPr>
          <w:p w14:paraId="218E293E" w14:textId="77777777" w:rsidR="00171B5A" w:rsidRPr="008C164C" w:rsidRDefault="00171B5A" w:rsidP="00171B5A">
            <w:pPr>
              <w:pStyle w:val="TableText0"/>
              <w:keepLines/>
              <w:jc w:val="center"/>
            </w:pPr>
            <w:r w:rsidRPr="008C164C">
              <w:t>31 (86.1)</w:t>
            </w:r>
          </w:p>
        </w:tc>
        <w:tc>
          <w:tcPr>
            <w:tcW w:w="1134" w:type="dxa"/>
            <w:shd w:val="clear" w:color="auto" w:fill="C6D9F1" w:themeFill="text2" w:themeFillTint="33"/>
            <w:vAlign w:val="center"/>
          </w:tcPr>
          <w:p w14:paraId="65D0ED1D" w14:textId="77777777" w:rsidR="00171B5A" w:rsidRPr="008C164C" w:rsidRDefault="00171B5A" w:rsidP="00171B5A">
            <w:pPr>
              <w:pStyle w:val="TableText0"/>
              <w:keepLines/>
              <w:jc w:val="center"/>
              <w:rPr>
                <w:rFonts w:eastAsia="Times New Roman"/>
              </w:rPr>
            </w:pPr>
            <w:r w:rsidRPr="008C164C">
              <w:rPr>
                <w:rFonts w:eastAsia="Times New Roman"/>
              </w:rPr>
              <w:t>29 (80.6)</w:t>
            </w:r>
          </w:p>
        </w:tc>
        <w:tc>
          <w:tcPr>
            <w:tcW w:w="1218" w:type="dxa"/>
            <w:shd w:val="clear" w:color="auto" w:fill="C6D9F1" w:themeFill="text2" w:themeFillTint="33"/>
            <w:vAlign w:val="center"/>
          </w:tcPr>
          <w:p w14:paraId="1B255737" w14:textId="77777777" w:rsidR="00171B5A" w:rsidRPr="008C164C" w:rsidRDefault="00171B5A" w:rsidP="00171B5A">
            <w:pPr>
              <w:pStyle w:val="TableText0"/>
              <w:keepLines/>
              <w:jc w:val="center"/>
              <w:rPr>
                <w:rFonts w:eastAsia="Times New Roman"/>
              </w:rPr>
            </w:pPr>
            <w:r w:rsidRPr="008C164C">
              <w:rPr>
                <w:rFonts w:eastAsia="Times New Roman"/>
              </w:rPr>
              <w:t>60 (83.3)</w:t>
            </w:r>
          </w:p>
        </w:tc>
      </w:tr>
      <w:tr w:rsidR="00171B5A" w:rsidRPr="008C164C" w14:paraId="30D1A1F7" w14:textId="77777777" w:rsidTr="00171B5A">
        <w:trPr>
          <w:trHeight w:val="454"/>
        </w:trPr>
        <w:tc>
          <w:tcPr>
            <w:tcW w:w="2405" w:type="dxa"/>
            <w:vMerge/>
            <w:vAlign w:val="center"/>
          </w:tcPr>
          <w:p w14:paraId="5AD7F5F9" w14:textId="77777777" w:rsidR="00171B5A" w:rsidRPr="008C164C" w:rsidRDefault="00171B5A" w:rsidP="00171B5A">
            <w:pPr>
              <w:pStyle w:val="TableText0"/>
              <w:keepLines/>
              <w:rPr>
                <w:rFonts w:eastAsia="Times New Roman"/>
              </w:rPr>
            </w:pPr>
          </w:p>
        </w:tc>
        <w:tc>
          <w:tcPr>
            <w:tcW w:w="851" w:type="dxa"/>
            <w:vAlign w:val="center"/>
          </w:tcPr>
          <w:p w14:paraId="2A043484" w14:textId="77777777" w:rsidR="00171B5A" w:rsidRPr="008C164C" w:rsidRDefault="00171B5A" w:rsidP="00171B5A">
            <w:pPr>
              <w:pStyle w:val="TableText0"/>
              <w:keepLines/>
              <w:jc w:val="center"/>
              <w:rPr>
                <w:rFonts w:eastAsia="Times New Roman"/>
              </w:rPr>
            </w:pPr>
            <w:proofErr w:type="spellStart"/>
            <w:r w:rsidRPr="008C164C">
              <w:rPr>
                <w:rFonts w:eastAsia="Times New Roman"/>
              </w:rPr>
              <w:t>Wk</w:t>
            </w:r>
            <w:proofErr w:type="spellEnd"/>
            <w:r w:rsidRPr="008C164C">
              <w:rPr>
                <w:rFonts w:eastAsia="Times New Roman"/>
              </w:rPr>
              <w:t xml:space="preserve"> 104</w:t>
            </w:r>
          </w:p>
        </w:tc>
        <w:tc>
          <w:tcPr>
            <w:tcW w:w="1134" w:type="dxa"/>
            <w:vAlign w:val="center"/>
          </w:tcPr>
          <w:p w14:paraId="7E5F7B60" w14:textId="77777777" w:rsidR="00171B5A" w:rsidRPr="008C164C" w:rsidRDefault="00171B5A" w:rsidP="00171B5A">
            <w:pPr>
              <w:pStyle w:val="TableText0"/>
              <w:keepLines/>
              <w:jc w:val="center"/>
              <w:rPr>
                <w:rFonts w:eastAsia="Times New Roman"/>
              </w:rPr>
            </w:pPr>
            <w:r w:rsidRPr="008C164C">
              <w:rPr>
                <w:rFonts w:eastAsia="Times New Roman"/>
              </w:rPr>
              <w:t>17/24 (70.8)</w:t>
            </w:r>
          </w:p>
        </w:tc>
        <w:tc>
          <w:tcPr>
            <w:tcW w:w="1134" w:type="dxa"/>
            <w:vAlign w:val="center"/>
          </w:tcPr>
          <w:p w14:paraId="300D0065" w14:textId="77777777" w:rsidR="00171B5A" w:rsidRPr="008C164C" w:rsidRDefault="00171B5A" w:rsidP="00171B5A">
            <w:pPr>
              <w:pStyle w:val="TableText0"/>
              <w:keepLines/>
              <w:jc w:val="center"/>
              <w:rPr>
                <w:rFonts w:eastAsia="Times New Roman"/>
              </w:rPr>
            </w:pPr>
            <w:r w:rsidRPr="008C164C">
              <w:rPr>
                <w:rFonts w:eastAsia="Times New Roman"/>
              </w:rPr>
              <w:t>7/11 (63.6)</w:t>
            </w:r>
          </w:p>
        </w:tc>
        <w:tc>
          <w:tcPr>
            <w:tcW w:w="1134" w:type="dxa"/>
            <w:vAlign w:val="center"/>
          </w:tcPr>
          <w:p w14:paraId="7DD4F988" w14:textId="77777777" w:rsidR="00171B5A" w:rsidRPr="008C164C" w:rsidRDefault="00171B5A" w:rsidP="00171B5A">
            <w:pPr>
              <w:pStyle w:val="TableText0"/>
              <w:keepLines/>
              <w:jc w:val="center"/>
            </w:pPr>
            <w:r w:rsidRPr="008C164C">
              <w:t>24/35 (68.6)</w:t>
            </w:r>
          </w:p>
        </w:tc>
        <w:tc>
          <w:tcPr>
            <w:tcW w:w="1134" w:type="dxa"/>
            <w:vAlign w:val="center"/>
          </w:tcPr>
          <w:p w14:paraId="6E75C440" w14:textId="77777777" w:rsidR="00171B5A" w:rsidRPr="008C164C" w:rsidRDefault="00171B5A" w:rsidP="00171B5A">
            <w:pPr>
              <w:pStyle w:val="TableText0"/>
              <w:keepLines/>
              <w:jc w:val="center"/>
              <w:rPr>
                <w:rFonts w:eastAsia="Times New Roman"/>
              </w:rPr>
            </w:pPr>
            <w:r w:rsidRPr="008C164C">
              <w:rPr>
                <w:rFonts w:eastAsia="Times New Roman"/>
              </w:rPr>
              <w:t>21/36 (58.3)</w:t>
            </w:r>
          </w:p>
        </w:tc>
        <w:tc>
          <w:tcPr>
            <w:tcW w:w="1218" w:type="dxa"/>
            <w:vAlign w:val="center"/>
          </w:tcPr>
          <w:p w14:paraId="36F6B02E" w14:textId="77777777" w:rsidR="00171B5A" w:rsidRPr="008C164C" w:rsidRDefault="00171B5A" w:rsidP="00171B5A">
            <w:pPr>
              <w:pStyle w:val="TableText0"/>
              <w:keepLines/>
              <w:jc w:val="center"/>
              <w:rPr>
                <w:rFonts w:eastAsia="Times New Roman"/>
              </w:rPr>
            </w:pPr>
            <w:r w:rsidRPr="008C164C">
              <w:rPr>
                <w:rFonts w:eastAsia="Times New Roman"/>
              </w:rPr>
              <w:t>45/71 (63.4)</w:t>
            </w:r>
          </w:p>
        </w:tc>
      </w:tr>
      <w:tr w:rsidR="001A43F9" w:rsidRPr="008C164C" w14:paraId="165234F4" w14:textId="77777777" w:rsidTr="00240629">
        <w:trPr>
          <w:trHeight w:val="20"/>
        </w:trPr>
        <w:tc>
          <w:tcPr>
            <w:tcW w:w="9010" w:type="dxa"/>
            <w:gridSpan w:val="7"/>
            <w:vAlign w:val="center"/>
          </w:tcPr>
          <w:p w14:paraId="753F3E9E" w14:textId="77777777" w:rsidR="001A43F9" w:rsidRPr="008C164C" w:rsidRDefault="001A43F9" w:rsidP="00171B5A">
            <w:pPr>
              <w:pStyle w:val="TableText0"/>
              <w:keepLines/>
              <w:rPr>
                <w:rFonts w:eastAsia="Times New Roman"/>
                <w:b/>
                <w:bCs w:val="0"/>
              </w:rPr>
            </w:pPr>
            <w:r w:rsidRPr="008C164C">
              <w:rPr>
                <w:rFonts w:eastAsia="Times New Roman"/>
                <w:b/>
                <w:bCs w:val="0"/>
              </w:rPr>
              <w:t>CD4 cell counts – change from baseline</w:t>
            </w:r>
          </w:p>
        </w:tc>
      </w:tr>
      <w:tr w:rsidR="001A43F9" w:rsidRPr="008C164C" w14:paraId="30096112" w14:textId="77777777" w:rsidTr="00B348E4">
        <w:trPr>
          <w:trHeight w:val="20"/>
        </w:trPr>
        <w:tc>
          <w:tcPr>
            <w:tcW w:w="2405" w:type="dxa"/>
            <w:vAlign w:val="center"/>
          </w:tcPr>
          <w:p w14:paraId="6AC62A5D" w14:textId="77777777" w:rsidR="001A43F9" w:rsidRPr="008C164C" w:rsidRDefault="001A43F9" w:rsidP="00171B5A">
            <w:pPr>
              <w:pStyle w:val="TableText0"/>
              <w:keepLines/>
              <w:rPr>
                <w:rFonts w:eastAsia="Times New Roman"/>
              </w:rPr>
            </w:pPr>
            <w:r w:rsidRPr="008C164C">
              <w:rPr>
                <w:rFonts w:eastAsia="Times New Roman"/>
              </w:rPr>
              <w:t>Baseline CD4 cell count (cells/mm</w:t>
            </w:r>
            <w:r w:rsidRPr="008C164C">
              <w:rPr>
                <w:rFonts w:eastAsia="Times New Roman"/>
                <w:vertAlign w:val="superscript"/>
              </w:rPr>
              <w:t>3</w:t>
            </w:r>
            <w:r w:rsidRPr="008C164C">
              <w:rPr>
                <w:rFonts w:eastAsia="Times New Roman"/>
              </w:rPr>
              <w:t>)</w:t>
            </w:r>
          </w:p>
        </w:tc>
        <w:tc>
          <w:tcPr>
            <w:tcW w:w="851" w:type="dxa"/>
            <w:shd w:val="clear" w:color="auto" w:fill="C6D9F1" w:themeFill="text2" w:themeFillTint="33"/>
            <w:vAlign w:val="center"/>
          </w:tcPr>
          <w:p w14:paraId="4F5414B1" w14:textId="77777777" w:rsidR="001A43F9" w:rsidRPr="008C164C" w:rsidRDefault="001A43F9" w:rsidP="00171B5A">
            <w:pPr>
              <w:pStyle w:val="TableText0"/>
              <w:keepLines/>
              <w:jc w:val="center"/>
              <w:rPr>
                <w:rFonts w:eastAsia="Times New Roman"/>
              </w:rPr>
            </w:pPr>
            <w:r w:rsidRPr="008C164C">
              <w:rPr>
                <w:rFonts w:eastAsia="Times New Roman"/>
              </w:rPr>
              <w:t>BL</w:t>
            </w:r>
          </w:p>
        </w:tc>
        <w:tc>
          <w:tcPr>
            <w:tcW w:w="1134" w:type="dxa"/>
            <w:shd w:val="clear" w:color="auto" w:fill="C6D9F1" w:themeFill="text2" w:themeFillTint="33"/>
            <w:vAlign w:val="center"/>
          </w:tcPr>
          <w:p w14:paraId="67AA9B25" w14:textId="77777777" w:rsidR="001A43F9" w:rsidRPr="008C164C" w:rsidRDefault="001A43F9" w:rsidP="00171B5A">
            <w:pPr>
              <w:pStyle w:val="TableText0"/>
              <w:keepLines/>
              <w:jc w:val="center"/>
              <w:rPr>
                <w:rFonts w:eastAsia="Times New Roman"/>
              </w:rPr>
            </w:pPr>
            <w:r w:rsidRPr="008C164C">
              <w:rPr>
                <w:rFonts w:eastAsia="Times New Roman"/>
              </w:rPr>
              <w:t>N=24</w:t>
            </w:r>
          </w:p>
          <w:p w14:paraId="170EDA46" w14:textId="77777777" w:rsidR="001A43F9" w:rsidRPr="008C164C" w:rsidRDefault="001A43F9" w:rsidP="00171B5A">
            <w:pPr>
              <w:pStyle w:val="TableText0"/>
              <w:keepLines/>
              <w:jc w:val="center"/>
              <w:rPr>
                <w:rFonts w:eastAsia="Times New Roman"/>
              </w:rPr>
            </w:pPr>
            <w:r w:rsidRPr="008C164C">
              <w:rPr>
                <w:rFonts w:eastAsia="Times New Roman"/>
              </w:rPr>
              <w:t>199 (166.1) (129, 269)</w:t>
            </w:r>
          </w:p>
        </w:tc>
        <w:tc>
          <w:tcPr>
            <w:tcW w:w="1134" w:type="dxa"/>
            <w:shd w:val="clear" w:color="auto" w:fill="C6D9F1" w:themeFill="text2" w:themeFillTint="33"/>
            <w:vAlign w:val="center"/>
          </w:tcPr>
          <w:p w14:paraId="2FD85E43" w14:textId="77777777" w:rsidR="001A43F9" w:rsidRPr="008C164C" w:rsidRDefault="001A43F9" w:rsidP="00171B5A">
            <w:pPr>
              <w:pStyle w:val="TableText0"/>
              <w:keepLines/>
              <w:jc w:val="center"/>
              <w:rPr>
                <w:rFonts w:eastAsia="Times New Roman"/>
              </w:rPr>
            </w:pPr>
            <w:r w:rsidRPr="008C164C">
              <w:rPr>
                <w:rFonts w:eastAsia="Times New Roman"/>
              </w:rPr>
              <w:t>N=12</w:t>
            </w:r>
          </w:p>
          <w:p w14:paraId="1AA4F7F9" w14:textId="77777777" w:rsidR="001A43F9" w:rsidRPr="008C164C" w:rsidRDefault="001A43F9" w:rsidP="00171B5A">
            <w:pPr>
              <w:pStyle w:val="TableText0"/>
              <w:keepLines/>
              <w:jc w:val="center"/>
              <w:rPr>
                <w:rFonts w:eastAsia="Times New Roman"/>
              </w:rPr>
            </w:pPr>
            <w:r w:rsidRPr="008C164C">
              <w:rPr>
                <w:rFonts w:eastAsia="Times New Roman"/>
              </w:rPr>
              <w:t>99 (115.9) (25, 173)</w:t>
            </w:r>
          </w:p>
        </w:tc>
        <w:tc>
          <w:tcPr>
            <w:tcW w:w="1134" w:type="dxa"/>
            <w:shd w:val="clear" w:color="auto" w:fill="C6D9F1" w:themeFill="text2" w:themeFillTint="33"/>
            <w:vAlign w:val="center"/>
          </w:tcPr>
          <w:p w14:paraId="45C9D7CF" w14:textId="77777777" w:rsidR="001A43F9" w:rsidRPr="008C164C" w:rsidRDefault="001A43F9" w:rsidP="00171B5A">
            <w:pPr>
              <w:pStyle w:val="TableText0"/>
              <w:keepLines/>
              <w:jc w:val="center"/>
            </w:pPr>
            <w:r w:rsidRPr="008C164C">
              <w:t>N=36</w:t>
            </w:r>
          </w:p>
          <w:p w14:paraId="6B68FD8F" w14:textId="77777777" w:rsidR="001A43F9" w:rsidRPr="008C164C" w:rsidRDefault="001A43F9" w:rsidP="00171B5A">
            <w:pPr>
              <w:pStyle w:val="TableText0"/>
              <w:keepLines/>
              <w:jc w:val="center"/>
            </w:pPr>
            <w:r w:rsidRPr="008C164C">
              <w:t>166 (157.0) (113, 219)</w:t>
            </w:r>
          </w:p>
        </w:tc>
        <w:tc>
          <w:tcPr>
            <w:tcW w:w="1134" w:type="dxa"/>
            <w:shd w:val="clear" w:color="auto" w:fill="C6D9F1" w:themeFill="text2" w:themeFillTint="33"/>
            <w:vAlign w:val="center"/>
          </w:tcPr>
          <w:p w14:paraId="35D43D3A" w14:textId="77777777" w:rsidR="001A43F9" w:rsidRPr="008C164C" w:rsidRDefault="001A43F9" w:rsidP="00171B5A">
            <w:pPr>
              <w:pStyle w:val="TableText0"/>
              <w:keepLines/>
              <w:jc w:val="center"/>
              <w:rPr>
                <w:rFonts w:eastAsia="Times New Roman"/>
              </w:rPr>
            </w:pPr>
            <w:r w:rsidRPr="008C164C">
              <w:rPr>
                <w:rFonts w:eastAsia="Times New Roman"/>
              </w:rPr>
              <w:t>N=36</w:t>
            </w:r>
          </w:p>
          <w:p w14:paraId="2A3DB1AA" w14:textId="77777777" w:rsidR="001A43F9" w:rsidRPr="008C164C" w:rsidRDefault="001A43F9" w:rsidP="00171B5A">
            <w:pPr>
              <w:pStyle w:val="TableText0"/>
              <w:keepLines/>
              <w:jc w:val="center"/>
              <w:rPr>
                <w:rFonts w:eastAsia="Times New Roman"/>
              </w:rPr>
            </w:pPr>
            <w:r w:rsidRPr="008C164C">
              <w:rPr>
                <w:rFonts w:eastAsia="Times New Roman"/>
              </w:rPr>
              <w:t>258 (273.4) (165, 350)</w:t>
            </w:r>
          </w:p>
        </w:tc>
        <w:tc>
          <w:tcPr>
            <w:tcW w:w="1218" w:type="dxa"/>
            <w:shd w:val="clear" w:color="auto" w:fill="C6D9F1" w:themeFill="text2" w:themeFillTint="33"/>
            <w:vAlign w:val="center"/>
          </w:tcPr>
          <w:p w14:paraId="1BD58733" w14:textId="77777777" w:rsidR="001A43F9" w:rsidRPr="008C164C" w:rsidRDefault="001A43F9" w:rsidP="00171B5A">
            <w:pPr>
              <w:pStyle w:val="TableText0"/>
              <w:keepLines/>
              <w:jc w:val="center"/>
              <w:rPr>
                <w:rFonts w:eastAsia="Times New Roman"/>
              </w:rPr>
            </w:pPr>
            <w:r w:rsidRPr="008C164C">
              <w:rPr>
                <w:rFonts w:eastAsia="Times New Roman"/>
              </w:rPr>
              <w:t>N=72</w:t>
            </w:r>
          </w:p>
          <w:p w14:paraId="69B06B18" w14:textId="77777777" w:rsidR="001A43F9" w:rsidRPr="008C164C" w:rsidRDefault="001A43F9" w:rsidP="00171B5A">
            <w:pPr>
              <w:pStyle w:val="TableText0"/>
              <w:keepLines/>
              <w:jc w:val="center"/>
              <w:rPr>
                <w:rFonts w:eastAsia="Times New Roman"/>
              </w:rPr>
            </w:pPr>
            <w:r w:rsidRPr="008C164C">
              <w:rPr>
                <w:rFonts w:eastAsia="Times New Roman"/>
              </w:rPr>
              <w:t>212 (226.2) (159, 265)</w:t>
            </w:r>
          </w:p>
        </w:tc>
      </w:tr>
      <w:tr w:rsidR="00171B5A" w:rsidRPr="008C164C" w14:paraId="77C362AF" w14:textId="77777777" w:rsidTr="00B348E4">
        <w:trPr>
          <w:trHeight w:val="20"/>
        </w:trPr>
        <w:tc>
          <w:tcPr>
            <w:tcW w:w="2405" w:type="dxa"/>
            <w:vMerge w:val="restart"/>
            <w:vAlign w:val="center"/>
          </w:tcPr>
          <w:p w14:paraId="0FE2C386" w14:textId="2DA676B9" w:rsidR="00171B5A" w:rsidRPr="008C164C" w:rsidRDefault="00171B5A" w:rsidP="00171B5A">
            <w:pPr>
              <w:pStyle w:val="TableText0"/>
              <w:keepLines/>
              <w:rPr>
                <w:rFonts w:eastAsia="Times New Roman"/>
              </w:rPr>
            </w:pPr>
            <w:r w:rsidRPr="008C164C">
              <w:rPr>
                <w:rFonts w:eastAsia="Times New Roman"/>
              </w:rPr>
              <w:t>Mean (SD) change from baseline in CD4 cell count (cells/ mm</w:t>
            </w:r>
            <w:r w:rsidRPr="008C164C">
              <w:rPr>
                <w:rFonts w:eastAsia="Times New Roman"/>
                <w:vertAlign w:val="superscript"/>
              </w:rPr>
              <w:t>3</w:t>
            </w:r>
            <w:r w:rsidRPr="008C164C">
              <w:rPr>
                <w:rFonts w:eastAsia="Times New Roman"/>
              </w:rPr>
              <w:t>) (95% CI)</w:t>
            </w:r>
          </w:p>
        </w:tc>
        <w:tc>
          <w:tcPr>
            <w:tcW w:w="851" w:type="dxa"/>
            <w:shd w:val="clear" w:color="auto" w:fill="C6D9F1" w:themeFill="text2" w:themeFillTint="33"/>
            <w:vAlign w:val="center"/>
          </w:tcPr>
          <w:p w14:paraId="0973A5E7" w14:textId="77777777" w:rsidR="00171B5A" w:rsidRPr="008C164C" w:rsidRDefault="00171B5A" w:rsidP="00171B5A">
            <w:pPr>
              <w:pStyle w:val="TableText0"/>
              <w:keepLines/>
              <w:jc w:val="center"/>
              <w:rPr>
                <w:rFonts w:eastAsia="Times New Roman"/>
              </w:rPr>
            </w:pPr>
            <w:proofErr w:type="spellStart"/>
            <w:r w:rsidRPr="008C164C">
              <w:rPr>
                <w:rFonts w:eastAsia="Times New Roman"/>
              </w:rPr>
              <w:t>Wk</w:t>
            </w:r>
            <w:proofErr w:type="spellEnd"/>
            <w:r w:rsidRPr="008C164C">
              <w:rPr>
                <w:rFonts w:eastAsia="Times New Roman"/>
              </w:rPr>
              <w:t xml:space="preserve"> 52</w:t>
            </w:r>
          </w:p>
        </w:tc>
        <w:tc>
          <w:tcPr>
            <w:tcW w:w="1134" w:type="dxa"/>
            <w:shd w:val="clear" w:color="auto" w:fill="C6D9F1" w:themeFill="text2" w:themeFillTint="33"/>
            <w:vAlign w:val="center"/>
          </w:tcPr>
          <w:p w14:paraId="34B04791" w14:textId="77777777" w:rsidR="00171B5A" w:rsidRPr="008C164C" w:rsidRDefault="00171B5A" w:rsidP="00171B5A">
            <w:pPr>
              <w:pStyle w:val="TableText0"/>
              <w:keepLines/>
              <w:jc w:val="center"/>
              <w:rPr>
                <w:rFonts w:eastAsia="Times New Roman"/>
              </w:rPr>
            </w:pPr>
            <w:r w:rsidRPr="008C164C">
              <w:rPr>
                <w:rFonts w:eastAsia="Times New Roman"/>
              </w:rPr>
              <w:t>N=23</w:t>
            </w:r>
          </w:p>
          <w:p w14:paraId="69B64570" w14:textId="77777777" w:rsidR="00171B5A" w:rsidRPr="008C164C" w:rsidRDefault="00171B5A" w:rsidP="00171B5A">
            <w:pPr>
              <w:pStyle w:val="TableText0"/>
              <w:keepLines/>
              <w:jc w:val="center"/>
              <w:rPr>
                <w:rFonts w:eastAsia="Times New Roman"/>
              </w:rPr>
            </w:pPr>
            <w:r w:rsidRPr="008C164C">
              <w:rPr>
                <w:rFonts w:eastAsia="Times New Roman"/>
              </w:rPr>
              <w:t>75 (129.6) (19, 131)</w:t>
            </w:r>
          </w:p>
        </w:tc>
        <w:tc>
          <w:tcPr>
            <w:tcW w:w="1134" w:type="dxa"/>
            <w:shd w:val="clear" w:color="auto" w:fill="C6D9F1" w:themeFill="text2" w:themeFillTint="33"/>
            <w:vAlign w:val="center"/>
          </w:tcPr>
          <w:p w14:paraId="1092C9A2" w14:textId="77777777" w:rsidR="00171B5A" w:rsidRPr="008C164C" w:rsidRDefault="00171B5A" w:rsidP="00171B5A">
            <w:pPr>
              <w:pStyle w:val="TableText0"/>
              <w:keepLines/>
              <w:jc w:val="center"/>
              <w:rPr>
                <w:rFonts w:eastAsia="Times New Roman"/>
              </w:rPr>
            </w:pPr>
            <w:r w:rsidRPr="008C164C">
              <w:rPr>
                <w:rFonts w:eastAsia="Times New Roman"/>
              </w:rPr>
              <w:t>N=12</w:t>
            </w:r>
          </w:p>
          <w:p w14:paraId="6A4E0D90" w14:textId="77777777" w:rsidR="00171B5A" w:rsidRPr="008C164C" w:rsidRDefault="00171B5A" w:rsidP="00171B5A">
            <w:pPr>
              <w:pStyle w:val="TableText0"/>
              <w:keepLines/>
              <w:jc w:val="center"/>
              <w:rPr>
                <w:rFonts w:eastAsia="Times New Roman"/>
              </w:rPr>
            </w:pPr>
            <w:r w:rsidRPr="008C164C">
              <w:rPr>
                <w:rFonts w:eastAsia="Times New Roman"/>
              </w:rPr>
              <w:t>97 (84.6) (43, 150)</w:t>
            </w:r>
          </w:p>
        </w:tc>
        <w:tc>
          <w:tcPr>
            <w:tcW w:w="1134" w:type="dxa"/>
            <w:shd w:val="clear" w:color="auto" w:fill="C6D9F1" w:themeFill="text2" w:themeFillTint="33"/>
            <w:vAlign w:val="center"/>
          </w:tcPr>
          <w:p w14:paraId="4F6B329D" w14:textId="77777777" w:rsidR="00171B5A" w:rsidRPr="008C164C" w:rsidRDefault="00171B5A" w:rsidP="00171B5A">
            <w:pPr>
              <w:pStyle w:val="TableText0"/>
              <w:keepLines/>
              <w:jc w:val="center"/>
            </w:pPr>
            <w:r w:rsidRPr="008C164C">
              <w:t>N=35</w:t>
            </w:r>
          </w:p>
          <w:p w14:paraId="5E81A10D" w14:textId="77777777" w:rsidR="00171B5A" w:rsidRPr="008C164C" w:rsidRDefault="00171B5A" w:rsidP="00171B5A">
            <w:pPr>
              <w:pStyle w:val="TableText0"/>
              <w:keepLines/>
              <w:jc w:val="center"/>
            </w:pPr>
            <w:r w:rsidRPr="008C164C">
              <w:t>82 (115.3) (43, 122)</w:t>
            </w:r>
          </w:p>
        </w:tc>
        <w:tc>
          <w:tcPr>
            <w:tcW w:w="1134" w:type="dxa"/>
            <w:shd w:val="clear" w:color="auto" w:fill="C6D9F1" w:themeFill="text2" w:themeFillTint="33"/>
            <w:vAlign w:val="center"/>
          </w:tcPr>
          <w:p w14:paraId="2E0C5EC5" w14:textId="77777777" w:rsidR="00171B5A" w:rsidRPr="008C164C" w:rsidRDefault="00171B5A" w:rsidP="00171B5A">
            <w:pPr>
              <w:pStyle w:val="TableText0"/>
              <w:keepLines/>
              <w:jc w:val="center"/>
              <w:rPr>
                <w:rFonts w:eastAsia="Times New Roman"/>
              </w:rPr>
            </w:pPr>
            <w:r w:rsidRPr="008C164C">
              <w:rPr>
                <w:rFonts w:eastAsia="Times New Roman"/>
              </w:rPr>
              <w:t>N=31</w:t>
            </w:r>
          </w:p>
          <w:p w14:paraId="2B9C6663" w14:textId="77777777" w:rsidR="00171B5A" w:rsidRPr="008C164C" w:rsidRDefault="00171B5A" w:rsidP="00171B5A">
            <w:pPr>
              <w:pStyle w:val="TableText0"/>
              <w:keepLines/>
              <w:jc w:val="center"/>
              <w:rPr>
                <w:rFonts w:eastAsia="Times New Roman"/>
              </w:rPr>
            </w:pPr>
            <w:r w:rsidRPr="008C164C">
              <w:rPr>
                <w:rFonts w:eastAsia="Times New Roman"/>
              </w:rPr>
              <w:t>113 (117.9) (70, 156)</w:t>
            </w:r>
          </w:p>
        </w:tc>
        <w:tc>
          <w:tcPr>
            <w:tcW w:w="1218" w:type="dxa"/>
            <w:shd w:val="clear" w:color="auto" w:fill="C6D9F1" w:themeFill="text2" w:themeFillTint="33"/>
            <w:vAlign w:val="center"/>
          </w:tcPr>
          <w:p w14:paraId="2A10ADFF" w14:textId="77777777" w:rsidR="00171B5A" w:rsidRPr="008C164C" w:rsidRDefault="00171B5A" w:rsidP="00171B5A">
            <w:pPr>
              <w:pStyle w:val="TableText0"/>
              <w:keepLines/>
              <w:jc w:val="center"/>
              <w:rPr>
                <w:rFonts w:eastAsia="Times New Roman"/>
              </w:rPr>
            </w:pPr>
            <w:r w:rsidRPr="008C164C">
              <w:rPr>
                <w:rFonts w:eastAsia="Times New Roman"/>
              </w:rPr>
              <w:t>N=66</w:t>
            </w:r>
          </w:p>
          <w:p w14:paraId="5CEFD4CB" w14:textId="77777777" w:rsidR="00171B5A" w:rsidRPr="008C164C" w:rsidRDefault="00171B5A" w:rsidP="00171B5A">
            <w:pPr>
              <w:pStyle w:val="TableText0"/>
              <w:keepLines/>
              <w:jc w:val="center"/>
              <w:rPr>
                <w:rFonts w:eastAsia="Times New Roman"/>
              </w:rPr>
            </w:pPr>
            <w:r w:rsidRPr="008C164C">
              <w:rPr>
                <w:rFonts w:eastAsia="Times New Roman"/>
              </w:rPr>
              <w:t>97 (116.7) (68, 125)</w:t>
            </w:r>
          </w:p>
        </w:tc>
      </w:tr>
      <w:tr w:rsidR="00171B5A" w:rsidRPr="008C164C" w14:paraId="2133953E" w14:textId="77777777" w:rsidTr="00B348E4">
        <w:trPr>
          <w:trHeight w:val="20"/>
        </w:trPr>
        <w:tc>
          <w:tcPr>
            <w:tcW w:w="2405" w:type="dxa"/>
            <w:vMerge/>
            <w:vAlign w:val="center"/>
          </w:tcPr>
          <w:p w14:paraId="1DADC5D8" w14:textId="77777777" w:rsidR="00171B5A" w:rsidRPr="008C164C" w:rsidRDefault="00171B5A" w:rsidP="00171B5A">
            <w:pPr>
              <w:pStyle w:val="TableText0"/>
              <w:keepLines/>
              <w:rPr>
                <w:rFonts w:eastAsia="Times New Roman"/>
              </w:rPr>
            </w:pPr>
          </w:p>
        </w:tc>
        <w:tc>
          <w:tcPr>
            <w:tcW w:w="851" w:type="dxa"/>
            <w:vAlign w:val="center"/>
          </w:tcPr>
          <w:p w14:paraId="2E8BA319" w14:textId="77777777" w:rsidR="00171B5A" w:rsidRPr="008C164C" w:rsidRDefault="00171B5A" w:rsidP="00171B5A">
            <w:pPr>
              <w:pStyle w:val="TableText0"/>
              <w:keepLines/>
              <w:jc w:val="center"/>
              <w:rPr>
                <w:rFonts w:eastAsia="Times New Roman"/>
              </w:rPr>
            </w:pPr>
            <w:proofErr w:type="spellStart"/>
            <w:r w:rsidRPr="008C164C">
              <w:rPr>
                <w:rFonts w:eastAsia="Times New Roman"/>
              </w:rPr>
              <w:t>Wk</w:t>
            </w:r>
            <w:proofErr w:type="spellEnd"/>
            <w:r w:rsidRPr="008C164C">
              <w:rPr>
                <w:rFonts w:eastAsia="Times New Roman"/>
              </w:rPr>
              <w:t xml:space="preserve"> 104</w:t>
            </w:r>
          </w:p>
        </w:tc>
        <w:tc>
          <w:tcPr>
            <w:tcW w:w="1134" w:type="dxa"/>
            <w:vAlign w:val="center"/>
          </w:tcPr>
          <w:p w14:paraId="3DFCAF54" w14:textId="77777777" w:rsidR="00171B5A" w:rsidRPr="008C164C" w:rsidRDefault="00171B5A" w:rsidP="00171B5A">
            <w:pPr>
              <w:pStyle w:val="TableText0"/>
              <w:keepLines/>
              <w:jc w:val="center"/>
              <w:rPr>
                <w:rFonts w:eastAsia="Times New Roman"/>
              </w:rPr>
            </w:pPr>
            <w:r w:rsidRPr="008C164C">
              <w:rPr>
                <w:rFonts w:eastAsia="Times New Roman"/>
              </w:rPr>
              <w:t>N=20</w:t>
            </w:r>
          </w:p>
          <w:p w14:paraId="21DEFAAA" w14:textId="77777777" w:rsidR="00171B5A" w:rsidRPr="008C164C" w:rsidRDefault="00171B5A" w:rsidP="00171B5A">
            <w:pPr>
              <w:pStyle w:val="TableText0"/>
              <w:keepLines/>
              <w:jc w:val="center"/>
              <w:rPr>
                <w:rFonts w:eastAsia="Times New Roman"/>
              </w:rPr>
            </w:pPr>
            <w:r w:rsidRPr="008C164C">
              <w:rPr>
                <w:rFonts w:eastAsia="Times New Roman"/>
              </w:rPr>
              <w:t>102 (160.2) (27, 177)</w:t>
            </w:r>
          </w:p>
        </w:tc>
        <w:tc>
          <w:tcPr>
            <w:tcW w:w="1134" w:type="dxa"/>
            <w:vAlign w:val="center"/>
          </w:tcPr>
          <w:p w14:paraId="02431ABC" w14:textId="77777777" w:rsidR="00171B5A" w:rsidRPr="008C164C" w:rsidRDefault="00171B5A" w:rsidP="00171B5A">
            <w:pPr>
              <w:pStyle w:val="TableText0"/>
              <w:keepLines/>
              <w:jc w:val="center"/>
              <w:rPr>
                <w:rFonts w:eastAsia="Times New Roman"/>
              </w:rPr>
            </w:pPr>
            <w:r w:rsidRPr="008C164C">
              <w:rPr>
                <w:rFonts w:eastAsia="Times New Roman"/>
              </w:rPr>
              <w:t>N=10</w:t>
            </w:r>
          </w:p>
          <w:p w14:paraId="63656301" w14:textId="77777777" w:rsidR="00171B5A" w:rsidRPr="008C164C" w:rsidRDefault="00171B5A" w:rsidP="00171B5A">
            <w:pPr>
              <w:pStyle w:val="TableText0"/>
              <w:keepLines/>
              <w:jc w:val="center"/>
              <w:rPr>
                <w:rFonts w:eastAsia="Times New Roman"/>
              </w:rPr>
            </w:pPr>
            <w:r w:rsidRPr="008C164C">
              <w:rPr>
                <w:rFonts w:eastAsia="Times New Roman"/>
              </w:rPr>
              <w:t>126 (169.7) (4, 247)</w:t>
            </w:r>
          </w:p>
        </w:tc>
        <w:tc>
          <w:tcPr>
            <w:tcW w:w="1134" w:type="dxa"/>
            <w:vAlign w:val="center"/>
          </w:tcPr>
          <w:p w14:paraId="43940CDC" w14:textId="77777777" w:rsidR="00171B5A" w:rsidRPr="008C164C" w:rsidRDefault="00171B5A" w:rsidP="00171B5A">
            <w:pPr>
              <w:pStyle w:val="TableText0"/>
              <w:keepLines/>
              <w:jc w:val="center"/>
            </w:pPr>
            <w:r w:rsidRPr="008C164C">
              <w:t>N=30</w:t>
            </w:r>
          </w:p>
          <w:p w14:paraId="21BE2931" w14:textId="77777777" w:rsidR="00171B5A" w:rsidRPr="008C164C" w:rsidRDefault="00171B5A" w:rsidP="00171B5A">
            <w:pPr>
              <w:pStyle w:val="TableText0"/>
              <w:keepLines/>
              <w:jc w:val="center"/>
            </w:pPr>
            <w:r w:rsidRPr="008C164C">
              <w:t>110 (160.9) (50, 170)</w:t>
            </w:r>
          </w:p>
        </w:tc>
        <w:tc>
          <w:tcPr>
            <w:tcW w:w="1134" w:type="dxa"/>
            <w:vAlign w:val="center"/>
          </w:tcPr>
          <w:p w14:paraId="173F0B67" w14:textId="77777777" w:rsidR="00171B5A" w:rsidRPr="008C164C" w:rsidRDefault="00171B5A" w:rsidP="00171B5A">
            <w:pPr>
              <w:pStyle w:val="TableText0"/>
              <w:keepLines/>
              <w:jc w:val="center"/>
              <w:rPr>
                <w:rFonts w:eastAsia="Times New Roman"/>
              </w:rPr>
            </w:pPr>
            <w:r w:rsidRPr="008C164C">
              <w:rPr>
                <w:rFonts w:eastAsia="Times New Roman"/>
              </w:rPr>
              <w:t>N=25</w:t>
            </w:r>
          </w:p>
          <w:p w14:paraId="68A536A6" w14:textId="77777777" w:rsidR="00171B5A" w:rsidRPr="008C164C" w:rsidRDefault="00171B5A" w:rsidP="00171B5A">
            <w:pPr>
              <w:pStyle w:val="TableText0"/>
              <w:keepLines/>
              <w:jc w:val="center"/>
              <w:rPr>
                <w:rFonts w:eastAsia="Times New Roman"/>
              </w:rPr>
            </w:pPr>
            <w:r w:rsidRPr="008C164C">
              <w:rPr>
                <w:rFonts w:eastAsia="Times New Roman"/>
              </w:rPr>
              <w:t>137 (156.1) (73, 202)</w:t>
            </w:r>
          </w:p>
        </w:tc>
        <w:tc>
          <w:tcPr>
            <w:tcW w:w="1218" w:type="dxa"/>
            <w:vAlign w:val="center"/>
          </w:tcPr>
          <w:p w14:paraId="252E5C0B" w14:textId="77777777" w:rsidR="00171B5A" w:rsidRPr="008C164C" w:rsidRDefault="00171B5A" w:rsidP="00171B5A">
            <w:pPr>
              <w:pStyle w:val="TableText0"/>
              <w:keepLines/>
              <w:jc w:val="center"/>
              <w:rPr>
                <w:rFonts w:eastAsia="Times New Roman"/>
              </w:rPr>
            </w:pPr>
            <w:r w:rsidRPr="008C164C">
              <w:rPr>
                <w:rFonts w:eastAsia="Times New Roman"/>
              </w:rPr>
              <w:t>N=55</w:t>
            </w:r>
          </w:p>
          <w:p w14:paraId="7E8DCE63" w14:textId="77777777" w:rsidR="00171B5A" w:rsidRPr="008C164C" w:rsidRDefault="00171B5A" w:rsidP="00171B5A">
            <w:pPr>
              <w:pStyle w:val="TableText0"/>
              <w:keepLines/>
              <w:jc w:val="center"/>
              <w:rPr>
                <w:rFonts w:eastAsia="Times New Roman"/>
              </w:rPr>
            </w:pPr>
            <w:r w:rsidRPr="008C164C">
              <w:rPr>
                <w:rFonts w:eastAsia="Times New Roman"/>
              </w:rPr>
              <w:t>122 (157.8) (80, 165)</w:t>
            </w:r>
          </w:p>
        </w:tc>
      </w:tr>
    </w:tbl>
    <w:p w14:paraId="52F126F1" w14:textId="77777777" w:rsidR="001A43F9" w:rsidRPr="008C164C" w:rsidRDefault="001A43F9" w:rsidP="00171B5A">
      <w:pPr>
        <w:keepNext/>
        <w:keepLines/>
        <w:rPr>
          <w:rStyle w:val="FooterTableFigureChar"/>
        </w:rPr>
      </w:pPr>
      <w:r w:rsidRPr="008C164C">
        <w:rPr>
          <w:rStyle w:val="FooterTableFigureChar"/>
        </w:rPr>
        <w:t>Source: Table 2-20, p101-102 of the resubmission.</w:t>
      </w:r>
    </w:p>
    <w:p w14:paraId="401EC290" w14:textId="20A0031E" w:rsidR="00F07C27" w:rsidRPr="008C164C" w:rsidRDefault="00F07C27" w:rsidP="00171B5A">
      <w:pPr>
        <w:keepNext/>
        <w:keepLines/>
        <w:rPr>
          <w:rStyle w:val="FooterTableFigureChar"/>
        </w:rPr>
      </w:pPr>
      <w:r w:rsidRPr="008C164C">
        <w:rPr>
          <w:rStyle w:val="FooterTableFigureChar"/>
        </w:rPr>
        <w:t xml:space="preserve">Blue shaded cells represent data previously considered by </w:t>
      </w:r>
      <w:r w:rsidR="004E7754" w:rsidRPr="008C164C">
        <w:rPr>
          <w:rStyle w:val="FooterTableFigureChar"/>
        </w:rPr>
        <w:t xml:space="preserve">the </w:t>
      </w:r>
      <w:r w:rsidRPr="008C164C">
        <w:rPr>
          <w:rStyle w:val="FooterTableFigureChar"/>
        </w:rPr>
        <w:t xml:space="preserve">PBAC </w:t>
      </w:r>
    </w:p>
    <w:p w14:paraId="66025EDB" w14:textId="33A55EBE" w:rsidR="00860B22" w:rsidRPr="008C164C" w:rsidRDefault="00860B22" w:rsidP="00171B5A">
      <w:pPr>
        <w:keepNext/>
        <w:keepLines/>
        <w:rPr>
          <w:rStyle w:val="FooterTableFigureChar"/>
        </w:rPr>
      </w:pPr>
      <w:r w:rsidRPr="008C164C">
        <w:rPr>
          <w:rStyle w:val="FooterTableFigureChar"/>
        </w:rPr>
        <w:t>Values in bold indicate result used in base case of indirect comparison.</w:t>
      </w:r>
    </w:p>
    <w:p w14:paraId="086FC6F8" w14:textId="686C0D9B" w:rsidR="001A43F9" w:rsidRPr="008C164C" w:rsidRDefault="001A43F9" w:rsidP="00171B5A">
      <w:pPr>
        <w:keepNext/>
        <w:keepLines/>
        <w:rPr>
          <w:rStyle w:val="FooterTableFigureChar"/>
        </w:rPr>
      </w:pPr>
      <w:r w:rsidRPr="008C164C">
        <w:rPr>
          <w:rStyle w:val="FooterTableFigureChar"/>
        </w:rPr>
        <w:t xml:space="preserve">BL = baseline; CI = confidence interval; FDA = Food and Drug Administration; LEN = </w:t>
      </w:r>
      <w:proofErr w:type="spellStart"/>
      <w:r w:rsidRPr="008C164C">
        <w:rPr>
          <w:rStyle w:val="FooterTableFigureChar"/>
        </w:rPr>
        <w:t>lenacapavir</w:t>
      </w:r>
      <w:proofErr w:type="spellEnd"/>
      <w:r w:rsidRPr="008C164C">
        <w:rPr>
          <w:rStyle w:val="FooterTableFigureChar"/>
        </w:rPr>
        <w:t xml:space="preserve">; OBR = optimised background regimen; </w:t>
      </w:r>
      <w:r w:rsidR="00D46256" w:rsidRPr="008C164C">
        <w:rPr>
          <w:rStyle w:val="FooterTableFigureChar"/>
        </w:rPr>
        <w:t xml:space="preserve">SD = standard deviation; </w:t>
      </w:r>
      <w:proofErr w:type="spellStart"/>
      <w:r w:rsidRPr="008C164C">
        <w:rPr>
          <w:rStyle w:val="FooterTableFigureChar"/>
        </w:rPr>
        <w:t>Wk</w:t>
      </w:r>
      <w:proofErr w:type="spellEnd"/>
      <w:r w:rsidRPr="008C164C">
        <w:rPr>
          <w:rStyle w:val="FooterTableFigureChar"/>
        </w:rPr>
        <w:t xml:space="preserve"> = week</w:t>
      </w:r>
    </w:p>
    <w:p w14:paraId="2A50B79C" w14:textId="46A44D69" w:rsidR="00D64078" w:rsidRPr="008C164C" w:rsidRDefault="00723F52" w:rsidP="00723F52">
      <w:pPr>
        <w:keepNext/>
        <w:keepLines/>
        <w:rPr>
          <w:rStyle w:val="FooterTableFigureChar"/>
        </w:rPr>
      </w:pPr>
      <w:proofErr w:type="spellStart"/>
      <w:r w:rsidRPr="008C164C">
        <w:rPr>
          <w:rStyle w:val="FooterTableFigureChar"/>
        </w:rPr>
        <w:t>a</w:t>
      </w:r>
      <w:proofErr w:type="spellEnd"/>
      <w:r w:rsidRPr="008C164C">
        <w:rPr>
          <w:rStyle w:val="FooterTableFigureChar"/>
        </w:rPr>
        <w:t xml:space="preserve"> </w:t>
      </w:r>
      <w:r w:rsidR="00D64078" w:rsidRPr="008C164C">
        <w:rPr>
          <w:rStyle w:val="FooterTableFigureChar"/>
        </w:rPr>
        <w:t>At Week 104 there were N=35 patients in Cohort 1 and N=71 patients in combined Cohort 1 &amp; 2. The denominator for percentages at Week 104 is based on the number of participants in the Full Analysis Set for the All LEN analysis, excluding ongoing participants who have missing viral load outcomes at a visit and have not reached the upper limit of the analysis window for the corresponding visit and participants who have missing viral load outcomes at a visit and have completed the study before reaching the upper limit of the analysis window for the visit. Hence 1 patient was missing from the total N, as they had not reached the pre-specified analysis</w:t>
      </w:r>
      <w:r w:rsidRPr="008C164C">
        <w:rPr>
          <w:rStyle w:val="FooterTableFigureChar"/>
        </w:rPr>
        <w:t>.</w:t>
      </w:r>
    </w:p>
    <w:p w14:paraId="4330BC49" w14:textId="77777777" w:rsidR="001A43F9" w:rsidRPr="008C164C" w:rsidRDefault="001A43F9" w:rsidP="00171B5A"/>
    <w:p w14:paraId="3FB40C18" w14:textId="5C101693" w:rsidR="001A43F9" w:rsidRPr="008C164C" w:rsidRDefault="001A43F9" w:rsidP="001A43F9">
      <w:pPr>
        <w:pStyle w:val="TableFigureHeading"/>
        <w:keepLines/>
      </w:pPr>
      <w:bookmarkStart w:id="35" w:name="_Ref142854037"/>
      <w:r w:rsidRPr="008C164C">
        <w:rPr>
          <w:szCs w:val="20"/>
        </w:rPr>
        <w:lastRenderedPageBreak/>
        <w:t xml:space="preserve">Figure </w:t>
      </w:r>
      <w:r w:rsidRPr="008C164C">
        <w:rPr>
          <w:szCs w:val="20"/>
        </w:rPr>
        <w:fldChar w:fldCharType="begin" w:fldLock="1"/>
      </w:r>
      <w:r w:rsidRPr="008C164C">
        <w:rPr>
          <w:szCs w:val="20"/>
        </w:rPr>
        <w:instrText xml:space="preserve"> SEQ Figure \* MERGEFORMAT </w:instrText>
      </w:r>
      <w:r w:rsidRPr="008C164C">
        <w:rPr>
          <w:szCs w:val="20"/>
        </w:rPr>
        <w:fldChar w:fldCharType="separate"/>
      </w:r>
      <w:r w:rsidR="00682506" w:rsidRPr="00682506">
        <w:rPr>
          <w:noProof/>
        </w:rPr>
        <w:t>1</w:t>
      </w:r>
      <w:r w:rsidRPr="008C164C">
        <w:rPr>
          <w:szCs w:val="20"/>
        </w:rPr>
        <w:fldChar w:fldCharType="end"/>
      </w:r>
      <w:bookmarkEnd w:id="35"/>
      <w:r w:rsidRPr="008C164C">
        <w:t>: Proportion of participants with HIV-1 RNA &lt;</w:t>
      </w:r>
      <w:r w:rsidR="00F515BC" w:rsidRPr="008C164C">
        <w:t xml:space="preserve"> </w:t>
      </w:r>
      <w:r w:rsidRPr="008C164C">
        <w:t>50 copies/mL by visit (missing=failure) up to Week 104</w:t>
      </w:r>
    </w:p>
    <w:p w14:paraId="776C31D2" w14:textId="07A40FF8" w:rsidR="00723F52" w:rsidRPr="008C164C" w:rsidRDefault="00723F52" w:rsidP="00723F52">
      <w:pPr>
        <w:pStyle w:val="In-tableHeading"/>
        <w:rPr>
          <w:lang w:val="en-AU"/>
        </w:rPr>
      </w:pPr>
      <w:r w:rsidRPr="008C164C">
        <w:rPr>
          <w:noProof/>
          <w:lang w:val="en-AU"/>
        </w:rPr>
        <w:drawing>
          <wp:inline distT="0" distB="0" distL="0" distR="0" wp14:anchorId="3C054AA7" wp14:editId="5574B637">
            <wp:extent cx="5732145" cy="3303270"/>
            <wp:effectExtent l="0" t="0" r="1905" b="0"/>
            <wp:docPr id="2" name="Picture 2"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lines and dots&#10;&#10;Description automatically generated"/>
                    <pic:cNvPicPr/>
                  </pic:nvPicPr>
                  <pic:blipFill>
                    <a:blip r:embed="rId8"/>
                    <a:stretch>
                      <a:fillRect/>
                    </a:stretch>
                  </pic:blipFill>
                  <pic:spPr>
                    <a:xfrm>
                      <a:off x="0" y="0"/>
                      <a:ext cx="5732145" cy="3303270"/>
                    </a:xfrm>
                    <a:prstGeom prst="rect">
                      <a:avLst/>
                    </a:prstGeom>
                  </pic:spPr>
                </pic:pic>
              </a:graphicData>
            </a:graphic>
          </wp:inline>
        </w:drawing>
      </w:r>
    </w:p>
    <w:p w14:paraId="40269F9E" w14:textId="77777777" w:rsidR="001A43F9" w:rsidRPr="008C164C" w:rsidRDefault="001A43F9" w:rsidP="00D56590">
      <w:pPr>
        <w:keepNext/>
        <w:keepLines/>
        <w:spacing w:after="120"/>
        <w:rPr>
          <w:rFonts w:ascii="Arial Narrow" w:hAnsi="Arial Narrow"/>
          <w:sz w:val="20"/>
          <w:szCs w:val="20"/>
        </w:rPr>
      </w:pPr>
      <w:r w:rsidRPr="008C164C">
        <w:rPr>
          <w:rFonts w:ascii="Arial Narrow" w:hAnsi="Arial Narrow"/>
          <w:sz w:val="20"/>
          <w:szCs w:val="20"/>
        </w:rPr>
        <w:t>Source: Figure 2-4, p107 of the resubmission.</w:t>
      </w:r>
    </w:p>
    <w:p w14:paraId="1DF3048D" w14:textId="41BC44A9" w:rsidR="0074056C" w:rsidRPr="008C164C" w:rsidRDefault="006F153D" w:rsidP="00093F3D">
      <w:pPr>
        <w:pStyle w:val="3-BodyText"/>
      </w:pPr>
      <w:r w:rsidRPr="008C164C">
        <w:t>U</w:t>
      </w:r>
      <w:r w:rsidR="0074056C" w:rsidRPr="008C164C">
        <w:t>ndetectable viral load (&lt;</w:t>
      </w:r>
      <w:r w:rsidR="00F515BC" w:rsidRPr="008C164C">
        <w:t xml:space="preserve"> </w:t>
      </w:r>
      <w:r w:rsidR="0074056C" w:rsidRPr="008C164C">
        <w:t xml:space="preserve">50 copies/mL) using the missing = failure method was achieved at Week 52 by </w:t>
      </w:r>
      <w:r w:rsidR="00EC32F4">
        <w:t>83%</w:t>
      </w:r>
      <w:r w:rsidR="0074056C" w:rsidRPr="008C164C">
        <w:t xml:space="preserve"> of patients in the randomised Cohort 1 and </w:t>
      </w:r>
      <w:r w:rsidR="00EC32F4">
        <w:t xml:space="preserve">79% </w:t>
      </w:r>
      <w:r w:rsidR="0074056C" w:rsidRPr="008C164C">
        <w:t xml:space="preserve">in the combined Cohort 1 and Cohort 2 population </w:t>
      </w:r>
      <w:r w:rsidR="00EC32F4">
        <w:t xml:space="preserve">for those </w:t>
      </w:r>
      <w:r w:rsidR="0074056C" w:rsidRPr="008C164C">
        <w:t>treated with LEN + OBR. The resubmission considered that the high rates of viral load undetectability are supported by increases from baseline in CD4 cell counts observed across all the cohorts. Ongoing maintenance of undetectable viral load was also reported by the majority of patients at Year 2/Week 104, with 69% of Cohort 1 sustaining undetectable viral load &lt;</w:t>
      </w:r>
      <w:r w:rsidR="00F515BC" w:rsidRPr="008C164C">
        <w:t xml:space="preserve"> </w:t>
      </w:r>
      <w:r w:rsidR="0074056C" w:rsidRPr="008C164C">
        <w:t>50 copies/</w:t>
      </w:r>
      <w:proofErr w:type="spellStart"/>
      <w:r w:rsidR="0074056C" w:rsidRPr="008C164C">
        <w:t>mL.</w:t>
      </w:r>
      <w:proofErr w:type="spellEnd"/>
    </w:p>
    <w:p w14:paraId="730ED1D8" w14:textId="6EA2E6A0" w:rsidR="00093F3D" w:rsidRPr="008C164C" w:rsidRDefault="0074056C" w:rsidP="00093F3D">
      <w:pPr>
        <w:pStyle w:val="3-BodyText"/>
      </w:pPr>
      <w:r w:rsidRPr="008C164C">
        <w:t xml:space="preserve">The </w:t>
      </w:r>
      <w:r w:rsidR="00093F3D" w:rsidRPr="008C164C">
        <w:t xml:space="preserve">resubmission claimed that between Week 52 and Week 104, all patients in CAPELLA received an oral bridging dose of LEN instead of the subcutaneous (SC) injection that was due at either the Week 52 or Week 78 timepoint. </w:t>
      </w:r>
      <w:r w:rsidR="00B91607" w:rsidRPr="008C164C">
        <w:t>T</w:t>
      </w:r>
      <w:r w:rsidR="00093F3D" w:rsidRPr="008C164C">
        <w:t>his was because of manufacturing issues with the LEN injection vial which has since been resolved.</w:t>
      </w:r>
      <w:r w:rsidR="00732607" w:rsidRPr="008C164C">
        <w:t xml:space="preserve"> </w:t>
      </w:r>
      <w:r w:rsidR="00093F3D" w:rsidRPr="008C164C">
        <w:t>The resubmission stated that following a review of patients who had achieved undetectable viral load (&lt;</w:t>
      </w:r>
      <w:r w:rsidR="00F515BC" w:rsidRPr="008C164C">
        <w:t xml:space="preserve"> </w:t>
      </w:r>
      <w:r w:rsidR="00093F3D" w:rsidRPr="008C164C">
        <w:t>50 copies/mL), a noticeable trend of virologic failure for some patients</w:t>
      </w:r>
      <w:r w:rsidR="00B5438B" w:rsidRPr="008C164C">
        <w:t xml:space="preserve"> </w:t>
      </w:r>
      <w:r w:rsidR="00015E9B" w:rsidRPr="008C164C">
        <w:t>(5/11 patients; 46% in the randomised Cohort [i.e., Cohort 1])</w:t>
      </w:r>
      <w:r w:rsidR="00093F3D" w:rsidRPr="008C164C">
        <w:t xml:space="preserve"> occu</w:t>
      </w:r>
      <w:r w:rsidR="00A37732" w:rsidRPr="008C164C">
        <w:t>r</w:t>
      </w:r>
      <w:r w:rsidR="00093F3D" w:rsidRPr="008C164C">
        <w:t>r</w:t>
      </w:r>
      <w:r w:rsidR="00015E9B" w:rsidRPr="008C164C">
        <w:t>ed</w:t>
      </w:r>
      <w:r w:rsidR="00093F3D" w:rsidRPr="008C164C">
        <w:t xml:space="preserve"> only after the initiation of oral bridging which was implemented beyond Week 52. While the use of oral bridging at weeks 52 and 78 did not affect the </w:t>
      </w:r>
      <w:r w:rsidR="005758C6" w:rsidRPr="008C164C">
        <w:t xml:space="preserve">ITC results </w:t>
      </w:r>
      <w:r w:rsidR="00093F3D" w:rsidRPr="008C164C">
        <w:t xml:space="preserve">as only data up to 52 weeks was used, it may provide an indication of what </w:t>
      </w:r>
      <w:r w:rsidR="00F07C27" w:rsidRPr="008C164C">
        <w:t xml:space="preserve">could </w:t>
      </w:r>
      <w:r w:rsidR="00093F3D" w:rsidRPr="008C164C">
        <w:t xml:space="preserve">be expected in the event of missed or delayed SC injections in clinical practice. </w:t>
      </w:r>
      <w:r w:rsidR="00496745" w:rsidRPr="008C164C">
        <w:t>The evaluation considered that g</w:t>
      </w:r>
      <w:r w:rsidR="00093F3D" w:rsidRPr="008C164C">
        <w:t xml:space="preserve">iven that oral bridging LEN appears to be less effective than SC LEN (i.e. 46% experience virological failure when switching from SC to oral after week 52, compared to 22.2% of patients who did not achieve &lt;50 copies/mL at 52 weeks using </w:t>
      </w:r>
      <w:r w:rsidR="00093F3D" w:rsidRPr="008C164C">
        <w:lastRenderedPageBreak/>
        <w:t>SC LEN), this raises potential concerns for management of missed SC doses in clinical practice.</w:t>
      </w:r>
    </w:p>
    <w:p w14:paraId="58D34CA9" w14:textId="7B182167" w:rsidR="00544C0E" w:rsidRPr="008C164C" w:rsidRDefault="00297D0D" w:rsidP="00B44C7F">
      <w:pPr>
        <w:pStyle w:val="3-BodyText"/>
      </w:pPr>
      <w:r w:rsidRPr="008C164C">
        <w:t xml:space="preserve">The resubmission also presented a number of post-hoc subgroup analyses of CAPELLA, which, it argued, demonstrated that there was no difference in viral suppression when comparing </w:t>
      </w:r>
      <w:proofErr w:type="spellStart"/>
      <w:r w:rsidRPr="008C164C">
        <w:t>hMDR</w:t>
      </w:r>
      <w:proofErr w:type="spellEnd"/>
      <w:r w:rsidRPr="008C164C">
        <w:t xml:space="preserve"> HIV patients who used newer ARVs in OBR compared to those who did not. </w:t>
      </w:r>
      <w:r w:rsidR="00F543C3" w:rsidRPr="008C164C">
        <w:t>The evaluation considered that</w:t>
      </w:r>
      <w:r w:rsidRPr="008C164C">
        <w:t xml:space="preserve"> given the total sample size of CAPELLA was 72, the lack of significant difference in these analyses were likely driven by the small sample size and may not be informative. </w:t>
      </w:r>
      <w:r w:rsidR="00DA2AC7" w:rsidRPr="008C164C">
        <w:t xml:space="preserve">For example, </w:t>
      </w:r>
      <w:r w:rsidR="00FC06BE" w:rsidRPr="008C164C">
        <w:t>18/</w:t>
      </w:r>
      <w:r w:rsidR="00544C0E" w:rsidRPr="008C164C">
        <w:t xml:space="preserve">22 </w:t>
      </w:r>
      <w:r w:rsidR="00FC06BE" w:rsidRPr="008C164C">
        <w:t xml:space="preserve">(81.8%) </w:t>
      </w:r>
      <w:r w:rsidR="00544C0E" w:rsidRPr="008C164C">
        <w:t xml:space="preserve">patients </w:t>
      </w:r>
      <w:r w:rsidR="00FC06BE" w:rsidRPr="008C164C">
        <w:t xml:space="preserve">who </w:t>
      </w:r>
      <w:r w:rsidR="00544C0E" w:rsidRPr="008C164C">
        <w:t xml:space="preserve">had IBA or FTR </w:t>
      </w:r>
      <w:r w:rsidR="00365F75" w:rsidRPr="008C164C">
        <w:t>achieve</w:t>
      </w:r>
      <w:r w:rsidR="00DA2AC7" w:rsidRPr="008C164C">
        <w:t>d</w:t>
      </w:r>
      <w:r w:rsidR="00FC06BE" w:rsidRPr="008C164C">
        <w:t xml:space="preserve"> HIV RNA &lt; 50 copies/mL at week 52 compared to 38/</w:t>
      </w:r>
      <w:r w:rsidR="00544C0E" w:rsidRPr="008C164C">
        <w:t xml:space="preserve">50 </w:t>
      </w:r>
      <w:r w:rsidR="00FC06BE" w:rsidRPr="008C164C">
        <w:t>(76.0</w:t>
      </w:r>
      <w:r w:rsidR="00DA2AC7" w:rsidRPr="008C164C">
        <w:t>%</w:t>
      </w:r>
      <w:r w:rsidR="00FC06BE" w:rsidRPr="008C164C">
        <w:t xml:space="preserve">) </w:t>
      </w:r>
      <w:r w:rsidR="00544C0E" w:rsidRPr="008C164C">
        <w:t xml:space="preserve">patients </w:t>
      </w:r>
      <w:r w:rsidR="00FC06BE" w:rsidRPr="008C164C">
        <w:t xml:space="preserve">who </w:t>
      </w:r>
      <w:r w:rsidR="00544C0E" w:rsidRPr="008C164C">
        <w:t xml:space="preserve">had neither, </w:t>
      </w:r>
      <w:r w:rsidR="00DA2AC7" w:rsidRPr="008C164C">
        <w:t xml:space="preserve">however due to small sample sizes, this analysis </w:t>
      </w:r>
      <w:r w:rsidR="00544C0E" w:rsidRPr="008C164C">
        <w:t>may not be informative or reliable.</w:t>
      </w:r>
    </w:p>
    <w:p w14:paraId="190EF6A9" w14:textId="6A762FD6" w:rsidR="00297D0D" w:rsidRPr="008C164C" w:rsidRDefault="00544C0E" w:rsidP="00297D0D">
      <w:pPr>
        <w:pStyle w:val="3-BodyText"/>
      </w:pPr>
      <w:r w:rsidRPr="008C164C">
        <w:t>T</w:t>
      </w:r>
      <w:r w:rsidR="00297D0D" w:rsidRPr="008C164C">
        <w:t xml:space="preserve">he resubmission </w:t>
      </w:r>
      <w:r w:rsidR="002D4CAD" w:rsidRPr="008C164C">
        <w:t xml:space="preserve">further </w:t>
      </w:r>
      <w:r w:rsidR="00297D0D" w:rsidRPr="008C164C">
        <w:t>argued that based on subgroup results in CAPELLA cohort 1, in which 4/6 (67%) patients with no active ARV in OBR and 26/30 (86%) patients with one or more active ARV in OBR achieved undetectable viral load at Week 52, there was a 15</w:t>
      </w:r>
      <w:r w:rsidR="00297D0D" w:rsidRPr="008C164C">
        <w:noBreakHyphen/>
        <w:t xml:space="preserve">20% difference in proportion of patients achieving viral load suppression based on no or one or more fully active agents in their OBR, and that this reflects the efficacy solely attributable to OBR. </w:t>
      </w:r>
      <w:r w:rsidR="00DA2AC7" w:rsidRPr="008C164C">
        <w:t>The evaluation considered that</w:t>
      </w:r>
      <w:r w:rsidR="00297D0D" w:rsidRPr="008C164C">
        <w:t xml:space="preserve"> this conclusion was not reasonable and not supported when considering the results of CAPELLA Cohort 1 and 2 combined. Viral suppression at 104 weeks in CAPELLA was higher in patients with </w:t>
      </w:r>
      <w:proofErr w:type="gramStart"/>
      <w:r w:rsidR="00297D0D" w:rsidRPr="008C164C">
        <w:t>no</w:t>
      </w:r>
      <w:proofErr w:type="gramEnd"/>
      <w:r w:rsidR="00297D0D" w:rsidRPr="008C164C">
        <w:t xml:space="preserve"> fully active ARVs in OBR (9/12, 75%) than those with one (17/25, 68%) or two (9/20, 45%) fully active ARVs, which was the opposite to what the resubmission proposed and would be contrary to the expected direction of effect. This may be a reflection on the small sample size in CAPELLA, and as such, any subgroup results from CAPELLA should be considered highly uncertain</w:t>
      </w:r>
      <w:r w:rsidR="002E2004" w:rsidRPr="008C164C">
        <w:t xml:space="preserve"> with results likely due to random variation in individual respo</w:t>
      </w:r>
      <w:r w:rsidR="00F23E2B" w:rsidRPr="008C164C">
        <w:t>ns</w:t>
      </w:r>
      <w:r w:rsidR="002E2004" w:rsidRPr="008C164C">
        <w:t>e</w:t>
      </w:r>
      <w:r w:rsidR="00297D0D" w:rsidRPr="008C164C">
        <w:t>.</w:t>
      </w:r>
    </w:p>
    <w:p w14:paraId="504804C3" w14:textId="56546809" w:rsidR="0062592A" w:rsidRPr="008C164C" w:rsidRDefault="00EC32F4" w:rsidP="00240629">
      <w:pPr>
        <w:pStyle w:val="3-BodyText"/>
      </w:pPr>
      <w:bookmarkStart w:id="36" w:name="_Hlk144465420"/>
      <w:r w:rsidRPr="008C164C">
        <w:t>To</w:t>
      </w:r>
      <w:r w:rsidR="0062592A" w:rsidRPr="008C164C">
        <w:t xml:space="preserve"> conduct the </w:t>
      </w:r>
      <w:r w:rsidR="00AC766D" w:rsidRPr="008C164C">
        <w:t xml:space="preserve">ITC </w:t>
      </w:r>
      <w:r w:rsidR="0062592A" w:rsidRPr="008C164C">
        <w:t xml:space="preserve">against OBR, the resubmission meta-analysed the </w:t>
      </w:r>
      <w:r w:rsidR="00C10CC6" w:rsidRPr="008C164C">
        <w:t xml:space="preserve">results from the </w:t>
      </w:r>
      <w:r w:rsidR="00724B24" w:rsidRPr="008C164C">
        <w:t xml:space="preserve">nominated </w:t>
      </w:r>
      <w:r w:rsidR="00C10CC6" w:rsidRPr="008C164C">
        <w:t xml:space="preserve">arms </w:t>
      </w:r>
      <w:r w:rsidR="00BE7D94" w:rsidRPr="008C164C">
        <w:t xml:space="preserve">of the </w:t>
      </w:r>
      <w:r w:rsidR="0062592A" w:rsidRPr="008C164C">
        <w:t>comparator trials</w:t>
      </w:r>
      <w:r w:rsidR="00724B24" w:rsidRPr="008C164C">
        <w:t xml:space="preserve"> (OBR/comparator arms of BENCHMRK 1 and 2, MOTIVATE 1 and 2 and VICTOR</w:t>
      </w:r>
      <w:r w:rsidR="001E4C89" w:rsidRPr="008C164C">
        <w:noBreakHyphen/>
      </w:r>
      <w:r w:rsidR="00724B24" w:rsidRPr="008C164C">
        <w:t>E</w:t>
      </w:r>
      <w:r w:rsidR="006E1123" w:rsidRPr="008C164C">
        <w:t xml:space="preserve"> with the intervention arms from BRIGHTE and TMB-301</w:t>
      </w:r>
      <w:r w:rsidR="001E4C89" w:rsidRPr="008C164C">
        <w:t>)</w:t>
      </w:r>
      <w:r w:rsidR="0062592A" w:rsidRPr="008C164C">
        <w:t>.</w:t>
      </w:r>
      <w:r w:rsidR="00AC766D" w:rsidRPr="008C164C">
        <w:t xml:space="preserve"> </w:t>
      </w:r>
      <w:bookmarkEnd w:id="36"/>
      <w:r w:rsidR="0062592A" w:rsidRPr="008C164C">
        <w:fldChar w:fldCharType="begin" w:fldLock="1"/>
      </w:r>
      <w:r w:rsidR="0062592A" w:rsidRPr="008C164C">
        <w:instrText xml:space="preserve"> REF _Ref142587348 \h </w:instrText>
      </w:r>
      <w:r w:rsidR="00D57180" w:rsidRPr="008C164C">
        <w:instrText xml:space="preserve"> \* MERGEFORMAT </w:instrText>
      </w:r>
      <w:r w:rsidR="0062592A" w:rsidRPr="008C164C">
        <w:fldChar w:fldCharType="separate"/>
      </w:r>
      <w:r w:rsidR="00682506" w:rsidRPr="008C164C">
        <w:t xml:space="preserve">Table </w:t>
      </w:r>
      <w:r w:rsidR="00682506">
        <w:t>6</w:t>
      </w:r>
      <w:r w:rsidR="0062592A" w:rsidRPr="008C164C">
        <w:fldChar w:fldCharType="end"/>
      </w:r>
      <w:r w:rsidR="0062592A" w:rsidRPr="008C164C">
        <w:t xml:space="preserve"> presents the results of the proportion of patients with viral load &lt;</w:t>
      </w:r>
      <w:r w:rsidR="00C81763" w:rsidRPr="008C164C">
        <w:t xml:space="preserve"> </w:t>
      </w:r>
      <w:r w:rsidR="0062592A" w:rsidRPr="008C164C">
        <w:t xml:space="preserve">50 copies/mL in the individual arms of the studies and trials included to represent OBR alone in the meta-analysis. </w:t>
      </w:r>
    </w:p>
    <w:p w14:paraId="75EB9330" w14:textId="284FCC7A" w:rsidR="0062592A" w:rsidRPr="008C164C" w:rsidRDefault="0062592A" w:rsidP="00DF5DDA">
      <w:pPr>
        <w:pStyle w:val="TableFigureHeading"/>
        <w:keepLines/>
      </w:pPr>
      <w:bookmarkStart w:id="37" w:name="_Ref142587348"/>
      <w:r w:rsidRPr="008C164C">
        <w:lastRenderedPageBreak/>
        <w:t xml:space="preserve">Table </w:t>
      </w:r>
      <w:r w:rsidR="00B25BFE">
        <w:fldChar w:fldCharType="begin" w:fldLock="1"/>
      </w:r>
      <w:r w:rsidR="00B25BFE">
        <w:instrText xml:space="preserve"> SEQ Table \* ARABIC </w:instrText>
      </w:r>
      <w:r w:rsidR="00B25BFE">
        <w:fldChar w:fldCharType="separate"/>
      </w:r>
      <w:r w:rsidR="00682506">
        <w:rPr>
          <w:noProof/>
        </w:rPr>
        <w:t>6</w:t>
      </w:r>
      <w:r w:rsidR="00B25BFE">
        <w:rPr>
          <w:noProof/>
        </w:rPr>
        <w:fldChar w:fldCharType="end"/>
      </w:r>
      <w:bookmarkEnd w:id="37"/>
      <w:r w:rsidRPr="008C164C">
        <w:t>: Patients with a viral load &lt;</w:t>
      </w:r>
      <w:r w:rsidR="00F515BC" w:rsidRPr="008C164C">
        <w:t xml:space="preserve"> </w:t>
      </w:r>
      <w:r w:rsidRPr="008C164C">
        <w:t>50 copies per mL at week 48 in comparator trials</w:t>
      </w:r>
    </w:p>
    <w:tbl>
      <w:tblPr>
        <w:tblStyle w:val="TableGrid"/>
        <w:tblW w:w="5000" w:type="pct"/>
        <w:tblLayout w:type="fixed"/>
        <w:tblLook w:val="00A0" w:firstRow="1" w:lastRow="0" w:firstColumn="1" w:lastColumn="0" w:noHBand="0" w:noVBand="0"/>
      </w:tblPr>
      <w:tblGrid>
        <w:gridCol w:w="2122"/>
        <w:gridCol w:w="1701"/>
        <w:gridCol w:w="2269"/>
        <w:gridCol w:w="2925"/>
      </w:tblGrid>
      <w:tr w:rsidR="0062592A" w:rsidRPr="008C164C" w14:paraId="759561BE" w14:textId="77777777" w:rsidTr="00240629">
        <w:trPr>
          <w:trHeight w:val="227"/>
        </w:trPr>
        <w:tc>
          <w:tcPr>
            <w:tcW w:w="1177" w:type="pct"/>
            <w:noWrap/>
          </w:tcPr>
          <w:p w14:paraId="697A9D48" w14:textId="77777777" w:rsidR="0062592A" w:rsidRPr="008C164C" w:rsidRDefault="0062592A" w:rsidP="00DF5DDA">
            <w:pPr>
              <w:pStyle w:val="TableText0"/>
              <w:keepLines/>
              <w:rPr>
                <w:b/>
                <w:bCs w:val="0"/>
              </w:rPr>
            </w:pPr>
            <w:r w:rsidRPr="008C164C">
              <w:rPr>
                <w:b/>
                <w:bCs w:val="0"/>
              </w:rPr>
              <w:t>Study ID</w:t>
            </w:r>
          </w:p>
        </w:tc>
        <w:tc>
          <w:tcPr>
            <w:tcW w:w="943" w:type="pct"/>
            <w:noWrap/>
          </w:tcPr>
          <w:p w14:paraId="1FF0D54F" w14:textId="77777777" w:rsidR="0062592A" w:rsidRPr="008C164C" w:rsidRDefault="0062592A" w:rsidP="00DF5DDA">
            <w:pPr>
              <w:pStyle w:val="TableText0"/>
              <w:keepLines/>
              <w:jc w:val="center"/>
              <w:rPr>
                <w:b/>
                <w:bCs w:val="0"/>
              </w:rPr>
            </w:pPr>
            <w:r w:rsidRPr="008C164C">
              <w:rPr>
                <w:b/>
                <w:bCs w:val="0"/>
              </w:rPr>
              <w:t>n</w:t>
            </w:r>
          </w:p>
        </w:tc>
        <w:tc>
          <w:tcPr>
            <w:tcW w:w="1258" w:type="pct"/>
            <w:noWrap/>
          </w:tcPr>
          <w:p w14:paraId="7533FEBA" w14:textId="77777777" w:rsidR="0062592A" w:rsidRPr="008C164C" w:rsidRDefault="0062592A" w:rsidP="00DF5DDA">
            <w:pPr>
              <w:pStyle w:val="TableText0"/>
              <w:keepLines/>
              <w:jc w:val="center"/>
              <w:rPr>
                <w:b/>
                <w:bCs w:val="0"/>
              </w:rPr>
            </w:pPr>
            <w:r w:rsidRPr="008C164C">
              <w:rPr>
                <w:b/>
                <w:bCs w:val="0"/>
              </w:rPr>
              <w:t>N</w:t>
            </w:r>
          </w:p>
        </w:tc>
        <w:tc>
          <w:tcPr>
            <w:tcW w:w="1622" w:type="pct"/>
          </w:tcPr>
          <w:p w14:paraId="66C02D43" w14:textId="7A7F77E7" w:rsidR="0062592A" w:rsidRPr="008C164C" w:rsidRDefault="0062592A" w:rsidP="00DF5DDA">
            <w:pPr>
              <w:pStyle w:val="TableText0"/>
              <w:keepLines/>
              <w:jc w:val="center"/>
              <w:rPr>
                <w:b/>
                <w:bCs w:val="0"/>
              </w:rPr>
            </w:pPr>
            <w:r w:rsidRPr="008C164C">
              <w:rPr>
                <w:b/>
                <w:bCs w:val="0"/>
              </w:rPr>
              <w:t>% viral load &lt;</w:t>
            </w:r>
            <w:r w:rsidR="00F515BC" w:rsidRPr="008C164C">
              <w:rPr>
                <w:b/>
                <w:bCs w:val="0"/>
              </w:rPr>
              <w:t xml:space="preserve"> </w:t>
            </w:r>
            <w:r w:rsidRPr="008C164C">
              <w:rPr>
                <w:b/>
                <w:bCs w:val="0"/>
              </w:rPr>
              <w:t>50 copies per mL</w:t>
            </w:r>
          </w:p>
        </w:tc>
      </w:tr>
      <w:tr w:rsidR="0062592A" w:rsidRPr="008C164C" w14:paraId="0C85F53C" w14:textId="77777777" w:rsidTr="00F07C27">
        <w:trPr>
          <w:trHeight w:val="227"/>
        </w:trPr>
        <w:tc>
          <w:tcPr>
            <w:tcW w:w="1177" w:type="pct"/>
            <w:shd w:val="clear" w:color="auto" w:fill="C6D9F1" w:themeFill="text2" w:themeFillTint="33"/>
          </w:tcPr>
          <w:p w14:paraId="7ED3A045" w14:textId="77777777" w:rsidR="0062592A" w:rsidRPr="008C164C" w:rsidRDefault="0062592A" w:rsidP="00DF5DDA">
            <w:pPr>
              <w:pStyle w:val="TableText0"/>
              <w:keepLines/>
            </w:pPr>
            <w:r w:rsidRPr="008C164C">
              <w:t>BENCHMRK 1</w:t>
            </w:r>
          </w:p>
        </w:tc>
        <w:tc>
          <w:tcPr>
            <w:tcW w:w="943" w:type="pct"/>
            <w:shd w:val="clear" w:color="auto" w:fill="C6D9F1" w:themeFill="text2" w:themeFillTint="33"/>
            <w:noWrap/>
          </w:tcPr>
          <w:p w14:paraId="17B866CA" w14:textId="77777777" w:rsidR="0062592A" w:rsidRPr="008C164C" w:rsidRDefault="0062592A" w:rsidP="00DF5DDA">
            <w:pPr>
              <w:pStyle w:val="TableText0"/>
              <w:keepLines/>
              <w:jc w:val="center"/>
            </w:pPr>
            <w:r w:rsidRPr="008C164C">
              <w:t>31.4% = 37</w:t>
            </w:r>
            <w:r w:rsidRPr="008C164C">
              <w:rPr>
                <w:vertAlign w:val="superscript"/>
              </w:rPr>
              <w:t>a</w:t>
            </w:r>
          </w:p>
        </w:tc>
        <w:tc>
          <w:tcPr>
            <w:tcW w:w="1258" w:type="pct"/>
            <w:shd w:val="clear" w:color="auto" w:fill="C6D9F1" w:themeFill="text2" w:themeFillTint="33"/>
            <w:noWrap/>
          </w:tcPr>
          <w:p w14:paraId="184C0045" w14:textId="77777777" w:rsidR="0062592A" w:rsidRPr="008C164C" w:rsidRDefault="0062592A" w:rsidP="00DF5DDA">
            <w:pPr>
              <w:pStyle w:val="TableText0"/>
              <w:keepLines/>
              <w:jc w:val="center"/>
            </w:pPr>
            <w:r w:rsidRPr="008C164C">
              <w:t>118</w:t>
            </w:r>
          </w:p>
        </w:tc>
        <w:tc>
          <w:tcPr>
            <w:tcW w:w="1622" w:type="pct"/>
            <w:shd w:val="clear" w:color="auto" w:fill="C6D9F1" w:themeFill="text2" w:themeFillTint="33"/>
          </w:tcPr>
          <w:p w14:paraId="36B302FA" w14:textId="77777777" w:rsidR="0062592A" w:rsidRPr="008C164C" w:rsidRDefault="0062592A" w:rsidP="00DF5DDA">
            <w:pPr>
              <w:pStyle w:val="TableText0"/>
              <w:keepLines/>
              <w:jc w:val="center"/>
            </w:pPr>
            <w:r w:rsidRPr="008C164C">
              <w:t>31.4</w:t>
            </w:r>
          </w:p>
        </w:tc>
      </w:tr>
      <w:tr w:rsidR="0062592A" w:rsidRPr="008C164C" w14:paraId="2AE73039" w14:textId="77777777" w:rsidTr="00F07C27">
        <w:trPr>
          <w:trHeight w:val="227"/>
        </w:trPr>
        <w:tc>
          <w:tcPr>
            <w:tcW w:w="1177" w:type="pct"/>
            <w:shd w:val="clear" w:color="auto" w:fill="C6D9F1" w:themeFill="text2" w:themeFillTint="33"/>
          </w:tcPr>
          <w:p w14:paraId="0A1DAC0F" w14:textId="77777777" w:rsidR="0062592A" w:rsidRPr="008C164C" w:rsidRDefault="0062592A" w:rsidP="00DF5DDA">
            <w:pPr>
              <w:pStyle w:val="TableText0"/>
              <w:keepLines/>
            </w:pPr>
            <w:r w:rsidRPr="008C164C">
              <w:t>BENCHMRK 2</w:t>
            </w:r>
          </w:p>
        </w:tc>
        <w:tc>
          <w:tcPr>
            <w:tcW w:w="943" w:type="pct"/>
            <w:shd w:val="clear" w:color="auto" w:fill="C6D9F1" w:themeFill="text2" w:themeFillTint="33"/>
            <w:noWrap/>
          </w:tcPr>
          <w:p w14:paraId="2F5E63D6" w14:textId="77777777" w:rsidR="0062592A" w:rsidRPr="008C164C" w:rsidRDefault="0062592A" w:rsidP="00DF5DDA">
            <w:pPr>
              <w:pStyle w:val="TableText0"/>
              <w:keepLines/>
              <w:jc w:val="center"/>
            </w:pPr>
            <w:r w:rsidRPr="008C164C">
              <w:t>34.5% = 41</w:t>
            </w:r>
            <w:r w:rsidRPr="008C164C">
              <w:rPr>
                <w:vertAlign w:val="superscript"/>
              </w:rPr>
              <w:t>a</w:t>
            </w:r>
          </w:p>
        </w:tc>
        <w:tc>
          <w:tcPr>
            <w:tcW w:w="1258" w:type="pct"/>
            <w:shd w:val="clear" w:color="auto" w:fill="C6D9F1" w:themeFill="text2" w:themeFillTint="33"/>
            <w:noWrap/>
          </w:tcPr>
          <w:p w14:paraId="5328DEE9" w14:textId="77777777" w:rsidR="0062592A" w:rsidRPr="008C164C" w:rsidRDefault="0062592A" w:rsidP="00DF5DDA">
            <w:pPr>
              <w:pStyle w:val="TableText0"/>
              <w:keepLines/>
              <w:jc w:val="center"/>
            </w:pPr>
            <w:r w:rsidRPr="008C164C">
              <w:t>119</w:t>
            </w:r>
          </w:p>
        </w:tc>
        <w:tc>
          <w:tcPr>
            <w:tcW w:w="1622" w:type="pct"/>
            <w:shd w:val="clear" w:color="auto" w:fill="C6D9F1" w:themeFill="text2" w:themeFillTint="33"/>
          </w:tcPr>
          <w:p w14:paraId="61FC6623" w14:textId="77777777" w:rsidR="0062592A" w:rsidRPr="008C164C" w:rsidRDefault="0062592A" w:rsidP="00DF5DDA">
            <w:pPr>
              <w:pStyle w:val="TableText0"/>
              <w:keepLines/>
              <w:jc w:val="center"/>
            </w:pPr>
            <w:r w:rsidRPr="008C164C">
              <w:t>34.5</w:t>
            </w:r>
          </w:p>
        </w:tc>
      </w:tr>
      <w:tr w:rsidR="0062592A" w:rsidRPr="008C164C" w14:paraId="17291DB2" w14:textId="77777777" w:rsidTr="00F07C27">
        <w:trPr>
          <w:trHeight w:val="227"/>
        </w:trPr>
        <w:tc>
          <w:tcPr>
            <w:tcW w:w="1177" w:type="pct"/>
            <w:shd w:val="clear" w:color="auto" w:fill="C6D9F1" w:themeFill="text2" w:themeFillTint="33"/>
          </w:tcPr>
          <w:p w14:paraId="0231B694" w14:textId="77777777" w:rsidR="0062592A" w:rsidRPr="008C164C" w:rsidRDefault="0062592A" w:rsidP="00DF5DDA">
            <w:pPr>
              <w:pStyle w:val="TableText0"/>
              <w:keepLines/>
            </w:pPr>
            <w:r w:rsidRPr="008C164C">
              <w:t>MOTIVATE 1</w:t>
            </w:r>
          </w:p>
        </w:tc>
        <w:tc>
          <w:tcPr>
            <w:tcW w:w="943" w:type="pct"/>
            <w:shd w:val="clear" w:color="auto" w:fill="C6D9F1" w:themeFill="text2" w:themeFillTint="33"/>
            <w:noWrap/>
          </w:tcPr>
          <w:p w14:paraId="48360443" w14:textId="77777777" w:rsidR="0062592A" w:rsidRPr="008C164C" w:rsidRDefault="0062592A" w:rsidP="00DF5DDA">
            <w:pPr>
              <w:pStyle w:val="TableText0"/>
              <w:keepLines/>
              <w:jc w:val="center"/>
            </w:pPr>
            <w:r w:rsidRPr="008C164C">
              <w:t>19</w:t>
            </w:r>
          </w:p>
        </w:tc>
        <w:tc>
          <w:tcPr>
            <w:tcW w:w="1258" w:type="pct"/>
            <w:shd w:val="clear" w:color="auto" w:fill="C6D9F1" w:themeFill="text2" w:themeFillTint="33"/>
            <w:noWrap/>
          </w:tcPr>
          <w:p w14:paraId="5B4E5688" w14:textId="77777777" w:rsidR="0062592A" w:rsidRPr="008C164C" w:rsidRDefault="0062592A" w:rsidP="00DF5DDA">
            <w:pPr>
              <w:pStyle w:val="TableText0"/>
              <w:keepLines/>
              <w:jc w:val="center"/>
            </w:pPr>
            <w:r w:rsidRPr="008C164C">
              <w:t>118</w:t>
            </w:r>
          </w:p>
        </w:tc>
        <w:tc>
          <w:tcPr>
            <w:tcW w:w="1622" w:type="pct"/>
            <w:shd w:val="clear" w:color="auto" w:fill="C6D9F1" w:themeFill="text2" w:themeFillTint="33"/>
          </w:tcPr>
          <w:p w14:paraId="675A883B" w14:textId="77777777" w:rsidR="0062592A" w:rsidRPr="008C164C" w:rsidRDefault="0062592A" w:rsidP="00DF5DDA">
            <w:pPr>
              <w:pStyle w:val="TableText0"/>
              <w:keepLines/>
              <w:jc w:val="center"/>
            </w:pPr>
            <w:r w:rsidRPr="008C164C">
              <w:t>16.1</w:t>
            </w:r>
          </w:p>
        </w:tc>
      </w:tr>
      <w:tr w:rsidR="0062592A" w:rsidRPr="008C164C" w14:paraId="201D3CAE" w14:textId="77777777" w:rsidTr="00F07C27">
        <w:trPr>
          <w:trHeight w:val="227"/>
        </w:trPr>
        <w:tc>
          <w:tcPr>
            <w:tcW w:w="1177" w:type="pct"/>
            <w:shd w:val="clear" w:color="auto" w:fill="C6D9F1" w:themeFill="text2" w:themeFillTint="33"/>
          </w:tcPr>
          <w:p w14:paraId="1F64FC79" w14:textId="77777777" w:rsidR="0062592A" w:rsidRPr="008C164C" w:rsidRDefault="0062592A" w:rsidP="00DF5DDA">
            <w:pPr>
              <w:pStyle w:val="TableText0"/>
              <w:keepLines/>
            </w:pPr>
            <w:r w:rsidRPr="008C164C">
              <w:t>MOTIVATE 2</w:t>
            </w:r>
          </w:p>
        </w:tc>
        <w:tc>
          <w:tcPr>
            <w:tcW w:w="943" w:type="pct"/>
            <w:shd w:val="clear" w:color="auto" w:fill="C6D9F1" w:themeFill="text2" w:themeFillTint="33"/>
            <w:noWrap/>
          </w:tcPr>
          <w:p w14:paraId="00367A63" w14:textId="77777777" w:rsidR="0062592A" w:rsidRPr="008C164C" w:rsidRDefault="0062592A" w:rsidP="00DF5DDA">
            <w:pPr>
              <w:pStyle w:val="TableText0"/>
              <w:keepLines/>
              <w:jc w:val="center"/>
            </w:pPr>
            <w:r w:rsidRPr="008C164C">
              <w:t>16</w:t>
            </w:r>
          </w:p>
        </w:tc>
        <w:tc>
          <w:tcPr>
            <w:tcW w:w="1258" w:type="pct"/>
            <w:shd w:val="clear" w:color="auto" w:fill="C6D9F1" w:themeFill="text2" w:themeFillTint="33"/>
            <w:noWrap/>
          </w:tcPr>
          <w:p w14:paraId="4501E5EE" w14:textId="77777777" w:rsidR="0062592A" w:rsidRPr="008C164C" w:rsidRDefault="0062592A" w:rsidP="00DF5DDA">
            <w:pPr>
              <w:pStyle w:val="TableText0"/>
              <w:keepLines/>
              <w:jc w:val="center"/>
            </w:pPr>
            <w:r w:rsidRPr="008C164C">
              <w:t>91</w:t>
            </w:r>
          </w:p>
        </w:tc>
        <w:tc>
          <w:tcPr>
            <w:tcW w:w="1622" w:type="pct"/>
            <w:shd w:val="clear" w:color="auto" w:fill="C6D9F1" w:themeFill="text2" w:themeFillTint="33"/>
          </w:tcPr>
          <w:p w14:paraId="74DEBD9E" w14:textId="77777777" w:rsidR="0062592A" w:rsidRPr="008C164C" w:rsidRDefault="0062592A" w:rsidP="00DF5DDA">
            <w:pPr>
              <w:pStyle w:val="TableText0"/>
              <w:keepLines/>
              <w:jc w:val="center"/>
            </w:pPr>
            <w:r w:rsidRPr="008C164C">
              <w:t>17.6</w:t>
            </w:r>
          </w:p>
        </w:tc>
      </w:tr>
      <w:tr w:rsidR="0062592A" w:rsidRPr="008C164C" w14:paraId="4734A377" w14:textId="77777777" w:rsidTr="00F07C27">
        <w:trPr>
          <w:trHeight w:val="227"/>
        </w:trPr>
        <w:tc>
          <w:tcPr>
            <w:tcW w:w="1177" w:type="pct"/>
            <w:shd w:val="clear" w:color="auto" w:fill="C6D9F1" w:themeFill="text2" w:themeFillTint="33"/>
          </w:tcPr>
          <w:p w14:paraId="1CAD9071" w14:textId="45E0401C" w:rsidR="0062592A" w:rsidRPr="008C164C" w:rsidRDefault="0062592A" w:rsidP="00DF5DDA">
            <w:pPr>
              <w:pStyle w:val="TableText0"/>
              <w:keepLines/>
            </w:pPr>
            <w:r w:rsidRPr="008C164C">
              <w:t>VICTOR-E</w:t>
            </w:r>
          </w:p>
        </w:tc>
        <w:tc>
          <w:tcPr>
            <w:tcW w:w="943" w:type="pct"/>
            <w:shd w:val="clear" w:color="auto" w:fill="C6D9F1" w:themeFill="text2" w:themeFillTint="33"/>
            <w:noWrap/>
          </w:tcPr>
          <w:p w14:paraId="498AFF7D" w14:textId="77777777" w:rsidR="0062592A" w:rsidRPr="008C164C" w:rsidRDefault="0062592A" w:rsidP="00DF5DDA">
            <w:pPr>
              <w:pStyle w:val="TableText0"/>
              <w:keepLines/>
              <w:jc w:val="center"/>
            </w:pPr>
            <w:r w:rsidRPr="008C164C">
              <w:t>5</w:t>
            </w:r>
          </w:p>
        </w:tc>
        <w:tc>
          <w:tcPr>
            <w:tcW w:w="1258" w:type="pct"/>
            <w:shd w:val="clear" w:color="auto" w:fill="C6D9F1" w:themeFill="text2" w:themeFillTint="33"/>
            <w:noWrap/>
          </w:tcPr>
          <w:p w14:paraId="74784057" w14:textId="77777777" w:rsidR="0062592A" w:rsidRPr="008C164C" w:rsidRDefault="0062592A" w:rsidP="00DF5DDA">
            <w:pPr>
              <w:pStyle w:val="TableText0"/>
              <w:keepLines/>
              <w:jc w:val="center"/>
            </w:pPr>
            <w:r w:rsidRPr="008C164C">
              <w:t>35</w:t>
            </w:r>
          </w:p>
        </w:tc>
        <w:tc>
          <w:tcPr>
            <w:tcW w:w="1622" w:type="pct"/>
            <w:shd w:val="clear" w:color="auto" w:fill="C6D9F1" w:themeFill="text2" w:themeFillTint="33"/>
          </w:tcPr>
          <w:p w14:paraId="444932F4" w14:textId="77777777" w:rsidR="0062592A" w:rsidRPr="008C164C" w:rsidRDefault="0062592A" w:rsidP="00DF5DDA">
            <w:pPr>
              <w:pStyle w:val="TableText0"/>
              <w:keepLines/>
              <w:jc w:val="center"/>
            </w:pPr>
            <w:r w:rsidRPr="008C164C">
              <w:t>14.3</w:t>
            </w:r>
          </w:p>
        </w:tc>
      </w:tr>
      <w:tr w:rsidR="0062592A" w:rsidRPr="008C164C" w14:paraId="1C92042B" w14:textId="77777777" w:rsidTr="00240629">
        <w:trPr>
          <w:trHeight w:val="227"/>
        </w:trPr>
        <w:tc>
          <w:tcPr>
            <w:tcW w:w="1177" w:type="pct"/>
          </w:tcPr>
          <w:p w14:paraId="496FEA7D" w14:textId="199A2E1A" w:rsidR="0062592A" w:rsidRPr="008C164C" w:rsidRDefault="0062592A" w:rsidP="00DF5DDA">
            <w:pPr>
              <w:pStyle w:val="TableText0"/>
              <w:keepLines/>
            </w:pPr>
            <w:r w:rsidRPr="008C164C">
              <w:t>BRIGHTE</w:t>
            </w:r>
            <w:r w:rsidR="006E49B0" w:rsidRPr="008C164C">
              <w:t xml:space="preserve"> </w:t>
            </w:r>
            <w:r w:rsidRPr="008C164C">
              <w:rPr>
                <w:vertAlign w:val="superscript"/>
              </w:rPr>
              <w:t>b</w:t>
            </w:r>
            <w:r w:rsidRPr="008C164C">
              <w:t xml:space="preserve"> (FTR+OBR)</w:t>
            </w:r>
          </w:p>
        </w:tc>
        <w:tc>
          <w:tcPr>
            <w:tcW w:w="943" w:type="pct"/>
            <w:noWrap/>
          </w:tcPr>
          <w:p w14:paraId="6583AA94" w14:textId="77777777" w:rsidR="0062592A" w:rsidRPr="008C164C" w:rsidRDefault="0062592A" w:rsidP="00DF5DDA">
            <w:pPr>
              <w:pStyle w:val="TableText0"/>
              <w:keepLines/>
              <w:jc w:val="center"/>
            </w:pPr>
            <w:r w:rsidRPr="008C164C">
              <w:t>184</w:t>
            </w:r>
          </w:p>
        </w:tc>
        <w:tc>
          <w:tcPr>
            <w:tcW w:w="1258" w:type="pct"/>
            <w:noWrap/>
          </w:tcPr>
          <w:p w14:paraId="0733E28F" w14:textId="77777777" w:rsidR="0062592A" w:rsidRPr="008C164C" w:rsidRDefault="0062592A" w:rsidP="00DF5DDA">
            <w:pPr>
              <w:pStyle w:val="TableText0"/>
              <w:keepLines/>
              <w:jc w:val="center"/>
            </w:pPr>
            <w:r w:rsidRPr="008C164C">
              <w:t>371</w:t>
            </w:r>
          </w:p>
        </w:tc>
        <w:tc>
          <w:tcPr>
            <w:tcW w:w="1622" w:type="pct"/>
          </w:tcPr>
          <w:p w14:paraId="6C8745EA" w14:textId="77777777" w:rsidR="0062592A" w:rsidRPr="008C164C" w:rsidRDefault="0062592A" w:rsidP="00DF5DDA">
            <w:pPr>
              <w:pStyle w:val="TableText0"/>
              <w:keepLines/>
              <w:jc w:val="center"/>
            </w:pPr>
            <w:r w:rsidRPr="008C164C">
              <w:t>49.6</w:t>
            </w:r>
          </w:p>
        </w:tc>
      </w:tr>
      <w:tr w:rsidR="0062592A" w:rsidRPr="008C164C" w14:paraId="3D8F0A33" w14:textId="77777777" w:rsidTr="00240629">
        <w:trPr>
          <w:trHeight w:val="227"/>
        </w:trPr>
        <w:tc>
          <w:tcPr>
            <w:tcW w:w="1177" w:type="pct"/>
          </w:tcPr>
          <w:p w14:paraId="28B6974D" w14:textId="39F10227" w:rsidR="0062592A" w:rsidRPr="008C164C" w:rsidRDefault="0062592A" w:rsidP="00DF5DDA">
            <w:pPr>
              <w:pStyle w:val="TableText0"/>
              <w:keepLines/>
            </w:pPr>
            <w:r w:rsidRPr="008C164C">
              <w:t>TMB-301</w:t>
            </w:r>
            <w:r w:rsidR="006E49B0" w:rsidRPr="008C164C">
              <w:t xml:space="preserve"> </w:t>
            </w:r>
            <w:r w:rsidRPr="008C164C">
              <w:rPr>
                <w:vertAlign w:val="superscript"/>
              </w:rPr>
              <w:t xml:space="preserve">c </w:t>
            </w:r>
            <w:r w:rsidRPr="008C164C">
              <w:t>(IBA+OBR)</w:t>
            </w:r>
          </w:p>
        </w:tc>
        <w:tc>
          <w:tcPr>
            <w:tcW w:w="943" w:type="pct"/>
            <w:noWrap/>
          </w:tcPr>
          <w:p w14:paraId="7FD728DB" w14:textId="77777777" w:rsidR="0062592A" w:rsidRPr="008C164C" w:rsidRDefault="0062592A" w:rsidP="00DF5DDA">
            <w:pPr>
              <w:pStyle w:val="TableText0"/>
              <w:keepLines/>
              <w:jc w:val="center"/>
            </w:pPr>
            <w:r w:rsidRPr="008C164C">
              <w:t>17</w:t>
            </w:r>
          </w:p>
        </w:tc>
        <w:tc>
          <w:tcPr>
            <w:tcW w:w="1258" w:type="pct"/>
            <w:noWrap/>
          </w:tcPr>
          <w:p w14:paraId="7C474920" w14:textId="77777777" w:rsidR="0062592A" w:rsidRPr="008C164C" w:rsidRDefault="0062592A" w:rsidP="00DF5DDA">
            <w:pPr>
              <w:pStyle w:val="TableText0"/>
              <w:keepLines/>
              <w:jc w:val="center"/>
            </w:pPr>
            <w:r w:rsidRPr="008C164C">
              <w:t>40</w:t>
            </w:r>
          </w:p>
        </w:tc>
        <w:tc>
          <w:tcPr>
            <w:tcW w:w="1622" w:type="pct"/>
          </w:tcPr>
          <w:p w14:paraId="55CD3C4C" w14:textId="77777777" w:rsidR="0062592A" w:rsidRPr="008C164C" w:rsidRDefault="0062592A" w:rsidP="00DF5DDA">
            <w:pPr>
              <w:pStyle w:val="TableText0"/>
              <w:keepLines/>
              <w:jc w:val="center"/>
            </w:pPr>
            <w:r w:rsidRPr="008C164C">
              <w:t>42.5</w:t>
            </w:r>
          </w:p>
        </w:tc>
      </w:tr>
    </w:tbl>
    <w:p w14:paraId="33871128" w14:textId="77777777" w:rsidR="0062592A" w:rsidRPr="008C164C" w:rsidRDefault="0062592A" w:rsidP="00F07C27">
      <w:pPr>
        <w:pStyle w:val="FooterTableFigure"/>
        <w:keepNext/>
        <w:keepLines/>
        <w:spacing w:after="0"/>
      </w:pPr>
      <w:r w:rsidRPr="008C164C">
        <w:t>FTR = fostemsavir; IBA = ibalizumab</w:t>
      </w:r>
    </w:p>
    <w:p w14:paraId="168651C8" w14:textId="3C6E4AF5" w:rsidR="00F07C27" w:rsidRPr="008C164C" w:rsidRDefault="00F07C27" w:rsidP="00F07C27">
      <w:pPr>
        <w:keepNext/>
        <w:keepLines/>
        <w:rPr>
          <w:rStyle w:val="FooterTableFigureChar"/>
        </w:rPr>
      </w:pPr>
      <w:r w:rsidRPr="008C164C">
        <w:rPr>
          <w:rStyle w:val="FooterTableFigureChar"/>
        </w:rPr>
        <w:t xml:space="preserve">Blue shaded cells represent data previously considered by </w:t>
      </w:r>
      <w:r w:rsidR="004E7754" w:rsidRPr="008C164C">
        <w:rPr>
          <w:rStyle w:val="FooterTableFigureChar"/>
        </w:rPr>
        <w:t xml:space="preserve">the </w:t>
      </w:r>
      <w:r w:rsidRPr="008C164C">
        <w:rPr>
          <w:rStyle w:val="FooterTableFigureChar"/>
        </w:rPr>
        <w:t xml:space="preserve">PBAC </w:t>
      </w:r>
    </w:p>
    <w:p w14:paraId="5FAA0212" w14:textId="77777777" w:rsidR="0062592A" w:rsidRPr="008C164C" w:rsidRDefault="0062592A" w:rsidP="00DF5DDA">
      <w:pPr>
        <w:pStyle w:val="FooterTableFigure"/>
        <w:keepNext/>
        <w:keepLines/>
        <w:spacing w:after="0"/>
        <w:contextualSpacing w:val="0"/>
      </w:pPr>
      <w:r w:rsidRPr="008C164C">
        <w:t xml:space="preserve">Source: Table 2-28, p115 of the resubmission. </w:t>
      </w:r>
    </w:p>
    <w:p w14:paraId="181E64E0" w14:textId="77777777" w:rsidR="0062592A" w:rsidRPr="008C164C" w:rsidRDefault="0062592A" w:rsidP="00FF255E">
      <w:pPr>
        <w:keepNext/>
        <w:keepLines/>
        <w:numPr>
          <w:ilvl w:val="0"/>
          <w:numId w:val="7"/>
        </w:numPr>
        <w:rPr>
          <w:rFonts w:ascii="Arial Narrow" w:hAnsi="Arial Narrow"/>
          <w:sz w:val="18"/>
          <w:szCs w:val="18"/>
        </w:rPr>
      </w:pPr>
      <w:r w:rsidRPr="008C164C">
        <w:rPr>
          <w:rFonts w:ascii="Arial Narrow" w:hAnsi="Arial Narrow"/>
          <w:sz w:val="18"/>
          <w:szCs w:val="18"/>
        </w:rPr>
        <w:t>Calculated from the reported percentages.</w:t>
      </w:r>
    </w:p>
    <w:p w14:paraId="6110B446" w14:textId="2D279CD5" w:rsidR="0062592A" w:rsidRPr="008C164C" w:rsidRDefault="0062592A" w:rsidP="00FF255E">
      <w:pPr>
        <w:keepNext/>
        <w:keepLines/>
        <w:numPr>
          <w:ilvl w:val="0"/>
          <w:numId w:val="7"/>
        </w:numPr>
        <w:rPr>
          <w:rFonts w:ascii="Arial Narrow" w:hAnsi="Arial Narrow"/>
          <w:sz w:val="18"/>
          <w:szCs w:val="18"/>
        </w:rPr>
      </w:pPr>
      <w:r w:rsidRPr="008C164C">
        <w:rPr>
          <w:rFonts w:ascii="Arial Narrow" w:hAnsi="Arial Narrow"/>
          <w:sz w:val="18"/>
          <w:szCs w:val="18"/>
        </w:rPr>
        <w:t>Reports viral load &lt;40 copies/mL, assumed to be same as &lt;5</w:t>
      </w:r>
      <w:r w:rsidR="006D0B61" w:rsidRPr="008C164C">
        <w:rPr>
          <w:rFonts w:ascii="Arial Narrow" w:hAnsi="Arial Narrow"/>
          <w:sz w:val="18"/>
          <w:szCs w:val="18"/>
        </w:rPr>
        <w:t>F</w:t>
      </w:r>
      <w:r w:rsidRPr="008C164C">
        <w:rPr>
          <w:rFonts w:ascii="Arial Narrow" w:hAnsi="Arial Narrow"/>
          <w:sz w:val="18"/>
          <w:szCs w:val="18"/>
        </w:rPr>
        <w:t>0 copies/mL</w:t>
      </w:r>
    </w:p>
    <w:p w14:paraId="58E0C588" w14:textId="77777777" w:rsidR="0062592A" w:rsidRPr="008C164C" w:rsidRDefault="0062592A" w:rsidP="00FF255E">
      <w:pPr>
        <w:keepNext/>
        <w:keepLines/>
        <w:numPr>
          <w:ilvl w:val="0"/>
          <w:numId w:val="7"/>
        </w:numPr>
        <w:spacing w:after="120"/>
        <w:ind w:left="714" w:hanging="357"/>
        <w:rPr>
          <w:rFonts w:ascii="Arial Narrow" w:hAnsi="Arial Narrow"/>
          <w:sz w:val="18"/>
          <w:szCs w:val="18"/>
        </w:rPr>
      </w:pPr>
      <w:r w:rsidRPr="008C164C">
        <w:rPr>
          <w:rFonts w:ascii="Arial Narrow" w:hAnsi="Arial Narrow"/>
          <w:sz w:val="18"/>
          <w:szCs w:val="18"/>
        </w:rPr>
        <w:t>Reported at Week 25 as this was the study endpoint. As the extension study did not include all patients who were in study TMB-301 data from that study does not provide longer term results for the full study cohort. Both CAPELLA and BRIGHTE (which both investigated newer agents added to OBR in a consistent study design) had very similar results at Week 24/26 and Week 48/52, supporting extrapolation of the Week 25 results in TMB-301 to Week 48/52.</w:t>
      </w:r>
    </w:p>
    <w:p w14:paraId="20A4774B" w14:textId="53D6B993" w:rsidR="0062592A" w:rsidRPr="008C164C" w:rsidRDefault="0062592A" w:rsidP="0062592A">
      <w:pPr>
        <w:pStyle w:val="3-BodyText"/>
      </w:pPr>
      <w:bookmarkStart w:id="38" w:name="_Ref142936400"/>
      <w:r w:rsidRPr="008C164C">
        <w:t xml:space="preserve">The resubmission noted that in the November 2022 PBAC submission, all </w:t>
      </w:r>
      <w:r w:rsidR="004B00AD" w:rsidRPr="008C164C">
        <w:t xml:space="preserve">data </w:t>
      </w:r>
      <w:r w:rsidRPr="008C164C">
        <w:t xml:space="preserve">in the comparator arm of the ITC were </w:t>
      </w:r>
      <w:r w:rsidR="004B00AD" w:rsidRPr="008C164C">
        <w:t xml:space="preserve">from patients randomised to </w:t>
      </w:r>
      <w:r w:rsidRPr="008C164C">
        <w:t xml:space="preserve">placebo + OBR. In </w:t>
      </w:r>
      <w:r w:rsidR="004B00AD" w:rsidRPr="008C164C">
        <w:t xml:space="preserve">the </w:t>
      </w:r>
      <w:r w:rsidRPr="008C164C">
        <w:t xml:space="preserve">resubmission, </w:t>
      </w:r>
      <w:r w:rsidR="00791643" w:rsidRPr="008C164C">
        <w:t xml:space="preserve">data from </w:t>
      </w:r>
      <w:r w:rsidRPr="008C164C">
        <w:t xml:space="preserve">the BRIGHTE and TMB-301 </w:t>
      </w:r>
      <w:r w:rsidR="00791643" w:rsidRPr="008C164C">
        <w:t xml:space="preserve">were taken from patients treated with </w:t>
      </w:r>
      <w:r w:rsidRPr="008C164C">
        <w:t xml:space="preserve">a new active agent in combination with OBR (i.e., FTR and IBA, respectively). The resubmission </w:t>
      </w:r>
      <w:r w:rsidR="00791643" w:rsidRPr="008C164C">
        <w:t xml:space="preserve">did </w:t>
      </w:r>
      <w:r w:rsidRPr="008C164C">
        <w:t xml:space="preserve">not </w:t>
      </w:r>
      <w:r w:rsidR="00EC32F4">
        <w:t>adequately address</w:t>
      </w:r>
      <w:r w:rsidRPr="008C164C">
        <w:t xml:space="preserve"> why the placebo + OBR arm for BENCHMRK 1 and 2, MOTIVATE 1 and 2 and VICTOR</w:t>
      </w:r>
      <w:r w:rsidR="00791643" w:rsidRPr="008C164C">
        <w:noBreakHyphen/>
      </w:r>
      <w:r w:rsidRPr="008C164C">
        <w:t>E were used to inform the OBR efficacy but the intervention + OBR arm for BRIGHTE and TMB-301 were considered reasonable sources to inform the efficacy of OBR.</w:t>
      </w:r>
      <w:bookmarkEnd w:id="38"/>
      <w:r w:rsidRPr="008C164C">
        <w:t xml:space="preserve"> </w:t>
      </w:r>
    </w:p>
    <w:p w14:paraId="5D704A4B" w14:textId="1E1EB8C9" w:rsidR="00D47969" w:rsidRPr="008C164C" w:rsidRDefault="0062592A" w:rsidP="00D47969">
      <w:pPr>
        <w:pStyle w:val="3-BodyText"/>
      </w:pPr>
      <w:r w:rsidRPr="008C164C">
        <w:fldChar w:fldCharType="begin" w:fldLock="1"/>
      </w:r>
      <w:r w:rsidRPr="008C164C">
        <w:instrText xml:space="preserve"> REF _Ref142587533 \h </w:instrText>
      </w:r>
      <w:r w:rsidR="00D57180" w:rsidRPr="008C164C">
        <w:instrText xml:space="preserve"> \* MERGEFORMAT </w:instrText>
      </w:r>
      <w:r w:rsidRPr="008C164C">
        <w:fldChar w:fldCharType="separate"/>
      </w:r>
      <w:r w:rsidR="00682506" w:rsidRPr="008C164C">
        <w:t xml:space="preserve">Table </w:t>
      </w:r>
      <w:r w:rsidR="00682506">
        <w:t>7</w:t>
      </w:r>
      <w:r w:rsidRPr="008C164C">
        <w:fldChar w:fldCharType="end"/>
      </w:r>
      <w:r w:rsidRPr="008C164C">
        <w:t xml:space="preserve"> presents the results of the resubmission meta-analysis of OBR alone studies/trials.</w:t>
      </w:r>
      <w:r w:rsidR="00D47969" w:rsidRPr="008C164C">
        <w:t xml:space="preserve"> The resubmission noted variability between the results of included studies across the OBR (± placebo) analyses with the undetectable viral load outcome. </w:t>
      </w:r>
      <w:r w:rsidR="00BD7201" w:rsidRPr="008C164C">
        <w:t>The PSCR stated a random effects approach</w:t>
      </w:r>
      <w:r w:rsidR="00BD7201">
        <w:t xml:space="preserve"> was used on the basis of it</w:t>
      </w:r>
      <w:r w:rsidR="00BD7201" w:rsidRPr="008C164C">
        <w:t xml:space="preserve"> being standard, and preferred over a fixed effects approach due to the evidence of substantial heterogeneity.</w:t>
      </w:r>
    </w:p>
    <w:p w14:paraId="7F816571" w14:textId="061082D6" w:rsidR="0062592A" w:rsidRPr="008C164C" w:rsidRDefault="0062592A" w:rsidP="0062592A">
      <w:pPr>
        <w:pStyle w:val="TableFigureHeading"/>
      </w:pPr>
      <w:bookmarkStart w:id="39" w:name="_Ref142587533"/>
      <w:r w:rsidRPr="008C164C">
        <w:t xml:space="preserve">Table </w:t>
      </w:r>
      <w:r w:rsidR="00B25BFE">
        <w:fldChar w:fldCharType="begin" w:fldLock="1"/>
      </w:r>
      <w:r w:rsidR="00B25BFE">
        <w:instrText xml:space="preserve"> SEQ Table \* ARABIC </w:instrText>
      </w:r>
      <w:r w:rsidR="00B25BFE">
        <w:fldChar w:fldCharType="separate"/>
      </w:r>
      <w:r w:rsidR="00682506">
        <w:rPr>
          <w:noProof/>
        </w:rPr>
        <w:t>7</w:t>
      </w:r>
      <w:r w:rsidR="00B25BFE">
        <w:rPr>
          <w:noProof/>
        </w:rPr>
        <w:fldChar w:fldCharType="end"/>
      </w:r>
      <w:bookmarkEnd w:id="39"/>
      <w:r w:rsidRPr="008C164C">
        <w:t>: Meta-analyses of OBR (± placebo) arms for viral load outcomes at Week 48 (patients reporting viral load &lt;50 copies/mL)</w:t>
      </w:r>
    </w:p>
    <w:tbl>
      <w:tblPr>
        <w:tblStyle w:val="TableGrid"/>
        <w:tblW w:w="4950" w:type="pct"/>
        <w:tblLayout w:type="fixed"/>
        <w:tblLook w:val="04A0" w:firstRow="1" w:lastRow="0" w:firstColumn="1" w:lastColumn="0" w:noHBand="0" w:noVBand="1"/>
      </w:tblPr>
      <w:tblGrid>
        <w:gridCol w:w="1413"/>
        <w:gridCol w:w="1418"/>
        <w:gridCol w:w="1701"/>
        <w:gridCol w:w="2410"/>
        <w:gridCol w:w="1985"/>
      </w:tblGrid>
      <w:tr w:rsidR="007802F9" w:rsidRPr="008C164C" w14:paraId="0EA1356D" w14:textId="77777777" w:rsidTr="007802F9">
        <w:trPr>
          <w:trHeight w:val="20"/>
        </w:trPr>
        <w:tc>
          <w:tcPr>
            <w:tcW w:w="791" w:type="pct"/>
            <w:vAlign w:val="center"/>
          </w:tcPr>
          <w:p w14:paraId="6482DBFA" w14:textId="77777777" w:rsidR="007802F9" w:rsidRPr="008C164C" w:rsidRDefault="007802F9" w:rsidP="007802F9">
            <w:pPr>
              <w:pStyle w:val="TableText0"/>
              <w:rPr>
                <w:b/>
                <w:bCs w:val="0"/>
              </w:rPr>
            </w:pPr>
            <w:r w:rsidRPr="008C164C">
              <w:rPr>
                <w:b/>
                <w:bCs w:val="0"/>
              </w:rPr>
              <w:t>Measure</w:t>
            </w:r>
          </w:p>
        </w:tc>
        <w:tc>
          <w:tcPr>
            <w:tcW w:w="794" w:type="pct"/>
            <w:vAlign w:val="center"/>
            <w:hideMark/>
          </w:tcPr>
          <w:p w14:paraId="0B3DFD42" w14:textId="77777777" w:rsidR="007802F9" w:rsidRPr="008C164C" w:rsidRDefault="007802F9" w:rsidP="00240629">
            <w:pPr>
              <w:pStyle w:val="TableText0"/>
              <w:jc w:val="center"/>
              <w:rPr>
                <w:b/>
                <w:bCs w:val="0"/>
              </w:rPr>
            </w:pPr>
            <w:r w:rsidRPr="008C164C">
              <w:rPr>
                <w:b/>
                <w:bCs w:val="0"/>
              </w:rPr>
              <w:t>Estimate</w:t>
            </w:r>
          </w:p>
        </w:tc>
        <w:tc>
          <w:tcPr>
            <w:tcW w:w="953" w:type="pct"/>
            <w:vAlign w:val="center"/>
            <w:hideMark/>
          </w:tcPr>
          <w:p w14:paraId="642994FB" w14:textId="77777777" w:rsidR="007802F9" w:rsidRPr="008C164C" w:rsidRDefault="007802F9" w:rsidP="00240629">
            <w:pPr>
              <w:pStyle w:val="TableText0"/>
              <w:jc w:val="center"/>
              <w:rPr>
                <w:b/>
                <w:bCs w:val="0"/>
              </w:rPr>
            </w:pPr>
            <w:r w:rsidRPr="008C164C">
              <w:rPr>
                <w:b/>
                <w:bCs w:val="0"/>
              </w:rPr>
              <w:t>95% CI</w:t>
            </w:r>
          </w:p>
        </w:tc>
        <w:tc>
          <w:tcPr>
            <w:tcW w:w="1350" w:type="pct"/>
            <w:noWrap/>
            <w:vAlign w:val="center"/>
            <w:hideMark/>
          </w:tcPr>
          <w:p w14:paraId="2A455061" w14:textId="77777777" w:rsidR="007802F9" w:rsidRPr="008C164C" w:rsidRDefault="007802F9" w:rsidP="00240629">
            <w:pPr>
              <w:pStyle w:val="TableText0"/>
              <w:jc w:val="center"/>
              <w:rPr>
                <w:b/>
                <w:bCs w:val="0"/>
              </w:rPr>
            </w:pPr>
            <w:r w:rsidRPr="008C164C">
              <w:rPr>
                <w:b/>
                <w:bCs w:val="0"/>
              </w:rPr>
              <w:t>Test of heterogeneity</w:t>
            </w:r>
          </w:p>
        </w:tc>
        <w:tc>
          <w:tcPr>
            <w:tcW w:w="1112" w:type="pct"/>
            <w:noWrap/>
            <w:vAlign w:val="center"/>
            <w:hideMark/>
          </w:tcPr>
          <w:p w14:paraId="402961FE" w14:textId="655FDD7A" w:rsidR="007802F9" w:rsidRPr="008C164C" w:rsidRDefault="007802F9" w:rsidP="00240629">
            <w:pPr>
              <w:pStyle w:val="TableText0"/>
              <w:jc w:val="center"/>
              <w:rPr>
                <w:b/>
                <w:bCs w:val="0"/>
              </w:rPr>
            </w:pPr>
            <w:r w:rsidRPr="008C164C">
              <w:rPr>
                <w:b/>
                <w:bCs w:val="0"/>
              </w:rPr>
              <w:t>I</w:t>
            </w:r>
            <w:r w:rsidRPr="008C164C">
              <w:rPr>
                <w:b/>
                <w:bCs w:val="0"/>
                <w:vertAlign w:val="superscript"/>
              </w:rPr>
              <w:t xml:space="preserve">2 </w:t>
            </w:r>
            <w:r w:rsidRPr="008C164C">
              <w:rPr>
                <w:b/>
                <w:bCs w:val="0"/>
              </w:rPr>
              <w:t>[95% CI]</w:t>
            </w:r>
          </w:p>
        </w:tc>
      </w:tr>
      <w:tr w:rsidR="007802F9" w:rsidRPr="008C164C" w14:paraId="7C6C5A18" w14:textId="77777777" w:rsidTr="007802F9">
        <w:trPr>
          <w:trHeight w:val="20"/>
        </w:trPr>
        <w:tc>
          <w:tcPr>
            <w:tcW w:w="791" w:type="pct"/>
            <w:vAlign w:val="center"/>
          </w:tcPr>
          <w:p w14:paraId="5268ACC2" w14:textId="77777777" w:rsidR="007802F9" w:rsidRPr="008C164C" w:rsidRDefault="007802F9" w:rsidP="007802F9">
            <w:pPr>
              <w:pStyle w:val="TableText0"/>
            </w:pPr>
            <w:r w:rsidRPr="008C164C">
              <w:t>Risk</w:t>
            </w:r>
          </w:p>
        </w:tc>
        <w:tc>
          <w:tcPr>
            <w:tcW w:w="794" w:type="pct"/>
            <w:noWrap/>
            <w:vAlign w:val="center"/>
          </w:tcPr>
          <w:p w14:paraId="14B87DE6" w14:textId="77777777" w:rsidR="007802F9" w:rsidRPr="008C164C" w:rsidRDefault="007802F9" w:rsidP="00240629">
            <w:pPr>
              <w:pStyle w:val="TableText0"/>
              <w:jc w:val="center"/>
            </w:pPr>
            <w:r w:rsidRPr="008C164C">
              <w:t>0.2933</w:t>
            </w:r>
          </w:p>
        </w:tc>
        <w:tc>
          <w:tcPr>
            <w:tcW w:w="953" w:type="pct"/>
            <w:noWrap/>
            <w:vAlign w:val="center"/>
          </w:tcPr>
          <w:p w14:paraId="04C297DB" w14:textId="77777777" w:rsidR="007802F9" w:rsidRPr="008C164C" w:rsidRDefault="007802F9" w:rsidP="00240629">
            <w:pPr>
              <w:pStyle w:val="TableText0"/>
              <w:jc w:val="center"/>
            </w:pPr>
            <w:r w:rsidRPr="008C164C">
              <w:t>0.1892, 0.3974</w:t>
            </w:r>
          </w:p>
        </w:tc>
        <w:tc>
          <w:tcPr>
            <w:tcW w:w="1350" w:type="pct"/>
            <w:noWrap/>
            <w:vAlign w:val="center"/>
          </w:tcPr>
          <w:p w14:paraId="384861FC" w14:textId="77777777" w:rsidR="007802F9" w:rsidRPr="008C164C" w:rsidRDefault="007802F9" w:rsidP="00240629">
            <w:pPr>
              <w:pStyle w:val="TableText0"/>
              <w:jc w:val="center"/>
            </w:pPr>
            <w:r w:rsidRPr="008C164C">
              <w:t>Q(</w:t>
            </w:r>
            <w:proofErr w:type="spellStart"/>
            <w:r w:rsidRPr="008C164C">
              <w:t>df</w:t>
            </w:r>
            <w:proofErr w:type="spellEnd"/>
            <w:r w:rsidRPr="008C164C">
              <w:t>=6) = 92.18, P &lt; 0.0001</w:t>
            </w:r>
          </w:p>
        </w:tc>
        <w:tc>
          <w:tcPr>
            <w:tcW w:w="1112" w:type="pct"/>
            <w:noWrap/>
            <w:vAlign w:val="center"/>
          </w:tcPr>
          <w:p w14:paraId="4BE3C794" w14:textId="77777777" w:rsidR="007802F9" w:rsidRPr="008C164C" w:rsidRDefault="007802F9" w:rsidP="00240629">
            <w:pPr>
              <w:pStyle w:val="TableText0"/>
              <w:jc w:val="center"/>
            </w:pPr>
            <w:r w:rsidRPr="008C164C">
              <w:t>93.5% [89.0%; 96.1%]</w:t>
            </w:r>
          </w:p>
        </w:tc>
      </w:tr>
      <w:tr w:rsidR="007802F9" w:rsidRPr="008C164C" w14:paraId="7FBCDB3E" w14:textId="77777777" w:rsidTr="007802F9">
        <w:trPr>
          <w:trHeight w:val="20"/>
        </w:trPr>
        <w:tc>
          <w:tcPr>
            <w:tcW w:w="791" w:type="pct"/>
            <w:vAlign w:val="center"/>
          </w:tcPr>
          <w:p w14:paraId="3C0434CA" w14:textId="77777777" w:rsidR="007802F9" w:rsidRPr="008C164C" w:rsidRDefault="007802F9" w:rsidP="007802F9">
            <w:pPr>
              <w:pStyle w:val="TableText0"/>
            </w:pPr>
            <w:r w:rsidRPr="008C164C">
              <w:t>log(Risk)</w:t>
            </w:r>
          </w:p>
        </w:tc>
        <w:tc>
          <w:tcPr>
            <w:tcW w:w="794" w:type="pct"/>
            <w:noWrap/>
            <w:vAlign w:val="center"/>
          </w:tcPr>
          <w:p w14:paraId="086A04A6" w14:textId="77777777" w:rsidR="007802F9" w:rsidRPr="008C164C" w:rsidRDefault="007802F9" w:rsidP="00240629">
            <w:pPr>
              <w:pStyle w:val="TableText0"/>
              <w:jc w:val="center"/>
            </w:pPr>
            <w:r w:rsidRPr="008C164C">
              <w:t>-1.2659</w:t>
            </w:r>
          </w:p>
        </w:tc>
        <w:tc>
          <w:tcPr>
            <w:tcW w:w="953" w:type="pct"/>
            <w:noWrap/>
            <w:vAlign w:val="center"/>
          </w:tcPr>
          <w:p w14:paraId="664110EB" w14:textId="77777777" w:rsidR="007802F9" w:rsidRPr="008C164C" w:rsidRDefault="007802F9" w:rsidP="00240629">
            <w:pPr>
              <w:pStyle w:val="TableText0"/>
              <w:jc w:val="center"/>
            </w:pPr>
            <w:r w:rsidRPr="008C164C">
              <w:t>-1.6225, -0.9093</w:t>
            </w:r>
          </w:p>
        </w:tc>
        <w:tc>
          <w:tcPr>
            <w:tcW w:w="1350" w:type="pct"/>
            <w:noWrap/>
            <w:vAlign w:val="center"/>
          </w:tcPr>
          <w:p w14:paraId="6933058C" w14:textId="77777777" w:rsidR="007802F9" w:rsidRPr="008C164C" w:rsidRDefault="007802F9" w:rsidP="00240629">
            <w:pPr>
              <w:pStyle w:val="TableText0"/>
              <w:jc w:val="center"/>
            </w:pPr>
            <w:r w:rsidRPr="008C164C">
              <w:t>Q(</w:t>
            </w:r>
            <w:proofErr w:type="spellStart"/>
            <w:r w:rsidRPr="008C164C">
              <w:t>df</w:t>
            </w:r>
            <w:proofErr w:type="spellEnd"/>
            <w:r w:rsidRPr="008C164C">
              <w:t>=6) = 59.21, P &lt; 0.0001</w:t>
            </w:r>
          </w:p>
        </w:tc>
        <w:tc>
          <w:tcPr>
            <w:tcW w:w="1112" w:type="pct"/>
            <w:noWrap/>
            <w:vAlign w:val="center"/>
          </w:tcPr>
          <w:p w14:paraId="6568C790" w14:textId="77777777" w:rsidR="007802F9" w:rsidRPr="008C164C" w:rsidRDefault="007802F9" w:rsidP="00240629">
            <w:pPr>
              <w:pStyle w:val="TableText0"/>
              <w:jc w:val="center"/>
            </w:pPr>
            <w:r w:rsidRPr="008C164C">
              <w:t>89.9% [81.7%; 94.4%]</w:t>
            </w:r>
          </w:p>
        </w:tc>
      </w:tr>
      <w:tr w:rsidR="007802F9" w:rsidRPr="008C164C" w14:paraId="1556C145" w14:textId="77777777" w:rsidTr="007802F9">
        <w:trPr>
          <w:trHeight w:val="20"/>
        </w:trPr>
        <w:tc>
          <w:tcPr>
            <w:tcW w:w="791" w:type="pct"/>
            <w:vAlign w:val="center"/>
          </w:tcPr>
          <w:p w14:paraId="5BF2EBD2" w14:textId="77777777" w:rsidR="007802F9" w:rsidRPr="008C164C" w:rsidRDefault="007802F9" w:rsidP="007802F9">
            <w:pPr>
              <w:pStyle w:val="TableText0"/>
            </w:pPr>
            <w:r w:rsidRPr="008C164C">
              <w:t>log(Odds)</w:t>
            </w:r>
          </w:p>
        </w:tc>
        <w:tc>
          <w:tcPr>
            <w:tcW w:w="794" w:type="pct"/>
            <w:noWrap/>
            <w:vAlign w:val="center"/>
          </w:tcPr>
          <w:p w14:paraId="114DBD7F" w14:textId="77777777" w:rsidR="007802F9" w:rsidRPr="008C164C" w:rsidRDefault="007802F9" w:rsidP="00240629">
            <w:pPr>
              <w:pStyle w:val="TableText0"/>
              <w:jc w:val="center"/>
            </w:pPr>
            <w:r w:rsidRPr="008C164C">
              <w:t>-0.9138</w:t>
            </w:r>
          </w:p>
        </w:tc>
        <w:tc>
          <w:tcPr>
            <w:tcW w:w="953" w:type="pct"/>
            <w:noWrap/>
            <w:vAlign w:val="center"/>
          </w:tcPr>
          <w:p w14:paraId="6E6B5B52" w14:textId="77777777" w:rsidR="007802F9" w:rsidRPr="008C164C" w:rsidRDefault="007802F9" w:rsidP="00240629">
            <w:pPr>
              <w:pStyle w:val="TableText0"/>
              <w:jc w:val="center"/>
            </w:pPr>
            <w:r w:rsidRPr="008C164C">
              <w:t>-1.4280, -0.3996</w:t>
            </w:r>
          </w:p>
        </w:tc>
        <w:tc>
          <w:tcPr>
            <w:tcW w:w="1350" w:type="pct"/>
            <w:noWrap/>
            <w:vAlign w:val="center"/>
          </w:tcPr>
          <w:p w14:paraId="279B3CBF" w14:textId="77777777" w:rsidR="007802F9" w:rsidRPr="008C164C" w:rsidRDefault="007802F9" w:rsidP="00240629">
            <w:pPr>
              <w:pStyle w:val="TableText0"/>
              <w:jc w:val="center"/>
            </w:pPr>
            <w:r w:rsidRPr="008C164C">
              <w:t>Q(</w:t>
            </w:r>
            <w:proofErr w:type="spellStart"/>
            <w:r w:rsidRPr="008C164C">
              <w:t>df</w:t>
            </w:r>
            <w:proofErr w:type="spellEnd"/>
            <w:r w:rsidRPr="008C164C">
              <w:t>=6) = 67.32, P &lt; 0.0001</w:t>
            </w:r>
          </w:p>
        </w:tc>
        <w:tc>
          <w:tcPr>
            <w:tcW w:w="1112" w:type="pct"/>
            <w:noWrap/>
            <w:vAlign w:val="center"/>
          </w:tcPr>
          <w:p w14:paraId="09762ADB" w14:textId="77777777" w:rsidR="007802F9" w:rsidRPr="008C164C" w:rsidRDefault="007802F9" w:rsidP="00240629">
            <w:pPr>
              <w:pStyle w:val="TableText0"/>
              <w:jc w:val="center"/>
            </w:pPr>
            <w:r w:rsidRPr="008C164C">
              <w:t>91.1% [84.2%; 95.0%]</w:t>
            </w:r>
          </w:p>
        </w:tc>
      </w:tr>
      <w:tr w:rsidR="007802F9" w:rsidRPr="008C164C" w14:paraId="43434511" w14:textId="77777777" w:rsidTr="007802F9">
        <w:trPr>
          <w:trHeight w:val="20"/>
        </w:trPr>
        <w:tc>
          <w:tcPr>
            <w:tcW w:w="791" w:type="pct"/>
            <w:vAlign w:val="center"/>
          </w:tcPr>
          <w:p w14:paraId="29719E5C" w14:textId="77777777" w:rsidR="007802F9" w:rsidRPr="008C164C" w:rsidRDefault="007802F9" w:rsidP="007802F9">
            <w:pPr>
              <w:pStyle w:val="TableText0"/>
            </w:pPr>
            <w:r w:rsidRPr="008C164C">
              <w:t>Odds</w:t>
            </w:r>
          </w:p>
        </w:tc>
        <w:tc>
          <w:tcPr>
            <w:tcW w:w="794" w:type="pct"/>
            <w:noWrap/>
            <w:vAlign w:val="center"/>
          </w:tcPr>
          <w:p w14:paraId="06D5072B" w14:textId="77777777" w:rsidR="007802F9" w:rsidRPr="008C164C" w:rsidRDefault="007802F9" w:rsidP="00240629">
            <w:pPr>
              <w:pStyle w:val="TableText0"/>
              <w:jc w:val="center"/>
            </w:pPr>
            <w:r w:rsidRPr="008C164C">
              <w:t>0.4010</w:t>
            </w:r>
          </w:p>
        </w:tc>
        <w:tc>
          <w:tcPr>
            <w:tcW w:w="953" w:type="pct"/>
            <w:noWrap/>
            <w:vAlign w:val="center"/>
          </w:tcPr>
          <w:p w14:paraId="3580A4A2" w14:textId="77777777" w:rsidR="007802F9" w:rsidRPr="008C164C" w:rsidRDefault="007802F9" w:rsidP="00240629">
            <w:pPr>
              <w:pStyle w:val="TableText0"/>
              <w:jc w:val="center"/>
            </w:pPr>
            <w:r w:rsidRPr="008C164C">
              <w:t>0.2398, 0.6706</w:t>
            </w:r>
          </w:p>
        </w:tc>
        <w:tc>
          <w:tcPr>
            <w:tcW w:w="1350" w:type="pct"/>
            <w:noWrap/>
            <w:vAlign w:val="center"/>
          </w:tcPr>
          <w:p w14:paraId="2338B48B" w14:textId="77777777" w:rsidR="007802F9" w:rsidRPr="008C164C" w:rsidRDefault="007802F9" w:rsidP="00240629">
            <w:pPr>
              <w:pStyle w:val="TableText0"/>
              <w:jc w:val="center"/>
            </w:pPr>
            <w:r w:rsidRPr="008C164C">
              <w:t>-</w:t>
            </w:r>
          </w:p>
        </w:tc>
        <w:tc>
          <w:tcPr>
            <w:tcW w:w="1112" w:type="pct"/>
            <w:noWrap/>
            <w:vAlign w:val="center"/>
          </w:tcPr>
          <w:p w14:paraId="5172FC3B" w14:textId="77777777" w:rsidR="007802F9" w:rsidRPr="008C164C" w:rsidRDefault="007802F9" w:rsidP="00240629">
            <w:pPr>
              <w:pStyle w:val="TableText0"/>
              <w:jc w:val="center"/>
            </w:pPr>
          </w:p>
        </w:tc>
      </w:tr>
    </w:tbl>
    <w:p w14:paraId="06BD6AA8" w14:textId="77777777" w:rsidR="0062592A" w:rsidRPr="008C164C" w:rsidRDefault="0062592A" w:rsidP="0062592A">
      <w:pPr>
        <w:pStyle w:val="FooterTableFigure"/>
      </w:pPr>
      <w:r w:rsidRPr="008C164C">
        <w:t>Source: Table 2-31, p124 of the resubmission.</w:t>
      </w:r>
    </w:p>
    <w:p w14:paraId="2BB15B77" w14:textId="77777777" w:rsidR="0062592A" w:rsidRPr="008C164C" w:rsidRDefault="0062592A" w:rsidP="0062592A">
      <w:pPr>
        <w:pStyle w:val="FooterTableFigure"/>
      </w:pPr>
      <w:r w:rsidRPr="008C164C">
        <w:t>CI = confidence interval; OBR =optimised background regimen</w:t>
      </w:r>
    </w:p>
    <w:p w14:paraId="16DD7E91" w14:textId="58F6E599" w:rsidR="0062592A" w:rsidRPr="008C164C" w:rsidRDefault="0062592A" w:rsidP="0062592A">
      <w:pPr>
        <w:pStyle w:val="3-BodyText"/>
      </w:pPr>
      <w:r w:rsidRPr="008C164C">
        <w:fldChar w:fldCharType="begin" w:fldLock="1"/>
      </w:r>
      <w:r w:rsidRPr="008C164C">
        <w:instrText xml:space="preserve"> REF _Ref112943097 \h </w:instrText>
      </w:r>
      <w:r w:rsidRPr="008C164C">
        <w:fldChar w:fldCharType="separate"/>
      </w:r>
      <w:r w:rsidR="00682506" w:rsidRPr="008C164C">
        <w:rPr>
          <w:szCs w:val="20"/>
        </w:rPr>
        <w:t xml:space="preserve">Figure </w:t>
      </w:r>
      <w:r w:rsidR="00682506" w:rsidRPr="00682506">
        <w:rPr>
          <w:noProof/>
        </w:rPr>
        <w:t>2</w:t>
      </w:r>
      <w:r w:rsidRPr="008C164C">
        <w:fldChar w:fldCharType="end"/>
      </w:r>
      <w:r w:rsidRPr="008C164C">
        <w:t xml:space="preserve"> to </w:t>
      </w:r>
      <w:r w:rsidRPr="008C164C">
        <w:fldChar w:fldCharType="begin" w:fldLock="1"/>
      </w:r>
      <w:r w:rsidRPr="008C164C">
        <w:instrText xml:space="preserve"> REF _Ref142587708 \h </w:instrText>
      </w:r>
      <w:r w:rsidRPr="008C164C">
        <w:fldChar w:fldCharType="separate"/>
      </w:r>
      <w:r w:rsidR="00682506" w:rsidRPr="008C164C">
        <w:rPr>
          <w:szCs w:val="20"/>
        </w:rPr>
        <w:t xml:space="preserve">Figure </w:t>
      </w:r>
      <w:r w:rsidR="00682506" w:rsidRPr="00682506">
        <w:rPr>
          <w:noProof/>
        </w:rPr>
        <w:t>4</w:t>
      </w:r>
      <w:r w:rsidRPr="008C164C">
        <w:fldChar w:fldCharType="end"/>
      </w:r>
      <w:r w:rsidRPr="008C164C">
        <w:t xml:space="preserve"> present the results of the meta-analysis</w:t>
      </w:r>
      <w:r w:rsidR="00D47969" w:rsidRPr="008C164C">
        <w:t xml:space="preserve"> of OBR alone</w:t>
      </w:r>
      <w:r w:rsidRPr="008C164C">
        <w:t xml:space="preserve">. </w:t>
      </w:r>
    </w:p>
    <w:p w14:paraId="12742433" w14:textId="57A17193" w:rsidR="0062592A" w:rsidRPr="008C164C" w:rsidRDefault="0062592A" w:rsidP="00012C5D">
      <w:pPr>
        <w:pStyle w:val="TableFigureHeading"/>
        <w:keepLines/>
      </w:pPr>
      <w:bookmarkStart w:id="40" w:name="_Ref112943097"/>
      <w:r w:rsidRPr="008C164C">
        <w:rPr>
          <w:szCs w:val="20"/>
        </w:rPr>
        <w:lastRenderedPageBreak/>
        <w:t xml:space="preserve">Figure </w:t>
      </w:r>
      <w:r w:rsidRPr="008C164C">
        <w:rPr>
          <w:szCs w:val="20"/>
        </w:rPr>
        <w:fldChar w:fldCharType="begin" w:fldLock="1"/>
      </w:r>
      <w:r w:rsidRPr="008C164C">
        <w:rPr>
          <w:szCs w:val="20"/>
        </w:rPr>
        <w:instrText xml:space="preserve"> SEQ Figure \* MERGEFORMAT </w:instrText>
      </w:r>
      <w:r w:rsidRPr="008C164C">
        <w:rPr>
          <w:szCs w:val="20"/>
        </w:rPr>
        <w:fldChar w:fldCharType="separate"/>
      </w:r>
      <w:r w:rsidR="00682506" w:rsidRPr="00682506">
        <w:rPr>
          <w:noProof/>
        </w:rPr>
        <w:t>2</w:t>
      </w:r>
      <w:r w:rsidRPr="008C164C">
        <w:rPr>
          <w:szCs w:val="20"/>
        </w:rPr>
        <w:fldChar w:fldCharType="end"/>
      </w:r>
      <w:bookmarkEnd w:id="40"/>
      <w:r w:rsidRPr="008C164C">
        <w:t>: Meta-analysis of patients with viral load &lt;</w:t>
      </w:r>
      <w:r w:rsidR="00F515BC" w:rsidRPr="008C164C">
        <w:t xml:space="preserve"> </w:t>
      </w:r>
      <w:r w:rsidRPr="008C164C">
        <w:t>50 copies</w:t>
      </w:r>
      <w:r w:rsidR="00105F49">
        <w:t>/</w:t>
      </w:r>
      <w:r w:rsidRPr="008C164C">
        <w:t>mL</w:t>
      </w:r>
      <w:r w:rsidR="00105F49">
        <w:t>: Risk</w:t>
      </w:r>
      <w:r w:rsidRPr="008C164C">
        <w:t xml:space="preserve"> </w:t>
      </w:r>
      <w:r w:rsidR="00105F49">
        <w:t>(</w:t>
      </w:r>
      <w:r w:rsidRPr="008C164C">
        <w:t>Week 48</w:t>
      </w:r>
      <w:r w:rsidR="00105F49">
        <w:t>)</w:t>
      </w:r>
      <w:r w:rsidRPr="008C164C">
        <w:t xml:space="preserve"> </w:t>
      </w:r>
    </w:p>
    <w:p w14:paraId="0C9D7B4B" w14:textId="79DC5006" w:rsidR="0062592A" w:rsidRPr="008C164C" w:rsidRDefault="0062592A" w:rsidP="00012C5D">
      <w:pPr>
        <w:keepNext/>
        <w:keepLines/>
      </w:pPr>
      <w:r w:rsidRPr="008C164C">
        <w:rPr>
          <w:noProof/>
        </w:rPr>
        <w:drawing>
          <wp:inline distT="0" distB="0" distL="0" distR="0" wp14:anchorId="008C8AAD" wp14:editId="2AB0ADDF">
            <wp:extent cx="5732145" cy="1840230"/>
            <wp:effectExtent l="0" t="0" r="0" b="1270"/>
            <wp:docPr id="11" name="Picture 11"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52517" name="Picture 1" descr="A picture containing text, screenshot, diagram, fon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812" b="20864"/>
                    <a:stretch/>
                  </pic:blipFill>
                  <pic:spPr bwMode="auto">
                    <a:xfrm>
                      <a:off x="0" y="0"/>
                      <a:ext cx="5732145" cy="1840230"/>
                    </a:xfrm>
                    <a:prstGeom prst="rect">
                      <a:avLst/>
                    </a:prstGeom>
                    <a:noFill/>
                    <a:ln>
                      <a:noFill/>
                    </a:ln>
                    <a:extLst>
                      <a:ext uri="{53640926-AAD7-44D8-BBD7-CCE9431645EC}">
                        <a14:shadowObscured xmlns:a14="http://schemas.microsoft.com/office/drawing/2010/main"/>
                      </a:ext>
                    </a:extLst>
                  </pic:spPr>
                </pic:pic>
              </a:graphicData>
            </a:graphic>
          </wp:inline>
        </w:drawing>
      </w:r>
    </w:p>
    <w:p w14:paraId="108F99A8" w14:textId="77777777" w:rsidR="0062592A" w:rsidRPr="008C164C" w:rsidRDefault="0062592A" w:rsidP="00012C5D">
      <w:pPr>
        <w:pStyle w:val="FooterTableFigure"/>
        <w:keepNext/>
        <w:keepLines/>
      </w:pPr>
      <w:r w:rsidRPr="008C164C">
        <w:t xml:space="preserve">Source: Figure 2-5, p116 of the resubmission. </w:t>
      </w:r>
    </w:p>
    <w:p w14:paraId="7006785A" w14:textId="77777777" w:rsidR="0062592A" w:rsidRPr="008C164C" w:rsidRDefault="0062592A" w:rsidP="00012C5D">
      <w:pPr>
        <w:pStyle w:val="FooterTableFigure"/>
        <w:keepNext/>
        <w:keepLines/>
      </w:pPr>
      <w:r w:rsidRPr="008C164C">
        <w:t xml:space="preserve">CI = confidence interval; SE = standard error </w:t>
      </w:r>
    </w:p>
    <w:p w14:paraId="434408FC" w14:textId="77777777" w:rsidR="0062592A" w:rsidRPr="008C164C" w:rsidRDefault="0062592A" w:rsidP="0062592A">
      <w:pPr>
        <w:rPr>
          <w:color w:val="000000" w:themeColor="text1"/>
        </w:rPr>
      </w:pPr>
    </w:p>
    <w:p w14:paraId="241981CB" w14:textId="44F55D5C" w:rsidR="0062592A" w:rsidRPr="008C164C" w:rsidRDefault="0062592A" w:rsidP="007521AB">
      <w:pPr>
        <w:pStyle w:val="TableFigureHeading"/>
        <w:keepLines/>
      </w:pPr>
      <w:bookmarkStart w:id="41" w:name="_Ref142906915"/>
      <w:r w:rsidRPr="008C164C">
        <w:rPr>
          <w:szCs w:val="20"/>
        </w:rPr>
        <w:t xml:space="preserve">Figure </w:t>
      </w:r>
      <w:r w:rsidRPr="008C164C">
        <w:rPr>
          <w:szCs w:val="20"/>
        </w:rPr>
        <w:fldChar w:fldCharType="begin" w:fldLock="1"/>
      </w:r>
      <w:r w:rsidRPr="008C164C">
        <w:rPr>
          <w:szCs w:val="20"/>
        </w:rPr>
        <w:instrText xml:space="preserve"> SEQ Figure \* MERGEFORMAT </w:instrText>
      </w:r>
      <w:r w:rsidRPr="008C164C">
        <w:rPr>
          <w:szCs w:val="20"/>
        </w:rPr>
        <w:fldChar w:fldCharType="separate"/>
      </w:r>
      <w:r w:rsidR="00682506" w:rsidRPr="00682506">
        <w:rPr>
          <w:noProof/>
        </w:rPr>
        <w:t>3</w:t>
      </w:r>
      <w:r w:rsidRPr="008C164C">
        <w:rPr>
          <w:szCs w:val="20"/>
        </w:rPr>
        <w:fldChar w:fldCharType="end"/>
      </w:r>
      <w:bookmarkEnd w:id="41"/>
      <w:r w:rsidRPr="008C164C">
        <w:t xml:space="preserve">: Meta-analysis of </w:t>
      </w:r>
      <w:r w:rsidR="00E45A95" w:rsidRPr="008C164C">
        <w:t>p</w:t>
      </w:r>
      <w:r w:rsidRPr="008C164C">
        <w:t>atients with viral load &lt;</w:t>
      </w:r>
      <w:r w:rsidR="00F515BC" w:rsidRPr="008C164C">
        <w:t xml:space="preserve"> </w:t>
      </w:r>
      <w:r w:rsidRPr="008C164C">
        <w:t>50 copies/mL: log(Risk) (Week 48)</w:t>
      </w:r>
    </w:p>
    <w:p w14:paraId="0194FED9" w14:textId="0ABCE0A8" w:rsidR="0062592A" w:rsidRPr="008C164C" w:rsidRDefault="0062592A" w:rsidP="007521AB">
      <w:pPr>
        <w:keepNext/>
        <w:keepLines/>
        <w:rPr>
          <w:color w:val="000000" w:themeColor="text1"/>
        </w:rPr>
      </w:pPr>
      <w:r w:rsidRPr="008C164C">
        <w:rPr>
          <w:noProof/>
          <w:color w:val="000000" w:themeColor="text1"/>
        </w:rPr>
        <w:drawing>
          <wp:inline distT="0" distB="0" distL="0" distR="0" wp14:anchorId="570AFF21" wp14:editId="5BEA8664">
            <wp:extent cx="5732145" cy="1651466"/>
            <wp:effectExtent l="0" t="0" r="1905" b="6350"/>
            <wp:docPr id="12" name="Picture 12"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11791" name="Picture 3" descr="A picture containing text, screenshot, diagram, fon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4812" b="20112"/>
                    <a:stretch/>
                  </pic:blipFill>
                  <pic:spPr bwMode="auto">
                    <a:xfrm>
                      <a:off x="0" y="0"/>
                      <a:ext cx="5732145" cy="1651466"/>
                    </a:xfrm>
                    <a:prstGeom prst="rect">
                      <a:avLst/>
                    </a:prstGeom>
                    <a:noFill/>
                    <a:ln>
                      <a:noFill/>
                    </a:ln>
                    <a:extLst>
                      <a:ext uri="{53640926-AAD7-44D8-BBD7-CCE9431645EC}">
                        <a14:shadowObscured xmlns:a14="http://schemas.microsoft.com/office/drawing/2010/main"/>
                      </a:ext>
                    </a:extLst>
                  </pic:spPr>
                </pic:pic>
              </a:graphicData>
            </a:graphic>
          </wp:inline>
        </w:drawing>
      </w:r>
    </w:p>
    <w:p w14:paraId="4C0183DA" w14:textId="77777777" w:rsidR="0062592A" w:rsidRPr="008C164C" w:rsidRDefault="0062592A" w:rsidP="007521AB">
      <w:pPr>
        <w:pStyle w:val="FooterTableFigure"/>
        <w:keepNext/>
        <w:keepLines/>
      </w:pPr>
      <w:r w:rsidRPr="008C164C">
        <w:t>Source: Figure 2-7, p124 of the resubmission</w:t>
      </w:r>
    </w:p>
    <w:p w14:paraId="712C24CD" w14:textId="77777777" w:rsidR="0062592A" w:rsidRPr="008C164C" w:rsidRDefault="0062592A" w:rsidP="007521AB">
      <w:pPr>
        <w:pStyle w:val="FooterTableFigure"/>
        <w:keepNext/>
        <w:keepLines/>
      </w:pPr>
      <w:r w:rsidRPr="008C164C">
        <w:t xml:space="preserve">CI = confidence interval; SE = standard error </w:t>
      </w:r>
    </w:p>
    <w:p w14:paraId="41C6665C" w14:textId="77777777" w:rsidR="0062592A" w:rsidRPr="008C164C" w:rsidRDefault="0062592A" w:rsidP="0062592A">
      <w:pPr>
        <w:rPr>
          <w:color w:val="000000" w:themeColor="text1"/>
        </w:rPr>
      </w:pPr>
    </w:p>
    <w:p w14:paraId="7351C0C5" w14:textId="3C4AF9AD" w:rsidR="0062592A" w:rsidRPr="008C164C" w:rsidRDefault="0062592A" w:rsidP="007521AB">
      <w:pPr>
        <w:pStyle w:val="TableFigureHeading"/>
        <w:keepLines/>
      </w:pPr>
      <w:bookmarkStart w:id="42" w:name="_Ref142587708"/>
      <w:r w:rsidRPr="008C164C">
        <w:rPr>
          <w:szCs w:val="20"/>
        </w:rPr>
        <w:t xml:space="preserve">Figure </w:t>
      </w:r>
      <w:r w:rsidRPr="008C164C">
        <w:rPr>
          <w:szCs w:val="20"/>
        </w:rPr>
        <w:fldChar w:fldCharType="begin" w:fldLock="1"/>
      </w:r>
      <w:r w:rsidRPr="008C164C">
        <w:rPr>
          <w:szCs w:val="20"/>
        </w:rPr>
        <w:instrText xml:space="preserve"> SEQ Figure \* MERGEFORMAT </w:instrText>
      </w:r>
      <w:r w:rsidRPr="008C164C">
        <w:rPr>
          <w:szCs w:val="20"/>
        </w:rPr>
        <w:fldChar w:fldCharType="separate"/>
      </w:r>
      <w:r w:rsidR="00682506" w:rsidRPr="00682506">
        <w:rPr>
          <w:noProof/>
        </w:rPr>
        <w:t>4</w:t>
      </w:r>
      <w:r w:rsidRPr="008C164C">
        <w:rPr>
          <w:szCs w:val="20"/>
        </w:rPr>
        <w:fldChar w:fldCharType="end"/>
      </w:r>
      <w:bookmarkEnd w:id="42"/>
      <w:r w:rsidRPr="008C164C">
        <w:t xml:space="preserve">: Meta-analysis of </w:t>
      </w:r>
      <w:r w:rsidR="00E45A95" w:rsidRPr="008C164C">
        <w:t>p</w:t>
      </w:r>
      <w:r w:rsidRPr="008C164C">
        <w:t>atients with viral load &lt;</w:t>
      </w:r>
      <w:r w:rsidR="00F515BC" w:rsidRPr="008C164C">
        <w:t xml:space="preserve"> </w:t>
      </w:r>
      <w:r w:rsidRPr="008C164C">
        <w:t>50 copies/mL: log(Odds) (Week</w:t>
      </w:r>
      <w:r w:rsidR="00CF3AFC" w:rsidRPr="008C164C">
        <w:t xml:space="preserve"> </w:t>
      </w:r>
      <w:r w:rsidRPr="008C164C">
        <w:t>48)</w:t>
      </w:r>
    </w:p>
    <w:p w14:paraId="225D2E3E" w14:textId="11B876D7" w:rsidR="0062592A" w:rsidRPr="008C164C" w:rsidRDefault="0062592A" w:rsidP="007521AB">
      <w:pPr>
        <w:keepNext/>
        <w:keepLines/>
        <w:rPr>
          <w:color w:val="000000" w:themeColor="text1"/>
        </w:rPr>
      </w:pPr>
      <w:r w:rsidRPr="008C164C">
        <w:rPr>
          <w:noProof/>
        </w:rPr>
        <w:drawing>
          <wp:inline distT="0" distB="0" distL="0" distR="0" wp14:anchorId="4F3293FA" wp14:editId="6263BC01">
            <wp:extent cx="5732145" cy="1623060"/>
            <wp:effectExtent l="0" t="0" r="0" b="2540"/>
            <wp:docPr id="13" name="Picture 13" descr="A picture containing text, screenshot, diagram,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63390" name="Picture 2" descr="A picture containing text, screenshot, diagram, number&#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188" b="20677"/>
                    <a:stretch/>
                  </pic:blipFill>
                  <pic:spPr bwMode="auto">
                    <a:xfrm>
                      <a:off x="0" y="0"/>
                      <a:ext cx="5732145" cy="1623060"/>
                    </a:xfrm>
                    <a:prstGeom prst="rect">
                      <a:avLst/>
                    </a:prstGeom>
                    <a:noFill/>
                    <a:ln>
                      <a:noFill/>
                    </a:ln>
                    <a:extLst>
                      <a:ext uri="{53640926-AAD7-44D8-BBD7-CCE9431645EC}">
                        <a14:shadowObscured xmlns:a14="http://schemas.microsoft.com/office/drawing/2010/main"/>
                      </a:ext>
                    </a:extLst>
                  </pic:spPr>
                </pic:pic>
              </a:graphicData>
            </a:graphic>
          </wp:inline>
        </w:drawing>
      </w:r>
    </w:p>
    <w:p w14:paraId="6BC3D0EB" w14:textId="77777777" w:rsidR="0062592A" w:rsidRPr="008C164C" w:rsidRDefault="0062592A" w:rsidP="007521AB">
      <w:pPr>
        <w:pStyle w:val="FooterTableFigure"/>
        <w:keepNext/>
        <w:keepLines/>
      </w:pPr>
      <w:r w:rsidRPr="008C164C">
        <w:t>Source: Figure 2-8, p125 of the resubmission</w:t>
      </w:r>
    </w:p>
    <w:p w14:paraId="5232C3C0" w14:textId="77777777" w:rsidR="0062592A" w:rsidRPr="008C164C" w:rsidRDefault="0062592A" w:rsidP="007521AB">
      <w:pPr>
        <w:pStyle w:val="FooterTableFigure"/>
        <w:keepNext/>
        <w:keepLines/>
      </w:pPr>
      <w:r w:rsidRPr="008C164C">
        <w:t xml:space="preserve">CI = confidence interval; SE = standard error </w:t>
      </w:r>
    </w:p>
    <w:p w14:paraId="2CCFE1FB" w14:textId="77243130" w:rsidR="003C5D26" w:rsidRPr="008C164C" w:rsidRDefault="003C5D26" w:rsidP="003C5D26">
      <w:pPr>
        <w:pStyle w:val="3-BodyText"/>
      </w:pPr>
      <w:r w:rsidRPr="008C164C">
        <w:t xml:space="preserve">The meta-analysis of the proportion of patients achieving virologic undetectability (i.e., </w:t>
      </w:r>
      <w:r w:rsidR="00676246" w:rsidRPr="008C164C">
        <w:t>‘</w:t>
      </w:r>
      <w:r w:rsidRPr="008C164C">
        <w:t>patients with viral load &lt;</w:t>
      </w:r>
      <w:r w:rsidR="00F515BC" w:rsidRPr="008C164C">
        <w:t xml:space="preserve"> </w:t>
      </w:r>
      <w:r w:rsidRPr="008C164C">
        <w:t>50 copies/mL</w:t>
      </w:r>
      <w:r w:rsidR="00676246" w:rsidRPr="008C164C">
        <w:t>’</w:t>
      </w:r>
      <w:r w:rsidRPr="008C164C">
        <w:t xml:space="preserve">) for the comparator study arm OBR (± placebo) had an overall risk of 0.293 (95% CI 0.189, 0.397). </w:t>
      </w:r>
    </w:p>
    <w:p w14:paraId="7E49F95F" w14:textId="780BE90F" w:rsidR="00CE4D9F" w:rsidRPr="008C164C" w:rsidRDefault="00E358C6" w:rsidP="00CE4D9F">
      <w:pPr>
        <w:pStyle w:val="3-BodyText"/>
      </w:pPr>
      <w:r w:rsidRPr="008C164C">
        <w:rPr>
          <w:color w:val="000000" w:themeColor="text1"/>
        </w:rPr>
        <w:lastRenderedPageBreak/>
        <w:t>Comparatively</w:t>
      </w:r>
      <w:r w:rsidR="0062592A" w:rsidRPr="008C164C">
        <w:rPr>
          <w:color w:val="000000" w:themeColor="text1"/>
        </w:rPr>
        <w:t xml:space="preserve">, the resubmission’s survey </w:t>
      </w:r>
      <w:r w:rsidR="00077490" w:rsidRPr="008C164C">
        <w:rPr>
          <w:color w:val="000000" w:themeColor="text1"/>
        </w:rPr>
        <w:t xml:space="preserve">of 10 Australian clinicians </w:t>
      </w:r>
      <w:r w:rsidR="0062592A" w:rsidRPr="008C164C">
        <w:rPr>
          <w:color w:val="000000" w:themeColor="text1"/>
        </w:rPr>
        <w:t xml:space="preserve">estimated that 49.9% of </w:t>
      </w:r>
      <w:proofErr w:type="spellStart"/>
      <w:r w:rsidR="0062592A" w:rsidRPr="008C164C">
        <w:rPr>
          <w:color w:val="000000" w:themeColor="text1"/>
        </w:rPr>
        <w:t>hMDR</w:t>
      </w:r>
      <w:proofErr w:type="spellEnd"/>
      <w:r w:rsidR="0062592A" w:rsidRPr="008C164C">
        <w:rPr>
          <w:color w:val="000000" w:themeColor="text1"/>
        </w:rPr>
        <w:t>-HIV patients on OBR in Australia would achieve and maintain undetectable viral load &lt;</w:t>
      </w:r>
      <w:r w:rsidR="00F515BC" w:rsidRPr="008C164C">
        <w:rPr>
          <w:color w:val="000000" w:themeColor="text1"/>
        </w:rPr>
        <w:t xml:space="preserve"> </w:t>
      </w:r>
      <w:r w:rsidR="0062592A" w:rsidRPr="008C164C">
        <w:rPr>
          <w:color w:val="000000" w:themeColor="text1"/>
        </w:rPr>
        <w:t xml:space="preserve">50 copies/mL (Attachment 1 to the resubmission, Slides 8 and 42), which increased to 62.3% </w:t>
      </w:r>
      <w:r w:rsidR="00E45A95" w:rsidRPr="008C164C">
        <w:rPr>
          <w:color w:val="000000" w:themeColor="text1"/>
        </w:rPr>
        <w:t xml:space="preserve">with the introduction of a </w:t>
      </w:r>
      <w:r w:rsidR="0062592A" w:rsidRPr="008C164C">
        <w:rPr>
          <w:color w:val="000000" w:themeColor="text1"/>
        </w:rPr>
        <w:t xml:space="preserve"> second generation INSTI (Attachment 1 to the resubmission, Slide 45</w:t>
      </w:r>
      <w:r w:rsidR="0062592A" w:rsidRPr="008C164C">
        <w:t>). These estimates were substantially higher than th</w:t>
      </w:r>
      <w:r w:rsidR="009475E3" w:rsidRPr="008C164C">
        <w:t>e</w:t>
      </w:r>
      <w:r w:rsidR="0062592A" w:rsidRPr="008C164C">
        <w:t xml:space="preserve"> estimated viral suppression rate (29.3%) in the resubmission’s meta-analysis for OBR alone. This suggests that the resubmission may have substantially underestimated the efficacy of OBR in the Australian setting</w:t>
      </w:r>
      <w:r w:rsidR="008C164C">
        <w:t xml:space="preserve">. </w:t>
      </w:r>
    </w:p>
    <w:p w14:paraId="106D7447" w14:textId="4BAF47E8" w:rsidR="00CE4D9F" w:rsidRPr="008C164C" w:rsidRDefault="00CE4D9F" w:rsidP="00CE4D9F">
      <w:pPr>
        <w:pStyle w:val="3-BodyText"/>
      </w:pPr>
      <w:r w:rsidRPr="008C164C">
        <w:rPr>
          <w:color w:val="000000" w:themeColor="text1"/>
        </w:rPr>
        <w:t xml:space="preserve">During the evaluation of the previous submission, it was suggested that it may be more reasonable to use the results of the </w:t>
      </w:r>
      <w:proofErr w:type="spellStart"/>
      <w:r w:rsidRPr="008C164C">
        <w:rPr>
          <w:color w:val="000000" w:themeColor="text1"/>
        </w:rPr>
        <w:t>raltegravir</w:t>
      </w:r>
      <w:proofErr w:type="spellEnd"/>
      <w:r w:rsidRPr="008C164C">
        <w:rPr>
          <w:color w:val="000000" w:themeColor="text1"/>
        </w:rPr>
        <w:t xml:space="preserve"> + OBR and maraviroc + OBR arms to inform the efficacy of the comparator instead of the placebo + OBR arms of BENCHMRK 1 &amp; 2 and </w:t>
      </w:r>
      <w:r w:rsidRPr="008C164C">
        <w:t>MOTIVATE 1 &amp; 2. This resulted in</w:t>
      </w:r>
      <w:r w:rsidR="00F515BC" w:rsidRPr="008C164C">
        <w:t xml:space="preserve"> an</w:t>
      </w:r>
      <w:r w:rsidRPr="008C164C">
        <w:t xml:space="preserve"> estimate of patients with &lt; 50 copies of HIV RNA/mL at 48 weeks of 56%</w:t>
      </w:r>
      <w:r w:rsidR="00077490" w:rsidRPr="008C164C">
        <w:t>, which was similar</w:t>
      </w:r>
      <w:r w:rsidR="00966BA9" w:rsidRPr="008C164C">
        <w:t xml:space="preserve"> </w:t>
      </w:r>
      <w:r w:rsidR="00077490" w:rsidRPr="008C164C">
        <w:t>to the Australian clinician estimates</w:t>
      </w:r>
      <w:r w:rsidRPr="008C164C">
        <w:t xml:space="preserve">. </w:t>
      </w:r>
    </w:p>
    <w:p w14:paraId="0155A6D8" w14:textId="7D2B535B" w:rsidR="00D12B48" w:rsidRPr="008C164C" w:rsidRDefault="00CE4D9F" w:rsidP="00CE4D9F">
      <w:pPr>
        <w:pStyle w:val="3-BodyText"/>
      </w:pPr>
      <w:r w:rsidRPr="008C164C">
        <w:rPr>
          <w:color w:val="000000" w:themeColor="text1"/>
        </w:rPr>
        <w:t>The</w:t>
      </w:r>
      <w:r w:rsidR="00F515BC" w:rsidRPr="008C164C">
        <w:rPr>
          <w:color w:val="000000" w:themeColor="text1"/>
        </w:rPr>
        <w:t xml:space="preserve"> </w:t>
      </w:r>
      <w:r w:rsidRPr="008C164C">
        <w:rPr>
          <w:color w:val="000000" w:themeColor="text1"/>
        </w:rPr>
        <w:t xml:space="preserve">PSCR of </w:t>
      </w:r>
      <w:r w:rsidRPr="008C164C">
        <w:t>the previous submission argued that it was highly inappropriate to include the intervention arms of these trials as the patient populations were specifically naïve to the classes of therapies being investigated in those studies (</w:t>
      </w:r>
      <w:r w:rsidR="00F515BC" w:rsidRPr="008C164C">
        <w:t>p</w:t>
      </w:r>
      <w:r w:rsidR="00713EAD" w:rsidRPr="008C164C">
        <w:t xml:space="preserve">aragraph 6.33, </w:t>
      </w:r>
      <w:proofErr w:type="spellStart"/>
      <w:r w:rsidR="00713EAD" w:rsidRPr="008C164C">
        <w:t>l</w:t>
      </w:r>
      <w:r w:rsidRPr="008C164C">
        <w:t>enacapavir</w:t>
      </w:r>
      <w:proofErr w:type="spellEnd"/>
      <w:r w:rsidRPr="008C164C">
        <w:t xml:space="preserve"> </w:t>
      </w:r>
      <w:r w:rsidR="00713EAD" w:rsidRPr="008C164C">
        <w:t xml:space="preserve">PSD, </w:t>
      </w:r>
      <w:r w:rsidRPr="008C164C">
        <w:t xml:space="preserve">November 2022 </w:t>
      </w:r>
      <w:r w:rsidR="00713EAD" w:rsidRPr="008C164C">
        <w:t>PBAC meeting</w:t>
      </w:r>
      <w:r w:rsidRPr="008C164C">
        <w:t>). However</w:t>
      </w:r>
      <w:r w:rsidR="00F515BC" w:rsidRPr="008C164C">
        <w:t>,</w:t>
      </w:r>
      <w:r w:rsidRPr="008C164C">
        <w:t xml:space="preserve"> as discussed </w:t>
      </w:r>
      <w:r w:rsidR="00E902AA" w:rsidRPr="008C164C">
        <w:t xml:space="preserve">in paragraph </w:t>
      </w:r>
      <w:r w:rsidR="00E902AA" w:rsidRPr="008C164C">
        <w:fldChar w:fldCharType="begin" w:fldLock="1"/>
      </w:r>
      <w:r w:rsidR="00E902AA" w:rsidRPr="008C164C">
        <w:instrText xml:space="preserve"> REF _Ref142936400 \r \h </w:instrText>
      </w:r>
      <w:r w:rsidR="00177770" w:rsidRPr="008C164C">
        <w:instrText xml:space="preserve"> \* MERGEFORMAT </w:instrText>
      </w:r>
      <w:r w:rsidR="00E902AA" w:rsidRPr="008C164C">
        <w:fldChar w:fldCharType="separate"/>
      </w:r>
      <w:r w:rsidR="00682506">
        <w:t>6.23</w:t>
      </w:r>
      <w:r w:rsidR="00E902AA" w:rsidRPr="008C164C">
        <w:fldChar w:fldCharType="end"/>
      </w:r>
      <w:r w:rsidRPr="008C164C">
        <w:t xml:space="preserve">, the </w:t>
      </w:r>
      <w:r w:rsidR="008775FF" w:rsidRPr="008C164C">
        <w:t xml:space="preserve">current </w:t>
      </w:r>
      <w:r w:rsidRPr="008C164C">
        <w:t>resubmission propos</w:t>
      </w:r>
      <w:r w:rsidR="009C67BE" w:rsidRPr="008C164C">
        <w:t>ed</w:t>
      </w:r>
      <w:r w:rsidRPr="008C164C">
        <w:t xml:space="preserve"> that the inclusion </w:t>
      </w:r>
      <w:r w:rsidR="00F515BC" w:rsidRPr="008C164C">
        <w:t xml:space="preserve">of data from </w:t>
      </w:r>
      <w:r w:rsidRPr="008C164C">
        <w:t xml:space="preserve">the intervention + OBR </w:t>
      </w:r>
      <w:r w:rsidR="00E902AA" w:rsidRPr="008C164C">
        <w:t>arm</w:t>
      </w:r>
      <w:r w:rsidR="00F515BC" w:rsidRPr="008C164C">
        <w:t>s</w:t>
      </w:r>
      <w:r w:rsidR="00E902AA" w:rsidRPr="008C164C">
        <w:t xml:space="preserve"> </w:t>
      </w:r>
      <w:r w:rsidR="00F515BC" w:rsidRPr="008C164C">
        <w:t xml:space="preserve">of </w:t>
      </w:r>
      <w:r w:rsidRPr="008C164C">
        <w:t>BRIGHTE and TMB-301 was appropriate, which appear</w:t>
      </w:r>
      <w:r w:rsidR="008775FF" w:rsidRPr="008C164C">
        <w:t>s</w:t>
      </w:r>
      <w:r w:rsidRPr="008C164C">
        <w:t xml:space="preserve"> to be a change in position from the PSCR </w:t>
      </w:r>
      <w:r w:rsidR="008775FF" w:rsidRPr="008C164C">
        <w:t xml:space="preserve">for </w:t>
      </w:r>
      <w:r w:rsidRPr="008C164C">
        <w:t xml:space="preserve">the previous submission. </w:t>
      </w:r>
    </w:p>
    <w:p w14:paraId="50E8BEEA" w14:textId="1961F3D4" w:rsidR="00D12B48" w:rsidRPr="008C164C" w:rsidRDefault="00CE4D9F" w:rsidP="001C07EC">
      <w:pPr>
        <w:pStyle w:val="3-BodyText"/>
      </w:pPr>
      <w:r w:rsidRPr="008C164C">
        <w:rPr>
          <w:color w:val="000000" w:themeColor="text1"/>
        </w:rPr>
        <w:t xml:space="preserve">The ESC </w:t>
      </w:r>
      <w:r w:rsidR="008775FF" w:rsidRPr="008C164C">
        <w:rPr>
          <w:color w:val="000000" w:themeColor="text1"/>
        </w:rPr>
        <w:t xml:space="preserve">previously </w:t>
      </w:r>
      <w:r w:rsidRPr="008C164C">
        <w:t xml:space="preserve">acknowledged that the </w:t>
      </w:r>
      <w:r w:rsidR="008775FF" w:rsidRPr="008C164C">
        <w:t>i</w:t>
      </w:r>
      <w:r w:rsidRPr="008C164C">
        <w:t xml:space="preserve">ntervention arms of the BENCHMRK and MOTIVATE studies would likely bias in favour of OBR in the comparison as patients in those intervention arms would be expected to perform better where they are specifically receiving a therapy in a new pharmacological class and acknowledged this would likely not be reflective of the target population for </w:t>
      </w:r>
      <w:r w:rsidR="005B66B6" w:rsidRPr="008C164C">
        <w:t>LEN</w:t>
      </w:r>
      <w:r w:rsidRPr="008C164C">
        <w:t>, given these patients would have tried and failed almost all available options. However, the ESC also considered it was important that the therapies included in the OBR arm were reflective of contemporary Australian clinical practice (</w:t>
      </w:r>
      <w:r w:rsidR="00713EAD" w:rsidRPr="008C164C">
        <w:t>pa</w:t>
      </w:r>
      <w:r w:rsidRPr="008C164C">
        <w:t>ragraph 6.34</w:t>
      </w:r>
      <w:r w:rsidR="00713EAD" w:rsidRPr="008C164C">
        <w:t xml:space="preserve">, </w:t>
      </w:r>
      <w:proofErr w:type="spellStart"/>
      <w:r w:rsidR="00713EAD" w:rsidRPr="008C164C">
        <w:t>lenacapavir</w:t>
      </w:r>
      <w:proofErr w:type="spellEnd"/>
      <w:r w:rsidR="00713EAD" w:rsidRPr="008C164C">
        <w:t xml:space="preserve"> PSD, November 2022 PBAC meeting</w:t>
      </w:r>
      <w:r w:rsidRPr="008C164C">
        <w:t>).</w:t>
      </w:r>
      <w:r w:rsidR="00356961" w:rsidRPr="008C164C">
        <w:t xml:space="preserve"> </w:t>
      </w:r>
      <w:r w:rsidR="00803F84" w:rsidRPr="008C164C">
        <w:t xml:space="preserve">The PSCR </w:t>
      </w:r>
      <w:r w:rsidR="006E3A93" w:rsidRPr="008C164C">
        <w:t>reiterated that</w:t>
      </w:r>
      <w:r w:rsidR="00803F84" w:rsidRPr="008C164C">
        <w:t xml:space="preserve"> the inclusion of the intervention arms of older trials such as MOTIVATE, BENCHMRK and VICTOR-E </w:t>
      </w:r>
      <w:r w:rsidR="006E3A93" w:rsidRPr="008C164C">
        <w:t xml:space="preserve">would not be appropriate as they do not reflect contemporary ARV options nor clinical practice, and do not include the appropriate patient population that are naïve to the ARV class being investigated. However, the inclusion of FTR and IBA, which are not PBS listed </w:t>
      </w:r>
      <w:r w:rsidR="006E3A93" w:rsidRPr="008C164C">
        <w:rPr>
          <w:color w:val="000000" w:themeColor="text1"/>
        </w:rPr>
        <w:t xml:space="preserve">and were not reported to be used by any of the </w:t>
      </w:r>
      <w:r w:rsidR="006E3A93" w:rsidRPr="008C164C">
        <w:t>10 clinicians surveyed by the sponsor, contradicts previous advice from the ESC and the PBAC.</w:t>
      </w:r>
    </w:p>
    <w:p w14:paraId="5AE6BD8F" w14:textId="6AA63E92" w:rsidR="00E769A7" w:rsidRPr="008C164C" w:rsidRDefault="00CE4D9F" w:rsidP="00E769A7">
      <w:pPr>
        <w:pStyle w:val="3-BodyText"/>
      </w:pPr>
      <w:r w:rsidRPr="008C164C">
        <w:t xml:space="preserve">The resubmission presented </w:t>
      </w:r>
      <w:proofErr w:type="gramStart"/>
      <w:r w:rsidRPr="008C164C">
        <w:t>a</w:t>
      </w:r>
      <w:proofErr w:type="gramEnd"/>
      <w:r w:rsidRPr="008C164C">
        <w:t xml:space="preserve"> OBR composition analysis whereby the comparison of the proportional ARV classes in OBR between the CAPELLA trial and meta-analysed OBR comparator (weighted by sample size)</w:t>
      </w:r>
      <w:r w:rsidR="008B1F28" w:rsidRPr="008C164C">
        <w:t xml:space="preserve">, and argued that the proportion of INSTI, FTR and IBA use was </w:t>
      </w:r>
      <w:r w:rsidR="00D53BBF" w:rsidRPr="008C164C">
        <w:t xml:space="preserve">balanced between LEN + OBR and OBR alone. </w:t>
      </w:r>
      <w:r w:rsidR="009C67BE" w:rsidRPr="008C164C">
        <w:t>I</w:t>
      </w:r>
      <w:r w:rsidR="00E769A7" w:rsidRPr="008C164C">
        <w:t>n this analysis, the resubmission grouped second generation INSTIs (</w:t>
      </w:r>
      <w:r w:rsidR="00936593" w:rsidRPr="008C164C">
        <w:t>e.g.</w:t>
      </w:r>
      <w:r w:rsidR="00E769A7" w:rsidRPr="008C164C">
        <w:t xml:space="preserve"> dolutegravir) with first </w:t>
      </w:r>
      <w:r w:rsidR="00E769A7" w:rsidRPr="008C164C">
        <w:lastRenderedPageBreak/>
        <w:t>generation INSTIs (</w:t>
      </w:r>
      <w:proofErr w:type="spellStart"/>
      <w:r w:rsidR="00E769A7" w:rsidRPr="008C164C">
        <w:t>raltegravir</w:t>
      </w:r>
      <w:proofErr w:type="spellEnd"/>
      <w:r w:rsidR="00E769A7" w:rsidRPr="008C164C">
        <w:t xml:space="preserve">) even though they may not necessarily have the same impact on response. </w:t>
      </w:r>
    </w:p>
    <w:p w14:paraId="38BB640B" w14:textId="5DD3C0C3" w:rsidR="00D12B48" w:rsidRPr="008C164C" w:rsidRDefault="00D12B48" w:rsidP="00F57EFC">
      <w:pPr>
        <w:pStyle w:val="3-BodyText"/>
      </w:pPr>
      <w:bookmarkStart w:id="43" w:name="_Ref147327279"/>
      <w:r w:rsidRPr="008C164C">
        <w:t xml:space="preserve">The resubmission did not explain why a ‘balancing’ of INSTI, FTR and IBA would be a methodologically rigorous way of addressing baseline differences in OBR, especially as the meta-analysis was not weighted by number of patients </w:t>
      </w:r>
      <w:r w:rsidR="0090000F" w:rsidRPr="008C164C">
        <w:t xml:space="preserve">using each ARV </w:t>
      </w:r>
      <w:r w:rsidRPr="008C164C">
        <w:t>but based on a constructed standard error. A more conventional and rigorous method of adjustment would be the use of a Match</w:t>
      </w:r>
      <w:r w:rsidR="008E0433" w:rsidRPr="008C164C">
        <w:t>ing</w:t>
      </w:r>
      <w:r w:rsidRPr="008C164C">
        <w:t xml:space="preserve">-adjusted indirect comparison (MAIC). However, </w:t>
      </w:r>
      <w:r w:rsidR="001F5DEC" w:rsidRPr="008C164C">
        <w:t>a MAIC</w:t>
      </w:r>
      <w:r w:rsidRPr="008C164C">
        <w:t xml:space="preserve"> would likely not be reliable given the small sample size of CAPELLA trial. </w:t>
      </w:r>
      <w:r w:rsidR="00803F84" w:rsidRPr="008C164C">
        <w:t xml:space="preserve">The PSCR </w:t>
      </w:r>
      <w:r w:rsidR="00BE157F" w:rsidRPr="008C164C">
        <w:t xml:space="preserve">stated that it was not possible to remove patients who were treated with FTR or IBA as part of LEN + OBR in the CAPELLA trial nor conduct a MAIC as individual patient level data is not available to the sponsor. The PSCR also </w:t>
      </w:r>
      <w:r w:rsidR="006E3A93" w:rsidRPr="008C164C">
        <w:t>agreed</w:t>
      </w:r>
      <w:r w:rsidR="00803F84" w:rsidRPr="008C164C">
        <w:t xml:space="preserve"> that a MAIC would likely not be reliable given the small size of the CAPELLA trial</w:t>
      </w:r>
      <w:r w:rsidR="00BE157F" w:rsidRPr="008C164C">
        <w:t xml:space="preserve"> and </w:t>
      </w:r>
      <w:r w:rsidR="00803F84" w:rsidRPr="008C164C">
        <w:t>argued the inclusion of FTR and IBA use in the OBR arm of the ITC to a level consistent with the LEN + OBR arm was the best available approach to balance the use of these agents in both arms of the ITC.</w:t>
      </w:r>
      <w:bookmarkEnd w:id="43"/>
      <w:r w:rsidR="00803F84" w:rsidRPr="008C164C">
        <w:t xml:space="preserve"> </w:t>
      </w:r>
    </w:p>
    <w:p w14:paraId="1DAE40D5" w14:textId="67412A96" w:rsidR="00D12B48" w:rsidRPr="008C164C" w:rsidRDefault="00983674" w:rsidP="00D12B48">
      <w:pPr>
        <w:pStyle w:val="3-BodyText"/>
      </w:pPr>
      <w:r w:rsidRPr="008C164C">
        <w:t>D</w:t>
      </w:r>
      <w:r w:rsidR="00D12B48" w:rsidRPr="008C164C">
        <w:t xml:space="preserve">uring the evaluation a comparison of different methods of weighting </w:t>
      </w:r>
      <w:r w:rsidR="00DC2E03" w:rsidRPr="008C164C">
        <w:t>were explored</w:t>
      </w:r>
      <w:r w:rsidR="00D12B48" w:rsidRPr="008C164C">
        <w:t xml:space="preserve">. This is presented in </w:t>
      </w:r>
      <w:r w:rsidR="00D12B48" w:rsidRPr="008C164C">
        <w:fldChar w:fldCharType="begin" w:fldLock="1"/>
      </w:r>
      <w:r w:rsidR="00D12B48" w:rsidRPr="008C164C">
        <w:instrText xml:space="preserve"> REF _Ref142588359 \h </w:instrText>
      </w:r>
      <w:r w:rsidR="00D53BBF" w:rsidRPr="008C164C">
        <w:instrText xml:space="preserve"> \* MERGEFORMAT </w:instrText>
      </w:r>
      <w:r w:rsidR="00D12B48" w:rsidRPr="008C164C">
        <w:fldChar w:fldCharType="separate"/>
      </w:r>
      <w:r w:rsidR="00682506" w:rsidRPr="008C164C">
        <w:t xml:space="preserve">Table </w:t>
      </w:r>
      <w:r w:rsidR="00682506">
        <w:t>8</w:t>
      </w:r>
      <w:r w:rsidR="00D12B48" w:rsidRPr="008C164C">
        <w:fldChar w:fldCharType="end"/>
      </w:r>
      <w:r w:rsidR="00D12B48" w:rsidRPr="008C164C">
        <w:t>.</w:t>
      </w:r>
    </w:p>
    <w:p w14:paraId="4D7CD982" w14:textId="7E1A131E" w:rsidR="00D12B48" w:rsidRPr="008C164C" w:rsidRDefault="00D12B48" w:rsidP="00DC2E03">
      <w:pPr>
        <w:pStyle w:val="TableFigureHeading"/>
        <w:keepLines/>
        <w:rPr>
          <w:i/>
          <w:iCs/>
        </w:rPr>
      </w:pPr>
      <w:bookmarkStart w:id="44" w:name="_Ref142588359"/>
      <w:r w:rsidRPr="008C164C">
        <w:t xml:space="preserve">Table </w:t>
      </w:r>
      <w:r w:rsidR="00B25BFE">
        <w:fldChar w:fldCharType="begin" w:fldLock="1"/>
      </w:r>
      <w:r w:rsidR="00B25BFE">
        <w:instrText xml:space="preserve"> SEQ Table \* ARABIC </w:instrText>
      </w:r>
      <w:r w:rsidR="00B25BFE">
        <w:fldChar w:fldCharType="separate"/>
      </w:r>
      <w:r w:rsidR="00682506">
        <w:rPr>
          <w:noProof/>
        </w:rPr>
        <w:t>8</w:t>
      </w:r>
      <w:r w:rsidR="00B25BFE">
        <w:rPr>
          <w:noProof/>
        </w:rPr>
        <w:fldChar w:fldCharType="end"/>
      </w:r>
      <w:bookmarkEnd w:id="44"/>
      <w:r w:rsidRPr="008C164C">
        <w:t>: Comparisons of trial weight by analysis</w:t>
      </w:r>
    </w:p>
    <w:tbl>
      <w:tblPr>
        <w:tblStyle w:val="TableGrid"/>
        <w:tblW w:w="0" w:type="auto"/>
        <w:tblLook w:val="04A0" w:firstRow="1" w:lastRow="0" w:firstColumn="1" w:lastColumn="0" w:noHBand="0" w:noVBand="1"/>
      </w:tblPr>
      <w:tblGrid>
        <w:gridCol w:w="2263"/>
        <w:gridCol w:w="2552"/>
        <w:gridCol w:w="1843"/>
        <w:gridCol w:w="2318"/>
      </w:tblGrid>
      <w:tr w:rsidR="00AD4BF2" w:rsidRPr="008C164C" w14:paraId="530D49ED" w14:textId="77777777" w:rsidTr="00CE75C0">
        <w:tc>
          <w:tcPr>
            <w:tcW w:w="2263" w:type="dxa"/>
            <w:vMerge w:val="restart"/>
            <w:vAlign w:val="center"/>
          </w:tcPr>
          <w:p w14:paraId="49B1306F" w14:textId="77777777" w:rsidR="00AD4BF2" w:rsidRPr="008C164C" w:rsidRDefault="00AD4BF2" w:rsidP="00DC2E03">
            <w:pPr>
              <w:pStyle w:val="TableText0"/>
              <w:keepLines/>
              <w:rPr>
                <w:b/>
                <w:bCs w:val="0"/>
              </w:rPr>
            </w:pPr>
            <w:r w:rsidRPr="008C164C">
              <w:rPr>
                <w:b/>
                <w:bCs w:val="0"/>
              </w:rPr>
              <w:t>Trial/ study</w:t>
            </w:r>
          </w:p>
        </w:tc>
        <w:tc>
          <w:tcPr>
            <w:tcW w:w="6713" w:type="dxa"/>
            <w:gridSpan w:val="3"/>
            <w:vAlign w:val="center"/>
          </w:tcPr>
          <w:p w14:paraId="2D9BF4DB" w14:textId="0078F4E5" w:rsidR="00AD4BF2" w:rsidRPr="008C164C" w:rsidRDefault="00AD4BF2" w:rsidP="00DC2E03">
            <w:pPr>
              <w:pStyle w:val="TableText0"/>
              <w:keepLines/>
              <w:jc w:val="center"/>
              <w:rPr>
                <w:b/>
                <w:bCs w:val="0"/>
              </w:rPr>
            </w:pPr>
            <w:r w:rsidRPr="008C164C">
              <w:rPr>
                <w:b/>
                <w:bCs w:val="0"/>
              </w:rPr>
              <w:t>Weighting</w:t>
            </w:r>
          </w:p>
        </w:tc>
      </w:tr>
      <w:tr w:rsidR="00AD4BF2" w:rsidRPr="008C164C" w14:paraId="3F284A44" w14:textId="77777777" w:rsidTr="00CE75C0">
        <w:tc>
          <w:tcPr>
            <w:tcW w:w="2263" w:type="dxa"/>
            <w:vMerge/>
            <w:vAlign w:val="center"/>
          </w:tcPr>
          <w:p w14:paraId="3FD9F72B" w14:textId="77777777" w:rsidR="00AD4BF2" w:rsidRPr="008C164C" w:rsidRDefault="00AD4BF2" w:rsidP="00AD4BF2">
            <w:pPr>
              <w:pStyle w:val="TableText0"/>
              <w:keepLines/>
              <w:rPr>
                <w:b/>
                <w:bCs w:val="0"/>
              </w:rPr>
            </w:pPr>
          </w:p>
        </w:tc>
        <w:tc>
          <w:tcPr>
            <w:tcW w:w="2552" w:type="dxa"/>
            <w:vAlign w:val="center"/>
          </w:tcPr>
          <w:p w14:paraId="29D55E6F" w14:textId="77777777" w:rsidR="00AD4BF2" w:rsidRPr="008C164C" w:rsidRDefault="00AD4BF2" w:rsidP="00AD4BF2">
            <w:pPr>
              <w:pStyle w:val="TableText0"/>
              <w:keepLines/>
              <w:jc w:val="center"/>
              <w:rPr>
                <w:b/>
                <w:bCs w:val="0"/>
              </w:rPr>
            </w:pPr>
            <w:r w:rsidRPr="008C164C">
              <w:rPr>
                <w:b/>
                <w:bCs w:val="0"/>
              </w:rPr>
              <w:t>Random effects weight</w:t>
            </w:r>
          </w:p>
          <w:p w14:paraId="55E863E0" w14:textId="79949C2A" w:rsidR="00AD4BF2" w:rsidRPr="008C164C" w:rsidDel="00AD4BF2" w:rsidRDefault="00AD4BF2" w:rsidP="00AD4BF2">
            <w:pPr>
              <w:pStyle w:val="TableText0"/>
              <w:keepLines/>
              <w:jc w:val="center"/>
              <w:rPr>
                <w:b/>
                <w:bCs w:val="0"/>
              </w:rPr>
            </w:pPr>
            <w:r w:rsidRPr="008C164C">
              <w:rPr>
                <w:b/>
                <w:bCs w:val="0"/>
              </w:rPr>
              <w:t>(weighting used in the meta-analysis of the resubmission)</w:t>
            </w:r>
          </w:p>
        </w:tc>
        <w:tc>
          <w:tcPr>
            <w:tcW w:w="1843" w:type="dxa"/>
            <w:vAlign w:val="center"/>
          </w:tcPr>
          <w:p w14:paraId="23C699CB" w14:textId="79B0B7CD" w:rsidR="00AD4BF2" w:rsidRPr="008C164C" w:rsidRDefault="00AD4BF2" w:rsidP="00AD4BF2">
            <w:pPr>
              <w:pStyle w:val="TableText0"/>
              <w:keepLines/>
              <w:jc w:val="center"/>
              <w:rPr>
                <w:b/>
                <w:bCs w:val="0"/>
              </w:rPr>
            </w:pPr>
            <w:r w:rsidRPr="008C164C">
              <w:rPr>
                <w:b/>
                <w:bCs w:val="0"/>
              </w:rPr>
              <w:t>Common (fixed) effects weight</w:t>
            </w:r>
          </w:p>
        </w:tc>
        <w:tc>
          <w:tcPr>
            <w:tcW w:w="2318" w:type="dxa"/>
            <w:vAlign w:val="center"/>
          </w:tcPr>
          <w:p w14:paraId="1506C10A" w14:textId="3AE58564" w:rsidR="00AD4BF2" w:rsidRPr="008C164C" w:rsidRDefault="00AD4BF2" w:rsidP="00AD4BF2">
            <w:pPr>
              <w:pStyle w:val="TableText0"/>
              <w:keepLines/>
              <w:jc w:val="center"/>
              <w:rPr>
                <w:b/>
                <w:bCs w:val="0"/>
              </w:rPr>
            </w:pPr>
            <w:r w:rsidRPr="008C164C">
              <w:rPr>
                <w:b/>
                <w:bCs w:val="0"/>
              </w:rPr>
              <w:t>Weighting used in OBR composition analysis (weighting by sample size)</w:t>
            </w:r>
          </w:p>
        </w:tc>
      </w:tr>
      <w:tr w:rsidR="00AD4BF2" w:rsidRPr="008C164C" w14:paraId="70624C39" w14:textId="77777777" w:rsidTr="00CE75C0">
        <w:tc>
          <w:tcPr>
            <w:tcW w:w="2263" w:type="dxa"/>
            <w:vAlign w:val="center"/>
          </w:tcPr>
          <w:p w14:paraId="07B5DDEF" w14:textId="77777777" w:rsidR="00AD4BF2" w:rsidRPr="008C164C" w:rsidRDefault="00AD4BF2" w:rsidP="00AD4BF2">
            <w:pPr>
              <w:pStyle w:val="TableText0"/>
              <w:keepLines/>
            </w:pPr>
            <w:r w:rsidRPr="008C164C">
              <w:t>BENCHMRK1</w:t>
            </w:r>
          </w:p>
        </w:tc>
        <w:tc>
          <w:tcPr>
            <w:tcW w:w="2552" w:type="dxa"/>
            <w:vAlign w:val="center"/>
          </w:tcPr>
          <w:p w14:paraId="43A803E4" w14:textId="6095CA98" w:rsidR="00AD4BF2" w:rsidRPr="008C164C" w:rsidDel="00AD4BF2" w:rsidRDefault="00AD4BF2" w:rsidP="00AD4BF2">
            <w:pPr>
              <w:pStyle w:val="TableText0"/>
              <w:keepLines/>
              <w:jc w:val="center"/>
              <w:rPr>
                <w:rFonts w:cs="Calibri"/>
                <w:color w:val="000000"/>
                <w:szCs w:val="20"/>
              </w:rPr>
            </w:pPr>
            <w:r w:rsidRPr="008C164C">
              <w:rPr>
                <w:rFonts w:cs="Calibri"/>
                <w:color w:val="000000"/>
                <w:szCs w:val="20"/>
              </w:rPr>
              <w:t>14.60%</w:t>
            </w:r>
          </w:p>
        </w:tc>
        <w:tc>
          <w:tcPr>
            <w:tcW w:w="1843" w:type="dxa"/>
            <w:vAlign w:val="center"/>
          </w:tcPr>
          <w:p w14:paraId="66603C54" w14:textId="0B881A81" w:rsidR="00AD4BF2" w:rsidRPr="008C164C" w:rsidRDefault="00AD4BF2" w:rsidP="00AD4BF2">
            <w:pPr>
              <w:pStyle w:val="TableText0"/>
              <w:keepLines/>
              <w:jc w:val="center"/>
            </w:pPr>
            <w:r w:rsidRPr="008C164C">
              <w:rPr>
                <w:rFonts w:cs="Calibri"/>
                <w:color w:val="000000"/>
                <w:szCs w:val="20"/>
              </w:rPr>
              <w:t>12.20%</w:t>
            </w:r>
          </w:p>
        </w:tc>
        <w:tc>
          <w:tcPr>
            <w:tcW w:w="2318" w:type="dxa"/>
            <w:vAlign w:val="center"/>
          </w:tcPr>
          <w:p w14:paraId="14F75AC7" w14:textId="77777777" w:rsidR="00AD4BF2" w:rsidRPr="008C164C" w:rsidRDefault="00AD4BF2" w:rsidP="00AD4BF2">
            <w:pPr>
              <w:pStyle w:val="TableText0"/>
              <w:keepLines/>
              <w:jc w:val="center"/>
            </w:pPr>
            <w:r w:rsidRPr="008C164C">
              <w:rPr>
                <w:rFonts w:cs="Calibri"/>
                <w:color w:val="000000"/>
                <w:szCs w:val="20"/>
              </w:rPr>
              <w:t>13.20%</w:t>
            </w:r>
          </w:p>
        </w:tc>
      </w:tr>
      <w:tr w:rsidR="00AD4BF2" w:rsidRPr="008C164C" w14:paraId="2E7DEC1F" w14:textId="77777777" w:rsidTr="00CE75C0">
        <w:tc>
          <w:tcPr>
            <w:tcW w:w="2263" w:type="dxa"/>
            <w:vAlign w:val="center"/>
          </w:tcPr>
          <w:p w14:paraId="06130EF0" w14:textId="77777777" w:rsidR="00AD4BF2" w:rsidRPr="008C164C" w:rsidRDefault="00AD4BF2" w:rsidP="00AD4BF2">
            <w:pPr>
              <w:pStyle w:val="TableText0"/>
              <w:keepLines/>
            </w:pPr>
            <w:r w:rsidRPr="008C164C">
              <w:t>BENCHMRK2</w:t>
            </w:r>
          </w:p>
        </w:tc>
        <w:tc>
          <w:tcPr>
            <w:tcW w:w="2552" w:type="dxa"/>
            <w:vAlign w:val="center"/>
          </w:tcPr>
          <w:p w14:paraId="59C699E2" w14:textId="6D8A2632" w:rsidR="00AD4BF2" w:rsidRPr="008C164C" w:rsidDel="00AD4BF2" w:rsidRDefault="00AD4BF2" w:rsidP="00AD4BF2">
            <w:pPr>
              <w:pStyle w:val="TableText0"/>
              <w:keepLines/>
              <w:jc w:val="center"/>
              <w:rPr>
                <w:rFonts w:cs="Calibri"/>
                <w:color w:val="000000"/>
                <w:szCs w:val="20"/>
              </w:rPr>
            </w:pPr>
            <w:r w:rsidRPr="008C164C">
              <w:rPr>
                <w:rFonts w:cs="Calibri"/>
                <w:color w:val="000000"/>
                <w:szCs w:val="20"/>
              </w:rPr>
              <w:t>14.60%</w:t>
            </w:r>
          </w:p>
        </w:tc>
        <w:tc>
          <w:tcPr>
            <w:tcW w:w="1843" w:type="dxa"/>
            <w:vAlign w:val="center"/>
          </w:tcPr>
          <w:p w14:paraId="7B6DA1AC" w14:textId="7F6D710B" w:rsidR="00AD4BF2" w:rsidRPr="008C164C" w:rsidRDefault="00AD4BF2" w:rsidP="00AD4BF2">
            <w:pPr>
              <w:pStyle w:val="TableText0"/>
              <w:keepLines/>
              <w:jc w:val="center"/>
            </w:pPr>
            <w:r w:rsidRPr="008C164C">
              <w:rPr>
                <w:rFonts w:cs="Calibri"/>
                <w:color w:val="000000"/>
                <w:szCs w:val="20"/>
              </w:rPr>
              <w:t>11.70%</w:t>
            </w:r>
          </w:p>
        </w:tc>
        <w:tc>
          <w:tcPr>
            <w:tcW w:w="2318" w:type="dxa"/>
            <w:vAlign w:val="center"/>
          </w:tcPr>
          <w:p w14:paraId="37E02F28" w14:textId="77777777" w:rsidR="00AD4BF2" w:rsidRPr="008C164C" w:rsidRDefault="00AD4BF2" w:rsidP="00AD4BF2">
            <w:pPr>
              <w:pStyle w:val="TableText0"/>
              <w:keepLines/>
              <w:jc w:val="center"/>
            </w:pPr>
            <w:r w:rsidRPr="008C164C">
              <w:rPr>
                <w:rFonts w:cs="Calibri"/>
                <w:color w:val="000000"/>
                <w:szCs w:val="20"/>
              </w:rPr>
              <w:t>13.30%</w:t>
            </w:r>
          </w:p>
        </w:tc>
      </w:tr>
      <w:tr w:rsidR="00AD4BF2" w:rsidRPr="008C164C" w14:paraId="4E593D05" w14:textId="77777777" w:rsidTr="00CE75C0">
        <w:tc>
          <w:tcPr>
            <w:tcW w:w="2263" w:type="dxa"/>
            <w:vAlign w:val="center"/>
          </w:tcPr>
          <w:p w14:paraId="2FD82BE4" w14:textId="77777777" w:rsidR="00AD4BF2" w:rsidRPr="008C164C" w:rsidRDefault="00AD4BF2" w:rsidP="00AD4BF2">
            <w:pPr>
              <w:pStyle w:val="TableText0"/>
              <w:keepLines/>
            </w:pPr>
            <w:r w:rsidRPr="008C164C">
              <w:t>MOTIVATE1</w:t>
            </w:r>
          </w:p>
        </w:tc>
        <w:tc>
          <w:tcPr>
            <w:tcW w:w="2552" w:type="dxa"/>
            <w:vAlign w:val="center"/>
          </w:tcPr>
          <w:p w14:paraId="2C39969B" w14:textId="67E84B77" w:rsidR="00AD4BF2" w:rsidRPr="008C164C" w:rsidDel="00AD4BF2" w:rsidRDefault="00AD4BF2" w:rsidP="00AD4BF2">
            <w:pPr>
              <w:pStyle w:val="TableText0"/>
              <w:keepLines/>
              <w:jc w:val="center"/>
              <w:rPr>
                <w:rFonts w:cs="Calibri"/>
                <w:color w:val="000000"/>
                <w:szCs w:val="20"/>
              </w:rPr>
            </w:pPr>
            <w:r w:rsidRPr="008C164C">
              <w:rPr>
                <w:rFonts w:cs="Calibri"/>
                <w:color w:val="000000"/>
                <w:szCs w:val="20"/>
              </w:rPr>
              <w:t>15.10%</w:t>
            </w:r>
          </w:p>
        </w:tc>
        <w:tc>
          <w:tcPr>
            <w:tcW w:w="1843" w:type="dxa"/>
            <w:vAlign w:val="center"/>
          </w:tcPr>
          <w:p w14:paraId="32CD2E7C" w14:textId="2496BD51" w:rsidR="00AD4BF2" w:rsidRPr="008C164C" w:rsidRDefault="00AD4BF2" w:rsidP="00AD4BF2">
            <w:pPr>
              <w:pStyle w:val="TableText0"/>
              <w:keepLines/>
              <w:jc w:val="center"/>
            </w:pPr>
            <w:r w:rsidRPr="008C164C">
              <w:rPr>
                <w:rFonts w:cs="Calibri"/>
                <w:color w:val="000000"/>
                <w:szCs w:val="20"/>
              </w:rPr>
              <w:t>19.40%</w:t>
            </w:r>
          </w:p>
        </w:tc>
        <w:tc>
          <w:tcPr>
            <w:tcW w:w="2318" w:type="dxa"/>
            <w:vAlign w:val="center"/>
          </w:tcPr>
          <w:p w14:paraId="047D19F3" w14:textId="77777777" w:rsidR="00AD4BF2" w:rsidRPr="008C164C" w:rsidRDefault="00AD4BF2" w:rsidP="00AD4BF2">
            <w:pPr>
              <w:pStyle w:val="TableText0"/>
              <w:keepLines/>
              <w:jc w:val="center"/>
            </w:pPr>
            <w:r w:rsidRPr="008C164C">
              <w:rPr>
                <w:rFonts w:cs="Calibri"/>
                <w:color w:val="000000"/>
                <w:szCs w:val="20"/>
              </w:rPr>
              <w:t>13.20%</w:t>
            </w:r>
          </w:p>
        </w:tc>
      </w:tr>
      <w:tr w:rsidR="00AD4BF2" w:rsidRPr="008C164C" w14:paraId="261D7BDD" w14:textId="77777777" w:rsidTr="00CE75C0">
        <w:tc>
          <w:tcPr>
            <w:tcW w:w="2263" w:type="dxa"/>
            <w:vAlign w:val="center"/>
          </w:tcPr>
          <w:p w14:paraId="5086B611" w14:textId="77777777" w:rsidR="00AD4BF2" w:rsidRPr="008C164C" w:rsidRDefault="00AD4BF2" w:rsidP="00AD4BF2">
            <w:pPr>
              <w:pStyle w:val="TableText0"/>
              <w:keepLines/>
            </w:pPr>
            <w:r w:rsidRPr="008C164C">
              <w:t>MOTIVATE2</w:t>
            </w:r>
          </w:p>
        </w:tc>
        <w:tc>
          <w:tcPr>
            <w:tcW w:w="2552" w:type="dxa"/>
            <w:vAlign w:val="center"/>
          </w:tcPr>
          <w:p w14:paraId="75E47276" w14:textId="55A40572" w:rsidR="00AD4BF2" w:rsidRPr="008C164C" w:rsidDel="00AD4BF2" w:rsidRDefault="00AD4BF2" w:rsidP="00AD4BF2">
            <w:pPr>
              <w:pStyle w:val="TableText0"/>
              <w:keepLines/>
              <w:jc w:val="center"/>
              <w:rPr>
                <w:rFonts w:cs="Calibri"/>
                <w:color w:val="000000"/>
                <w:szCs w:val="20"/>
              </w:rPr>
            </w:pPr>
            <w:r w:rsidRPr="008C164C">
              <w:rPr>
                <w:rFonts w:cs="Calibri"/>
                <w:color w:val="000000"/>
                <w:szCs w:val="20"/>
              </w:rPr>
              <w:t>14.80%</w:t>
            </w:r>
          </w:p>
        </w:tc>
        <w:tc>
          <w:tcPr>
            <w:tcW w:w="1843" w:type="dxa"/>
            <w:vAlign w:val="center"/>
          </w:tcPr>
          <w:p w14:paraId="327BED26" w14:textId="45E98BE4" w:rsidR="00AD4BF2" w:rsidRPr="008C164C" w:rsidRDefault="00AD4BF2" w:rsidP="00AD4BF2">
            <w:pPr>
              <w:pStyle w:val="TableText0"/>
              <w:keepLines/>
              <w:jc w:val="center"/>
            </w:pPr>
            <w:r w:rsidRPr="008C164C">
              <w:rPr>
                <w:rFonts w:cs="Calibri"/>
                <w:color w:val="000000"/>
                <w:szCs w:val="20"/>
              </w:rPr>
              <w:t>13.90%</w:t>
            </w:r>
          </w:p>
        </w:tc>
        <w:tc>
          <w:tcPr>
            <w:tcW w:w="2318" w:type="dxa"/>
            <w:vAlign w:val="center"/>
          </w:tcPr>
          <w:p w14:paraId="5745A6D1" w14:textId="77777777" w:rsidR="00AD4BF2" w:rsidRPr="008C164C" w:rsidRDefault="00AD4BF2" w:rsidP="00AD4BF2">
            <w:pPr>
              <w:pStyle w:val="TableText0"/>
              <w:keepLines/>
              <w:jc w:val="center"/>
            </w:pPr>
            <w:r w:rsidRPr="008C164C">
              <w:rPr>
                <w:rFonts w:cs="Calibri"/>
                <w:color w:val="000000"/>
                <w:szCs w:val="20"/>
              </w:rPr>
              <w:t>10.20%</w:t>
            </w:r>
          </w:p>
        </w:tc>
      </w:tr>
      <w:tr w:rsidR="00AD4BF2" w:rsidRPr="008C164C" w14:paraId="3E78F0D7" w14:textId="77777777" w:rsidTr="00CE75C0">
        <w:tc>
          <w:tcPr>
            <w:tcW w:w="2263" w:type="dxa"/>
            <w:vAlign w:val="center"/>
          </w:tcPr>
          <w:p w14:paraId="5425A241" w14:textId="77777777" w:rsidR="00AD4BF2" w:rsidRPr="008C164C" w:rsidRDefault="00AD4BF2" w:rsidP="00AD4BF2">
            <w:pPr>
              <w:pStyle w:val="TableText0"/>
              <w:keepLines/>
            </w:pPr>
            <w:r w:rsidRPr="008C164C">
              <w:t>VICTOR-E1</w:t>
            </w:r>
          </w:p>
        </w:tc>
        <w:tc>
          <w:tcPr>
            <w:tcW w:w="2552" w:type="dxa"/>
            <w:vAlign w:val="center"/>
          </w:tcPr>
          <w:p w14:paraId="480D2C6D" w14:textId="1071D1DD" w:rsidR="00AD4BF2" w:rsidRPr="008C164C" w:rsidDel="00AD4BF2" w:rsidRDefault="00AD4BF2" w:rsidP="00AD4BF2">
            <w:pPr>
              <w:pStyle w:val="TableText0"/>
              <w:keepLines/>
              <w:jc w:val="center"/>
              <w:rPr>
                <w:rFonts w:cs="Calibri"/>
                <w:color w:val="000000"/>
                <w:szCs w:val="20"/>
              </w:rPr>
            </w:pPr>
            <w:r w:rsidRPr="008C164C">
              <w:rPr>
                <w:rFonts w:cs="Calibri"/>
                <w:color w:val="000000"/>
                <w:szCs w:val="20"/>
              </w:rPr>
              <w:t>13.40%</w:t>
            </w:r>
          </w:p>
        </w:tc>
        <w:tc>
          <w:tcPr>
            <w:tcW w:w="1843" w:type="dxa"/>
            <w:vAlign w:val="center"/>
          </w:tcPr>
          <w:p w14:paraId="04C6821C" w14:textId="2BA87DE6" w:rsidR="00AD4BF2" w:rsidRPr="008C164C" w:rsidRDefault="00AD4BF2" w:rsidP="00AD4BF2">
            <w:pPr>
              <w:pStyle w:val="TableText0"/>
              <w:keepLines/>
              <w:jc w:val="center"/>
            </w:pPr>
            <w:r w:rsidRPr="008C164C">
              <w:rPr>
                <w:rFonts w:cs="Calibri"/>
                <w:color w:val="000000"/>
                <w:szCs w:val="20"/>
              </w:rPr>
              <w:t>6.30%</w:t>
            </w:r>
          </w:p>
        </w:tc>
        <w:tc>
          <w:tcPr>
            <w:tcW w:w="2318" w:type="dxa"/>
            <w:vAlign w:val="center"/>
          </w:tcPr>
          <w:p w14:paraId="4E7A220B" w14:textId="77777777" w:rsidR="00AD4BF2" w:rsidRPr="008C164C" w:rsidRDefault="00AD4BF2" w:rsidP="00AD4BF2">
            <w:pPr>
              <w:pStyle w:val="TableText0"/>
              <w:keepLines/>
              <w:jc w:val="center"/>
            </w:pPr>
            <w:r w:rsidRPr="008C164C">
              <w:rPr>
                <w:rFonts w:cs="Calibri"/>
                <w:color w:val="000000"/>
                <w:szCs w:val="20"/>
              </w:rPr>
              <w:t>3.90%</w:t>
            </w:r>
          </w:p>
        </w:tc>
      </w:tr>
      <w:tr w:rsidR="00AD4BF2" w:rsidRPr="008C164C" w14:paraId="2B4D0467" w14:textId="77777777" w:rsidTr="00CE75C0">
        <w:tc>
          <w:tcPr>
            <w:tcW w:w="2263" w:type="dxa"/>
            <w:vAlign w:val="center"/>
          </w:tcPr>
          <w:p w14:paraId="40BC30B6" w14:textId="77777777" w:rsidR="00AD4BF2" w:rsidRPr="008C164C" w:rsidRDefault="00AD4BF2" w:rsidP="00AD4BF2">
            <w:pPr>
              <w:pStyle w:val="TableText0"/>
              <w:keepLines/>
            </w:pPr>
            <w:r w:rsidRPr="008C164C">
              <w:t>BRIGHTE</w:t>
            </w:r>
          </w:p>
        </w:tc>
        <w:tc>
          <w:tcPr>
            <w:tcW w:w="2552" w:type="dxa"/>
            <w:vAlign w:val="center"/>
          </w:tcPr>
          <w:p w14:paraId="69E9D4D5" w14:textId="798CD0E4" w:rsidR="00AD4BF2" w:rsidRPr="008C164C" w:rsidDel="00AD4BF2" w:rsidRDefault="00AD4BF2" w:rsidP="00AD4BF2">
            <w:pPr>
              <w:pStyle w:val="TableText0"/>
              <w:keepLines/>
              <w:jc w:val="center"/>
              <w:rPr>
                <w:rFonts w:cs="Calibri"/>
                <w:color w:val="000000"/>
                <w:szCs w:val="20"/>
              </w:rPr>
            </w:pPr>
            <w:r w:rsidRPr="008C164C">
              <w:rPr>
                <w:rFonts w:cs="Calibri"/>
                <w:color w:val="000000"/>
                <w:szCs w:val="20"/>
              </w:rPr>
              <w:t>15.50%</w:t>
            </w:r>
          </w:p>
        </w:tc>
        <w:tc>
          <w:tcPr>
            <w:tcW w:w="1843" w:type="dxa"/>
            <w:vAlign w:val="center"/>
          </w:tcPr>
          <w:p w14:paraId="009EDB09" w14:textId="79F2B2BF" w:rsidR="00AD4BF2" w:rsidRPr="008C164C" w:rsidRDefault="00AD4BF2" w:rsidP="00AD4BF2">
            <w:pPr>
              <w:pStyle w:val="TableText0"/>
              <w:keepLines/>
              <w:jc w:val="center"/>
            </w:pPr>
            <w:r w:rsidRPr="008C164C">
              <w:rPr>
                <w:rFonts w:cs="Calibri"/>
                <w:color w:val="000000"/>
                <w:szCs w:val="20"/>
              </w:rPr>
              <w:t>32.90%</w:t>
            </w:r>
          </w:p>
        </w:tc>
        <w:tc>
          <w:tcPr>
            <w:tcW w:w="2318" w:type="dxa"/>
            <w:vAlign w:val="center"/>
          </w:tcPr>
          <w:p w14:paraId="694586B0" w14:textId="77777777" w:rsidR="00AD4BF2" w:rsidRPr="008C164C" w:rsidRDefault="00AD4BF2" w:rsidP="00AD4BF2">
            <w:pPr>
              <w:pStyle w:val="TableText0"/>
              <w:keepLines/>
              <w:jc w:val="center"/>
            </w:pPr>
            <w:r w:rsidRPr="008C164C">
              <w:rPr>
                <w:rFonts w:cs="Calibri"/>
                <w:color w:val="000000"/>
                <w:szCs w:val="20"/>
              </w:rPr>
              <w:t>41.60%</w:t>
            </w:r>
          </w:p>
        </w:tc>
      </w:tr>
      <w:tr w:rsidR="00AD4BF2" w:rsidRPr="008C164C" w14:paraId="7CC219E5" w14:textId="77777777" w:rsidTr="00CE75C0">
        <w:tc>
          <w:tcPr>
            <w:tcW w:w="2263" w:type="dxa"/>
            <w:vAlign w:val="center"/>
          </w:tcPr>
          <w:p w14:paraId="44AEA907" w14:textId="77777777" w:rsidR="00AD4BF2" w:rsidRPr="008C164C" w:rsidRDefault="00AD4BF2" w:rsidP="00AD4BF2">
            <w:pPr>
              <w:pStyle w:val="TableText0"/>
              <w:keepLines/>
            </w:pPr>
            <w:r w:rsidRPr="008C164C">
              <w:t>TMB-301</w:t>
            </w:r>
          </w:p>
        </w:tc>
        <w:tc>
          <w:tcPr>
            <w:tcW w:w="2552" w:type="dxa"/>
            <w:vAlign w:val="center"/>
          </w:tcPr>
          <w:p w14:paraId="17028BE3" w14:textId="2A36B137" w:rsidR="00AD4BF2" w:rsidRPr="008C164C" w:rsidDel="00AD4BF2" w:rsidRDefault="00AD4BF2" w:rsidP="00AD4BF2">
            <w:pPr>
              <w:pStyle w:val="TableText0"/>
              <w:keepLines/>
              <w:jc w:val="center"/>
              <w:rPr>
                <w:rFonts w:cs="Calibri"/>
                <w:color w:val="000000"/>
                <w:szCs w:val="20"/>
              </w:rPr>
            </w:pPr>
            <w:r w:rsidRPr="008C164C">
              <w:rPr>
                <w:rFonts w:cs="Calibri"/>
                <w:color w:val="000000"/>
                <w:szCs w:val="20"/>
              </w:rPr>
              <w:t>12.00%</w:t>
            </w:r>
          </w:p>
        </w:tc>
        <w:tc>
          <w:tcPr>
            <w:tcW w:w="1843" w:type="dxa"/>
            <w:vAlign w:val="center"/>
          </w:tcPr>
          <w:p w14:paraId="74BB3136" w14:textId="6EC0538D" w:rsidR="00AD4BF2" w:rsidRPr="008C164C" w:rsidRDefault="00AD4BF2" w:rsidP="00AD4BF2">
            <w:pPr>
              <w:pStyle w:val="TableText0"/>
              <w:keepLines/>
              <w:jc w:val="center"/>
            </w:pPr>
            <w:r w:rsidRPr="008C164C">
              <w:rPr>
                <w:rFonts w:cs="Calibri"/>
                <w:color w:val="000000"/>
                <w:szCs w:val="20"/>
              </w:rPr>
              <w:t>3.60%</w:t>
            </w:r>
          </w:p>
        </w:tc>
        <w:tc>
          <w:tcPr>
            <w:tcW w:w="2318" w:type="dxa"/>
            <w:vAlign w:val="center"/>
          </w:tcPr>
          <w:p w14:paraId="4C5BE737" w14:textId="77777777" w:rsidR="00AD4BF2" w:rsidRPr="008C164C" w:rsidRDefault="00AD4BF2" w:rsidP="00AD4BF2">
            <w:pPr>
              <w:pStyle w:val="TableText0"/>
              <w:keepLines/>
              <w:jc w:val="center"/>
            </w:pPr>
            <w:r w:rsidRPr="008C164C">
              <w:rPr>
                <w:rFonts w:cs="Calibri"/>
                <w:color w:val="000000"/>
                <w:szCs w:val="20"/>
              </w:rPr>
              <w:t>4.50%</w:t>
            </w:r>
          </w:p>
        </w:tc>
      </w:tr>
      <w:tr w:rsidR="00AD4BF2" w:rsidRPr="008C164C" w14:paraId="3567E915" w14:textId="77777777" w:rsidTr="00CE75C0">
        <w:tc>
          <w:tcPr>
            <w:tcW w:w="2263" w:type="dxa"/>
            <w:vAlign w:val="center"/>
          </w:tcPr>
          <w:p w14:paraId="3D685C21" w14:textId="130DBB8B" w:rsidR="00AD4BF2" w:rsidRPr="008C164C" w:rsidRDefault="00AD4BF2" w:rsidP="00AD4BF2">
            <w:pPr>
              <w:pStyle w:val="TableText0"/>
              <w:keepLines/>
            </w:pPr>
            <w:r w:rsidRPr="008C164C">
              <w:t>Meta-analysis/pooled proportion of viral load &lt; 50 copies/mL at 48 weeks</w:t>
            </w:r>
          </w:p>
        </w:tc>
        <w:tc>
          <w:tcPr>
            <w:tcW w:w="2552" w:type="dxa"/>
            <w:vAlign w:val="center"/>
          </w:tcPr>
          <w:p w14:paraId="135B916C" w14:textId="0F396486" w:rsidR="00AD4BF2" w:rsidRPr="008C164C" w:rsidDel="00AD4BF2" w:rsidRDefault="00AD4BF2" w:rsidP="00AD4BF2">
            <w:pPr>
              <w:pStyle w:val="TableText0"/>
              <w:keepLines/>
              <w:jc w:val="center"/>
              <w:rPr>
                <w:rFonts w:cs="Calibri"/>
                <w:color w:val="000000"/>
                <w:szCs w:val="20"/>
              </w:rPr>
            </w:pPr>
            <w:r w:rsidRPr="008C164C">
              <w:rPr>
                <w:rFonts w:cs="Calibri"/>
                <w:color w:val="000000"/>
                <w:szCs w:val="20"/>
              </w:rPr>
              <w:t>29.30%</w:t>
            </w:r>
          </w:p>
        </w:tc>
        <w:tc>
          <w:tcPr>
            <w:tcW w:w="1843" w:type="dxa"/>
            <w:vAlign w:val="center"/>
          </w:tcPr>
          <w:p w14:paraId="7B1797E4" w14:textId="63524653" w:rsidR="00AD4BF2" w:rsidRPr="008C164C" w:rsidRDefault="00AD4BF2" w:rsidP="00AD4BF2">
            <w:pPr>
              <w:pStyle w:val="TableText0"/>
              <w:keepLines/>
              <w:jc w:val="center"/>
            </w:pPr>
            <w:r w:rsidRPr="008C164C">
              <w:rPr>
                <w:rFonts w:cs="Calibri"/>
                <w:color w:val="000000"/>
                <w:szCs w:val="20"/>
              </w:rPr>
              <w:t>32.2%</w:t>
            </w:r>
          </w:p>
        </w:tc>
        <w:tc>
          <w:tcPr>
            <w:tcW w:w="2318" w:type="dxa"/>
            <w:vAlign w:val="center"/>
          </w:tcPr>
          <w:p w14:paraId="532B0B93" w14:textId="77777777" w:rsidR="00AD4BF2" w:rsidRPr="008C164C" w:rsidRDefault="00AD4BF2" w:rsidP="00AD4BF2">
            <w:pPr>
              <w:pStyle w:val="TableText0"/>
              <w:keepLines/>
              <w:jc w:val="center"/>
            </w:pPr>
            <w:r w:rsidRPr="008C164C">
              <w:rPr>
                <w:rFonts w:cs="Calibri"/>
                <w:color w:val="000000"/>
                <w:szCs w:val="20"/>
              </w:rPr>
              <w:t>35.74%</w:t>
            </w:r>
          </w:p>
        </w:tc>
      </w:tr>
    </w:tbl>
    <w:p w14:paraId="6505F773" w14:textId="4967A456" w:rsidR="0062592A" w:rsidRPr="008C164C" w:rsidRDefault="00D12B48" w:rsidP="00DC2E03">
      <w:pPr>
        <w:pStyle w:val="FooterTableFigure"/>
        <w:keepNext/>
        <w:keepLines/>
      </w:pPr>
      <w:r w:rsidRPr="008C164C">
        <w:t xml:space="preserve">Source: calculated from table 2-33, p128 of the resubmission, and the evaluation replication of the resubmission meta-analysis using the meta package in R (command </w:t>
      </w:r>
      <w:proofErr w:type="spellStart"/>
      <w:r w:rsidRPr="008C164C">
        <w:t>metagen</w:t>
      </w:r>
      <w:proofErr w:type="spellEnd"/>
      <w:r w:rsidRPr="008C164C">
        <w:t>)</w:t>
      </w:r>
      <w:r w:rsidR="008C164C">
        <w:t xml:space="preserve">. </w:t>
      </w:r>
    </w:p>
    <w:p w14:paraId="4EC35165" w14:textId="6DDD50F7" w:rsidR="00AD4BF2" w:rsidRPr="008C164C" w:rsidRDefault="00AD4BF2" w:rsidP="00DC2E03">
      <w:pPr>
        <w:pStyle w:val="FooterTableFigure"/>
        <w:keepNext/>
        <w:keepLines/>
      </w:pPr>
      <w:r w:rsidRPr="008C164C">
        <w:t>OBR = optimised background regimen</w:t>
      </w:r>
    </w:p>
    <w:p w14:paraId="62511E01" w14:textId="59E2776D" w:rsidR="00E63EB2" w:rsidRPr="008C164C" w:rsidRDefault="00FE0088" w:rsidP="00E63EB2">
      <w:pPr>
        <w:pStyle w:val="3-BodyText"/>
      </w:pPr>
      <w:r w:rsidRPr="008C164C">
        <w:t>T</w:t>
      </w:r>
      <w:r w:rsidR="00E63EB2" w:rsidRPr="008C164C">
        <w:t>he weighting used in the meta-analysis differed to the weights used to justify the usage of INSTI, FTR and IBA in the OBR composition analysis presented by the resubmission.</w:t>
      </w:r>
      <w:r w:rsidR="007E7826" w:rsidRPr="008C164C">
        <w:t xml:space="preserve"> </w:t>
      </w:r>
      <w:r w:rsidR="00E63EB2" w:rsidRPr="008C164C">
        <w:t xml:space="preserve">Consequently, it is possible that differences in OBR composition remain unaccounted for in the resubmission. For example, the BRIGHTE trial arm, which had the highest treatment effect, received a </w:t>
      </w:r>
      <w:r w:rsidR="00AD4BF2" w:rsidRPr="008C164C">
        <w:t>15.5</w:t>
      </w:r>
      <w:r w:rsidR="00E63EB2" w:rsidRPr="008C164C">
        <w:t xml:space="preserve">% weighting using the random effects model compared to 32.9% in the common effects model and 41.6% in the resubmission OBR composition analysis. </w:t>
      </w:r>
    </w:p>
    <w:p w14:paraId="1528463F" w14:textId="28184FCF" w:rsidR="00E63EB2" w:rsidRPr="008C164C" w:rsidRDefault="00E63EB2" w:rsidP="00E63EB2">
      <w:pPr>
        <w:pStyle w:val="3-BodyText"/>
      </w:pPr>
      <w:r w:rsidRPr="008C164C">
        <w:t>The weighting has an important impact on the pooled result of effect in the meta-analysed OBR arm. The common (fixed) effects model, for example, estimate</w:t>
      </w:r>
      <w:r w:rsidR="005B66B6" w:rsidRPr="008C164C">
        <w:t>d the</w:t>
      </w:r>
      <w:r w:rsidRPr="008C164C">
        <w:t xml:space="preserve"> proportion of undetectable HIV</w:t>
      </w:r>
      <w:r w:rsidR="00AB7329" w:rsidRPr="008C164C">
        <w:t>-RNA</w:t>
      </w:r>
      <w:r w:rsidRPr="008C164C">
        <w:t xml:space="preserve"> at 32</w:t>
      </w:r>
      <w:r w:rsidR="000B3D01" w:rsidRPr="008C164C">
        <w:t>.2%</w:t>
      </w:r>
      <w:r w:rsidRPr="008C164C">
        <w:t xml:space="preserve"> compared to </w:t>
      </w:r>
      <w:r w:rsidR="000B3D01" w:rsidRPr="008C164C">
        <w:t xml:space="preserve">29.3% in the random </w:t>
      </w:r>
      <w:r w:rsidR="000B3D01" w:rsidRPr="008C164C">
        <w:lastRenderedPageBreak/>
        <w:t>effects model and using the sample size as weights (which would be consistent with the ‘balancing’ of INSTI, IBA and FTR in OBR proposed by the submission) estimated a value of 35.7% achieving unde</w:t>
      </w:r>
      <w:r w:rsidR="007951A5" w:rsidRPr="008C164C">
        <w:t>tectable HIV-RNA in OBR alone</w:t>
      </w:r>
      <w:r w:rsidRPr="008C164C">
        <w:t>. While in theory, a random effects model would be better suited for a meta-analysis with substantial study heterogeneity</w:t>
      </w:r>
      <w:r w:rsidR="00841302" w:rsidRPr="008C164C">
        <w:t xml:space="preserve"> (as is the case in the resubmission)</w:t>
      </w:r>
      <w:r w:rsidRPr="008C164C">
        <w:t>, considering that the random effects model does not necessarily address OBR composition, and there are large differences in the weightings by method, which have a substantial impact on the resulting meta-analysed estimate, a more conservat</w:t>
      </w:r>
      <w:r w:rsidR="003A360F" w:rsidRPr="008C164C">
        <w:t>iv</w:t>
      </w:r>
      <w:r w:rsidRPr="008C164C">
        <w:t>e common effects model could potentially be more pragmatic.</w:t>
      </w:r>
      <w:r w:rsidR="00372AFC" w:rsidRPr="008C164C">
        <w:t xml:space="preserve"> </w:t>
      </w:r>
    </w:p>
    <w:p w14:paraId="784FFEAC" w14:textId="0DD5BC83" w:rsidR="00372AFC" w:rsidRPr="008C164C" w:rsidRDefault="00372AFC" w:rsidP="00E63EB2">
      <w:pPr>
        <w:pStyle w:val="3-BodyText"/>
      </w:pPr>
      <w:r w:rsidRPr="008C164C">
        <w:t>The ESC considered, given the variability in the weighting results based on</w:t>
      </w:r>
      <w:r w:rsidR="00D8354B" w:rsidRPr="008C164C">
        <w:t xml:space="preserve"> the</w:t>
      </w:r>
      <w:r w:rsidRPr="008C164C">
        <w:t xml:space="preserve"> methods used, that the approaches are likely not interchangeable and considered the weights based on variance were likely sub-optimal in this case</w:t>
      </w:r>
      <w:r w:rsidR="00D8354B" w:rsidRPr="008C164C">
        <w:t>.</w:t>
      </w:r>
      <w:r w:rsidRPr="008C164C">
        <w:t xml:space="preserve"> </w:t>
      </w:r>
      <w:r w:rsidR="00D8354B" w:rsidRPr="008C164C">
        <w:t>The ESC considered g</w:t>
      </w:r>
      <w:r w:rsidRPr="008C164C">
        <w:t xml:space="preserve">iven the binomial nature of the data, weights based on sample size may be </w:t>
      </w:r>
      <w:r w:rsidR="006519ED" w:rsidRPr="008C164C">
        <w:t>more</w:t>
      </w:r>
      <w:r w:rsidRPr="008C164C">
        <w:t xml:space="preserve"> appropriate for the meta-analyses of OBR (RR = 2.218</w:t>
      </w:r>
      <w:r w:rsidR="005E6CAB" w:rsidRPr="008C164C">
        <w:t xml:space="preserve">; </w:t>
      </w:r>
      <w:r w:rsidR="005E6CAB" w:rsidRPr="008C164C">
        <w:fldChar w:fldCharType="begin" w:fldLock="1"/>
      </w:r>
      <w:r w:rsidR="005E6CAB" w:rsidRPr="008C164C">
        <w:instrText xml:space="preserve"> REF _Ref142589060 \h  \* MERGEFORMAT </w:instrText>
      </w:r>
      <w:r w:rsidR="005E6CAB" w:rsidRPr="008C164C">
        <w:fldChar w:fldCharType="separate"/>
      </w:r>
      <w:r w:rsidR="00682506" w:rsidRPr="00682506">
        <w:t>Table 9</w:t>
      </w:r>
      <w:r w:rsidR="005E6CAB" w:rsidRPr="008C164C">
        <w:fldChar w:fldCharType="end"/>
      </w:r>
      <w:r w:rsidRPr="008C164C">
        <w:t>).</w:t>
      </w:r>
      <w:r w:rsidR="00F63DA8" w:rsidRPr="008C164C">
        <w:t xml:space="preserve"> The Pre-PBAC Response argued pooling of baseline OBR weights based on sample size was performed to provide an indication of whether the use of INSTIs and new agents was reasonably balanced across LEN + OBR vs. OBR arms only and was not proposed as a means to calculate the relative effectiveness of OBR treatments. Further, the Response noted the advice from the Melbourne Statistical Consulting Centre was that the binomial distribution, sample proportions near zero or one have a smaller variance than those closer to 0.5; therefore the standard approach in pooling sample proportions uses weights related to the variance estimates for statistical optimality reasons. The PBAC considered the advice was informative; however also noted </w:t>
      </w:r>
      <w:r w:rsidR="005B66B6" w:rsidRPr="008C164C">
        <w:t xml:space="preserve">the </w:t>
      </w:r>
      <w:r w:rsidR="00F63DA8" w:rsidRPr="008C164C">
        <w:t xml:space="preserve">apparent differences </w:t>
      </w:r>
      <w:r w:rsidR="005B66B6" w:rsidRPr="008C164C">
        <w:t>depending</w:t>
      </w:r>
      <w:r w:rsidR="00F63DA8" w:rsidRPr="008C164C">
        <w:t xml:space="preserve"> on</w:t>
      </w:r>
      <w:r w:rsidR="005B66B6" w:rsidRPr="008C164C">
        <w:t xml:space="preserve"> the</w:t>
      </w:r>
      <w:r w:rsidR="00F63DA8" w:rsidRPr="008C164C">
        <w:t xml:space="preserve"> method</w:t>
      </w:r>
      <w:r w:rsidR="005B66B6" w:rsidRPr="008C164C">
        <w:t xml:space="preserve"> used</w:t>
      </w:r>
      <w:r w:rsidR="00F63DA8" w:rsidRPr="008C164C">
        <w:t xml:space="preserve"> </w:t>
      </w:r>
      <w:r w:rsidR="00AD6BF2" w:rsidRPr="008C164C">
        <w:t xml:space="preserve">led to uncertainty </w:t>
      </w:r>
      <w:r w:rsidR="005B66B6" w:rsidRPr="008C164C">
        <w:t xml:space="preserve">in </w:t>
      </w:r>
      <w:r w:rsidR="00AD6BF2" w:rsidRPr="008C164C">
        <w:t>estimating the effectiveness of OBR.</w:t>
      </w:r>
      <w:r w:rsidR="00F63DA8" w:rsidRPr="008C164C">
        <w:t xml:space="preserve"> </w:t>
      </w:r>
    </w:p>
    <w:p w14:paraId="374BF62E" w14:textId="6093C46F" w:rsidR="00E63EB2" w:rsidRPr="008C164C" w:rsidRDefault="00E63EB2" w:rsidP="002A5775">
      <w:pPr>
        <w:pStyle w:val="3-BodyText"/>
      </w:pPr>
      <w:r w:rsidRPr="008C164C">
        <w:t>It is important to note that this discussion relates solely to the extent that ARV classes are appropriately balanced between the weighted meta-analysis and the CAPELLA trial. None of these weightings necessarily reflect what would be expected in the Australian treatment setting</w:t>
      </w:r>
      <w:r w:rsidR="007951A5" w:rsidRPr="008C164C">
        <w:t>, which remains uncertain</w:t>
      </w:r>
      <w:r w:rsidRPr="008C164C">
        <w:t xml:space="preserve">. </w:t>
      </w:r>
    </w:p>
    <w:p w14:paraId="759F6580" w14:textId="0E416A02" w:rsidR="00E63EB2" w:rsidRPr="008C164C" w:rsidRDefault="00E63EB2" w:rsidP="00F57EFC">
      <w:pPr>
        <w:pStyle w:val="3-BodyText"/>
      </w:pPr>
      <w:r w:rsidRPr="008C164C">
        <w:t>Overall, it was likely that the proportion of patients achieving HIV-1 RNA &lt;</w:t>
      </w:r>
      <w:r w:rsidR="00282733" w:rsidRPr="008C164C">
        <w:t xml:space="preserve"> </w:t>
      </w:r>
      <w:r w:rsidRPr="008C164C">
        <w:t>50 copies/mL in OBR alone was underestimated by the resubmission as:</w:t>
      </w:r>
    </w:p>
    <w:p w14:paraId="7F05CA6B" w14:textId="525C4359" w:rsidR="00E63EB2" w:rsidRPr="008C164C" w:rsidRDefault="00E63EB2" w:rsidP="00FF255E">
      <w:pPr>
        <w:pStyle w:val="ListParagraph"/>
        <w:numPr>
          <w:ilvl w:val="0"/>
          <w:numId w:val="9"/>
        </w:numPr>
      </w:pPr>
      <w:r w:rsidRPr="008C164C">
        <w:t>The weighting used in the base case to pool all nominated OBR arms was the least favourable and was not consistent with the claimed usage of FTR and IBA</w:t>
      </w:r>
      <w:r w:rsidR="00EA045C" w:rsidRPr="008C164C">
        <w:t>. Using alternative weighting methods provided OBR estimates of 32.2% to 35.7%</w:t>
      </w:r>
      <w:r w:rsidRPr="008C164C">
        <w:t>;</w:t>
      </w:r>
    </w:p>
    <w:p w14:paraId="1C3372DE" w14:textId="0407F4F4" w:rsidR="00E63EB2" w:rsidRPr="008C164C" w:rsidRDefault="00E63EB2" w:rsidP="00FF255E">
      <w:pPr>
        <w:pStyle w:val="ListParagraph"/>
        <w:numPr>
          <w:ilvl w:val="0"/>
          <w:numId w:val="9"/>
        </w:numPr>
      </w:pPr>
      <w:r w:rsidRPr="008C164C">
        <w:t>The resubmission continued to use the placebo + OBR arms of BENCHMRK, MOTIVATE and VICTOR-E to inform the efficacy of OBR alone, despite accepting that the intervention + OBR results for BRIGHTE and TMB-301 should be used</w:t>
      </w:r>
      <w:r w:rsidR="009D0317" w:rsidRPr="008C164C">
        <w:t xml:space="preserve">. </w:t>
      </w:r>
      <w:r w:rsidR="00965B64" w:rsidRPr="008C164C">
        <w:t xml:space="preserve">During the evaluation of the previous submission, using the results of the </w:t>
      </w:r>
      <w:proofErr w:type="spellStart"/>
      <w:r w:rsidR="00965B64" w:rsidRPr="008C164C">
        <w:t>raltegravir</w:t>
      </w:r>
      <w:proofErr w:type="spellEnd"/>
      <w:r w:rsidR="00965B64" w:rsidRPr="008C164C">
        <w:t xml:space="preserve"> + OBR and maraviroc + OBR arms to inform the efficacy of the comparator instead of the placebo + OBR arms of BENCHMRK 1 &amp; 2 and MOTIVATE </w:t>
      </w:r>
      <w:r w:rsidR="00965B64" w:rsidRPr="008C164C">
        <w:lastRenderedPageBreak/>
        <w:t>1 &amp; 2 resulted in</w:t>
      </w:r>
      <w:r w:rsidR="00E674BF" w:rsidRPr="008C164C">
        <w:t xml:space="preserve"> an</w:t>
      </w:r>
      <w:r w:rsidR="00965B64" w:rsidRPr="008C164C">
        <w:t xml:space="preserve"> estimate of patients with &lt; 50 copies of HIV RNA/mL at 48 weeks of 56%</w:t>
      </w:r>
      <w:r w:rsidRPr="008C164C">
        <w:t xml:space="preserve">; </w:t>
      </w:r>
    </w:p>
    <w:p w14:paraId="7CCA7C32" w14:textId="56BE7F54" w:rsidR="00E63EB2" w:rsidRPr="008C164C" w:rsidRDefault="00E63EB2" w:rsidP="00FF255E">
      <w:pPr>
        <w:pStyle w:val="ListParagraph"/>
        <w:numPr>
          <w:ilvl w:val="0"/>
          <w:numId w:val="9"/>
        </w:numPr>
      </w:pPr>
      <w:r w:rsidRPr="008C164C">
        <w:t>The use of 25-week data from TMB-301 (43% response) as a proxy for week 48 data may have biased against IBA as available week 48 data in the 27/40 patients for whom data is available suggest a higher response rate (67%) at week 48</w:t>
      </w:r>
      <w:r w:rsidR="00DB4B50" w:rsidRPr="008C164C">
        <w:t xml:space="preserve"> was possible</w:t>
      </w:r>
      <w:r w:rsidRPr="008C164C">
        <w:t>; and</w:t>
      </w:r>
    </w:p>
    <w:p w14:paraId="2C5D4F61" w14:textId="26AC87CA" w:rsidR="00E63EB2" w:rsidRPr="008C164C" w:rsidRDefault="00E63EB2" w:rsidP="00FF255E">
      <w:pPr>
        <w:pStyle w:val="ListParagraph"/>
        <w:numPr>
          <w:ilvl w:val="0"/>
          <w:numId w:val="9"/>
        </w:numPr>
      </w:pPr>
      <w:r w:rsidRPr="008C164C">
        <w:t xml:space="preserve">The estimate of </w:t>
      </w:r>
      <w:r w:rsidR="009E1159" w:rsidRPr="008C164C">
        <w:t xml:space="preserve">the </w:t>
      </w:r>
      <w:r w:rsidRPr="008C164C">
        <w:t>proportion of patients who will have HIV-1 RNA &lt;</w:t>
      </w:r>
      <w:r w:rsidR="009E1159" w:rsidRPr="008C164C">
        <w:t xml:space="preserve"> </w:t>
      </w:r>
      <w:r w:rsidRPr="008C164C">
        <w:t xml:space="preserve">50 copies/mL in patients treated with OBR alone </w:t>
      </w:r>
      <w:r w:rsidR="004033F6" w:rsidRPr="008C164C">
        <w:t xml:space="preserve">estimated by </w:t>
      </w:r>
      <w:r w:rsidRPr="008C164C">
        <w:t xml:space="preserve">the </w:t>
      </w:r>
      <w:r w:rsidR="004033F6" w:rsidRPr="008C164C">
        <w:t>re</w:t>
      </w:r>
      <w:r w:rsidRPr="008C164C">
        <w:t>submission (29.3%) was substantially lower than estimates provided by 10 Australian clinicians (49.9</w:t>
      </w:r>
      <w:r w:rsidR="008229F1" w:rsidRPr="008C164C">
        <w:t>%, and</w:t>
      </w:r>
      <w:r w:rsidR="00AD4BF2" w:rsidRPr="008C164C">
        <w:t xml:space="preserve"> </w:t>
      </w:r>
      <w:r w:rsidRPr="008C164C">
        <w:t>62.3%</w:t>
      </w:r>
      <w:r w:rsidR="008229F1" w:rsidRPr="008C164C">
        <w:rPr>
          <w:color w:val="000000" w:themeColor="text1"/>
        </w:rPr>
        <w:t xml:space="preserve"> with the inclusion of a second generation INSTI</w:t>
      </w:r>
      <w:r w:rsidRPr="008C164C">
        <w:t xml:space="preserve">) surveyed by the sponsor. </w:t>
      </w:r>
    </w:p>
    <w:p w14:paraId="1FEDFE22" w14:textId="6D31A999" w:rsidR="000F3C29" w:rsidRPr="008C164C" w:rsidRDefault="000F3C29" w:rsidP="000F3C29">
      <w:pPr>
        <w:pStyle w:val="3-BodyText"/>
      </w:pPr>
      <w:r w:rsidRPr="008C164C">
        <w:t xml:space="preserve">The results for the key outcome </w:t>
      </w:r>
      <w:r w:rsidR="004D7091" w:rsidRPr="008C164C">
        <w:t>(</w:t>
      </w:r>
      <w:r w:rsidRPr="008C164C">
        <w:t>patients with viral load &lt;</w:t>
      </w:r>
      <w:r w:rsidR="008229F1" w:rsidRPr="008C164C">
        <w:t xml:space="preserve"> </w:t>
      </w:r>
      <w:r w:rsidRPr="008C164C">
        <w:t>50 copies per mL at week 48/52</w:t>
      </w:r>
      <w:r w:rsidR="004D7091" w:rsidRPr="008C164C">
        <w:t>)</w:t>
      </w:r>
      <w:r w:rsidRPr="008C164C">
        <w:t xml:space="preserve"> for</w:t>
      </w:r>
      <w:r w:rsidR="008229F1" w:rsidRPr="008C164C">
        <w:t xml:space="preserve"> the</w:t>
      </w:r>
      <w:r w:rsidRPr="008C164C">
        <w:t xml:space="preserve"> ITC are presented in </w:t>
      </w:r>
      <w:r w:rsidRPr="008C164C">
        <w:fldChar w:fldCharType="begin" w:fldLock="1"/>
      </w:r>
      <w:r w:rsidRPr="008C164C">
        <w:instrText xml:space="preserve"> REF _Ref142589060 \h </w:instrText>
      </w:r>
      <w:r w:rsidR="000264E7" w:rsidRPr="008C164C">
        <w:instrText xml:space="preserve"> \* MERGEFORMAT </w:instrText>
      </w:r>
      <w:r w:rsidRPr="008C164C">
        <w:fldChar w:fldCharType="separate"/>
      </w:r>
      <w:r w:rsidR="00682506" w:rsidRPr="00682506">
        <w:t>Table 9</w:t>
      </w:r>
      <w:r w:rsidRPr="008C164C">
        <w:fldChar w:fldCharType="end"/>
      </w:r>
      <w:r w:rsidRPr="008C164C">
        <w:t xml:space="preserve">. Additionally, sensitivity analyses using alternative estimates of OBR efficacy were conducted during the evaluation. </w:t>
      </w:r>
    </w:p>
    <w:p w14:paraId="61BC8EEC" w14:textId="6E567F92" w:rsidR="000F3C29" w:rsidRPr="008C164C" w:rsidRDefault="000F3C29" w:rsidP="00C61A63">
      <w:pPr>
        <w:pStyle w:val="TableFigureHeading"/>
        <w:keepLines/>
      </w:pPr>
      <w:bookmarkStart w:id="45" w:name="_Ref142589060"/>
      <w:r w:rsidRPr="008C164C">
        <w:rPr>
          <w:rStyle w:val="CommentReference"/>
          <w:b/>
          <w:szCs w:val="24"/>
        </w:rPr>
        <w:lastRenderedPageBreak/>
        <w:t xml:space="preserve">Table </w:t>
      </w:r>
      <w:r w:rsidRPr="008C164C">
        <w:rPr>
          <w:rStyle w:val="CommentReference"/>
          <w:b/>
          <w:szCs w:val="24"/>
        </w:rPr>
        <w:fldChar w:fldCharType="begin" w:fldLock="1"/>
      </w:r>
      <w:r w:rsidRPr="008C164C">
        <w:rPr>
          <w:rStyle w:val="CommentReference"/>
          <w:b/>
          <w:szCs w:val="24"/>
        </w:rPr>
        <w:instrText xml:space="preserve"> SEQ Table \* ARABIC </w:instrText>
      </w:r>
      <w:r w:rsidRPr="008C164C">
        <w:rPr>
          <w:rStyle w:val="CommentReference"/>
          <w:b/>
          <w:szCs w:val="24"/>
        </w:rPr>
        <w:fldChar w:fldCharType="separate"/>
      </w:r>
      <w:r w:rsidR="00682506">
        <w:rPr>
          <w:rStyle w:val="CommentReference"/>
          <w:b/>
          <w:noProof/>
          <w:szCs w:val="24"/>
        </w:rPr>
        <w:t>9</w:t>
      </w:r>
      <w:r w:rsidRPr="008C164C">
        <w:rPr>
          <w:rStyle w:val="CommentReference"/>
          <w:b/>
          <w:szCs w:val="24"/>
        </w:rPr>
        <w:fldChar w:fldCharType="end"/>
      </w:r>
      <w:bookmarkEnd w:id="45"/>
      <w:r w:rsidRPr="008C164C">
        <w:t>: ITC Analysis: Comparisons of LEN + OBR with OBR (± placebo): Patients with viral load &lt;</w:t>
      </w:r>
      <w:r w:rsidR="008229F1" w:rsidRPr="008C164C">
        <w:t xml:space="preserve"> </w:t>
      </w:r>
      <w:r w:rsidRPr="008C164C">
        <w:t>50 copies/mL at Week 48 or 52</w:t>
      </w:r>
    </w:p>
    <w:tbl>
      <w:tblPr>
        <w:tblStyle w:val="TableGrid"/>
        <w:tblW w:w="0" w:type="auto"/>
        <w:tblLayout w:type="fixed"/>
        <w:tblLook w:val="04A0" w:firstRow="1" w:lastRow="0" w:firstColumn="1" w:lastColumn="0" w:noHBand="0" w:noVBand="1"/>
      </w:tblPr>
      <w:tblGrid>
        <w:gridCol w:w="1980"/>
        <w:gridCol w:w="992"/>
        <w:gridCol w:w="1418"/>
        <w:gridCol w:w="1185"/>
        <w:gridCol w:w="1508"/>
        <w:gridCol w:w="1822"/>
      </w:tblGrid>
      <w:tr w:rsidR="000F3C29" w:rsidRPr="008C164C" w14:paraId="3235C819" w14:textId="77777777" w:rsidTr="00240629">
        <w:trPr>
          <w:trHeight w:val="227"/>
        </w:trPr>
        <w:tc>
          <w:tcPr>
            <w:tcW w:w="1980" w:type="dxa"/>
            <w:vMerge w:val="restart"/>
            <w:vAlign w:val="center"/>
          </w:tcPr>
          <w:p w14:paraId="19C3D3B8" w14:textId="77777777" w:rsidR="000F3C29" w:rsidRPr="008C164C" w:rsidRDefault="000F3C29" w:rsidP="00C61A63">
            <w:pPr>
              <w:pStyle w:val="TableText0"/>
              <w:keepLines/>
              <w:rPr>
                <w:b/>
                <w:bCs w:val="0"/>
              </w:rPr>
            </w:pPr>
            <w:r w:rsidRPr="008C164C">
              <w:rPr>
                <w:b/>
                <w:bCs w:val="0"/>
              </w:rPr>
              <w:t>CAPELLA population</w:t>
            </w:r>
          </w:p>
        </w:tc>
        <w:tc>
          <w:tcPr>
            <w:tcW w:w="2410" w:type="dxa"/>
            <w:gridSpan w:val="2"/>
            <w:noWrap/>
          </w:tcPr>
          <w:p w14:paraId="089E0779" w14:textId="77777777" w:rsidR="000F3C29" w:rsidRPr="008C164C" w:rsidRDefault="000F3C29" w:rsidP="00C61A63">
            <w:pPr>
              <w:pStyle w:val="TableText0"/>
              <w:keepLines/>
              <w:jc w:val="center"/>
              <w:rPr>
                <w:b/>
                <w:bCs w:val="0"/>
              </w:rPr>
            </w:pPr>
            <w:r w:rsidRPr="008C164C">
              <w:rPr>
                <w:b/>
                <w:bCs w:val="0"/>
              </w:rPr>
              <w:t>Estimate or meta-estimate</w:t>
            </w:r>
          </w:p>
        </w:tc>
        <w:tc>
          <w:tcPr>
            <w:tcW w:w="4515" w:type="dxa"/>
            <w:gridSpan w:val="3"/>
            <w:noWrap/>
          </w:tcPr>
          <w:p w14:paraId="31916754" w14:textId="77777777" w:rsidR="000F3C29" w:rsidRPr="008C164C" w:rsidRDefault="000F3C29" w:rsidP="00C61A63">
            <w:pPr>
              <w:pStyle w:val="TableText0"/>
              <w:keepLines/>
              <w:jc w:val="center"/>
              <w:rPr>
                <w:b/>
                <w:bCs w:val="0"/>
              </w:rPr>
            </w:pPr>
            <w:r w:rsidRPr="008C164C">
              <w:rPr>
                <w:b/>
                <w:bCs w:val="0"/>
              </w:rPr>
              <w:t>LEN + OBR vs. OBR alone</w:t>
            </w:r>
          </w:p>
        </w:tc>
      </w:tr>
      <w:tr w:rsidR="000F3C29" w:rsidRPr="008C164C" w14:paraId="7CCFA7A1" w14:textId="77777777" w:rsidTr="00240629">
        <w:trPr>
          <w:trHeight w:val="227"/>
        </w:trPr>
        <w:tc>
          <w:tcPr>
            <w:tcW w:w="1980" w:type="dxa"/>
            <w:vMerge/>
            <w:vAlign w:val="center"/>
          </w:tcPr>
          <w:p w14:paraId="544A44F7" w14:textId="77777777" w:rsidR="000F3C29" w:rsidRPr="008C164C" w:rsidRDefault="000F3C29" w:rsidP="00C61A63">
            <w:pPr>
              <w:pStyle w:val="TableText0"/>
              <w:keepLines/>
              <w:rPr>
                <w:b/>
                <w:bCs w:val="0"/>
              </w:rPr>
            </w:pPr>
          </w:p>
        </w:tc>
        <w:tc>
          <w:tcPr>
            <w:tcW w:w="992" w:type="dxa"/>
            <w:noWrap/>
            <w:vAlign w:val="center"/>
            <w:hideMark/>
          </w:tcPr>
          <w:p w14:paraId="4044A86C" w14:textId="77777777" w:rsidR="000F3C29" w:rsidRPr="008C164C" w:rsidRDefault="000F3C29" w:rsidP="00C61A63">
            <w:pPr>
              <w:pStyle w:val="TableText0"/>
              <w:keepLines/>
              <w:jc w:val="center"/>
              <w:rPr>
                <w:b/>
                <w:bCs w:val="0"/>
              </w:rPr>
            </w:pPr>
            <w:r w:rsidRPr="008C164C">
              <w:rPr>
                <w:b/>
                <w:bCs w:val="0"/>
              </w:rPr>
              <w:t>LEN + OBR</w:t>
            </w:r>
          </w:p>
        </w:tc>
        <w:tc>
          <w:tcPr>
            <w:tcW w:w="1418" w:type="dxa"/>
            <w:noWrap/>
            <w:vAlign w:val="center"/>
            <w:hideMark/>
          </w:tcPr>
          <w:p w14:paraId="24FE1845" w14:textId="77777777" w:rsidR="000F3C29" w:rsidRPr="008C164C" w:rsidRDefault="000F3C29" w:rsidP="00C61A63">
            <w:pPr>
              <w:pStyle w:val="TableText0"/>
              <w:keepLines/>
              <w:jc w:val="center"/>
              <w:rPr>
                <w:b/>
                <w:bCs w:val="0"/>
              </w:rPr>
            </w:pPr>
            <w:r w:rsidRPr="008C164C">
              <w:rPr>
                <w:b/>
                <w:bCs w:val="0"/>
              </w:rPr>
              <w:t>OBR alone</w:t>
            </w:r>
          </w:p>
        </w:tc>
        <w:tc>
          <w:tcPr>
            <w:tcW w:w="1185" w:type="dxa"/>
            <w:noWrap/>
            <w:vAlign w:val="center"/>
            <w:hideMark/>
          </w:tcPr>
          <w:p w14:paraId="42F5CB29" w14:textId="77777777" w:rsidR="000F3C29" w:rsidRPr="008C164C" w:rsidRDefault="000F3C29" w:rsidP="00C61A63">
            <w:pPr>
              <w:pStyle w:val="TableText0"/>
              <w:keepLines/>
              <w:jc w:val="center"/>
              <w:rPr>
                <w:b/>
                <w:bCs w:val="0"/>
              </w:rPr>
            </w:pPr>
            <w:r w:rsidRPr="008C164C">
              <w:rPr>
                <w:b/>
                <w:bCs w:val="0"/>
              </w:rPr>
              <w:t>Estimate</w:t>
            </w:r>
          </w:p>
        </w:tc>
        <w:tc>
          <w:tcPr>
            <w:tcW w:w="1508" w:type="dxa"/>
            <w:noWrap/>
            <w:vAlign w:val="center"/>
            <w:hideMark/>
          </w:tcPr>
          <w:p w14:paraId="6A7FB14B" w14:textId="77777777" w:rsidR="000F3C29" w:rsidRPr="008C164C" w:rsidRDefault="000F3C29" w:rsidP="00C61A63">
            <w:pPr>
              <w:pStyle w:val="TableText0"/>
              <w:keepLines/>
              <w:jc w:val="center"/>
              <w:rPr>
                <w:b/>
                <w:bCs w:val="0"/>
              </w:rPr>
            </w:pPr>
            <w:r w:rsidRPr="008C164C">
              <w:rPr>
                <w:b/>
                <w:bCs w:val="0"/>
              </w:rPr>
              <w:t>95% CI</w:t>
            </w:r>
          </w:p>
        </w:tc>
        <w:tc>
          <w:tcPr>
            <w:tcW w:w="1822" w:type="dxa"/>
            <w:noWrap/>
            <w:vAlign w:val="center"/>
            <w:hideMark/>
          </w:tcPr>
          <w:p w14:paraId="3FC17C70" w14:textId="77777777" w:rsidR="000F3C29" w:rsidRPr="008C164C" w:rsidRDefault="000F3C29" w:rsidP="00C61A63">
            <w:pPr>
              <w:pStyle w:val="TableText0"/>
              <w:keepLines/>
              <w:jc w:val="center"/>
              <w:rPr>
                <w:b/>
                <w:bCs w:val="0"/>
              </w:rPr>
            </w:pPr>
            <w:r w:rsidRPr="008C164C">
              <w:rPr>
                <w:b/>
                <w:bCs w:val="0"/>
              </w:rPr>
              <w:t>P-value</w:t>
            </w:r>
          </w:p>
        </w:tc>
      </w:tr>
      <w:tr w:rsidR="000F3C29" w:rsidRPr="008C164C" w14:paraId="566640FF" w14:textId="77777777" w:rsidTr="00240629">
        <w:trPr>
          <w:trHeight w:val="227"/>
        </w:trPr>
        <w:tc>
          <w:tcPr>
            <w:tcW w:w="1980" w:type="dxa"/>
            <w:vAlign w:val="center"/>
          </w:tcPr>
          <w:p w14:paraId="455ECE9D" w14:textId="77777777" w:rsidR="000F3C29" w:rsidRPr="008C164C" w:rsidRDefault="000F3C29" w:rsidP="00C61A63">
            <w:pPr>
              <w:pStyle w:val="TableText0"/>
              <w:keepLines/>
            </w:pPr>
          </w:p>
        </w:tc>
        <w:tc>
          <w:tcPr>
            <w:tcW w:w="992" w:type="dxa"/>
            <w:noWrap/>
          </w:tcPr>
          <w:p w14:paraId="61293214" w14:textId="77777777" w:rsidR="000F3C29" w:rsidRPr="008C164C" w:rsidRDefault="000F3C29" w:rsidP="00C61A63">
            <w:pPr>
              <w:pStyle w:val="TableText0"/>
              <w:keepLines/>
              <w:jc w:val="center"/>
              <w:rPr>
                <w:b/>
                <w:bCs w:val="0"/>
              </w:rPr>
            </w:pPr>
            <w:r w:rsidRPr="008C164C">
              <w:rPr>
                <w:b/>
                <w:bCs w:val="0"/>
              </w:rPr>
              <w:t>Risk</w:t>
            </w:r>
          </w:p>
        </w:tc>
        <w:tc>
          <w:tcPr>
            <w:tcW w:w="1418" w:type="dxa"/>
            <w:noWrap/>
          </w:tcPr>
          <w:p w14:paraId="04730954" w14:textId="77777777" w:rsidR="000F3C29" w:rsidRPr="008C164C" w:rsidRDefault="000F3C29" w:rsidP="00C61A63">
            <w:pPr>
              <w:pStyle w:val="TableText0"/>
              <w:keepLines/>
              <w:jc w:val="center"/>
              <w:rPr>
                <w:b/>
                <w:bCs w:val="0"/>
              </w:rPr>
            </w:pPr>
            <w:r w:rsidRPr="008C164C">
              <w:rPr>
                <w:b/>
                <w:bCs w:val="0"/>
              </w:rPr>
              <w:t>Risk</w:t>
            </w:r>
          </w:p>
        </w:tc>
        <w:tc>
          <w:tcPr>
            <w:tcW w:w="4515" w:type="dxa"/>
            <w:gridSpan w:val="3"/>
            <w:noWrap/>
          </w:tcPr>
          <w:p w14:paraId="4C3989BF" w14:textId="77777777" w:rsidR="000F3C29" w:rsidRPr="008C164C" w:rsidRDefault="000F3C29" w:rsidP="00C61A63">
            <w:pPr>
              <w:pStyle w:val="TableText0"/>
              <w:keepLines/>
              <w:jc w:val="center"/>
              <w:rPr>
                <w:b/>
                <w:bCs w:val="0"/>
              </w:rPr>
            </w:pPr>
            <w:r w:rsidRPr="008C164C">
              <w:rPr>
                <w:b/>
                <w:bCs w:val="0"/>
              </w:rPr>
              <w:t>Risk difference*</w:t>
            </w:r>
          </w:p>
        </w:tc>
      </w:tr>
      <w:tr w:rsidR="000F3C29" w:rsidRPr="008C164C" w14:paraId="3DCB2C78" w14:textId="77777777" w:rsidTr="00240629">
        <w:trPr>
          <w:trHeight w:val="227"/>
        </w:trPr>
        <w:tc>
          <w:tcPr>
            <w:tcW w:w="1980" w:type="dxa"/>
            <w:vAlign w:val="center"/>
          </w:tcPr>
          <w:p w14:paraId="2BD863F5" w14:textId="77777777" w:rsidR="000F3C29" w:rsidRPr="008C164C" w:rsidRDefault="000F3C29" w:rsidP="00C61A63">
            <w:pPr>
              <w:pStyle w:val="TableText0"/>
              <w:keepLines/>
            </w:pPr>
            <w:r w:rsidRPr="008C164C">
              <w:t>Combined Cohort 1 &amp; 2</w:t>
            </w:r>
          </w:p>
        </w:tc>
        <w:tc>
          <w:tcPr>
            <w:tcW w:w="992" w:type="dxa"/>
            <w:shd w:val="clear" w:color="auto" w:fill="C6D9F1" w:themeFill="text2" w:themeFillTint="33"/>
            <w:noWrap/>
          </w:tcPr>
          <w:p w14:paraId="277F885F" w14:textId="77777777" w:rsidR="000F3C29" w:rsidRPr="008C164C" w:rsidRDefault="000F3C29" w:rsidP="00C61A63">
            <w:pPr>
              <w:pStyle w:val="TableText0"/>
              <w:keepLines/>
              <w:jc w:val="center"/>
            </w:pPr>
            <w:r w:rsidRPr="008C164C">
              <w:t>0.792</w:t>
            </w:r>
          </w:p>
        </w:tc>
        <w:tc>
          <w:tcPr>
            <w:tcW w:w="1418" w:type="dxa"/>
            <w:noWrap/>
          </w:tcPr>
          <w:p w14:paraId="629F5A3C" w14:textId="77777777" w:rsidR="000F3C29" w:rsidRPr="008C164C" w:rsidRDefault="000F3C29" w:rsidP="00C61A63">
            <w:pPr>
              <w:pStyle w:val="TableText0"/>
              <w:keepLines/>
              <w:jc w:val="center"/>
            </w:pPr>
            <w:r w:rsidRPr="008C164C">
              <w:t>0.293</w:t>
            </w:r>
          </w:p>
        </w:tc>
        <w:tc>
          <w:tcPr>
            <w:tcW w:w="1185" w:type="dxa"/>
            <w:noWrap/>
          </w:tcPr>
          <w:p w14:paraId="165592B5" w14:textId="77777777" w:rsidR="000F3C29" w:rsidRPr="008C164C" w:rsidRDefault="000F3C29" w:rsidP="00C61A63">
            <w:pPr>
              <w:pStyle w:val="TableText0"/>
              <w:keepLines/>
              <w:jc w:val="center"/>
            </w:pPr>
            <w:r w:rsidRPr="008C164C">
              <w:t>0.498</w:t>
            </w:r>
          </w:p>
        </w:tc>
        <w:tc>
          <w:tcPr>
            <w:tcW w:w="1508" w:type="dxa"/>
            <w:noWrap/>
          </w:tcPr>
          <w:p w14:paraId="6BE9D43C" w14:textId="77777777" w:rsidR="000F3C29" w:rsidRPr="008C164C" w:rsidRDefault="000F3C29" w:rsidP="00C61A63">
            <w:pPr>
              <w:pStyle w:val="TableText0"/>
              <w:keepLines/>
              <w:jc w:val="center"/>
            </w:pPr>
            <w:r w:rsidRPr="008C164C">
              <w:t>0.358, 0.638</w:t>
            </w:r>
          </w:p>
        </w:tc>
        <w:tc>
          <w:tcPr>
            <w:tcW w:w="1822" w:type="dxa"/>
            <w:noWrap/>
          </w:tcPr>
          <w:p w14:paraId="048001A1" w14:textId="77777777" w:rsidR="000F3C29" w:rsidRPr="008C164C" w:rsidRDefault="000F3C29" w:rsidP="00C61A63">
            <w:pPr>
              <w:pStyle w:val="TableText0"/>
              <w:keepLines/>
              <w:jc w:val="center"/>
            </w:pPr>
            <w:r w:rsidRPr="008C164C">
              <w:t>&lt;0.001</w:t>
            </w:r>
          </w:p>
        </w:tc>
      </w:tr>
      <w:tr w:rsidR="000F3C29" w:rsidRPr="008C164C" w14:paraId="00D14D2D" w14:textId="77777777" w:rsidTr="00240629">
        <w:trPr>
          <w:trHeight w:val="227"/>
        </w:trPr>
        <w:tc>
          <w:tcPr>
            <w:tcW w:w="1980" w:type="dxa"/>
            <w:vAlign w:val="center"/>
          </w:tcPr>
          <w:p w14:paraId="3675CD2A" w14:textId="77777777" w:rsidR="000F3C29" w:rsidRPr="008C164C" w:rsidRDefault="000F3C29" w:rsidP="00C61A63">
            <w:pPr>
              <w:pStyle w:val="TableText0"/>
              <w:keepLines/>
            </w:pPr>
            <w:r w:rsidRPr="008C164C">
              <w:t xml:space="preserve">Cohort 1 </w:t>
            </w:r>
          </w:p>
        </w:tc>
        <w:tc>
          <w:tcPr>
            <w:tcW w:w="992" w:type="dxa"/>
            <w:shd w:val="clear" w:color="auto" w:fill="C6D9F1" w:themeFill="text2" w:themeFillTint="33"/>
            <w:noWrap/>
          </w:tcPr>
          <w:p w14:paraId="604C885E" w14:textId="77777777" w:rsidR="000F3C29" w:rsidRPr="008C164C" w:rsidRDefault="000F3C29" w:rsidP="00C61A63">
            <w:pPr>
              <w:pStyle w:val="TableText0"/>
              <w:keepLines/>
              <w:jc w:val="center"/>
            </w:pPr>
            <w:r w:rsidRPr="008C164C">
              <w:t>0.833</w:t>
            </w:r>
          </w:p>
        </w:tc>
        <w:tc>
          <w:tcPr>
            <w:tcW w:w="1418" w:type="dxa"/>
            <w:noWrap/>
          </w:tcPr>
          <w:p w14:paraId="73185C41" w14:textId="77777777" w:rsidR="000F3C29" w:rsidRPr="008C164C" w:rsidRDefault="000F3C29" w:rsidP="00C61A63">
            <w:pPr>
              <w:pStyle w:val="TableText0"/>
              <w:keepLines/>
              <w:jc w:val="center"/>
            </w:pPr>
            <w:r w:rsidRPr="008C164C">
              <w:t>0.293</w:t>
            </w:r>
          </w:p>
        </w:tc>
        <w:tc>
          <w:tcPr>
            <w:tcW w:w="1185" w:type="dxa"/>
            <w:noWrap/>
          </w:tcPr>
          <w:p w14:paraId="08982F37" w14:textId="77777777" w:rsidR="000F3C29" w:rsidRPr="008C164C" w:rsidRDefault="000F3C29" w:rsidP="00C61A63">
            <w:pPr>
              <w:pStyle w:val="TableText0"/>
              <w:keepLines/>
              <w:jc w:val="center"/>
            </w:pPr>
            <w:r w:rsidRPr="008C164C">
              <w:t>0.540</w:t>
            </w:r>
          </w:p>
        </w:tc>
        <w:tc>
          <w:tcPr>
            <w:tcW w:w="1508" w:type="dxa"/>
            <w:noWrap/>
          </w:tcPr>
          <w:p w14:paraId="5157FF5C" w14:textId="77777777" w:rsidR="000F3C29" w:rsidRPr="008C164C" w:rsidRDefault="000F3C29" w:rsidP="00C61A63">
            <w:pPr>
              <w:pStyle w:val="TableText0"/>
              <w:keepLines/>
              <w:jc w:val="center"/>
            </w:pPr>
            <w:r w:rsidRPr="008C164C">
              <w:t>0.380, 0.700</w:t>
            </w:r>
          </w:p>
        </w:tc>
        <w:tc>
          <w:tcPr>
            <w:tcW w:w="1822" w:type="dxa"/>
            <w:noWrap/>
          </w:tcPr>
          <w:p w14:paraId="37EC56F9" w14:textId="77777777" w:rsidR="000F3C29" w:rsidRPr="008C164C" w:rsidRDefault="000F3C29" w:rsidP="00C61A63">
            <w:pPr>
              <w:pStyle w:val="TableText0"/>
              <w:keepLines/>
              <w:jc w:val="center"/>
            </w:pPr>
            <w:r w:rsidRPr="008C164C">
              <w:t>&lt;0.001</w:t>
            </w:r>
          </w:p>
        </w:tc>
      </w:tr>
      <w:tr w:rsidR="000F3C29" w:rsidRPr="008C164C" w14:paraId="7B83B427" w14:textId="77777777" w:rsidTr="00240629">
        <w:trPr>
          <w:trHeight w:val="227"/>
        </w:trPr>
        <w:tc>
          <w:tcPr>
            <w:tcW w:w="1980" w:type="dxa"/>
            <w:vAlign w:val="center"/>
          </w:tcPr>
          <w:p w14:paraId="788A6C18" w14:textId="77777777" w:rsidR="000F3C29" w:rsidRPr="008C164C" w:rsidRDefault="000F3C29" w:rsidP="00C61A63">
            <w:pPr>
              <w:pStyle w:val="TableText0"/>
              <w:keepLines/>
            </w:pPr>
          </w:p>
        </w:tc>
        <w:tc>
          <w:tcPr>
            <w:tcW w:w="992" w:type="dxa"/>
            <w:noWrap/>
          </w:tcPr>
          <w:p w14:paraId="7161D020" w14:textId="77777777" w:rsidR="000F3C29" w:rsidRPr="008C164C" w:rsidRDefault="000F3C29" w:rsidP="00C61A63">
            <w:pPr>
              <w:pStyle w:val="TableText0"/>
              <w:keepLines/>
              <w:jc w:val="center"/>
            </w:pPr>
          </w:p>
        </w:tc>
        <w:tc>
          <w:tcPr>
            <w:tcW w:w="1418" w:type="dxa"/>
            <w:noWrap/>
          </w:tcPr>
          <w:p w14:paraId="507A474C" w14:textId="77777777" w:rsidR="000F3C29" w:rsidRPr="008C164C" w:rsidRDefault="000F3C29" w:rsidP="00C61A63">
            <w:pPr>
              <w:pStyle w:val="TableText0"/>
              <w:keepLines/>
              <w:jc w:val="center"/>
            </w:pPr>
          </w:p>
        </w:tc>
        <w:tc>
          <w:tcPr>
            <w:tcW w:w="4515" w:type="dxa"/>
            <w:gridSpan w:val="3"/>
            <w:noWrap/>
          </w:tcPr>
          <w:p w14:paraId="7E0E0932" w14:textId="6EDB11FF" w:rsidR="000F3C29" w:rsidRPr="008C164C" w:rsidRDefault="00B16F29" w:rsidP="00C61A63">
            <w:pPr>
              <w:pStyle w:val="TableText0"/>
              <w:keepLines/>
              <w:jc w:val="center"/>
              <w:rPr>
                <w:b/>
                <w:bCs w:val="0"/>
              </w:rPr>
            </w:pPr>
            <w:r w:rsidRPr="008C164C">
              <w:rPr>
                <w:b/>
                <w:bCs w:val="0"/>
              </w:rPr>
              <w:t>Relative risk</w:t>
            </w:r>
            <w:r w:rsidR="000F3C29" w:rsidRPr="008C164C">
              <w:rPr>
                <w:b/>
                <w:bCs w:val="0"/>
              </w:rPr>
              <w:t>*</w:t>
            </w:r>
          </w:p>
        </w:tc>
      </w:tr>
      <w:tr w:rsidR="000F3C29" w:rsidRPr="008C164C" w14:paraId="26BA95D2" w14:textId="77777777" w:rsidTr="00240629">
        <w:trPr>
          <w:trHeight w:val="227"/>
        </w:trPr>
        <w:tc>
          <w:tcPr>
            <w:tcW w:w="1980" w:type="dxa"/>
            <w:vAlign w:val="center"/>
          </w:tcPr>
          <w:p w14:paraId="06A33914" w14:textId="77777777" w:rsidR="000F3C29" w:rsidRPr="008C164C" w:rsidRDefault="000F3C29" w:rsidP="00C61A63">
            <w:pPr>
              <w:pStyle w:val="TableText0"/>
              <w:keepLines/>
            </w:pPr>
            <w:r w:rsidRPr="008C164C">
              <w:t>Combined Cohort 1 &amp; 2</w:t>
            </w:r>
          </w:p>
        </w:tc>
        <w:tc>
          <w:tcPr>
            <w:tcW w:w="992" w:type="dxa"/>
            <w:shd w:val="clear" w:color="auto" w:fill="C6D9F1" w:themeFill="text2" w:themeFillTint="33"/>
            <w:noWrap/>
          </w:tcPr>
          <w:p w14:paraId="3ED15FF3" w14:textId="77777777" w:rsidR="000F3C29" w:rsidRPr="008C164C" w:rsidRDefault="000F3C29" w:rsidP="00C61A63">
            <w:pPr>
              <w:pStyle w:val="TableText0"/>
              <w:keepLines/>
              <w:jc w:val="center"/>
            </w:pPr>
            <w:r w:rsidRPr="008C164C">
              <w:t>0.792</w:t>
            </w:r>
          </w:p>
        </w:tc>
        <w:tc>
          <w:tcPr>
            <w:tcW w:w="1418" w:type="dxa"/>
            <w:noWrap/>
          </w:tcPr>
          <w:p w14:paraId="015AC326" w14:textId="77777777" w:rsidR="000F3C29" w:rsidRPr="008C164C" w:rsidRDefault="000F3C29" w:rsidP="00C61A63">
            <w:pPr>
              <w:pStyle w:val="TableText0"/>
              <w:keepLines/>
              <w:jc w:val="center"/>
            </w:pPr>
            <w:r w:rsidRPr="008C164C">
              <w:t>0.282</w:t>
            </w:r>
          </w:p>
        </w:tc>
        <w:tc>
          <w:tcPr>
            <w:tcW w:w="1185" w:type="dxa"/>
            <w:noWrap/>
          </w:tcPr>
          <w:p w14:paraId="11FD426D" w14:textId="77777777" w:rsidR="000F3C29" w:rsidRPr="008C164C" w:rsidRDefault="000F3C29" w:rsidP="00C61A63">
            <w:pPr>
              <w:pStyle w:val="TableText0"/>
              <w:keepLines/>
              <w:jc w:val="center"/>
            </w:pPr>
            <w:r w:rsidRPr="008C164C">
              <w:t>2.807</w:t>
            </w:r>
          </w:p>
        </w:tc>
        <w:tc>
          <w:tcPr>
            <w:tcW w:w="1508" w:type="dxa"/>
            <w:noWrap/>
          </w:tcPr>
          <w:p w14:paraId="3BEA1D3A" w14:textId="77777777" w:rsidR="000F3C29" w:rsidRPr="008C164C" w:rsidRDefault="000F3C29" w:rsidP="00C61A63">
            <w:pPr>
              <w:pStyle w:val="TableText0"/>
              <w:keepLines/>
              <w:jc w:val="center"/>
            </w:pPr>
            <w:r w:rsidRPr="008C164C">
              <w:t>1.928, 4.088</w:t>
            </w:r>
          </w:p>
        </w:tc>
        <w:tc>
          <w:tcPr>
            <w:tcW w:w="1822" w:type="dxa"/>
            <w:noWrap/>
          </w:tcPr>
          <w:p w14:paraId="1F6FFFF1" w14:textId="77777777" w:rsidR="000F3C29" w:rsidRPr="008C164C" w:rsidRDefault="000F3C29" w:rsidP="00C61A63">
            <w:pPr>
              <w:pStyle w:val="TableText0"/>
              <w:keepLines/>
              <w:jc w:val="center"/>
            </w:pPr>
            <w:r w:rsidRPr="008C164C">
              <w:t>&lt;0.001</w:t>
            </w:r>
          </w:p>
        </w:tc>
      </w:tr>
      <w:tr w:rsidR="000F3C29" w:rsidRPr="008C164C" w14:paraId="70277F4C" w14:textId="77777777" w:rsidTr="00240629">
        <w:trPr>
          <w:trHeight w:val="227"/>
        </w:trPr>
        <w:tc>
          <w:tcPr>
            <w:tcW w:w="1980" w:type="dxa"/>
            <w:vAlign w:val="center"/>
          </w:tcPr>
          <w:p w14:paraId="5F1267E3" w14:textId="77777777" w:rsidR="000F3C29" w:rsidRPr="008C164C" w:rsidRDefault="000F3C29" w:rsidP="00C61A63">
            <w:pPr>
              <w:pStyle w:val="TableText0"/>
              <w:keepLines/>
            </w:pPr>
            <w:r w:rsidRPr="008C164C">
              <w:t xml:space="preserve">Cohort 1 </w:t>
            </w:r>
          </w:p>
        </w:tc>
        <w:tc>
          <w:tcPr>
            <w:tcW w:w="992" w:type="dxa"/>
            <w:shd w:val="clear" w:color="auto" w:fill="C6D9F1" w:themeFill="text2" w:themeFillTint="33"/>
            <w:noWrap/>
          </w:tcPr>
          <w:p w14:paraId="60285E0F" w14:textId="77777777" w:rsidR="000F3C29" w:rsidRPr="008C164C" w:rsidRDefault="000F3C29" w:rsidP="00C61A63">
            <w:pPr>
              <w:pStyle w:val="TableText0"/>
              <w:keepLines/>
              <w:jc w:val="center"/>
            </w:pPr>
            <w:r w:rsidRPr="008C164C">
              <w:t>0.833</w:t>
            </w:r>
          </w:p>
        </w:tc>
        <w:tc>
          <w:tcPr>
            <w:tcW w:w="1418" w:type="dxa"/>
            <w:noWrap/>
          </w:tcPr>
          <w:p w14:paraId="07AD4330" w14:textId="77777777" w:rsidR="000F3C29" w:rsidRPr="008C164C" w:rsidRDefault="000F3C29" w:rsidP="00C61A63">
            <w:pPr>
              <w:pStyle w:val="TableText0"/>
              <w:keepLines/>
              <w:jc w:val="center"/>
            </w:pPr>
            <w:r w:rsidRPr="008C164C">
              <w:t>0.282</w:t>
            </w:r>
          </w:p>
        </w:tc>
        <w:tc>
          <w:tcPr>
            <w:tcW w:w="1185" w:type="dxa"/>
            <w:noWrap/>
          </w:tcPr>
          <w:p w14:paraId="1CF744D5" w14:textId="77777777" w:rsidR="000F3C29" w:rsidRPr="008C164C" w:rsidRDefault="000F3C29" w:rsidP="00C61A63">
            <w:pPr>
              <w:pStyle w:val="TableText0"/>
              <w:keepLines/>
              <w:jc w:val="center"/>
            </w:pPr>
            <w:r w:rsidRPr="008C164C">
              <w:t>2.955</w:t>
            </w:r>
          </w:p>
        </w:tc>
        <w:tc>
          <w:tcPr>
            <w:tcW w:w="1508" w:type="dxa"/>
            <w:noWrap/>
          </w:tcPr>
          <w:p w14:paraId="5518624A" w14:textId="77777777" w:rsidR="000F3C29" w:rsidRPr="008C164C" w:rsidRDefault="000F3C29" w:rsidP="00C61A63">
            <w:pPr>
              <w:pStyle w:val="TableText0"/>
              <w:keepLines/>
              <w:jc w:val="center"/>
            </w:pPr>
            <w:r w:rsidRPr="008C164C">
              <w:t>2.01, 4.345</w:t>
            </w:r>
          </w:p>
        </w:tc>
        <w:tc>
          <w:tcPr>
            <w:tcW w:w="1822" w:type="dxa"/>
            <w:noWrap/>
          </w:tcPr>
          <w:p w14:paraId="237F9297" w14:textId="77777777" w:rsidR="000F3C29" w:rsidRPr="008C164C" w:rsidRDefault="000F3C29" w:rsidP="00C61A63">
            <w:pPr>
              <w:pStyle w:val="TableText0"/>
              <w:keepLines/>
              <w:jc w:val="center"/>
            </w:pPr>
            <w:r w:rsidRPr="008C164C">
              <w:t>&lt;0.001</w:t>
            </w:r>
          </w:p>
        </w:tc>
      </w:tr>
      <w:tr w:rsidR="000F3C29" w:rsidRPr="008C164C" w14:paraId="443654F0" w14:textId="77777777" w:rsidTr="00240629">
        <w:trPr>
          <w:trHeight w:val="227"/>
        </w:trPr>
        <w:tc>
          <w:tcPr>
            <w:tcW w:w="1980" w:type="dxa"/>
            <w:vAlign w:val="center"/>
          </w:tcPr>
          <w:p w14:paraId="364B7BA6" w14:textId="77777777" w:rsidR="000F3C29" w:rsidRPr="008C164C" w:rsidRDefault="000F3C29" w:rsidP="00C61A63">
            <w:pPr>
              <w:pStyle w:val="TableText0"/>
              <w:keepLines/>
            </w:pPr>
          </w:p>
        </w:tc>
        <w:tc>
          <w:tcPr>
            <w:tcW w:w="992" w:type="dxa"/>
            <w:noWrap/>
          </w:tcPr>
          <w:p w14:paraId="08D35EA8" w14:textId="77777777" w:rsidR="000F3C29" w:rsidRPr="008C164C" w:rsidRDefault="000F3C29" w:rsidP="00C61A63">
            <w:pPr>
              <w:pStyle w:val="TableText0"/>
              <w:keepLines/>
              <w:jc w:val="center"/>
              <w:rPr>
                <w:b/>
                <w:bCs w:val="0"/>
              </w:rPr>
            </w:pPr>
            <w:r w:rsidRPr="008C164C">
              <w:rPr>
                <w:b/>
                <w:bCs w:val="0"/>
              </w:rPr>
              <w:t>Odds</w:t>
            </w:r>
          </w:p>
        </w:tc>
        <w:tc>
          <w:tcPr>
            <w:tcW w:w="1418" w:type="dxa"/>
            <w:noWrap/>
          </w:tcPr>
          <w:p w14:paraId="2FE31438" w14:textId="77777777" w:rsidR="000F3C29" w:rsidRPr="008C164C" w:rsidRDefault="000F3C29" w:rsidP="00C61A63">
            <w:pPr>
              <w:pStyle w:val="TableText0"/>
              <w:keepLines/>
              <w:jc w:val="center"/>
              <w:rPr>
                <w:b/>
                <w:bCs w:val="0"/>
              </w:rPr>
            </w:pPr>
            <w:r w:rsidRPr="008C164C">
              <w:rPr>
                <w:b/>
                <w:bCs w:val="0"/>
              </w:rPr>
              <w:t>Odds</w:t>
            </w:r>
          </w:p>
        </w:tc>
        <w:tc>
          <w:tcPr>
            <w:tcW w:w="4515" w:type="dxa"/>
            <w:gridSpan w:val="3"/>
            <w:noWrap/>
          </w:tcPr>
          <w:p w14:paraId="358B833C" w14:textId="77777777" w:rsidR="000F3C29" w:rsidRPr="008C164C" w:rsidRDefault="000F3C29" w:rsidP="00C61A63">
            <w:pPr>
              <w:pStyle w:val="TableText0"/>
              <w:keepLines/>
              <w:jc w:val="center"/>
              <w:rPr>
                <w:b/>
                <w:bCs w:val="0"/>
              </w:rPr>
            </w:pPr>
            <w:r w:rsidRPr="008C164C">
              <w:rPr>
                <w:b/>
                <w:bCs w:val="0"/>
              </w:rPr>
              <w:t>Odds ratio*</w:t>
            </w:r>
          </w:p>
        </w:tc>
      </w:tr>
      <w:tr w:rsidR="000F3C29" w:rsidRPr="008C164C" w14:paraId="264C8BE4" w14:textId="77777777" w:rsidTr="00240629">
        <w:trPr>
          <w:trHeight w:val="227"/>
        </w:trPr>
        <w:tc>
          <w:tcPr>
            <w:tcW w:w="1980" w:type="dxa"/>
            <w:vAlign w:val="center"/>
          </w:tcPr>
          <w:p w14:paraId="7365413E" w14:textId="77777777" w:rsidR="000F3C29" w:rsidRPr="008C164C" w:rsidRDefault="000F3C29" w:rsidP="00C61A63">
            <w:pPr>
              <w:pStyle w:val="TableText0"/>
              <w:keepLines/>
            </w:pPr>
            <w:r w:rsidRPr="008C164C">
              <w:t>Combined Cohort 1 &amp; 2</w:t>
            </w:r>
          </w:p>
        </w:tc>
        <w:tc>
          <w:tcPr>
            <w:tcW w:w="992" w:type="dxa"/>
            <w:shd w:val="clear" w:color="auto" w:fill="C6D9F1" w:themeFill="text2" w:themeFillTint="33"/>
            <w:noWrap/>
          </w:tcPr>
          <w:p w14:paraId="0E84E15C" w14:textId="77777777" w:rsidR="000F3C29" w:rsidRPr="008C164C" w:rsidRDefault="000F3C29" w:rsidP="00C61A63">
            <w:pPr>
              <w:pStyle w:val="TableText0"/>
              <w:keepLines/>
              <w:jc w:val="center"/>
            </w:pPr>
            <w:r w:rsidRPr="008C164C">
              <w:t>3.800</w:t>
            </w:r>
          </w:p>
        </w:tc>
        <w:tc>
          <w:tcPr>
            <w:tcW w:w="1418" w:type="dxa"/>
            <w:noWrap/>
          </w:tcPr>
          <w:p w14:paraId="1AC64763" w14:textId="77777777" w:rsidR="000F3C29" w:rsidRPr="008C164C" w:rsidRDefault="000F3C29" w:rsidP="00C61A63">
            <w:pPr>
              <w:pStyle w:val="TableText0"/>
              <w:keepLines/>
              <w:jc w:val="center"/>
            </w:pPr>
            <w:r w:rsidRPr="008C164C">
              <w:t>0.401</w:t>
            </w:r>
          </w:p>
        </w:tc>
        <w:tc>
          <w:tcPr>
            <w:tcW w:w="1185" w:type="dxa"/>
            <w:noWrap/>
          </w:tcPr>
          <w:p w14:paraId="43AD66F3" w14:textId="77777777" w:rsidR="000F3C29" w:rsidRPr="008C164C" w:rsidRDefault="000F3C29" w:rsidP="00C61A63">
            <w:pPr>
              <w:pStyle w:val="TableText0"/>
              <w:keepLines/>
              <w:jc w:val="center"/>
            </w:pPr>
            <w:r w:rsidRPr="008C164C">
              <w:t>9.476</w:t>
            </w:r>
          </w:p>
        </w:tc>
        <w:tc>
          <w:tcPr>
            <w:tcW w:w="1508" w:type="dxa"/>
            <w:noWrap/>
          </w:tcPr>
          <w:p w14:paraId="6E5344C7" w14:textId="77777777" w:rsidR="000F3C29" w:rsidRPr="008C164C" w:rsidRDefault="000F3C29" w:rsidP="00C61A63">
            <w:pPr>
              <w:pStyle w:val="TableText0"/>
              <w:keepLines/>
              <w:jc w:val="center"/>
            </w:pPr>
            <w:r w:rsidRPr="008C164C">
              <w:t>4.402, 20.400</w:t>
            </w:r>
          </w:p>
        </w:tc>
        <w:tc>
          <w:tcPr>
            <w:tcW w:w="1822" w:type="dxa"/>
            <w:noWrap/>
          </w:tcPr>
          <w:p w14:paraId="0B827198" w14:textId="77777777" w:rsidR="000F3C29" w:rsidRPr="008C164C" w:rsidRDefault="000F3C29" w:rsidP="00C61A63">
            <w:pPr>
              <w:pStyle w:val="TableText0"/>
              <w:keepLines/>
              <w:jc w:val="center"/>
            </w:pPr>
            <w:r w:rsidRPr="008C164C">
              <w:t>&lt;0.001</w:t>
            </w:r>
          </w:p>
        </w:tc>
      </w:tr>
      <w:tr w:rsidR="000F3C29" w:rsidRPr="008C164C" w14:paraId="628510B3" w14:textId="77777777" w:rsidTr="00240629">
        <w:trPr>
          <w:trHeight w:val="227"/>
        </w:trPr>
        <w:tc>
          <w:tcPr>
            <w:tcW w:w="1980" w:type="dxa"/>
            <w:vAlign w:val="center"/>
          </w:tcPr>
          <w:p w14:paraId="619F8218" w14:textId="77777777" w:rsidR="000F3C29" w:rsidRPr="008C164C" w:rsidRDefault="000F3C29" w:rsidP="00C61A63">
            <w:pPr>
              <w:pStyle w:val="TableText0"/>
              <w:keepLines/>
            </w:pPr>
            <w:r w:rsidRPr="008C164C">
              <w:t xml:space="preserve">Cohort 1 </w:t>
            </w:r>
          </w:p>
        </w:tc>
        <w:tc>
          <w:tcPr>
            <w:tcW w:w="992" w:type="dxa"/>
            <w:shd w:val="clear" w:color="auto" w:fill="auto"/>
            <w:noWrap/>
          </w:tcPr>
          <w:p w14:paraId="3F4EAB82" w14:textId="77777777" w:rsidR="000F3C29" w:rsidRPr="008C164C" w:rsidRDefault="000F3C29" w:rsidP="00C61A63">
            <w:pPr>
              <w:pStyle w:val="TableText0"/>
              <w:keepLines/>
              <w:jc w:val="center"/>
            </w:pPr>
            <w:r w:rsidRPr="008C164C">
              <w:t>5.000</w:t>
            </w:r>
          </w:p>
        </w:tc>
        <w:tc>
          <w:tcPr>
            <w:tcW w:w="1418" w:type="dxa"/>
            <w:noWrap/>
          </w:tcPr>
          <w:p w14:paraId="48167D6E" w14:textId="77777777" w:rsidR="000F3C29" w:rsidRPr="008C164C" w:rsidRDefault="000F3C29" w:rsidP="00C61A63">
            <w:pPr>
              <w:pStyle w:val="TableText0"/>
              <w:keepLines/>
              <w:jc w:val="center"/>
            </w:pPr>
            <w:r w:rsidRPr="008C164C">
              <w:t>0.401</w:t>
            </w:r>
          </w:p>
        </w:tc>
        <w:tc>
          <w:tcPr>
            <w:tcW w:w="1185" w:type="dxa"/>
            <w:noWrap/>
          </w:tcPr>
          <w:p w14:paraId="21D6D1AF" w14:textId="77777777" w:rsidR="000F3C29" w:rsidRPr="008C164C" w:rsidRDefault="000F3C29" w:rsidP="00C61A63">
            <w:pPr>
              <w:pStyle w:val="TableText0"/>
              <w:keepLines/>
              <w:jc w:val="center"/>
            </w:pPr>
            <w:r w:rsidRPr="008C164C">
              <w:t>12.469</w:t>
            </w:r>
          </w:p>
        </w:tc>
        <w:tc>
          <w:tcPr>
            <w:tcW w:w="1508" w:type="dxa"/>
            <w:noWrap/>
          </w:tcPr>
          <w:p w14:paraId="4936EF8E" w14:textId="77777777" w:rsidR="000F3C29" w:rsidRPr="008C164C" w:rsidRDefault="000F3C29" w:rsidP="00C61A63">
            <w:pPr>
              <w:pStyle w:val="TableText0"/>
              <w:keepLines/>
              <w:jc w:val="center"/>
            </w:pPr>
            <w:r w:rsidRPr="008C164C">
              <w:t>4.513, 34.449</w:t>
            </w:r>
          </w:p>
        </w:tc>
        <w:tc>
          <w:tcPr>
            <w:tcW w:w="1822" w:type="dxa"/>
            <w:noWrap/>
          </w:tcPr>
          <w:p w14:paraId="5B90F147" w14:textId="77777777" w:rsidR="000F3C29" w:rsidRPr="008C164C" w:rsidRDefault="000F3C29" w:rsidP="00C61A63">
            <w:pPr>
              <w:pStyle w:val="TableText0"/>
              <w:keepLines/>
              <w:jc w:val="center"/>
            </w:pPr>
            <w:r w:rsidRPr="008C164C">
              <w:t>&lt;0.001</w:t>
            </w:r>
          </w:p>
        </w:tc>
      </w:tr>
      <w:tr w:rsidR="000F3C29" w:rsidRPr="008C164C" w14:paraId="66490136" w14:textId="77777777" w:rsidTr="00240629">
        <w:trPr>
          <w:trHeight w:val="227"/>
        </w:trPr>
        <w:tc>
          <w:tcPr>
            <w:tcW w:w="8905" w:type="dxa"/>
            <w:gridSpan w:val="6"/>
            <w:vAlign w:val="center"/>
          </w:tcPr>
          <w:p w14:paraId="25DE900D" w14:textId="77777777" w:rsidR="000F3C29" w:rsidRPr="008C164C" w:rsidRDefault="000F3C29" w:rsidP="00C61A63">
            <w:pPr>
              <w:pStyle w:val="TableText0"/>
              <w:keepLines/>
              <w:rPr>
                <w:b/>
                <w:bCs w:val="0"/>
              </w:rPr>
            </w:pPr>
            <w:r w:rsidRPr="008C164C">
              <w:rPr>
                <w:b/>
                <w:bCs w:val="0"/>
              </w:rPr>
              <w:t>Evaluator indicative analysis using clinical expert estimate of OBR efficacy</w:t>
            </w:r>
          </w:p>
        </w:tc>
      </w:tr>
      <w:tr w:rsidR="000F3C29" w:rsidRPr="008C164C" w14:paraId="0017C178" w14:textId="77777777" w:rsidTr="00240629">
        <w:trPr>
          <w:trHeight w:val="227"/>
        </w:trPr>
        <w:tc>
          <w:tcPr>
            <w:tcW w:w="1980" w:type="dxa"/>
            <w:vAlign w:val="center"/>
          </w:tcPr>
          <w:p w14:paraId="19C06131" w14:textId="77777777" w:rsidR="000F3C29" w:rsidRPr="008C164C" w:rsidRDefault="000F3C29" w:rsidP="00C61A63">
            <w:pPr>
              <w:pStyle w:val="TableText0"/>
              <w:keepLines/>
            </w:pPr>
          </w:p>
        </w:tc>
        <w:tc>
          <w:tcPr>
            <w:tcW w:w="992" w:type="dxa"/>
            <w:noWrap/>
          </w:tcPr>
          <w:p w14:paraId="045D4FD9" w14:textId="77777777" w:rsidR="000F3C29" w:rsidRPr="008C164C" w:rsidRDefault="000F3C29" w:rsidP="00C61A63">
            <w:pPr>
              <w:pStyle w:val="TableText0"/>
              <w:keepLines/>
            </w:pPr>
          </w:p>
        </w:tc>
        <w:tc>
          <w:tcPr>
            <w:tcW w:w="1418" w:type="dxa"/>
            <w:noWrap/>
          </w:tcPr>
          <w:p w14:paraId="0ACCF068" w14:textId="77777777" w:rsidR="000F3C29" w:rsidRPr="008C164C" w:rsidRDefault="000F3C29" w:rsidP="00C61A63">
            <w:pPr>
              <w:pStyle w:val="TableText0"/>
              <w:keepLines/>
            </w:pPr>
          </w:p>
        </w:tc>
        <w:tc>
          <w:tcPr>
            <w:tcW w:w="4515" w:type="dxa"/>
            <w:gridSpan w:val="3"/>
            <w:noWrap/>
          </w:tcPr>
          <w:p w14:paraId="732F7E93" w14:textId="77777777" w:rsidR="000F3C29" w:rsidRPr="008C164C" w:rsidRDefault="000F3C29" w:rsidP="00C61A63">
            <w:pPr>
              <w:pStyle w:val="TableText0"/>
              <w:keepLines/>
              <w:jc w:val="center"/>
              <w:rPr>
                <w:b/>
                <w:bCs w:val="0"/>
              </w:rPr>
            </w:pPr>
            <w:r w:rsidRPr="008C164C">
              <w:rPr>
                <w:b/>
                <w:bCs w:val="0"/>
              </w:rPr>
              <w:t>Risk difference*</w:t>
            </w:r>
          </w:p>
        </w:tc>
      </w:tr>
      <w:tr w:rsidR="006206CA" w:rsidRPr="008C164C" w14:paraId="1840D22D" w14:textId="77777777" w:rsidTr="00294D03">
        <w:trPr>
          <w:trHeight w:val="227"/>
        </w:trPr>
        <w:tc>
          <w:tcPr>
            <w:tcW w:w="1980" w:type="dxa"/>
            <w:vAlign w:val="center"/>
          </w:tcPr>
          <w:p w14:paraId="2A65DA02" w14:textId="4A83C4AC" w:rsidR="006206CA" w:rsidRPr="008C164C" w:rsidRDefault="006206CA" w:rsidP="006206CA">
            <w:pPr>
              <w:pStyle w:val="TableText0"/>
              <w:keepLines/>
            </w:pPr>
            <w:r w:rsidRPr="008C164C">
              <w:t>Combined Cohort 1 &amp; 2</w:t>
            </w:r>
          </w:p>
        </w:tc>
        <w:tc>
          <w:tcPr>
            <w:tcW w:w="992" w:type="dxa"/>
            <w:shd w:val="clear" w:color="auto" w:fill="C6D9F1" w:themeFill="text2" w:themeFillTint="33"/>
            <w:noWrap/>
            <w:vAlign w:val="center"/>
          </w:tcPr>
          <w:p w14:paraId="20694829" w14:textId="38B6E993" w:rsidR="006206CA" w:rsidRPr="008C164C" w:rsidRDefault="006206CA" w:rsidP="006206CA">
            <w:pPr>
              <w:pStyle w:val="TableText0"/>
              <w:keepLines/>
              <w:jc w:val="center"/>
            </w:pPr>
            <w:r w:rsidRPr="008C164C">
              <w:t>0.792</w:t>
            </w:r>
          </w:p>
        </w:tc>
        <w:tc>
          <w:tcPr>
            <w:tcW w:w="1418" w:type="dxa"/>
            <w:noWrap/>
            <w:vAlign w:val="center"/>
          </w:tcPr>
          <w:p w14:paraId="02020E50" w14:textId="08F2A5C3" w:rsidR="006206CA" w:rsidRPr="008C164C" w:rsidRDefault="006206CA" w:rsidP="006206CA">
            <w:pPr>
              <w:pStyle w:val="TableText0"/>
              <w:keepLines/>
              <w:jc w:val="center"/>
            </w:pPr>
            <w:r w:rsidRPr="008C164C">
              <w:t>0.499</w:t>
            </w:r>
          </w:p>
        </w:tc>
        <w:tc>
          <w:tcPr>
            <w:tcW w:w="1185" w:type="dxa"/>
            <w:shd w:val="clear" w:color="auto" w:fill="auto"/>
            <w:noWrap/>
            <w:vAlign w:val="center"/>
          </w:tcPr>
          <w:p w14:paraId="23EBB622" w14:textId="380B566D" w:rsidR="006206CA" w:rsidRPr="008C164C" w:rsidRDefault="006206CA" w:rsidP="006206CA">
            <w:pPr>
              <w:pStyle w:val="TableText0"/>
              <w:keepLines/>
              <w:jc w:val="center"/>
            </w:pPr>
            <w:r w:rsidRPr="008C164C">
              <w:t>0.293</w:t>
            </w:r>
          </w:p>
        </w:tc>
        <w:tc>
          <w:tcPr>
            <w:tcW w:w="3330" w:type="dxa"/>
            <w:gridSpan w:val="2"/>
            <w:vMerge w:val="restart"/>
            <w:noWrap/>
            <w:vAlign w:val="center"/>
          </w:tcPr>
          <w:p w14:paraId="24B6EA22" w14:textId="77777777" w:rsidR="006206CA" w:rsidRPr="008C164C" w:rsidRDefault="006206CA" w:rsidP="006206CA">
            <w:pPr>
              <w:pStyle w:val="TableText0"/>
              <w:keepLines/>
              <w:jc w:val="center"/>
            </w:pPr>
            <w:r w:rsidRPr="008C164C">
              <w:t>NC</w:t>
            </w:r>
          </w:p>
        </w:tc>
      </w:tr>
      <w:tr w:rsidR="006206CA" w:rsidRPr="008C164C" w14:paraId="733AEAE8" w14:textId="77777777" w:rsidTr="00294D03">
        <w:trPr>
          <w:trHeight w:val="227"/>
        </w:trPr>
        <w:tc>
          <w:tcPr>
            <w:tcW w:w="1980" w:type="dxa"/>
            <w:vAlign w:val="center"/>
          </w:tcPr>
          <w:p w14:paraId="09CBC831" w14:textId="4E954DB5" w:rsidR="006206CA" w:rsidRPr="008C164C" w:rsidRDefault="006206CA" w:rsidP="006206CA">
            <w:pPr>
              <w:pStyle w:val="TableText0"/>
              <w:keepLines/>
            </w:pPr>
            <w:r w:rsidRPr="008C164C">
              <w:t xml:space="preserve">Cohort 1 </w:t>
            </w:r>
          </w:p>
        </w:tc>
        <w:tc>
          <w:tcPr>
            <w:tcW w:w="992" w:type="dxa"/>
            <w:shd w:val="clear" w:color="auto" w:fill="C6D9F1" w:themeFill="text2" w:themeFillTint="33"/>
            <w:noWrap/>
            <w:vAlign w:val="center"/>
          </w:tcPr>
          <w:p w14:paraId="69CBA9FC" w14:textId="482A3D75" w:rsidR="006206CA" w:rsidRPr="008C164C" w:rsidRDefault="006206CA" w:rsidP="006206CA">
            <w:pPr>
              <w:pStyle w:val="TableText0"/>
              <w:keepLines/>
              <w:jc w:val="center"/>
            </w:pPr>
            <w:r w:rsidRPr="008C164C">
              <w:t>0.833</w:t>
            </w:r>
          </w:p>
        </w:tc>
        <w:tc>
          <w:tcPr>
            <w:tcW w:w="1418" w:type="dxa"/>
            <w:noWrap/>
            <w:vAlign w:val="center"/>
          </w:tcPr>
          <w:p w14:paraId="45450C80" w14:textId="559FE116" w:rsidR="006206CA" w:rsidRPr="008C164C" w:rsidRDefault="006206CA" w:rsidP="006206CA">
            <w:pPr>
              <w:pStyle w:val="TableText0"/>
              <w:keepLines/>
              <w:jc w:val="center"/>
            </w:pPr>
            <w:r w:rsidRPr="008C164C">
              <w:t>0.499</w:t>
            </w:r>
          </w:p>
        </w:tc>
        <w:tc>
          <w:tcPr>
            <w:tcW w:w="1185" w:type="dxa"/>
            <w:shd w:val="clear" w:color="auto" w:fill="auto"/>
            <w:noWrap/>
            <w:vAlign w:val="center"/>
          </w:tcPr>
          <w:p w14:paraId="04FD702E" w14:textId="6367FDB7" w:rsidR="006206CA" w:rsidRPr="008C164C" w:rsidRDefault="006206CA" w:rsidP="006206CA">
            <w:pPr>
              <w:pStyle w:val="TableText0"/>
              <w:keepLines/>
              <w:jc w:val="center"/>
            </w:pPr>
            <w:r w:rsidRPr="008C164C">
              <w:t>0.334</w:t>
            </w:r>
          </w:p>
        </w:tc>
        <w:tc>
          <w:tcPr>
            <w:tcW w:w="3330" w:type="dxa"/>
            <w:gridSpan w:val="2"/>
            <w:vMerge/>
            <w:noWrap/>
            <w:vAlign w:val="center"/>
          </w:tcPr>
          <w:p w14:paraId="09C55AD9" w14:textId="77777777" w:rsidR="006206CA" w:rsidRPr="008C164C" w:rsidRDefault="006206CA" w:rsidP="006206CA">
            <w:pPr>
              <w:pStyle w:val="TableText0"/>
              <w:keepLines/>
              <w:jc w:val="center"/>
            </w:pPr>
          </w:p>
        </w:tc>
      </w:tr>
      <w:tr w:rsidR="006206CA" w:rsidRPr="008C164C" w14:paraId="69759BCC" w14:textId="77777777" w:rsidTr="00294D03">
        <w:trPr>
          <w:trHeight w:val="227"/>
        </w:trPr>
        <w:tc>
          <w:tcPr>
            <w:tcW w:w="1980" w:type="dxa"/>
            <w:vAlign w:val="center"/>
          </w:tcPr>
          <w:p w14:paraId="3652A956" w14:textId="77777777" w:rsidR="006206CA" w:rsidRPr="008C164C" w:rsidRDefault="006206CA" w:rsidP="006206CA">
            <w:pPr>
              <w:pStyle w:val="TableText0"/>
              <w:keepLines/>
            </w:pPr>
          </w:p>
        </w:tc>
        <w:tc>
          <w:tcPr>
            <w:tcW w:w="992" w:type="dxa"/>
            <w:noWrap/>
            <w:vAlign w:val="center"/>
          </w:tcPr>
          <w:p w14:paraId="1C37272E" w14:textId="77777777" w:rsidR="006206CA" w:rsidRPr="008C164C" w:rsidRDefault="006206CA" w:rsidP="006206CA">
            <w:pPr>
              <w:pStyle w:val="TableText0"/>
              <w:keepLines/>
              <w:jc w:val="center"/>
            </w:pPr>
          </w:p>
        </w:tc>
        <w:tc>
          <w:tcPr>
            <w:tcW w:w="1418" w:type="dxa"/>
            <w:noWrap/>
            <w:vAlign w:val="center"/>
          </w:tcPr>
          <w:p w14:paraId="0AE6C883" w14:textId="77777777" w:rsidR="006206CA" w:rsidRPr="008C164C" w:rsidRDefault="006206CA" w:rsidP="006206CA">
            <w:pPr>
              <w:pStyle w:val="TableText0"/>
              <w:keepLines/>
              <w:jc w:val="center"/>
            </w:pPr>
          </w:p>
        </w:tc>
        <w:tc>
          <w:tcPr>
            <w:tcW w:w="4515" w:type="dxa"/>
            <w:gridSpan w:val="3"/>
            <w:shd w:val="clear" w:color="auto" w:fill="auto"/>
            <w:noWrap/>
            <w:vAlign w:val="center"/>
          </w:tcPr>
          <w:p w14:paraId="52A6F0ED" w14:textId="709BDD2F" w:rsidR="006206CA" w:rsidRPr="008C164C" w:rsidRDefault="006206CA" w:rsidP="006206CA">
            <w:pPr>
              <w:pStyle w:val="TableText0"/>
              <w:keepLines/>
              <w:jc w:val="center"/>
              <w:rPr>
                <w:b/>
                <w:bCs w:val="0"/>
              </w:rPr>
            </w:pPr>
            <w:r w:rsidRPr="008C164C">
              <w:rPr>
                <w:b/>
                <w:bCs w:val="0"/>
              </w:rPr>
              <w:t>Relative risk*</w:t>
            </w:r>
          </w:p>
        </w:tc>
      </w:tr>
      <w:tr w:rsidR="006206CA" w:rsidRPr="008C164C" w14:paraId="6B4FC141" w14:textId="77777777" w:rsidTr="00294D03">
        <w:trPr>
          <w:trHeight w:val="227"/>
        </w:trPr>
        <w:tc>
          <w:tcPr>
            <w:tcW w:w="1980" w:type="dxa"/>
            <w:vAlign w:val="center"/>
          </w:tcPr>
          <w:p w14:paraId="5FE6C9EF" w14:textId="48BF0E3B" w:rsidR="006206CA" w:rsidRPr="008C164C" w:rsidRDefault="006206CA" w:rsidP="006206CA">
            <w:pPr>
              <w:pStyle w:val="TableText0"/>
              <w:keepLines/>
            </w:pPr>
            <w:r w:rsidRPr="008C164C">
              <w:t>Combined Cohort 1 &amp; 2</w:t>
            </w:r>
          </w:p>
        </w:tc>
        <w:tc>
          <w:tcPr>
            <w:tcW w:w="992" w:type="dxa"/>
            <w:shd w:val="clear" w:color="auto" w:fill="C6D9F1" w:themeFill="text2" w:themeFillTint="33"/>
            <w:noWrap/>
            <w:vAlign w:val="center"/>
          </w:tcPr>
          <w:p w14:paraId="33DDB416" w14:textId="49A4A26F" w:rsidR="006206CA" w:rsidRPr="008C164C" w:rsidRDefault="006206CA" w:rsidP="006206CA">
            <w:pPr>
              <w:pStyle w:val="TableText0"/>
              <w:keepLines/>
              <w:jc w:val="center"/>
            </w:pPr>
            <w:r w:rsidRPr="008C164C">
              <w:t>0.792</w:t>
            </w:r>
          </w:p>
        </w:tc>
        <w:tc>
          <w:tcPr>
            <w:tcW w:w="1418" w:type="dxa"/>
            <w:noWrap/>
            <w:vAlign w:val="center"/>
          </w:tcPr>
          <w:p w14:paraId="5B5276CC" w14:textId="12F42514" w:rsidR="006206CA" w:rsidRPr="008C164C" w:rsidRDefault="006206CA" w:rsidP="006206CA">
            <w:pPr>
              <w:pStyle w:val="TableText0"/>
              <w:keepLines/>
              <w:jc w:val="center"/>
            </w:pPr>
            <w:r w:rsidRPr="008C164C">
              <w:t>0.499</w:t>
            </w:r>
          </w:p>
        </w:tc>
        <w:tc>
          <w:tcPr>
            <w:tcW w:w="1185" w:type="dxa"/>
            <w:shd w:val="clear" w:color="auto" w:fill="auto"/>
            <w:noWrap/>
            <w:vAlign w:val="center"/>
          </w:tcPr>
          <w:p w14:paraId="05A462E7" w14:textId="5DDA18AB" w:rsidR="006206CA" w:rsidRPr="008C164C" w:rsidRDefault="006206CA" w:rsidP="006206CA">
            <w:pPr>
              <w:pStyle w:val="TableText0"/>
              <w:keepLines/>
              <w:jc w:val="center"/>
            </w:pPr>
            <w:r w:rsidRPr="008C164C">
              <w:t>1.587</w:t>
            </w:r>
          </w:p>
        </w:tc>
        <w:tc>
          <w:tcPr>
            <w:tcW w:w="3330" w:type="dxa"/>
            <w:gridSpan w:val="2"/>
            <w:vMerge w:val="restart"/>
            <w:noWrap/>
            <w:vAlign w:val="center"/>
          </w:tcPr>
          <w:p w14:paraId="0E72F5E3" w14:textId="77777777" w:rsidR="006206CA" w:rsidRPr="008C164C" w:rsidRDefault="006206CA" w:rsidP="006206CA">
            <w:pPr>
              <w:pStyle w:val="TableText0"/>
              <w:keepLines/>
              <w:jc w:val="center"/>
            </w:pPr>
            <w:r w:rsidRPr="008C164C">
              <w:t>NC</w:t>
            </w:r>
          </w:p>
        </w:tc>
      </w:tr>
      <w:tr w:rsidR="006206CA" w:rsidRPr="008C164C" w14:paraId="6447CA63" w14:textId="77777777" w:rsidTr="00294D03">
        <w:trPr>
          <w:trHeight w:val="227"/>
        </w:trPr>
        <w:tc>
          <w:tcPr>
            <w:tcW w:w="1980" w:type="dxa"/>
            <w:vAlign w:val="center"/>
          </w:tcPr>
          <w:p w14:paraId="6DB5D8DD" w14:textId="5F170E77" w:rsidR="006206CA" w:rsidRPr="008C164C" w:rsidRDefault="006206CA" w:rsidP="006206CA">
            <w:pPr>
              <w:pStyle w:val="TableText0"/>
              <w:keepLines/>
            </w:pPr>
            <w:r w:rsidRPr="008C164C">
              <w:t xml:space="preserve">Cohort 1 </w:t>
            </w:r>
          </w:p>
        </w:tc>
        <w:tc>
          <w:tcPr>
            <w:tcW w:w="992" w:type="dxa"/>
            <w:shd w:val="clear" w:color="auto" w:fill="C6D9F1" w:themeFill="text2" w:themeFillTint="33"/>
            <w:noWrap/>
            <w:vAlign w:val="center"/>
          </w:tcPr>
          <w:p w14:paraId="744D9908" w14:textId="24FAE590" w:rsidR="006206CA" w:rsidRPr="008C164C" w:rsidRDefault="006206CA" w:rsidP="006206CA">
            <w:pPr>
              <w:pStyle w:val="TableText0"/>
              <w:keepLines/>
              <w:jc w:val="center"/>
            </w:pPr>
            <w:r w:rsidRPr="008C164C">
              <w:t>0.833</w:t>
            </w:r>
          </w:p>
        </w:tc>
        <w:tc>
          <w:tcPr>
            <w:tcW w:w="1418" w:type="dxa"/>
            <w:noWrap/>
            <w:vAlign w:val="center"/>
          </w:tcPr>
          <w:p w14:paraId="5FF4C6C2" w14:textId="31E90D7D" w:rsidR="006206CA" w:rsidRPr="008C164C" w:rsidRDefault="006206CA" w:rsidP="006206CA">
            <w:pPr>
              <w:pStyle w:val="TableText0"/>
              <w:keepLines/>
              <w:jc w:val="center"/>
            </w:pPr>
            <w:r w:rsidRPr="008C164C">
              <w:t>0.499</w:t>
            </w:r>
          </w:p>
        </w:tc>
        <w:tc>
          <w:tcPr>
            <w:tcW w:w="1185" w:type="dxa"/>
            <w:shd w:val="clear" w:color="auto" w:fill="auto"/>
            <w:noWrap/>
            <w:vAlign w:val="center"/>
          </w:tcPr>
          <w:p w14:paraId="4C79EE3F" w14:textId="33DB46F7" w:rsidR="006206CA" w:rsidRPr="008C164C" w:rsidRDefault="006206CA" w:rsidP="006206CA">
            <w:pPr>
              <w:pStyle w:val="TableText0"/>
              <w:keepLines/>
              <w:jc w:val="center"/>
            </w:pPr>
            <w:r w:rsidRPr="008C164C">
              <w:t>1.669</w:t>
            </w:r>
          </w:p>
        </w:tc>
        <w:tc>
          <w:tcPr>
            <w:tcW w:w="3330" w:type="dxa"/>
            <w:gridSpan w:val="2"/>
            <w:vMerge/>
            <w:noWrap/>
          </w:tcPr>
          <w:p w14:paraId="7CB5C4B2" w14:textId="77777777" w:rsidR="006206CA" w:rsidRPr="008C164C" w:rsidRDefault="006206CA" w:rsidP="006206CA">
            <w:pPr>
              <w:pStyle w:val="TableText0"/>
              <w:keepLines/>
              <w:jc w:val="center"/>
            </w:pPr>
          </w:p>
        </w:tc>
      </w:tr>
      <w:tr w:rsidR="006206CA" w:rsidRPr="008C164C" w14:paraId="0468C9DB" w14:textId="77777777" w:rsidTr="00294D03">
        <w:trPr>
          <w:trHeight w:val="227"/>
        </w:trPr>
        <w:tc>
          <w:tcPr>
            <w:tcW w:w="8905" w:type="dxa"/>
            <w:gridSpan w:val="6"/>
            <w:shd w:val="clear" w:color="auto" w:fill="auto"/>
            <w:vAlign w:val="center"/>
          </w:tcPr>
          <w:p w14:paraId="312C1D32" w14:textId="2D0859A0" w:rsidR="006206CA" w:rsidRPr="008C164C" w:rsidRDefault="006206CA" w:rsidP="006206CA">
            <w:pPr>
              <w:pStyle w:val="TableText0"/>
              <w:keepLines/>
            </w:pPr>
            <w:r w:rsidRPr="008C164C">
              <w:rPr>
                <w:b/>
                <w:bCs w:val="0"/>
              </w:rPr>
              <w:t>Evaluator indicative analysis using clinical expert estimate of OBR efficacy (62.3% 2</w:t>
            </w:r>
            <w:r w:rsidRPr="008C164C">
              <w:rPr>
                <w:b/>
                <w:bCs w:val="0"/>
                <w:vertAlign w:val="superscript"/>
              </w:rPr>
              <w:t>nd</w:t>
            </w:r>
            <w:r w:rsidRPr="008C164C">
              <w:rPr>
                <w:b/>
                <w:bCs w:val="0"/>
              </w:rPr>
              <w:t xml:space="preserve"> generation INSTIs)</w:t>
            </w:r>
          </w:p>
        </w:tc>
      </w:tr>
      <w:tr w:rsidR="006206CA" w:rsidRPr="008C164C" w14:paraId="43F03CD7" w14:textId="77777777" w:rsidTr="00294D03">
        <w:trPr>
          <w:trHeight w:val="227"/>
        </w:trPr>
        <w:tc>
          <w:tcPr>
            <w:tcW w:w="1980" w:type="dxa"/>
            <w:vAlign w:val="center"/>
          </w:tcPr>
          <w:p w14:paraId="43147CFF" w14:textId="77777777" w:rsidR="006206CA" w:rsidRPr="008C164C" w:rsidRDefault="006206CA" w:rsidP="006206CA">
            <w:pPr>
              <w:pStyle w:val="TableText0"/>
              <w:keepLines/>
            </w:pPr>
          </w:p>
        </w:tc>
        <w:tc>
          <w:tcPr>
            <w:tcW w:w="992" w:type="dxa"/>
            <w:shd w:val="clear" w:color="auto" w:fill="auto"/>
            <w:noWrap/>
            <w:vAlign w:val="center"/>
          </w:tcPr>
          <w:p w14:paraId="040C2373" w14:textId="77777777" w:rsidR="006206CA" w:rsidRPr="008C164C" w:rsidRDefault="006206CA" w:rsidP="006206CA">
            <w:pPr>
              <w:pStyle w:val="TableText0"/>
              <w:keepLines/>
              <w:jc w:val="center"/>
            </w:pPr>
          </w:p>
        </w:tc>
        <w:tc>
          <w:tcPr>
            <w:tcW w:w="1418" w:type="dxa"/>
            <w:noWrap/>
            <w:vAlign w:val="center"/>
          </w:tcPr>
          <w:p w14:paraId="60B899F7" w14:textId="77777777" w:rsidR="006206CA" w:rsidRPr="008C164C" w:rsidRDefault="006206CA" w:rsidP="006206CA">
            <w:pPr>
              <w:pStyle w:val="TableText0"/>
              <w:keepLines/>
              <w:jc w:val="center"/>
            </w:pPr>
          </w:p>
        </w:tc>
        <w:tc>
          <w:tcPr>
            <w:tcW w:w="4515" w:type="dxa"/>
            <w:gridSpan w:val="3"/>
            <w:shd w:val="clear" w:color="auto" w:fill="auto"/>
            <w:noWrap/>
            <w:vAlign w:val="center"/>
          </w:tcPr>
          <w:p w14:paraId="24F7727F" w14:textId="5CB1B4DE" w:rsidR="006206CA" w:rsidRPr="008C164C" w:rsidRDefault="006206CA" w:rsidP="006206CA">
            <w:pPr>
              <w:pStyle w:val="TableText0"/>
              <w:keepLines/>
              <w:jc w:val="center"/>
              <w:rPr>
                <w:b/>
                <w:bCs w:val="0"/>
              </w:rPr>
            </w:pPr>
            <w:r w:rsidRPr="008C164C">
              <w:rPr>
                <w:b/>
                <w:bCs w:val="0"/>
              </w:rPr>
              <w:t>Risk difference*</w:t>
            </w:r>
          </w:p>
        </w:tc>
      </w:tr>
      <w:tr w:rsidR="006206CA" w:rsidRPr="008C164C" w14:paraId="21D444BD" w14:textId="77777777" w:rsidTr="00294D03">
        <w:trPr>
          <w:trHeight w:val="227"/>
        </w:trPr>
        <w:tc>
          <w:tcPr>
            <w:tcW w:w="1980" w:type="dxa"/>
            <w:vAlign w:val="center"/>
          </w:tcPr>
          <w:p w14:paraId="725AE19D" w14:textId="1B42AA1E" w:rsidR="006206CA" w:rsidRPr="008C164C" w:rsidRDefault="006206CA" w:rsidP="006206CA">
            <w:pPr>
              <w:pStyle w:val="TableText0"/>
              <w:keepLines/>
            </w:pPr>
            <w:r w:rsidRPr="008C164C">
              <w:t>Combined Cohort 1 &amp; 2</w:t>
            </w:r>
          </w:p>
        </w:tc>
        <w:tc>
          <w:tcPr>
            <w:tcW w:w="992" w:type="dxa"/>
            <w:shd w:val="clear" w:color="auto" w:fill="C6D9F1" w:themeFill="text2" w:themeFillTint="33"/>
            <w:noWrap/>
            <w:vAlign w:val="center"/>
          </w:tcPr>
          <w:p w14:paraId="238E3840" w14:textId="72329D75" w:rsidR="006206CA" w:rsidRPr="008C164C" w:rsidRDefault="006206CA" w:rsidP="006206CA">
            <w:pPr>
              <w:pStyle w:val="TableText0"/>
              <w:keepLines/>
              <w:jc w:val="center"/>
            </w:pPr>
            <w:r w:rsidRPr="008C164C">
              <w:t>0.792</w:t>
            </w:r>
          </w:p>
        </w:tc>
        <w:tc>
          <w:tcPr>
            <w:tcW w:w="1418" w:type="dxa"/>
            <w:noWrap/>
            <w:vAlign w:val="center"/>
          </w:tcPr>
          <w:p w14:paraId="2210BE9A" w14:textId="287D19D9" w:rsidR="006206CA" w:rsidRPr="008C164C" w:rsidRDefault="006206CA" w:rsidP="006206CA">
            <w:pPr>
              <w:pStyle w:val="TableText0"/>
              <w:keepLines/>
              <w:jc w:val="center"/>
            </w:pPr>
            <w:r w:rsidRPr="008C164C">
              <w:t>0.623</w:t>
            </w:r>
          </w:p>
        </w:tc>
        <w:tc>
          <w:tcPr>
            <w:tcW w:w="1185" w:type="dxa"/>
            <w:shd w:val="clear" w:color="auto" w:fill="auto"/>
            <w:noWrap/>
            <w:vAlign w:val="center"/>
          </w:tcPr>
          <w:p w14:paraId="776CDB21" w14:textId="3C059533" w:rsidR="006206CA" w:rsidRPr="008C164C" w:rsidRDefault="006206CA" w:rsidP="006206CA">
            <w:pPr>
              <w:pStyle w:val="TableText0"/>
              <w:keepLines/>
              <w:jc w:val="center"/>
            </w:pPr>
            <w:r w:rsidRPr="008C164C">
              <w:rPr>
                <w:rFonts w:cs="Calibri"/>
                <w:color w:val="000000"/>
                <w:szCs w:val="20"/>
              </w:rPr>
              <w:t>0.169</w:t>
            </w:r>
          </w:p>
        </w:tc>
        <w:tc>
          <w:tcPr>
            <w:tcW w:w="3330" w:type="dxa"/>
            <w:gridSpan w:val="2"/>
            <w:vMerge w:val="restart"/>
            <w:noWrap/>
            <w:vAlign w:val="center"/>
          </w:tcPr>
          <w:p w14:paraId="261F823E" w14:textId="77777777" w:rsidR="006206CA" w:rsidRPr="008C164C" w:rsidRDefault="006206CA" w:rsidP="006206CA">
            <w:pPr>
              <w:pStyle w:val="TableText0"/>
              <w:keepLines/>
              <w:jc w:val="center"/>
            </w:pPr>
            <w:r w:rsidRPr="008C164C">
              <w:t>NC</w:t>
            </w:r>
          </w:p>
        </w:tc>
      </w:tr>
      <w:tr w:rsidR="006206CA" w:rsidRPr="008C164C" w14:paraId="3AD41A81" w14:textId="77777777" w:rsidTr="00294D03">
        <w:trPr>
          <w:trHeight w:val="227"/>
        </w:trPr>
        <w:tc>
          <w:tcPr>
            <w:tcW w:w="1980" w:type="dxa"/>
            <w:vAlign w:val="center"/>
          </w:tcPr>
          <w:p w14:paraId="675DD3AF" w14:textId="3512E40A" w:rsidR="006206CA" w:rsidRPr="008C164C" w:rsidRDefault="006206CA" w:rsidP="006206CA">
            <w:pPr>
              <w:pStyle w:val="TableText0"/>
              <w:keepLines/>
            </w:pPr>
            <w:r w:rsidRPr="008C164C">
              <w:t xml:space="preserve">Cohort 1 </w:t>
            </w:r>
          </w:p>
        </w:tc>
        <w:tc>
          <w:tcPr>
            <w:tcW w:w="992" w:type="dxa"/>
            <w:shd w:val="clear" w:color="auto" w:fill="C6D9F1" w:themeFill="text2" w:themeFillTint="33"/>
            <w:noWrap/>
            <w:vAlign w:val="center"/>
          </w:tcPr>
          <w:p w14:paraId="158ED64A" w14:textId="4786D13A" w:rsidR="006206CA" w:rsidRPr="008C164C" w:rsidRDefault="006206CA" w:rsidP="006206CA">
            <w:pPr>
              <w:pStyle w:val="TableText0"/>
              <w:keepLines/>
              <w:jc w:val="center"/>
            </w:pPr>
            <w:r w:rsidRPr="008C164C">
              <w:t>0.833</w:t>
            </w:r>
          </w:p>
        </w:tc>
        <w:tc>
          <w:tcPr>
            <w:tcW w:w="1418" w:type="dxa"/>
            <w:noWrap/>
            <w:vAlign w:val="center"/>
          </w:tcPr>
          <w:p w14:paraId="23BF9613" w14:textId="46E1FD95" w:rsidR="006206CA" w:rsidRPr="008C164C" w:rsidRDefault="006206CA" w:rsidP="006206CA">
            <w:pPr>
              <w:pStyle w:val="TableText0"/>
              <w:keepLines/>
              <w:jc w:val="center"/>
            </w:pPr>
            <w:r w:rsidRPr="008C164C">
              <w:t>0.623</w:t>
            </w:r>
          </w:p>
        </w:tc>
        <w:tc>
          <w:tcPr>
            <w:tcW w:w="1185" w:type="dxa"/>
            <w:shd w:val="clear" w:color="auto" w:fill="auto"/>
            <w:noWrap/>
            <w:vAlign w:val="center"/>
          </w:tcPr>
          <w:p w14:paraId="07ED0B6E" w14:textId="3ECE7206" w:rsidR="006206CA" w:rsidRPr="008C164C" w:rsidRDefault="006206CA" w:rsidP="006206CA">
            <w:pPr>
              <w:pStyle w:val="TableText0"/>
              <w:keepLines/>
              <w:jc w:val="center"/>
            </w:pPr>
            <w:r w:rsidRPr="008C164C">
              <w:rPr>
                <w:rFonts w:cs="Calibri"/>
                <w:color w:val="000000"/>
                <w:szCs w:val="20"/>
              </w:rPr>
              <w:t>0.21</w:t>
            </w:r>
          </w:p>
        </w:tc>
        <w:tc>
          <w:tcPr>
            <w:tcW w:w="3330" w:type="dxa"/>
            <w:gridSpan w:val="2"/>
            <w:vMerge/>
            <w:noWrap/>
            <w:vAlign w:val="center"/>
          </w:tcPr>
          <w:p w14:paraId="2BDC3B1A" w14:textId="77777777" w:rsidR="006206CA" w:rsidRPr="008C164C" w:rsidRDefault="006206CA" w:rsidP="006206CA">
            <w:pPr>
              <w:pStyle w:val="TableText0"/>
              <w:keepLines/>
              <w:jc w:val="center"/>
            </w:pPr>
          </w:p>
        </w:tc>
      </w:tr>
      <w:tr w:rsidR="006206CA" w:rsidRPr="008C164C" w14:paraId="6937D52D" w14:textId="77777777" w:rsidTr="00294D03">
        <w:trPr>
          <w:trHeight w:val="227"/>
        </w:trPr>
        <w:tc>
          <w:tcPr>
            <w:tcW w:w="1980" w:type="dxa"/>
            <w:vAlign w:val="center"/>
          </w:tcPr>
          <w:p w14:paraId="76099A55" w14:textId="77777777" w:rsidR="006206CA" w:rsidRPr="008C164C" w:rsidRDefault="006206CA" w:rsidP="006206CA">
            <w:pPr>
              <w:pStyle w:val="TableText0"/>
              <w:keepLines/>
            </w:pPr>
          </w:p>
        </w:tc>
        <w:tc>
          <w:tcPr>
            <w:tcW w:w="992" w:type="dxa"/>
            <w:shd w:val="clear" w:color="auto" w:fill="auto"/>
            <w:noWrap/>
            <w:vAlign w:val="center"/>
          </w:tcPr>
          <w:p w14:paraId="6972960E" w14:textId="77777777" w:rsidR="006206CA" w:rsidRPr="008C164C" w:rsidRDefault="006206CA" w:rsidP="006206CA">
            <w:pPr>
              <w:pStyle w:val="TableText0"/>
              <w:keepLines/>
              <w:jc w:val="center"/>
            </w:pPr>
          </w:p>
        </w:tc>
        <w:tc>
          <w:tcPr>
            <w:tcW w:w="1418" w:type="dxa"/>
            <w:noWrap/>
            <w:vAlign w:val="center"/>
          </w:tcPr>
          <w:p w14:paraId="6BF37591" w14:textId="77777777" w:rsidR="006206CA" w:rsidRPr="008C164C" w:rsidRDefault="006206CA" w:rsidP="006206CA">
            <w:pPr>
              <w:pStyle w:val="TableText0"/>
              <w:keepLines/>
              <w:jc w:val="center"/>
            </w:pPr>
          </w:p>
        </w:tc>
        <w:tc>
          <w:tcPr>
            <w:tcW w:w="4515" w:type="dxa"/>
            <w:gridSpan w:val="3"/>
            <w:shd w:val="clear" w:color="auto" w:fill="auto"/>
            <w:noWrap/>
            <w:vAlign w:val="center"/>
          </w:tcPr>
          <w:p w14:paraId="75F23DC0" w14:textId="56F2F4BE" w:rsidR="006206CA" w:rsidRPr="008C164C" w:rsidRDefault="006206CA" w:rsidP="006206CA">
            <w:pPr>
              <w:pStyle w:val="TableText0"/>
              <w:keepLines/>
              <w:jc w:val="center"/>
              <w:rPr>
                <w:b/>
                <w:bCs w:val="0"/>
              </w:rPr>
            </w:pPr>
            <w:r w:rsidRPr="008C164C">
              <w:rPr>
                <w:b/>
                <w:bCs w:val="0"/>
              </w:rPr>
              <w:t>Relative risk*</w:t>
            </w:r>
          </w:p>
        </w:tc>
      </w:tr>
      <w:tr w:rsidR="006206CA" w:rsidRPr="008C164C" w14:paraId="5DB7ABD8" w14:textId="77777777" w:rsidTr="00294D03">
        <w:trPr>
          <w:trHeight w:val="87"/>
        </w:trPr>
        <w:tc>
          <w:tcPr>
            <w:tcW w:w="1980" w:type="dxa"/>
            <w:vAlign w:val="center"/>
          </w:tcPr>
          <w:p w14:paraId="1DFA04E1" w14:textId="49A714F1" w:rsidR="006206CA" w:rsidRPr="008C164C" w:rsidRDefault="006206CA" w:rsidP="006206CA">
            <w:pPr>
              <w:pStyle w:val="TableText0"/>
              <w:keepLines/>
            </w:pPr>
            <w:r w:rsidRPr="008C164C">
              <w:t>Combined Cohort 1 &amp; 2</w:t>
            </w:r>
          </w:p>
        </w:tc>
        <w:tc>
          <w:tcPr>
            <w:tcW w:w="992" w:type="dxa"/>
            <w:shd w:val="clear" w:color="auto" w:fill="C6D9F1" w:themeFill="text2" w:themeFillTint="33"/>
            <w:noWrap/>
            <w:vAlign w:val="center"/>
          </w:tcPr>
          <w:p w14:paraId="1B99E3F0" w14:textId="594BCAF7" w:rsidR="006206CA" w:rsidRPr="008C164C" w:rsidRDefault="006206CA" w:rsidP="006206CA">
            <w:pPr>
              <w:pStyle w:val="TableText0"/>
              <w:keepLines/>
              <w:jc w:val="center"/>
            </w:pPr>
            <w:r w:rsidRPr="008C164C">
              <w:t>0.792</w:t>
            </w:r>
          </w:p>
        </w:tc>
        <w:tc>
          <w:tcPr>
            <w:tcW w:w="1418" w:type="dxa"/>
            <w:noWrap/>
            <w:vAlign w:val="center"/>
          </w:tcPr>
          <w:p w14:paraId="79CA2A80" w14:textId="2D15AEA8" w:rsidR="006206CA" w:rsidRPr="008C164C" w:rsidRDefault="006206CA" w:rsidP="006206CA">
            <w:pPr>
              <w:pStyle w:val="TableText0"/>
              <w:keepLines/>
              <w:jc w:val="center"/>
            </w:pPr>
            <w:r w:rsidRPr="008C164C">
              <w:t>0.623</w:t>
            </w:r>
          </w:p>
        </w:tc>
        <w:tc>
          <w:tcPr>
            <w:tcW w:w="1185" w:type="dxa"/>
            <w:shd w:val="clear" w:color="auto" w:fill="auto"/>
            <w:noWrap/>
            <w:vAlign w:val="center"/>
          </w:tcPr>
          <w:p w14:paraId="5BCD792B" w14:textId="58629224" w:rsidR="006206CA" w:rsidRPr="008C164C" w:rsidRDefault="006206CA" w:rsidP="006206CA">
            <w:pPr>
              <w:pStyle w:val="TableText0"/>
              <w:keepLines/>
              <w:jc w:val="center"/>
            </w:pPr>
            <w:r w:rsidRPr="008C164C">
              <w:rPr>
                <w:rFonts w:cs="Calibri"/>
                <w:color w:val="000000"/>
                <w:szCs w:val="20"/>
              </w:rPr>
              <w:t>1.271</w:t>
            </w:r>
          </w:p>
        </w:tc>
        <w:tc>
          <w:tcPr>
            <w:tcW w:w="3330" w:type="dxa"/>
            <w:gridSpan w:val="2"/>
            <w:vMerge w:val="restart"/>
            <w:noWrap/>
            <w:vAlign w:val="center"/>
          </w:tcPr>
          <w:p w14:paraId="74AE4C72" w14:textId="77777777" w:rsidR="006206CA" w:rsidRPr="008C164C" w:rsidRDefault="006206CA" w:rsidP="006206CA">
            <w:pPr>
              <w:pStyle w:val="TableText0"/>
              <w:keepLines/>
              <w:jc w:val="center"/>
            </w:pPr>
            <w:r w:rsidRPr="008C164C">
              <w:t>NC</w:t>
            </w:r>
          </w:p>
        </w:tc>
      </w:tr>
      <w:tr w:rsidR="006206CA" w:rsidRPr="008C164C" w14:paraId="3BFEE47C" w14:textId="77777777" w:rsidTr="00294D03">
        <w:trPr>
          <w:trHeight w:val="227"/>
        </w:trPr>
        <w:tc>
          <w:tcPr>
            <w:tcW w:w="1980" w:type="dxa"/>
            <w:vAlign w:val="center"/>
          </w:tcPr>
          <w:p w14:paraId="6A48762D" w14:textId="6BD04E2E" w:rsidR="006206CA" w:rsidRPr="008C164C" w:rsidRDefault="006206CA" w:rsidP="006206CA">
            <w:pPr>
              <w:pStyle w:val="TableText0"/>
              <w:keepLines/>
            </w:pPr>
            <w:r w:rsidRPr="008C164C">
              <w:t xml:space="preserve">Cohort 1 </w:t>
            </w:r>
          </w:p>
        </w:tc>
        <w:tc>
          <w:tcPr>
            <w:tcW w:w="992" w:type="dxa"/>
            <w:shd w:val="clear" w:color="auto" w:fill="C6D9F1" w:themeFill="text2" w:themeFillTint="33"/>
            <w:noWrap/>
            <w:vAlign w:val="center"/>
          </w:tcPr>
          <w:p w14:paraId="78EA8E16" w14:textId="044E8F53" w:rsidR="006206CA" w:rsidRPr="008C164C" w:rsidRDefault="006206CA" w:rsidP="006206CA">
            <w:pPr>
              <w:pStyle w:val="TableText0"/>
              <w:keepLines/>
              <w:jc w:val="center"/>
            </w:pPr>
            <w:r w:rsidRPr="008C164C">
              <w:t>0.833</w:t>
            </w:r>
          </w:p>
        </w:tc>
        <w:tc>
          <w:tcPr>
            <w:tcW w:w="1418" w:type="dxa"/>
            <w:noWrap/>
            <w:vAlign w:val="center"/>
          </w:tcPr>
          <w:p w14:paraId="5959D7DA" w14:textId="437470BC" w:rsidR="006206CA" w:rsidRPr="008C164C" w:rsidRDefault="006206CA" w:rsidP="006206CA">
            <w:pPr>
              <w:pStyle w:val="TableText0"/>
              <w:keepLines/>
              <w:jc w:val="center"/>
            </w:pPr>
            <w:r w:rsidRPr="008C164C">
              <w:t>0.623</w:t>
            </w:r>
          </w:p>
        </w:tc>
        <w:tc>
          <w:tcPr>
            <w:tcW w:w="1185" w:type="dxa"/>
            <w:shd w:val="clear" w:color="auto" w:fill="auto"/>
            <w:noWrap/>
            <w:vAlign w:val="center"/>
          </w:tcPr>
          <w:p w14:paraId="66BABBC1" w14:textId="5554F8A0" w:rsidR="006206CA" w:rsidRPr="008C164C" w:rsidRDefault="006206CA" w:rsidP="006206CA">
            <w:pPr>
              <w:pStyle w:val="TableText0"/>
              <w:keepLines/>
              <w:jc w:val="center"/>
            </w:pPr>
            <w:r w:rsidRPr="008C164C">
              <w:rPr>
                <w:rFonts w:cs="Calibri"/>
                <w:color w:val="000000"/>
                <w:szCs w:val="20"/>
              </w:rPr>
              <w:t>1.337</w:t>
            </w:r>
          </w:p>
        </w:tc>
        <w:tc>
          <w:tcPr>
            <w:tcW w:w="3330" w:type="dxa"/>
            <w:gridSpan w:val="2"/>
            <w:vMerge/>
            <w:noWrap/>
            <w:vAlign w:val="center"/>
          </w:tcPr>
          <w:p w14:paraId="24C1DB18" w14:textId="77777777" w:rsidR="006206CA" w:rsidRPr="008C164C" w:rsidRDefault="006206CA" w:rsidP="006206CA">
            <w:pPr>
              <w:pStyle w:val="TableText0"/>
              <w:keepLines/>
              <w:jc w:val="center"/>
            </w:pPr>
          </w:p>
        </w:tc>
      </w:tr>
      <w:tr w:rsidR="000F3C29" w:rsidRPr="008C164C" w14:paraId="072BDB94" w14:textId="77777777" w:rsidTr="00294D03">
        <w:trPr>
          <w:trHeight w:val="227"/>
        </w:trPr>
        <w:tc>
          <w:tcPr>
            <w:tcW w:w="8905" w:type="dxa"/>
            <w:gridSpan w:val="6"/>
            <w:shd w:val="clear" w:color="auto" w:fill="auto"/>
            <w:vAlign w:val="center"/>
          </w:tcPr>
          <w:p w14:paraId="3C904ECD" w14:textId="6F80BB51" w:rsidR="000F3C29" w:rsidRPr="008C164C" w:rsidRDefault="000F3C29" w:rsidP="00C61A63">
            <w:pPr>
              <w:keepNext/>
              <w:keepLines/>
              <w:jc w:val="left"/>
              <w:rPr>
                <w:rFonts w:ascii="Arial Narrow" w:hAnsi="Arial Narrow" w:cs="Calibri"/>
                <w:b/>
                <w:bCs/>
                <w:color w:val="000000"/>
                <w:sz w:val="20"/>
                <w:szCs w:val="20"/>
              </w:rPr>
            </w:pPr>
            <w:r w:rsidRPr="008C164C">
              <w:rPr>
                <w:rFonts w:ascii="Arial Narrow" w:hAnsi="Arial Narrow" w:cs="Calibri"/>
                <w:b/>
                <w:bCs/>
                <w:color w:val="000000"/>
                <w:sz w:val="20"/>
                <w:szCs w:val="20"/>
              </w:rPr>
              <w:t>Evaluator indicative analysis using weighting</w:t>
            </w:r>
            <w:r w:rsidR="008E4573" w:rsidRPr="008C164C">
              <w:rPr>
                <w:rFonts w:ascii="Arial Narrow" w:hAnsi="Arial Narrow" w:cs="Calibri"/>
                <w:b/>
                <w:bCs/>
                <w:color w:val="000000"/>
                <w:sz w:val="20"/>
                <w:szCs w:val="20"/>
              </w:rPr>
              <w:t xml:space="preserve"> by trial population size</w:t>
            </w:r>
          </w:p>
        </w:tc>
      </w:tr>
      <w:tr w:rsidR="000F3C29" w:rsidRPr="008C164C" w14:paraId="621458F8" w14:textId="77777777" w:rsidTr="00294D03">
        <w:trPr>
          <w:trHeight w:val="227"/>
        </w:trPr>
        <w:tc>
          <w:tcPr>
            <w:tcW w:w="1980" w:type="dxa"/>
            <w:vAlign w:val="center"/>
          </w:tcPr>
          <w:p w14:paraId="38936CB8" w14:textId="77777777" w:rsidR="000F3C29" w:rsidRPr="008C164C" w:rsidRDefault="000F3C29" w:rsidP="00C61A63">
            <w:pPr>
              <w:pStyle w:val="TableText0"/>
              <w:keepLines/>
            </w:pPr>
          </w:p>
        </w:tc>
        <w:tc>
          <w:tcPr>
            <w:tcW w:w="992" w:type="dxa"/>
            <w:shd w:val="clear" w:color="auto" w:fill="auto"/>
            <w:noWrap/>
            <w:vAlign w:val="center"/>
          </w:tcPr>
          <w:p w14:paraId="0ABEB247" w14:textId="77777777" w:rsidR="000F3C29" w:rsidRPr="008C164C" w:rsidRDefault="000F3C29" w:rsidP="00C61A63">
            <w:pPr>
              <w:pStyle w:val="TableText0"/>
              <w:keepLines/>
              <w:jc w:val="center"/>
            </w:pPr>
          </w:p>
        </w:tc>
        <w:tc>
          <w:tcPr>
            <w:tcW w:w="1418" w:type="dxa"/>
            <w:noWrap/>
            <w:vAlign w:val="center"/>
          </w:tcPr>
          <w:p w14:paraId="50CA02B1" w14:textId="77777777" w:rsidR="000F3C29" w:rsidRPr="008C164C" w:rsidRDefault="000F3C29" w:rsidP="00C61A63">
            <w:pPr>
              <w:pStyle w:val="TableText0"/>
              <w:keepLines/>
              <w:jc w:val="center"/>
            </w:pPr>
          </w:p>
        </w:tc>
        <w:tc>
          <w:tcPr>
            <w:tcW w:w="4515" w:type="dxa"/>
            <w:gridSpan w:val="3"/>
            <w:shd w:val="clear" w:color="auto" w:fill="auto"/>
            <w:noWrap/>
            <w:vAlign w:val="center"/>
          </w:tcPr>
          <w:p w14:paraId="70D62347" w14:textId="77777777" w:rsidR="000F3C29" w:rsidRPr="008C164C" w:rsidRDefault="000F3C29" w:rsidP="00C61A63">
            <w:pPr>
              <w:pStyle w:val="TableText0"/>
              <w:keepLines/>
              <w:jc w:val="center"/>
              <w:rPr>
                <w:b/>
                <w:bCs w:val="0"/>
              </w:rPr>
            </w:pPr>
            <w:r w:rsidRPr="008C164C">
              <w:rPr>
                <w:b/>
                <w:bCs w:val="0"/>
              </w:rPr>
              <w:t>Risk difference*</w:t>
            </w:r>
          </w:p>
        </w:tc>
      </w:tr>
      <w:tr w:rsidR="000F3C29" w:rsidRPr="008C164C" w14:paraId="4909D70D" w14:textId="77777777" w:rsidTr="00294D03">
        <w:trPr>
          <w:trHeight w:val="227"/>
        </w:trPr>
        <w:tc>
          <w:tcPr>
            <w:tcW w:w="1980" w:type="dxa"/>
            <w:vAlign w:val="center"/>
          </w:tcPr>
          <w:p w14:paraId="41A61DCD" w14:textId="77777777" w:rsidR="000F3C29" w:rsidRPr="008C164C" w:rsidRDefault="000F3C29" w:rsidP="00C61A63">
            <w:pPr>
              <w:pStyle w:val="TableText0"/>
              <w:keepLines/>
            </w:pPr>
            <w:r w:rsidRPr="008C164C">
              <w:t>Combined Cohort 1 &amp; 2</w:t>
            </w:r>
          </w:p>
        </w:tc>
        <w:tc>
          <w:tcPr>
            <w:tcW w:w="992" w:type="dxa"/>
            <w:shd w:val="clear" w:color="auto" w:fill="C6D9F1" w:themeFill="text2" w:themeFillTint="33"/>
            <w:noWrap/>
            <w:vAlign w:val="center"/>
          </w:tcPr>
          <w:p w14:paraId="1CD2170B" w14:textId="77777777" w:rsidR="000F3C29" w:rsidRPr="008C164C" w:rsidRDefault="000F3C29" w:rsidP="00C61A63">
            <w:pPr>
              <w:pStyle w:val="TableText0"/>
              <w:keepLines/>
              <w:jc w:val="center"/>
            </w:pPr>
            <w:r w:rsidRPr="008C164C">
              <w:rPr>
                <w:rFonts w:cs="Calibri"/>
                <w:szCs w:val="20"/>
              </w:rPr>
              <w:t>0.792</w:t>
            </w:r>
          </w:p>
        </w:tc>
        <w:tc>
          <w:tcPr>
            <w:tcW w:w="1418" w:type="dxa"/>
            <w:noWrap/>
            <w:vAlign w:val="center"/>
          </w:tcPr>
          <w:p w14:paraId="42CAC51B" w14:textId="77777777" w:rsidR="000F3C29" w:rsidRPr="008C164C" w:rsidRDefault="000F3C29" w:rsidP="00C61A63">
            <w:pPr>
              <w:pStyle w:val="TableText0"/>
              <w:keepLines/>
              <w:jc w:val="center"/>
            </w:pPr>
            <w:r w:rsidRPr="008C164C">
              <w:rPr>
                <w:rFonts w:cs="Calibri"/>
                <w:color w:val="000000"/>
                <w:szCs w:val="20"/>
              </w:rPr>
              <w:t>0.357</w:t>
            </w:r>
          </w:p>
        </w:tc>
        <w:tc>
          <w:tcPr>
            <w:tcW w:w="1185" w:type="dxa"/>
            <w:shd w:val="clear" w:color="auto" w:fill="auto"/>
            <w:noWrap/>
            <w:vAlign w:val="center"/>
          </w:tcPr>
          <w:p w14:paraId="77F87AEA" w14:textId="77777777" w:rsidR="000F3C29" w:rsidRPr="008C164C" w:rsidRDefault="000F3C29" w:rsidP="00C61A63">
            <w:pPr>
              <w:pStyle w:val="TableText0"/>
              <w:keepLines/>
              <w:jc w:val="center"/>
            </w:pPr>
            <w:r w:rsidRPr="008C164C">
              <w:rPr>
                <w:rFonts w:cs="Calibri"/>
                <w:color w:val="000000"/>
                <w:szCs w:val="20"/>
              </w:rPr>
              <w:t>0.435</w:t>
            </w:r>
          </w:p>
        </w:tc>
        <w:tc>
          <w:tcPr>
            <w:tcW w:w="3330" w:type="dxa"/>
            <w:gridSpan w:val="2"/>
            <w:vMerge w:val="restart"/>
            <w:noWrap/>
            <w:vAlign w:val="center"/>
          </w:tcPr>
          <w:p w14:paraId="1290689C" w14:textId="77777777" w:rsidR="000F3C29" w:rsidRPr="008C164C" w:rsidRDefault="000F3C29" w:rsidP="00C61A63">
            <w:pPr>
              <w:pStyle w:val="TableText0"/>
              <w:keepLines/>
              <w:jc w:val="center"/>
            </w:pPr>
            <w:r w:rsidRPr="008C164C">
              <w:t>NC</w:t>
            </w:r>
          </w:p>
        </w:tc>
      </w:tr>
      <w:tr w:rsidR="000F3C29" w:rsidRPr="008C164C" w14:paraId="46E35D74" w14:textId="77777777" w:rsidTr="00294D03">
        <w:trPr>
          <w:trHeight w:val="227"/>
        </w:trPr>
        <w:tc>
          <w:tcPr>
            <w:tcW w:w="1980" w:type="dxa"/>
            <w:vAlign w:val="center"/>
          </w:tcPr>
          <w:p w14:paraId="198BF846" w14:textId="77777777" w:rsidR="000F3C29" w:rsidRPr="008C164C" w:rsidRDefault="000F3C29" w:rsidP="00C61A63">
            <w:pPr>
              <w:pStyle w:val="TableText0"/>
              <w:keepLines/>
            </w:pPr>
            <w:r w:rsidRPr="008C164C">
              <w:t xml:space="preserve">Cohort 1 </w:t>
            </w:r>
          </w:p>
        </w:tc>
        <w:tc>
          <w:tcPr>
            <w:tcW w:w="992" w:type="dxa"/>
            <w:shd w:val="clear" w:color="auto" w:fill="C6D9F1" w:themeFill="text2" w:themeFillTint="33"/>
            <w:noWrap/>
            <w:vAlign w:val="center"/>
          </w:tcPr>
          <w:p w14:paraId="29C05425" w14:textId="77777777" w:rsidR="000F3C29" w:rsidRPr="008C164C" w:rsidRDefault="000F3C29" w:rsidP="00C61A63">
            <w:pPr>
              <w:pStyle w:val="TableText0"/>
              <w:keepLines/>
              <w:jc w:val="center"/>
            </w:pPr>
            <w:r w:rsidRPr="008C164C">
              <w:rPr>
                <w:rFonts w:cs="Calibri"/>
                <w:szCs w:val="20"/>
              </w:rPr>
              <w:t>0.833</w:t>
            </w:r>
          </w:p>
        </w:tc>
        <w:tc>
          <w:tcPr>
            <w:tcW w:w="1418" w:type="dxa"/>
            <w:noWrap/>
            <w:vAlign w:val="center"/>
          </w:tcPr>
          <w:p w14:paraId="5268EA8E" w14:textId="77777777" w:rsidR="000F3C29" w:rsidRPr="008C164C" w:rsidRDefault="000F3C29" w:rsidP="00C61A63">
            <w:pPr>
              <w:pStyle w:val="TableText0"/>
              <w:keepLines/>
              <w:jc w:val="center"/>
            </w:pPr>
            <w:r w:rsidRPr="008C164C">
              <w:rPr>
                <w:rFonts w:cs="Calibri"/>
                <w:color w:val="000000"/>
                <w:szCs w:val="20"/>
              </w:rPr>
              <w:t>0.357</w:t>
            </w:r>
          </w:p>
        </w:tc>
        <w:tc>
          <w:tcPr>
            <w:tcW w:w="1185" w:type="dxa"/>
            <w:shd w:val="clear" w:color="auto" w:fill="auto"/>
            <w:noWrap/>
            <w:vAlign w:val="center"/>
          </w:tcPr>
          <w:p w14:paraId="1DFB1EA2" w14:textId="77777777" w:rsidR="000F3C29" w:rsidRPr="008C164C" w:rsidRDefault="000F3C29" w:rsidP="00C61A63">
            <w:pPr>
              <w:pStyle w:val="TableText0"/>
              <w:keepLines/>
              <w:jc w:val="center"/>
            </w:pPr>
            <w:r w:rsidRPr="008C164C">
              <w:rPr>
                <w:rFonts w:cs="Calibri"/>
                <w:color w:val="000000"/>
                <w:szCs w:val="20"/>
              </w:rPr>
              <w:t>0.476</w:t>
            </w:r>
          </w:p>
        </w:tc>
        <w:tc>
          <w:tcPr>
            <w:tcW w:w="3330" w:type="dxa"/>
            <w:gridSpan w:val="2"/>
            <w:vMerge/>
            <w:noWrap/>
            <w:vAlign w:val="center"/>
          </w:tcPr>
          <w:p w14:paraId="45D2E68C" w14:textId="77777777" w:rsidR="000F3C29" w:rsidRPr="008C164C" w:rsidRDefault="000F3C29" w:rsidP="00C61A63">
            <w:pPr>
              <w:pStyle w:val="TableText0"/>
              <w:keepLines/>
              <w:jc w:val="center"/>
            </w:pPr>
          </w:p>
        </w:tc>
      </w:tr>
      <w:tr w:rsidR="000F3C29" w:rsidRPr="008C164C" w14:paraId="370D7D45" w14:textId="77777777" w:rsidTr="00294D03">
        <w:trPr>
          <w:trHeight w:val="227"/>
        </w:trPr>
        <w:tc>
          <w:tcPr>
            <w:tcW w:w="1980" w:type="dxa"/>
            <w:vAlign w:val="center"/>
          </w:tcPr>
          <w:p w14:paraId="1B8507C1" w14:textId="77777777" w:rsidR="000F3C29" w:rsidRPr="008C164C" w:rsidRDefault="000F3C29" w:rsidP="00C61A63">
            <w:pPr>
              <w:pStyle w:val="TableText0"/>
              <w:keepLines/>
            </w:pPr>
          </w:p>
        </w:tc>
        <w:tc>
          <w:tcPr>
            <w:tcW w:w="992" w:type="dxa"/>
            <w:shd w:val="clear" w:color="auto" w:fill="auto"/>
            <w:noWrap/>
            <w:vAlign w:val="center"/>
          </w:tcPr>
          <w:p w14:paraId="59873E12" w14:textId="77777777" w:rsidR="000F3C29" w:rsidRPr="008C164C" w:rsidRDefault="000F3C29" w:rsidP="00C61A63">
            <w:pPr>
              <w:pStyle w:val="TableText0"/>
              <w:keepLines/>
              <w:jc w:val="center"/>
            </w:pPr>
          </w:p>
        </w:tc>
        <w:tc>
          <w:tcPr>
            <w:tcW w:w="1418" w:type="dxa"/>
            <w:noWrap/>
            <w:vAlign w:val="center"/>
          </w:tcPr>
          <w:p w14:paraId="346512E7" w14:textId="77777777" w:rsidR="000F3C29" w:rsidRPr="008C164C" w:rsidRDefault="000F3C29" w:rsidP="00C61A63">
            <w:pPr>
              <w:pStyle w:val="TableText0"/>
              <w:keepLines/>
              <w:jc w:val="center"/>
            </w:pPr>
          </w:p>
        </w:tc>
        <w:tc>
          <w:tcPr>
            <w:tcW w:w="4515" w:type="dxa"/>
            <w:gridSpan w:val="3"/>
            <w:shd w:val="clear" w:color="auto" w:fill="auto"/>
            <w:noWrap/>
            <w:vAlign w:val="center"/>
          </w:tcPr>
          <w:p w14:paraId="24930402" w14:textId="2AAE86E2" w:rsidR="000F3C29" w:rsidRPr="008C164C" w:rsidRDefault="00B16F29" w:rsidP="00C61A63">
            <w:pPr>
              <w:pStyle w:val="TableText0"/>
              <w:keepLines/>
              <w:jc w:val="center"/>
              <w:rPr>
                <w:b/>
                <w:bCs w:val="0"/>
              </w:rPr>
            </w:pPr>
            <w:r w:rsidRPr="008C164C">
              <w:rPr>
                <w:b/>
                <w:bCs w:val="0"/>
              </w:rPr>
              <w:t>Relative risk</w:t>
            </w:r>
            <w:r w:rsidR="000F3C29" w:rsidRPr="008C164C">
              <w:rPr>
                <w:b/>
                <w:bCs w:val="0"/>
              </w:rPr>
              <w:t>*</w:t>
            </w:r>
          </w:p>
        </w:tc>
      </w:tr>
      <w:tr w:rsidR="000F3C29" w:rsidRPr="008C164C" w14:paraId="76607403" w14:textId="77777777" w:rsidTr="00294D03">
        <w:trPr>
          <w:trHeight w:val="227"/>
        </w:trPr>
        <w:tc>
          <w:tcPr>
            <w:tcW w:w="1980" w:type="dxa"/>
            <w:vAlign w:val="center"/>
          </w:tcPr>
          <w:p w14:paraId="6C66A1BA" w14:textId="77777777" w:rsidR="000F3C29" w:rsidRPr="008C164C" w:rsidRDefault="000F3C29" w:rsidP="00C61A63">
            <w:pPr>
              <w:pStyle w:val="TableText0"/>
              <w:keepLines/>
            </w:pPr>
            <w:r w:rsidRPr="008C164C">
              <w:t>Combined Cohort 1 &amp; 2</w:t>
            </w:r>
          </w:p>
          <w:p w14:paraId="1B8B90EB" w14:textId="0265D33C" w:rsidR="005E6CAB" w:rsidRPr="008C164C" w:rsidRDefault="005E6CAB" w:rsidP="00C61A63">
            <w:pPr>
              <w:pStyle w:val="TableText0"/>
              <w:keepLines/>
              <w:rPr>
                <w:b/>
                <w:bCs w:val="0"/>
                <w:i/>
                <w:iCs/>
              </w:rPr>
            </w:pPr>
            <w:r w:rsidRPr="008C164C">
              <w:rPr>
                <w:b/>
                <w:bCs w:val="0"/>
                <w:i/>
                <w:iCs/>
              </w:rPr>
              <w:t>(ESC preferred)</w:t>
            </w:r>
          </w:p>
        </w:tc>
        <w:tc>
          <w:tcPr>
            <w:tcW w:w="992" w:type="dxa"/>
            <w:shd w:val="clear" w:color="auto" w:fill="C6D9F1" w:themeFill="text2" w:themeFillTint="33"/>
            <w:noWrap/>
            <w:vAlign w:val="center"/>
          </w:tcPr>
          <w:p w14:paraId="54433A79" w14:textId="77777777" w:rsidR="000F3C29" w:rsidRPr="008C164C" w:rsidRDefault="000F3C29" w:rsidP="00C61A63">
            <w:pPr>
              <w:pStyle w:val="TableText0"/>
              <w:keepLines/>
              <w:jc w:val="center"/>
            </w:pPr>
            <w:r w:rsidRPr="008C164C">
              <w:t>0.792</w:t>
            </w:r>
          </w:p>
        </w:tc>
        <w:tc>
          <w:tcPr>
            <w:tcW w:w="1418" w:type="dxa"/>
            <w:noWrap/>
            <w:vAlign w:val="center"/>
          </w:tcPr>
          <w:p w14:paraId="32270927" w14:textId="77777777" w:rsidR="000F3C29" w:rsidRPr="008C164C" w:rsidRDefault="000F3C29" w:rsidP="00C61A63">
            <w:pPr>
              <w:pStyle w:val="TableText0"/>
              <w:keepLines/>
              <w:jc w:val="center"/>
            </w:pPr>
            <w:r w:rsidRPr="008C164C">
              <w:t>0.357</w:t>
            </w:r>
          </w:p>
        </w:tc>
        <w:tc>
          <w:tcPr>
            <w:tcW w:w="1185" w:type="dxa"/>
            <w:shd w:val="clear" w:color="auto" w:fill="auto"/>
            <w:noWrap/>
            <w:vAlign w:val="center"/>
          </w:tcPr>
          <w:p w14:paraId="1E96E4CD" w14:textId="77777777" w:rsidR="000F3C29" w:rsidRPr="008C164C" w:rsidRDefault="000F3C29" w:rsidP="00C61A63">
            <w:pPr>
              <w:pStyle w:val="TableText0"/>
              <w:keepLines/>
              <w:jc w:val="center"/>
              <w:rPr>
                <w:b/>
                <w:bCs w:val="0"/>
              </w:rPr>
            </w:pPr>
            <w:r w:rsidRPr="008C164C">
              <w:rPr>
                <w:b/>
                <w:bCs w:val="0"/>
              </w:rPr>
              <w:t>2.218</w:t>
            </w:r>
          </w:p>
        </w:tc>
        <w:tc>
          <w:tcPr>
            <w:tcW w:w="3330" w:type="dxa"/>
            <w:gridSpan w:val="2"/>
            <w:vMerge w:val="restart"/>
            <w:noWrap/>
            <w:vAlign w:val="center"/>
          </w:tcPr>
          <w:p w14:paraId="1DD458D4" w14:textId="77777777" w:rsidR="000F3C29" w:rsidRPr="008C164C" w:rsidRDefault="000F3C29" w:rsidP="00C61A63">
            <w:pPr>
              <w:pStyle w:val="TableText0"/>
              <w:keepLines/>
              <w:jc w:val="center"/>
            </w:pPr>
            <w:r w:rsidRPr="008C164C">
              <w:t>NC</w:t>
            </w:r>
          </w:p>
        </w:tc>
      </w:tr>
      <w:tr w:rsidR="000F3C29" w:rsidRPr="008C164C" w14:paraId="12D6D362" w14:textId="77777777" w:rsidTr="00294D03">
        <w:trPr>
          <w:trHeight w:val="227"/>
        </w:trPr>
        <w:tc>
          <w:tcPr>
            <w:tcW w:w="1980" w:type="dxa"/>
            <w:vAlign w:val="center"/>
          </w:tcPr>
          <w:p w14:paraId="6D4F7D5D" w14:textId="0479681E" w:rsidR="000F3C29" w:rsidRPr="008C164C" w:rsidRDefault="002E0AE2" w:rsidP="00C61A63">
            <w:pPr>
              <w:pStyle w:val="TableText0"/>
              <w:keepLines/>
            </w:pPr>
            <w:r w:rsidRPr="008C164C">
              <w:t>Cohort 1</w:t>
            </w:r>
          </w:p>
        </w:tc>
        <w:tc>
          <w:tcPr>
            <w:tcW w:w="992" w:type="dxa"/>
            <w:shd w:val="clear" w:color="auto" w:fill="C6D9F1" w:themeFill="text2" w:themeFillTint="33"/>
            <w:noWrap/>
            <w:vAlign w:val="center"/>
          </w:tcPr>
          <w:p w14:paraId="1D8956BE" w14:textId="77777777" w:rsidR="000F3C29" w:rsidRPr="008C164C" w:rsidRDefault="000F3C29" w:rsidP="00C61A63">
            <w:pPr>
              <w:pStyle w:val="TableText0"/>
              <w:keepLines/>
              <w:jc w:val="center"/>
            </w:pPr>
            <w:r w:rsidRPr="008C164C">
              <w:t>0.833</w:t>
            </w:r>
          </w:p>
        </w:tc>
        <w:tc>
          <w:tcPr>
            <w:tcW w:w="1418" w:type="dxa"/>
            <w:noWrap/>
            <w:vAlign w:val="bottom"/>
          </w:tcPr>
          <w:p w14:paraId="38D1778A" w14:textId="77777777" w:rsidR="000F3C29" w:rsidRPr="008C164C" w:rsidRDefault="000F3C29" w:rsidP="00C61A63">
            <w:pPr>
              <w:pStyle w:val="TableText0"/>
              <w:keepLines/>
              <w:jc w:val="center"/>
            </w:pPr>
            <w:r w:rsidRPr="008C164C">
              <w:t>0.357</w:t>
            </w:r>
          </w:p>
        </w:tc>
        <w:tc>
          <w:tcPr>
            <w:tcW w:w="1185" w:type="dxa"/>
            <w:shd w:val="clear" w:color="auto" w:fill="auto"/>
            <w:noWrap/>
            <w:vAlign w:val="center"/>
          </w:tcPr>
          <w:p w14:paraId="56E3ABAB" w14:textId="77777777" w:rsidR="000F3C29" w:rsidRPr="008C164C" w:rsidRDefault="000F3C29" w:rsidP="00C61A63">
            <w:pPr>
              <w:pStyle w:val="TableText0"/>
              <w:keepLines/>
              <w:jc w:val="center"/>
            </w:pPr>
            <w:r w:rsidRPr="008C164C">
              <w:t>2.333</w:t>
            </w:r>
          </w:p>
        </w:tc>
        <w:tc>
          <w:tcPr>
            <w:tcW w:w="3330" w:type="dxa"/>
            <w:gridSpan w:val="2"/>
            <w:vMerge/>
            <w:noWrap/>
            <w:vAlign w:val="center"/>
          </w:tcPr>
          <w:p w14:paraId="773DA459" w14:textId="77777777" w:rsidR="000F3C29" w:rsidRPr="008C164C" w:rsidRDefault="000F3C29" w:rsidP="00C61A63">
            <w:pPr>
              <w:pStyle w:val="TableText0"/>
              <w:keepLines/>
              <w:jc w:val="center"/>
            </w:pPr>
          </w:p>
        </w:tc>
      </w:tr>
      <w:tr w:rsidR="000F3C29" w:rsidRPr="008C164C" w14:paraId="59F8C6F7" w14:textId="77777777" w:rsidTr="00294D03">
        <w:trPr>
          <w:trHeight w:val="227"/>
        </w:trPr>
        <w:tc>
          <w:tcPr>
            <w:tcW w:w="8905" w:type="dxa"/>
            <w:gridSpan w:val="6"/>
            <w:shd w:val="clear" w:color="auto" w:fill="auto"/>
            <w:vAlign w:val="center"/>
          </w:tcPr>
          <w:p w14:paraId="5678238D" w14:textId="77777777" w:rsidR="000F3C29" w:rsidRPr="008C164C" w:rsidRDefault="000F3C29" w:rsidP="00C61A63">
            <w:pPr>
              <w:pStyle w:val="TableText0"/>
              <w:keepLines/>
            </w:pPr>
            <w:r w:rsidRPr="008C164C">
              <w:rPr>
                <w:rFonts w:cs="Calibri"/>
                <w:b/>
                <w:bCs w:val="0"/>
                <w:color w:val="000000"/>
                <w:szCs w:val="20"/>
              </w:rPr>
              <w:t>Evaluator indicative analysis using fixed effects model</w:t>
            </w:r>
          </w:p>
        </w:tc>
      </w:tr>
      <w:tr w:rsidR="000F3C29" w:rsidRPr="008C164C" w14:paraId="49B258A9" w14:textId="77777777" w:rsidTr="00294D03">
        <w:trPr>
          <w:trHeight w:val="227"/>
        </w:trPr>
        <w:tc>
          <w:tcPr>
            <w:tcW w:w="1980" w:type="dxa"/>
            <w:vAlign w:val="center"/>
          </w:tcPr>
          <w:p w14:paraId="37F5DD67" w14:textId="77777777" w:rsidR="000F3C29" w:rsidRPr="008C164C" w:rsidRDefault="000F3C29" w:rsidP="00C61A63">
            <w:pPr>
              <w:pStyle w:val="TableText0"/>
              <w:keepLines/>
            </w:pPr>
          </w:p>
        </w:tc>
        <w:tc>
          <w:tcPr>
            <w:tcW w:w="992" w:type="dxa"/>
            <w:shd w:val="clear" w:color="auto" w:fill="auto"/>
            <w:noWrap/>
            <w:vAlign w:val="center"/>
          </w:tcPr>
          <w:p w14:paraId="6E3B92EE" w14:textId="77777777" w:rsidR="000F3C29" w:rsidRPr="008C164C" w:rsidRDefault="000F3C29" w:rsidP="00C61A63">
            <w:pPr>
              <w:pStyle w:val="TableText0"/>
              <w:keepLines/>
              <w:jc w:val="center"/>
            </w:pPr>
          </w:p>
        </w:tc>
        <w:tc>
          <w:tcPr>
            <w:tcW w:w="1418" w:type="dxa"/>
            <w:noWrap/>
            <w:vAlign w:val="center"/>
          </w:tcPr>
          <w:p w14:paraId="7E809E7B" w14:textId="77777777" w:rsidR="000F3C29" w:rsidRPr="008C164C" w:rsidRDefault="000F3C29" w:rsidP="00C61A63">
            <w:pPr>
              <w:pStyle w:val="TableText0"/>
              <w:keepLines/>
              <w:jc w:val="center"/>
            </w:pPr>
          </w:p>
        </w:tc>
        <w:tc>
          <w:tcPr>
            <w:tcW w:w="4515" w:type="dxa"/>
            <w:gridSpan w:val="3"/>
            <w:shd w:val="clear" w:color="auto" w:fill="auto"/>
            <w:noWrap/>
            <w:vAlign w:val="center"/>
          </w:tcPr>
          <w:p w14:paraId="274CD5C9" w14:textId="77777777" w:rsidR="000F3C29" w:rsidRPr="008C164C" w:rsidRDefault="000F3C29" w:rsidP="00C61A63">
            <w:pPr>
              <w:pStyle w:val="TableText0"/>
              <w:keepLines/>
              <w:jc w:val="center"/>
              <w:rPr>
                <w:b/>
                <w:bCs w:val="0"/>
              </w:rPr>
            </w:pPr>
            <w:r w:rsidRPr="008C164C">
              <w:rPr>
                <w:b/>
                <w:bCs w:val="0"/>
              </w:rPr>
              <w:t>Risk difference*</w:t>
            </w:r>
          </w:p>
        </w:tc>
      </w:tr>
      <w:tr w:rsidR="000F3C29" w:rsidRPr="008C164C" w14:paraId="15408C69" w14:textId="77777777" w:rsidTr="00294D03">
        <w:trPr>
          <w:trHeight w:val="227"/>
        </w:trPr>
        <w:tc>
          <w:tcPr>
            <w:tcW w:w="1980" w:type="dxa"/>
            <w:vAlign w:val="center"/>
          </w:tcPr>
          <w:p w14:paraId="5A0020A9" w14:textId="77777777" w:rsidR="000F3C29" w:rsidRPr="008C164C" w:rsidRDefault="000F3C29" w:rsidP="00C61A63">
            <w:pPr>
              <w:pStyle w:val="TableText0"/>
              <w:keepLines/>
            </w:pPr>
            <w:r w:rsidRPr="008C164C">
              <w:t>Combined Cohort 1 &amp; 2</w:t>
            </w:r>
          </w:p>
        </w:tc>
        <w:tc>
          <w:tcPr>
            <w:tcW w:w="992" w:type="dxa"/>
            <w:shd w:val="clear" w:color="auto" w:fill="C6D9F1" w:themeFill="text2" w:themeFillTint="33"/>
            <w:noWrap/>
            <w:vAlign w:val="center"/>
          </w:tcPr>
          <w:p w14:paraId="51F1E85B" w14:textId="77777777" w:rsidR="000F3C29" w:rsidRPr="008C164C" w:rsidRDefault="000F3C29" w:rsidP="00C61A63">
            <w:pPr>
              <w:pStyle w:val="TableText0"/>
              <w:keepLines/>
              <w:jc w:val="center"/>
            </w:pPr>
            <w:r w:rsidRPr="008C164C">
              <w:rPr>
                <w:rFonts w:cs="Calibri"/>
                <w:szCs w:val="20"/>
              </w:rPr>
              <w:t>0.792</w:t>
            </w:r>
          </w:p>
        </w:tc>
        <w:tc>
          <w:tcPr>
            <w:tcW w:w="1418" w:type="dxa"/>
            <w:noWrap/>
            <w:vAlign w:val="center"/>
          </w:tcPr>
          <w:p w14:paraId="486BD9A7" w14:textId="77777777" w:rsidR="000F3C29" w:rsidRPr="008C164C" w:rsidRDefault="000F3C29" w:rsidP="00C61A63">
            <w:pPr>
              <w:pStyle w:val="TableText0"/>
              <w:keepLines/>
              <w:jc w:val="center"/>
            </w:pPr>
            <w:r w:rsidRPr="008C164C">
              <w:t>0.322</w:t>
            </w:r>
          </w:p>
        </w:tc>
        <w:tc>
          <w:tcPr>
            <w:tcW w:w="1185" w:type="dxa"/>
            <w:shd w:val="clear" w:color="auto" w:fill="auto"/>
            <w:noWrap/>
            <w:vAlign w:val="center"/>
          </w:tcPr>
          <w:p w14:paraId="6C89B967" w14:textId="77777777" w:rsidR="000F3C29" w:rsidRPr="008C164C" w:rsidRDefault="000F3C29" w:rsidP="00C61A63">
            <w:pPr>
              <w:pStyle w:val="TableText0"/>
              <w:keepLines/>
              <w:jc w:val="center"/>
            </w:pPr>
            <w:r w:rsidRPr="008C164C">
              <w:rPr>
                <w:rFonts w:cs="Calibri"/>
                <w:color w:val="000000"/>
                <w:szCs w:val="20"/>
              </w:rPr>
              <w:t>0.47</w:t>
            </w:r>
          </w:p>
        </w:tc>
        <w:tc>
          <w:tcPr>
            <w:tcW w:w="3330" w:type="dxa"/>
            <w:gridSpan w:val="2"/>
            <w:vMerge w:val="restart"/>
            <w:noWrap/>
            <w:vAlign w:val="center"/>
          </w:tcPr>
          <w:p w14:paraId="7A9A872C" w14:textId="77777777" w:rsidR="000F3C29" w:rsidRPr="008C164C" w:rsidRDefault="000F3C29" w:rsidP="00C61A63">
            <w:pPr>
              <w:pStyle w:val="TableText0"/>
              <w:keepLines/>
              <w:jc w:val="center"/>
            </w:pPr>
            <w:r w:rsidRPr="008C164C">
              <w:t>NC</w:t>
            </w:r>
          </w:p>
        </w:tc>
      </w:tr>
      <w:tr w:rsidR="000F3C29" w:rsidRPr="008C164C" w14:paraId="59B275C6" w14:textId="77777777" w:rsidTr="00294D03">
        <w:trPr>
          <w:trHeight w:val="227"/>
        </w:trPr>
        <w:tc>
          <w:tcPr>
            <w:tcW w:w="1980" w:type="dxa"/>
            <w:vAlign w:val="center"/>
          </w:tcPr>
          <w:p w14:paraId="6857617F" w14:textId="77777777" w:rsidR="000F3C29" w:rsidRPr="008C164C" w:rsidRDefault="000F3C29" w:rsidP="00C61A63">
            <w:pPr>
              <w:pStyle w:val="TableText0"/>
              <w:keepLines/>
            </w:pPr>
            <w:r w:rsidRPr="008C164C">
              <w:t xml:space="preserve">Cohort 1 </w:t>
            </w:r>
          </w:p>
        </w:tc>
        <w:tc>
          <w:tcPr>
            <w:tcW w:w="992" w:type="dxa"/>
            <w:shd w:val="clear" w:color="auto" w:fill="C6D9F1" w:themeFill="text2" w:themeFillTint="33"/>
            <w:noWrap/>
            <w:vAlign w:val="center"/>
          </w:tcPr>
          <w:p w14:paraId="7B443EAB" w14:textId="77777777" w:rsidR="000F3C29" w:rsidRPr="008C164C" w:rsidRDefault="000F3C29" w:rsidP="00C61A63">
            <w:pPr>
              <w:pStyle w:val="TableText0"/>
              <w:keepLines/>
              <w:jc w:val="center"/>
            </w:pPr>
            <w:r w:rsidRPr="008C164C">
              <w:rPr>
                <w:rFonts w:cs="Calibri"/>
                <w:szCs w:val="20"/>
              </w:rPr>
              <w:t>0.833</w:t>
            </w:r>
          </w:p>
        </w:tc>
        <w:tc>
          <w:tcPr>
            <w:tcW w:w="1418" w:type="dxa"/>
            <w:noWrap/>
            <w:vAlign w:val="center"/>
          </w:tcPr>
          <w:p w14:paraId="042517CB" w14:textId="77777777" w:rsidR="000F3C29" w:rsidRPr="008C164C" w:rsidRDefault="000F3C29" w:rsidP="00C61A63">
            <w:pPr>
              <w:pStyle w:val="TableText0"/>
              <w:keepLines/>
              <w:jc w:val="center"/>
            </w:pPr>
            <w:r w:rsidRPr="008C164C">
              <w:t>0.322</w:t>
            </w:r>
          </w:p>
        </w:tc>
        <w:tc>
          <w:tcPr>
            <w:tcW w:w="1185" w:type="dxa"/>
            <w:shd w:val="clear" w:color="auto" w:fill="auto"/>
            <w:noWrap/>
            <w:vAlign w:val="center"/>
          </w:tcPr>
          <w:p w14:paraId="1E0E68FE" w14:textId="77777777" w:rsidR="000F3C29" w:rsidRPr="008C164C" w:rsidRDefault="000F3C29" w:rsidP="00C61A63">
            <w:pPr>
              <w:pStyle w:val="TableText0"/>
              <w:keepLines/>
              <w:jc w:val="center"/>
            </w:pPr>
            <w:r w:rsidRPr="008C164C">
              <w:rPr>
                <w:rFonts w:cs="Calibri"/>
                <w:color w:val="000000"/>
                <w:szCs w:val="20"/>
              </w:rPr>
              <w:t>0.511</w:t>
            </w:r>
          </w:p>
        </w:tc>
        <w:tc>
          <w:tcPr>
            <w:tcW w:w="3330" w:type="dxa"/>
            <w:gridSpan w:val="2"/>
            <w:vMerge/>
            <w:noWrap/>
            <w:vAlign w:val="center"/>
          </w:tcPr>
          <w:p w14:paraId="29DE8C20" w14:textId="77777777" w:rsidR="000F3C29" w:rsidRPr="008C164C" w:rsidRDefault="000F3C29" w:rsidP="00C61A63">
            <w:pPr>
              <w:pStyle w:val="TableText0"/>
              <w:keepLines/>
              <w:jc w:val="center"/>
            </w:pPr>
          </w:p>
        </w:tc>
      </w:tr>
      <w:tr w:rsidR="000F3C29" w:rsidRPr="008C164C" w14:paraId="16426EC5" w14:textId="77777777" w:rsidTr="00294D03">
        <w:trPr>
          <w:trHeight w:val="227"/>
        </w:trPr>
        <w:tc>
          <w:tcPr>
            <w:tcW w:w="1980" w:type="dxa"/>
            <w:vAlign w:val="center"/>
          </w:tcPr>
          <w:p w14:paraId="2E5D1814" w14:textId="77777777" w:rsidR="000F3C29" w:rsidRPr="008C164C" w:rsidRDefault="000F3C29" w:rsidP="00C61A63">
            <w:pPr>
              <w:pStyle w:val="TableText0"/>
              <w:keepLines/>
            </w:pPr>
          </w:p>
        </w:tc>
        <w:tc>
          <w:tcPr>
            <w:tcW w:w="992" w:type="dxa"/>
            <w:shd w:val="clear" w:color="auto" w:fill="auto"/>
            <w:noWrap/>
            <w:vAlign w:val="center"/>
          </w:tcPr>
          <w:p w14:paraId="4471875D" w14:textId="77777777" w:rsidR="000F3C29" w:rsidRPr="008C164C" w:rsidRDefault="000F3C29" w:rsidP="00C61A63">
            <w:pPr>
              <w:pStyle w:val="TableText0"/>
              <w:keepLines/>
              <w:jc w:val="center"/>
            </w:pPr>
          </w:p>
        </w:tc>
        <w:tc>
          <w:tcPr>
            <w:tcW w:w="1418" w:type="dxa"/>
            <w:noWrap/>
            <w:vAlign w:val="center"/>
          </w:tcPr>
          <w:p w14:paraId="5262DB4B" w14:textId="77777777" w:rsidR="000F3C29" w:rsidRPr="008C164C" w:rsidRDefault="000F3C29" w:rsidP="00C61A63">
            <w:pPr>
              <w:pStyle w:val="TableText0"/>
              <w:keepLines/>
              <w:jc w:val="center"/>
            </w:pPr>
          </w:p>
        </w:tc>
        <w:tc>
          <w:tcPr>
            <w:tcW w:w="4515" w:type="dxa"/>
            <w:gridSpan w:val="3"/>
            <w:shd w:val="clear" w:color="auto" w:fill="auto"/>
            <w:noWrap/>
            <w:vAlign w:val="center"/>
          </w:tcPr>
          <w:p w14:paraId="3583A44A" w14:textId="409BFC79" w:rsidR="000F3C29" w:rsidRPr="008C164C" w:rsidRDefault="00B16F29" w:rsidP="00C61A63">
            <w:pPr>
              <w:pStyle w:val="TableText0"/>
              <w:keepLines/>
              <w:jc w:val="center"/>
              <w:rPr>
                <w:b/>
                <w:bCs w:val="0"/>
              </w:rPr>
            </w:pPr>
            <w:r w:rsidRPr="008C164C">
              <w:rPr>
                <w:rFonts w:cs="Calibri"/>
                <w:b/>
                <w:bCs w:val="0"/>
                <w:color w:val="000000"/>
                <w:szCs w:val="20"/>
              </w:rPr>
              <w:t>Relative risk</w:t>
            </w:r>
            <w:r w:rsidR="000F3C29" w:rsidRPr="008C164C">
              <w:rPr>
                <w:rFonts w:cs="Calibri"/>
                <w:b/>
                <w:bCs w:val="0"/>
                <w:color w:val="000000"/>
                <w:szCs w:val="20"/>
              </w:rPr>
              <w:t>*</w:t>
            </w:r>
          </w:p>
        </w:tc>
      </w:tr>
      <w:tr w:rsidR="000F3C29" w:rsidRPr="008C164C" w14:paraId="6585610E" w14:textId="77777777" w:rsidTr="00294D03">
        <w:trPr>
          <w:trHeight w:val="227"/>
        </w:trPr>
        <w:tc>
          <w:tcPr>
            <w:tcW w:w="1980" w:type="dxa"/>
            <w:vAlign w:val="center"/>
          </w:tcPr>
          <w:p w14:paraId="0DA044C6" w14:textId="4D5FE388" w:rsidR="000F3C29" w:rsidRPr="008C164C" w:rsidRDefault="000F3C29" w:rsidP="00C61A63">
            <w:pPr>
              <w:pStyle w:val="TableText0"/>
              <w:keepLines/>
            </w:pPr>
            <w:r w:rsidRPr="008C164C">
              <w:t>Combined Cohort1 &amp; 2</w:t>
            </w:r>
          </w:p>
        </w:tc>
        <w:tc>
          <w:tcPr>
            <w:tcW w:w="992" w:type="dxa"/>
            <w:shd w:val="clear" w:color="auto" w:fill="C6D9F1" w:themeFill="text2" w:themeFillTint="33"/>
            <w:noWrap/>
            <w:vAlign w:val="center"/>
          </w:tcPr>
          <w:p w14:paraId="587B252A" w14:textId="77777777" w:rsidR="000F3C29" w:rsidRPr="008C164C" w:rsidRDefault="000F3C29" w:rsidP="00C61A63">
            <w:pPr>
              <w:pStyle w:val="TableText0"/>
              <w:keepLines/>
              <w:jc w:val="center"/>
            </w:pPr>
            <w:r w:rsidRPr="008C164C">
              <w:t>0.792</w:t>
            </w:r>
          </w:p>
        </w:tc>
        <w:tc>
          <w:tcPr>
            <w:tcW w:w="1418" w:type="dxa"/>
            <w:noWrap/>
            <w:vAlign w:val="center"/>
          </w:tcPr>
          <w:p w14:paraId="074D8FCF" w14:textId="77777777" w:rsidR="000F3C29" w:rsidRPr="008C164C" w:rsidRDefault="000F3C29" w:rsidP="00C61A63">
            <w:pPr>
              <w:pStyle w:val="TableText0"/>
              <w:keepLines/>
              <w:jc w:val="center"/>
            </w:pPr>
            <w:r w:rsidRPr="008C164C">
              <w:t>0.322</w:t>
            </w:r>
          </w:p>
        </w:tc>
        <w:tc>
          <w:tcPr>
            <w:tcW w:w="1185" w:type="dxa"/>
            <w:shd w:val="clear" w:color="auto" w:fill="auto"/>
            <w:noWrap/>
            <w:vAlign w:val="center"/>
          </w:tcPr>
          <w:p w14:paraId="4592999E" w14:textId="77777777" w:rsidR="000F3C29" w:rsidRPr="008C164C" w:rsidRDefault="000F3C29" w:rsidP="00C61A63">
            <w:pPr>
              <w:pStyle w:val="TableText0"/>
              <w:keepLines/>
              <w:jc w:val="center"/>
            </w:pPr>
            <w:r w:rsidRPr="008C164C">
              <w:rPr>
                <w:rFonts w:cs="Calibri"/>
                <w:color w:val="000000"/>
                <w:szCs w:val="20"/>
              </w:rPr>
              <w:t>2.460</w:t>
            </w:r>
          </w:p>
        </w:tc>
        <w:tc>
          <w:tcPr>
            <w:tcW w:w="3330" w:type="dxa"/>
            <w:gridSpan w:val="2"/>
            <w:vMerge w:val="restart"/>
            <w:noWrap/>
            <w:vAlign w:val="center"/>
          </w:tcPr>
          <w:p w14:paraId="241C1CB0" w14:textId="77777777" w:rsidR="000F3C29" w:rsidRPr="008C164C" w:rsidRDefault="000F3C29" w:rsidP="00C61A63">
            <w:pPr>
              <w:pStyle w:val="TableText0"/>
              <w:keepLines/>
              <w:jc w:val="center"/>
            </w:pPr>
            <w:r w:rsidRPr="008C164C">
              <w:t>NC</w:t>
            </w:r>
          </w:p>
        </w:tc>
      </w:tr>
      <w:tr w:rsidR="000F3C29" w:rsidRPr="008C164C" w14:paraId="22D35EF3" w14:textId="77777777" w:rsidTr="00240629">
        <w:trPr>
          <w:trHeight w:val="227"/>
        </w:trPr>
        <w:tc>
          <w:tcPr>
            <w:tcW w:w="1980" w:type="dxa"/>
            <w:vAlign w:val="center"/>
          </w:tcPr>
          <w:p w14:paraId="48E93D1D" w14:textId="3B3182ED" w:rsidR="000F3C29" w:rsidRPr="008C164C" w:rsidRDefault="002E0AE2" w:rsidP="00C61A63">
            <w:pPr>
              <w:pStyle w:val="TableText0"/>
              <w:keepLines/>
            </w:pPr>
            <w:r w:rsidRPr="008C164C">
              <w:t>Cohort 1</w:t>
            </w:r>
          </w:p>
        </w:tc>
        <w:tc>
          <w:tcPr>
            <w:tcW w:w="992" w:type="dxa"/>
            <w:shd w:val="clear" w:color="auto" w:fill="C6D9F1" w:themeFill="text2" w:themeFillTint="33"/>
            <w:noWrap/>
            <w:vAlign w:val="center"/>
          </w:tcPr>
          <w:p w14:paraId="36DA5202" w14:textId="77777777" w:rsidR="000F3C29" w:rsidRPr="008C164C" w:rsidRDefault="000F3C29" w:rsidP="00C61A63">
            <w:pPr>
              <w:pStyle w:val="TableText0"/>
              <w:keepLines/>
              <w:jc w:val="center"/>
            </w:pPr>
            <w:r w:rsidRPr="008C164C">
              <w:t>0.833</w:t>
            </w:r>
          </w:p>
        </w:tc>
        <w:tc>
          <w:tcPr>
            <w:tcW w:w="1418" w:type="dxa"/>
            <w:noWrap/>
            <w:vAlign w:val="center"/>
          </w:tcPr>
          <w:p w14:paraId="7088F3B6" w14:textId="77777777" w:rsidR="000F3C29" w:rsidRPr="008C164C" w:rsidRDefault="000F3C29" w:rsidP="00C61A63">
            <w:pPr>
              <w:pStyle w:val="TableText0"/>
              <w:keepLines/>
              <w:jc w:val="center"/>
            </w:pPr>
            <w:r w:rsidRPr="008C164C">
              <w:t>0.322</w:t>
            </w:r>
          </w:p>
        </w:tc>
        <w:tc>
          <w:tcPr>
            <w:tcW w:w="1185" w:type="dxa"/>
            <w:noWrap/>
            <w:vAlign w:val="center"/>
          </w:tcPr>
          <w:p w14:paraId="50FA76EA" w14:textId="77777777" w:rsidR="000F3C29" w:rsidRPr="008C164C" w:rsidRDefault="000F3C29" w:rsidP="00C61A63">
            <w:pPr>
              <w:pStyle w:val="TableText0"/>
              <w:keepLines/>
              <w:jc w:val="center"/>
            </w:pPr>
            <w:r w:rsidRPr="008C164C">
              <w:rPr>
                <w:rFonts w:cs="Calibri"/>
                <w:color w:val="000000"/>
                <w:szCs w:val="20"/>
              </w:rPr>
              <w:t>2.587</w:t>
            </w:r>
          </w:p>
        </w:tc>
        <w:tc>
          <w:tcPr>
            <w:tcW w:w="3330" w:type="dxa"/>
            <w:gridSpan w:val="2"/>
            <w:vMerge/>
            <w:noWrap/>
          </w:tcPr>
          <w:p w14:paraId="33B0DB21" w14:textId="77777777" w:rsidR="000F3C29" w:rsidRPr="008C164C" w:rsidRDefault="000F3C29" w:rsidP="00C61A63">
            <w:pPr>
              <w:pStyle w:val="TableText0"/>
              <w:keepLines/>
              <w:jc w:val="center"/>
            </w:pPr>
          </w:p>
        </w:tc>
      </w:tr>
    </w:tbl>
    <w:p w14:paraId="21EE6194" w14:textId="1FD1E35E" w:rsidR="000F3C29" w:rsidRPr="008C164C" w:rsidRDefault="000F3C29" w:rsidP="00C61A63">
      <w:pPr>
        <w:pStyle w:val="FooterTableFigure"/>
        <w:keepNext/>
        <w:keepLines/>
      </w:pPr>
      <w:r w:rsidRPr="008C164C">
        <w:t xml:space="preserve">Blue shaded cells represent results previously considered by </w:t>
      </w:r>
      <w:r w:rsidR="004E7754" w:rsidRPr="008C164C">
        <w:t xml:space="preserve">the </w:t>
      </w:r>
      <w:r w:rsidRPr="008C164C">
        <w:t>PBAC.</w:t>
      </w:r>
    </w:p>
    <w:p w14:paraId="51222150" w14:textId="77777777" w:rsidR="000F3C29" w:rsidRPr="008C164C" w:rsidRDefault="000F3C29" w:rsidP="00C61A63">
      <w:pPr>
        <w:pStyle w:val="FooterTableFigure"/>
        <w:keepNext/>
        <w:keepLines/>
      </w:pPr>
      <w:r w:rsidRPr="008C164C">
        <w:t xml:space="preserve">Source: Table 2-32, p125 of the resubmission. </w:t>
      </w:r>
    </w:p>
    <w:p w14:paraId="2564DCE5" w14:textId="77777777" w:rsidR="000F3C29" w:rsidRPr="008C164C" w:rsidRDefault="000F3C29" w:rsidP="00C61A63">
      <w:pPr>
        <w:pStyle w:val="FooterTableFigure"/>
        <w:keepNext/>
        <w:keepLines/>
      </w:pPr>
      <w:r w:rsidRPr="008C164C">
        <w:t xml:space="preserve">LEN = </w:t>
      </w:r>
      <w:proofErr w:type="spellStart"/>
      <w:r w:rsidRPr="008C164C">
        <w:t>lenacapavir</w:t>
      </w:r>
      <w:proofErr w:type="spellEnd"/>
      <w:r w:rsidRPr="008C164C">
        <w:t xml:space="preserve">; NC = not calculable; OBR = optimised background regimen; </w:t>
      </w:r>
    </w:p>
    <w:p w14:paraId="297B0713" w14:textId="3C7D6CBE" w:rsidR="000F3C29" w:rsidRPr="008C164C" w:rsidRDefault="000F3C29" w:rsidP="00C61A63">
      <w:pPr>
        <w:pStyle w:val="FooterTableFigure"/>
        <w:keepNext/>
        <w:keepLines/>
      </w:pPr>
      <w:r w:rsidRPr="008C164C">
        <w:t>Missing=failure viral load &lt;50 copies/mL outcomes utilised for CAPELLA. ‘Snapshot’ outcomes for CAPELLA were also analysed in the ITC Report in Attachment 4</w:t>
      </w:r>
      <w:r w:rsidR="002A3B54" w:rsidRPr="008C164C">
        <w:t xml:space="preserve"> of the resubmission</w:t>
      </w:r>
      <w:r w:rsidRPr="008C164C">
        <w:t>.</w:t>
      </w:r>
    </w:p>
    <w:p w14:paraId="1592957D" w14:textId="6567519C" w:rsidR="000F3C29" w:rsidRPr="008C164C" w:rsidRDefault="000F3C29" w:rsidP="00C61A63">
      <w:pPr>
        <w:pStyle w:val="FooterTableFigure"/>
        <w:keepNext/>
        <w:keepLines/>
      </w:pPr>
      <w:r w:rsidRPr="008C164C">
        <w:t xml:space="preserve">*Higher values of risk difference, </w:t>
      </w:r>
      <w:r w:rsidR="00B16F29" w:rsidRPr="008C164C">
        <w:t>relative risk</w:t>
      </w:r>
      <w:r w:rsidRPr="008C164C">
        <w:t xml:space="preserve"> and odds ratio favour LEN.</w:t>
      </w:r>
    </w:p>
    <w:p w14:paraId="66AC2D1B" w14:textId="14F6395E" w:rsidR="00AF2B01" w:rsidRPr="008C164C" w:rsidRDefault="00AF2B01" w:rsidP="00AF2B01">
      <w:pPr>
        <w:pStyle w:val="3-BodyText"/>
      </w:pPr>
      <w:bookmarkStart w:id="46" w:name="_Hlk144469513"/>
      <w:r w:rsidRPr="008C164C">
        <w:t xml:space="preserve">The resubmission used </w:t>
      </w:r>
      <w:r w:rsidR="003636D3" w:rsidRPr="008C164C">
        <w:t xml:space="preserve">a risk </w:t>
      </w:r>
      <w:r w:rsidRPr="008C164C">
        <w:t xml:space="preserve">estimate based on the result of the </w:t>
      </w:r>
      <w:r w:rsidR="009869EE" w:rsidRPr="008C164C">
        <w:t xml:space="preserve">exponential of the </w:t>
      </w:r>
      <w:r w:rsidRPr="008C164C">
        <w:t>Log(risk) meta-analysis (0.282 = e</w:t>
      </w:r>
      <w:r w:rsidRPr="008C164C">
        <w:rPr>
          <w:vertAlign w:val="superscript"/>
        </w:rPr>
        <w:t>-1.27</w:t>
      </w:r>
      <w:r w:rsidR="00D41F42" w:rsidRPr="008C164C">
        <w:t xml:space="preserve">, see </w:t>
      </w:r>
      <w:r w:rsidR="00F94410" w:rsidRPr="008C164C">
        <w:fldChar w:fldCharType="begin" w:fldLock="1"/>
      </w:r>
      <w:r w:rsidR="00F94410" w:rsidRPr="008C164C">
        <w:instrText xml:space="preserve"> REF _Ref142587533 \h  \* MERGEFORMAT </w:instrText>
      </w:r>
      <w:r w:rsidR="00F94410" w:rsidRPr="008C164C">
        <w:fldChar w:fldCharType="separate"/>
      </w:r>
      <w:r w:rsidR="00682506" w:rsidRPr="008C164C">
        <w:t xml:space="preserve">Table </w:t>
      </w:r>
      <w:r w:rsidR="00682506">
        <w:t>7</w:t>
      </w:r>
      <w:r w:rsidR="00F94410" w:rsidRPr="008C164C">
        <w:fldChar w:fldCharType="end"/>
      </w:r>
      <w:r w:rsidRPr="008C164C">
        <w:t>)</w:t>
      </w:r>
      <w:r w:rsidR="003636D3" w:rsidRPr="008C164C">
        <w:t xml:space="preserve"> rather than the actual risk estimate</w:t>
      </w:r>
      <w:r w:rsidR="001A4850" w:rsidRPr="008C164C">
        <w:t xml:space="preserve"> </w:t>
      </w:r>
      <w:r w:rsidR="00D42DA7" w:rsidRPr="008C164C">
        <w:t xml:space="preserve">(0.293) </w:t>
      </w:r>
      <w:r w:rsidR="003636D3" w:rsidRPr="008C164C">
        <w:t xml:space="preserve">to estimate the </w:t>
      </w:r>
      <w:r w:rsidR="0071339D" w:rsidRPr="008C164C">
        <w:t>relative risk (</w:t>
      </w:r>
      <w:r w:rsidR="003636D3" w:rsidRPr="008C164C">
        <w:t>RR</w:t>
      </w:r>
      <w:r w:rsidR="0071339D" w:rsidRPr="008C164C">
        <w:t>)</w:t>
      </w:r>
      <w:r w:rsidR="001A4850" w:rsidRPr="008C164C">
        <w:t xml:space="preserve">, with </w:t>
      </w:r>
      <w:r w:rsidR="001A4850" w:rsidRPr="008C164C">
        <w:lastRenderedPageBreak/>
        <w:t xml:space="preserve">the difference in magnitude likely attributable to different weights being used for the comparator studies (see </w:t>
      </w:r>
      <w:r w:rsidR="001A4850" w:rsidRPr="008C164C">
        <w:fldChar w:fldCharType="begin" w:fldLock="1"/>
      </w:r>
      <w:r w:rsidR="001A4850" w:rsidRPr="008C164C">
        <w:instrText xml:space="preserve"> REF _Ref112943097 \h  \* MERGEFORMAT </w:instrText>
      </w:r>
      <w:r w:rsidR="001A4850" w:rsidRPr="008C164C">
        <w:fldChar w:fldCharType="separate"/>
      </w:r>
      <w:r w:rsidR="00682506" w:rsidRPr="008C164C">
        <w:rPr>
          <w:szCs w:val="20"/>
        </w:rPr>
        <w:t xml:space="preserve">Figure </w:t>
      </w:r>
      <w:r w:rsidR="00682506" w:rsidRPr="00682506">
        <w:t>2</w:t>
      </w:r>
      <w:r w:rsidR="001A4850" w:rsidRPr="008C164C">
        <w:fldChar w:fldCharType="end"/>
      </w:r>
      <w:r w:rsidR="001A4850" w:rsidRPr="008C164C">
        <w:t xml:space="preserve"> and </w:t>
      </w:r>
      <w:r w:rsidR="001A4850" w:rsidRPr="008C164C">
        <w:fldChar w:fldCharType="begin" w:fldLock="1"/>
      </w:r>
      <w:r w:rsidR="001A4850" w:rsidRPr="008C164C">
        <w:instrText xml:space="preserve"> REF _Ref142906915 \h  \* MERGEFORMAT </w:instrText>
      </w:r>
      <w:r w:rsidR="001A4850" w:rsidRPr="008C164C">
        <w:fldChar w:fldCharType="separate"/>
      </w:r>
      <w:r w:rsidR="00682506" w:rsidRPr="008C164C">
        <w:rPr>
          <w:szCs w:val="20"/>
        </w:rPr>
        <w:t xml:space="preserve">Figure </w:t>
      </w:r>
      <w:r w:rsidR="00682506" w:rsidRPr="00682506">
        <w:t>3</w:t>
      </w:r>
      <w:r w:rsidR="001A4850" w:rsidRPr="008C164C">
        <w:fldChar w:fldCharType="end"/>
      </w:r>
      <w:r w:rsidR="001A4850" w:rsidRPr="008C164C">
        <w:t>)</w:t>
      </w:r>
      <w:r w:rsidRPr="008C164C">
        <w:t>.</w:t>
      </w:r>
      <w:r w:rsidR="00FE3F7F" w:rsidRPr="008C164C">
        <w:t xml:space="preserve"> It was unclear if this approach was appropriate</w:t>
      </w:r>
      <w:r w:rsidR="00D41F42" w:rsidRPr="008C164C">
        <w:t xml:space="preserve">, or if </w:t>
      </w:r>
      <w:r w:rsidR="009869EE" w:rsidRPr="008C164C">
        <w:t>the 0.293 result from the risk estimate should have been used</w:t>
      </w:r>
      <w:r w:rsidR="00FE3F7F" w:rsidRPr="008C164C">
        <w:t xml:space="preserve">. </w:t>
      </w:r>
      <w:r w:rsidR="008B1836" w:rsidRPr="008C164C">
        <w:t xml:space="preserve">The use of 0.282 as the risk estimate for OBR alone to calculate the RR (which is used in the </w:t>
      </w:r>
      <w:r w:rsidR="0035690B" w:rsidRPr="008C164C">
        <w:t>economic model) favoured LEN + OBR</w:t>
      </w:r>
      <w:r w:rsidR="008C164C">
        <w:t xml:space="preserve">. </w:t>
      </w:r>
    </w:p>
    <w:p w14:paraId="5673364B" w14:textId="66715448" w:rsidR="00ED3C04" w:rsidRPr="008C164C" w:rsidRDefault="00ED3C04" w:rsidP="00AF2B01">
      <w:pPr>
        <w:pStyle w:val="3-BodyText"/>
      </w:pPr>
      <w:bookmarkStart w:id="47" w:name="_Ref142864357"/>
      <w:bookmarkEnd w:id="46"/>
      <w:r w:rsidRPr="008C164C">
        <w:t xml:space="preserve">In the previous submission a RR of viral suppression of 3.828 (95% CI: 2.592, 5.655) </w:t>
      </w:r>
      <w:r w:rsidR="0071339D" w:rsidRPr="008C164C">
        <w:t>b</w:t>
      </w:r>
      <w:r w:rsidRPr="008C164C">
        <w:t xml:space="preserve">ased on the results from CAPELLA Cohort 1A was estimated and used in the base case of the economic model. Comparatively, the RR of 2.807 (95% CI: 1.928, 4.088) </w:t>
      </w:r>
      <w:r w:rsidR="00AD50E6" w:rsidRPr="008C164C">
        <w:t xml:space="preserve">nominated as the base case (based on combined CAPELLA Cohort 1 &amp; 2) </w:t>
      </w:r>
      <w:r w:rsidRPr="008C164C">
        <w:t>in the resubmission represented a 27% decrease in the point estimate.</w:t>
      </w:r>
      <w:bookmarkEnd w:id="47"/>
    </w:p>
    <w:p w14:paraId="2E7AA1D4" w14:textId="3449808D" w:rsidR="00AF2B01" w:rsidRPr="008C164C" w:rsidRDefault="005F09DC" w:rsidP="00AF2B01">
      <w:pPr>
        <w:pStyle w:val="3-BodyText"/>
      </w:pPr>
      <w:r w:rsidRPr="008C164C">
        <w:t xml:space="preserve">Using alternative methods of weighting </w:t>
      </w:r>
      <w:r w:rsidR="008B07D5" w:rsidRPr="008C164C">
        <w:t xml:space="preserve">to derive OBR viral suppression </w:t>
      </w:r>
      <w:r w:rsidRPr="008C164C">
        <w:t xml:space="preserve">or </w:t>
      </w:r>
      <w:r w:rsidR="00115986" w:rsidRPr="008C164C">
        <w:t xml:space="preserve">estimates for OBR viral suppression based on Australian clinicians surveyed by the resubmission </w:t>
      </w:r>
      <w:r w:rsidR="00AF2B01" w:rsidRPr="008C164C">
        <w:t xml:space="preserve">resulted in risk difference estimates ranging from </w:t>
      </w:r>
      <w:r w:rsidR="00325617" w:rsidRPr="008C164C">
        <w:t>0.</w:t>
      </w:r>
      <w:r w:rsidR="00EA045C" w:rsidRPr="008C164C">
        <w:t xml:space="preserve">169 </w:t>
      </w:r>
      <w:r w:rsidR="00AF2B01" w:rsidRPr="008C164C">
        <w:t xml:space="preserve">to </w:t>
      </w:r>
      <w:r w:rsidR="00EA045C" w:rsidRPr="008C164C">
        <w:t>0.47</w:t>
      </w:r>
      <w:r w:rsidR="00AF2B01" w:rsidRPr="008C164C">
        <w:t xml:space="preserve"> and </w:t>
      </w:r>
      <w:r w:rsidR="00B16F29" w:rsidRPr="008C164C">
        <w:t>relative risk</w:t>
      </w:r>
      <w:r w:rsidR="00AF2B01" w:rsidRPr="008C164C">
        <w:t xml:space="preserve"> estimates ranging from 1.271 to 2.</w:t>
      </w:r>
      <w:r w:rsidR="00EA045C" w:rsidRPr="008C164C">
        <w:t>460</w:t>
      </w:r>
      <w:r w:rsidR="001D461F" w:rsidRPr="008C164C">
        <w:t xml:space="preserve"> (combined Cohort 1 and 2)</w:t>
      </w:r>
      <w:r w:rsidR="00AF2B01" w:rsidRPr="008C164C">
        <w:t xml:space="preserve">. </w:t>
      </w:r>
      <w:r w:rsidR="008B07D5" w:rsidRPr="008C164C">
        <w:t>Th</w:t>
      </w:r>
      <w:r w:rsidR="00E455E3" w:rsidRPr="008C164C">
        <w:t>e  evaluation considered this</w:t>
      </w:r>
      <w:r w:rsidR="008B07D5" w:rsidRPr="008C164C">
        <w:t xml:space="preserve"> suggest</w:t>
      </w:r>
      <w:r w:rsidR="00E455E3" w:rsidRPr="008C164C">
        <w:t>ed</w:t>
      </w:r>
      <w:r w:rsidR="008B07D5" w:rsidRPr="008C164C">
        <w:t xml:space="preserve"> that the base case </w:t>
      </w:r>
      <w:r w:rsidR="00325617" w:rsidRPr="008C164C">
        <w:t>presented in the resubmission was likely optimistic</w:t>
      </w:r>
      <w:r w:rsidR="00257425" w:rsidRPr="008C164C">
        <w:t xml:space="preserve"> and favoured LEN + OBR.</w:t>
      </w:r>
      <w:r w:rsidR="00372AFC" w:rsidRPr="008C164C">
        <w:t xml:space="preserve"> </w:t>
      </w:r>
    </w:p>
    <w:p w14:paraId="46063F66" w14:textId="5BADA3E9" w:rsidR="00372AFC" w:rsidRPr="008C164C" w:rsidRDefault="00372AFC" w:rsidP="00AF2B01">
      <w:pPr>
        <w:pStyle w:val="3-BodyText"/>
      </w:pPr>
      <w:r w:rsidRPr="008C164C">
        <w:t xml:space="preserve">The PSCR argued the clinical survey was never intended, nor powered, to inform quantitative outcomes and it was unreasonable to consider survey outcomes to provide meaningful estimates given the small number of participants. Rather, the </w:t>
      </w:r>
      <w:r w:rsidR="004F008A" w:rsidRPr="008C164C">
        <w:t>PSCR</w:t>
      </w:r>
      <w:r w:rsidRPr="008C164C">
        <w:t xml:space="preserve"> argued the survey did clearly establish the clinical need for treatments for </w:t>
      </w:r>
      <w:proofErr w:type="spellStart"/>
      <w:r w:rsidRPr="008C164C">
        <w:t>hMDR</w:t>
      </w:r>
      <w:proofErr w:type="spellEnd"/>
      <w:r w:rsidRPr="008C164C">
        <w:t xml:space="preserve"> people living with HIV.</w:t>
      </w:r>
    </w:p>
    <w:p w14:paraId="7662B0B0" w14:textId="46C0FD1D" w:rsidR="00372AFC" w:rsidRPr="008C164C" w:rsidRDefault="00372AFC" w:rsidP="00AF2B01">
      <w:pPr>
        <w:pStyle w:val="3-BodyText"/>
      </w:pPr>
      <w:r w:rsidRPr="008C164C">
        <w:t>The ESC considered an assumption that OBR was likely more effective in contemporary Australian practice than estimated in the submission may be reasonable, and the advice from surveyed clinicians may reflect the public health successes of Australia’s response to HIV over several decades.</w:t>
      </w:r>
      <w:r w:rsidR="005E6CAB" w:rsidRPr="008C164C">
        <w:t xml:space="preserve"> While</w:t>
      </w:r>
      <w:r w:rsidR="00DA62D7" w:rsidRPr="008C164C">
        <w:t xml:space="preserve"> using</w:t>
      </w:r>
      <w:r w:rsidR="005E6CAB" w:rsidRPr="008C164C">
        <w:t xml:space="preserve"> the clinician survey as the basis for the effectiveness estimates </w:t>
      </w:r>
      <w:r w:rsidR="004F008A" w:rsidRPr="008C164C">
        <w:t>was not the preferred approach</w:t>
      </w:r>
      <w:r w:rsidR="005E6CAB" w:rsidRPr="008C164C">
        <w:t>,</w:t>
      </w:r>
      <w:r w:rsidR="004F008A" w:rsidRPr="008C164C">
        <w:t xml:space="preserve"> the ESC</w:t>
      </w:r>
      <w:r w:rsidR="005E6CAB" w:rsidRPr="008C164C">
        <w:t xml:space="preserve"> considered the survey did highlight that some </w:t>
      </w:r>
      <w:proofErr w:type="spellStart"/>
      <w:r w:rsidR="005E6CAB" w:rsidRPr="008C164C">
        <w:t>hMDR</w:t>
      </w:r>
      <w:proofErr w:type="spellEnd"/>
      <w:r w:rsidR="005E6CAB" w:rsidRPr="008C164C">
        <w:t xml:space="preserve"> patients are effectively managed in Australia with current treatment regimens.</w:t>
      </w:r>
      <w:r w:rsidR="00E455E3" w:rsidRPr="008C164C">
        <w:t xml:space="preserve"> The PBAC concurred with the ESC and considered that whilst the results of</w:t>
      </w:r>
      <w:r w:rsidR="00EB7B90" w:rsidRPr="008C164C">
        <w:t xml:space="preserve"> the</w:t>
      </w:r>
      <w:r w:rsidR="00E455E3" w:rsidRPr="008C164C">
        <w:t xml:space="preserve"> clinician survey were not an appropriate basis for determining an estimate of the effectiveness of OBR for use in the clinical comparison, did consider </w:t>
      </w:r>
      <w:r w:rsidR="00395904" w:rsidRPr="008C164C">
        <w:t>the survey</w:t>
      </w:r>
      <w:r w:rsidR="00E455E3" w:rsidRPr="008C164C">
        <w:t xml:space="preserve"> highlight</w:t>
      </w:r>
      <w:r w:rsidR="00395904" w:rsidRPr="008C164C">
        <w:t>ed</w:t>
      </w:r>
      <w:r w:rsidR="00E455E3" w:rsidRPr="008C164C">
        <w:t xml:space="preserve"> </w:t>
      </w:r>
      <w:r w:rsidR="00EB7B90" w:rsidRPr="008C164C">
        <w:t>the</w:t>
      </w:r>
      <w:r w:rsidR="00E455E3" w:rsidRPr="008C164C">
        <w:t xml:space="preserve"> </w:t>
      </w:r>
      <w:r w:rsidR="007D71CD" w:rsidRPr="008C164C">
        <w:t xml:space="preserve">broad view that a </w:t>
      </w:r>
      <w:r w:rsidR="003866F5">
        <w:t xml:space="preserve">substantial </w:t>
      </w:r>
      <w:r w:rsidR="007D71CD" w:rsidRPr="008C164C">
        <w:t xml:space="preserve">proportion of Australian patients who would be considered </w:t>
      </w:r>
      <w:proofErr w:type="spellStart"/>
      <w:r w:rsidR="007D71CD" w:rsidRPr="008C164C">
        <w:t>hMDR</w:t>
      </w:r>
      <w:proofErr w:type="spellEnd"/>
      <w:r w:rsidR="007D71CD" w:rsidRPr="008C164C">
        <w:t xml:space="preserve"> are adequately managed on individualised anti-retroviral therapy regimens. </w:t>
      </w:r>
    </w:p>
    <w:p w14:paraId="1452C351" w14:textId="1F1032DA" w:rsidR="00B60939" w:rsidRPr="008C164C" w:rsidRDefault="00B60939" w:rsidP="00D86231">
      <w:pPr>
        <w:pStyle w:val="4-SubsectionHeading"/>
      </w:pPr>
      <w:bookmarkStart w:id="48" w:name="_Toc22897642"/>
      <w:bookmarkStart w:id="49" w:name="_Toc145485261"/>
      <w:r w:rsidRPr="008C164C">
        <w:t>Comparative harms</w:t>
      </w:r>
      <w:bookmarkEnd w:id="48"/>
      <w:bookmarkEnd w:id="49"/>
    </w:p>
    <w:p w14:paraId="3C6D2777" w14:textId="76AF0F62" w:rsidR="00506F9D" w:rsidRPr="008C164C" w:rsidRDefault="00506F9D" w:rsidP="00AF2B01">
      <w:pPr>
        <w:pStyle w:val="3-BodyText"/>
      </w:pPr>
      <w:r w:rsidRPr="008C164C">
        <w:t>Safety outcomes from CAPELLA for up to 104 weeks was presented in the resubmission. While point estimates of adverse events (AEs) were slightly higher at Week 104 compared to Week 52 (presented in the previous submission), this was consistent with a longer follow-up. Overall, no new safety signals were identified from the Week 104 data from CAPELLA.</w:t>
      </w:r>
    </w:p>
    <w:p w14:paraId="08D9B8EB" w14:textId="31FF1ACB" w:rsidR="001F1A80" w:rsidRPr="008C164C" w:rsidRDefault="001F1A80" w:rsidP="00AF2B01">
      <w:pPr>
        <w:pStyle w:val="3-BodyText"/>
      </w:pPr>
      <w:r w:rsidRPr="008C164C">
        <w:lastRenderedPageBreak/>
        <w:t>In the 14-day randomised period of CAPELLA, notably more patients treated with LEN + failing ARV regimen experienced AEs (9/24, 37.5%) than patients treated with placebo + failing ARV regiment (3/12, 25%). This was also observed for treatment emergent adverse events (TEAEs) of grade 2 or higher (3/24, 12.5% compared to 0/12, 0%). No deaths were reported during the 14-day randomised period.</w:t>
      </w:r>
    </w:p>
    <w:p w14:paraId="1B19C8EF" w14:textId="35719C5A" w:rsidR="00AF2B01" w:rsidRPr="008C164C" w:rsidRDefault="00AF2B01" w:rsidP="00AF2B01">
      <w:pPr>
        <w:pStyle w:val="3-BodyText"/>
      </w:pPr>
      <w:r w:rsidRPr="008C164C">
        <w:t xml:space="preserve">The resubmission presented a naïve comparison </w:t>
      </w:r>
      <w:r w:rsidR="006F33A0" w:rsidRPr="008C164C">
        <w:t xml:space="preserve">of </w:t>
      </w:r>
      <w:r w:rsidRPr="008C164C">
        <w:t xml:space="preserve">safety outcomes in CAPELLA (at 52 weeks) and the comparator trials. This is presented in </w:t>
      </w:r>
      <w:r w:rsidRPr="008C164C">
        <w:fldChar w:fldCharType="begin" w:fldLock="1"/>
      </w:r>
      <w:r w:rsidRPr="008C164C">
        <w:instrText xml:space="preserve"> REF _Ref142589363 \h </w:instrText>
      </w:r>
      <w:r w:rsidR="00313499" w:rsidRPr="008C164C">
        <w:instrText xml:space="preserve"> \* MERGEFORMAT </w:instrText>
      </w:r>
      <w:r w:rsidRPr="008C164C">
        <w:fldChar w:fldCharType="separate"/>
      </w:r>
      <w:r w:rsidR="00682506" w:rsidRPr="008C164C">
        <w:t xml:space="preserve">Table </w:t>
      </w:r>
      <w:r w:rsidR="00682506">
        <w:t>10</w:t>
      </w:r>
      <w:r w:rsidRPr="008C164C">
        <w:fldChar w:fldCharType="end"/>
      </w:r>
      <w:r w:rsidRPr="008C164C">
        <w:t>. The resubmission considered that, overall, the rate of reporting of TEAEs, TEAEs leading to discontinuation and specific TEAEs was comparable across the CAPELLA and comparator studies.</w:t>
      </w:r>
    </w:p>
    <w:p w14:paraId="295870B2" w14:textId="7BF1186B" w:rsidR="00EC79E8" w:rsidRPr="008C164C" w:rsidRDefault="00AF2B01" w:rsidP="00EC79E8">
      <w:pPr>
        <w:pStyle w:val="3-BodyText"/>
      </w:pPr>
      <w:r w:rsidRPr="008C164C">
        <w:t xml:space="preserve">In November 2022, the PBAC had considered that while </w:t>
      </w:r>
      <w:r w:rsidR="006D7B9E" w:rsidRPr="008C164C">
        <w:t xml:space="preserve">LEN </w:t>
      </w:r>
      <w:r w:rsidRPr="008C164C">
        <w:t>was associated with increased injection site reactions and nausea compared to OBR, the submission’s claim of non-inferior safety was overall likely to be reasonable. However, the Committee considered this claim remained somewhat uncertain due to the small sample size of CAPELLA and the absence of long-term safety data (</w:t>
      </w:r>
      <w:r w:rsidR="006A0D2D" w:rsidRPr="008C164C">
        <w:t xml:space="preserve">paragraph 7.7, </w:t>
      </w:r>
      <w:proofErr w:type="spellStart"/>
      <w:r w:rsidR="006A0D2D" w:rsidRPr="008C164C">
        <w:t>l</w:t>
      </w:r>
      <w:r w:rsidRPr="008C164C">
        <w:t>enacapavir</w:t>
      </w:r>
      <w:proofErr w:type="spellEnd"/>
      <w:r w:rsidRPr="008C164C">
        <w:t xml:space="preserve"> PSD</w:t>
      </w:r>
      <w:r w:rsidR="006A0D2D" w:rsidRPr="008C164C">
        <w:t>,</w:t>
      </w:r>
      <w:r w:rsidRPr="008C164C">
        <w:t xml:space="preserve"> November 2022</w:t>
      </w:r>
      <w:r w:rsidR="006A0D2D" w:rsidRPr="008C164C">
        <w:t xml:space="preserve"> PBAC meeting</w:t>
      </w:r>
      <w:r w:rsidRPr="008C164C">
        <w:t>).</w:t>
      </w:r>
      <w:r w:rsidR="00EC79E8" w:rsidRPr="008C164C">
        <w:t xml:space="preserve"> Overall,</w:t>
      </w:r>
      <w:r w:rsidR="00DB2E1C" w:rsidRPr="008C164C">
        <w:t xml:space="preserve"> the ESC considered</w:t>
      </w:r>
      <w:r w:rsidR="00EC79E8" w:rsidRPr="008C164C">
        <w:t xml:space="preserve"> th</w:t>
      </w:r>
      <w:r w:rsidR="00B22304" w:rsidRPr="008C164C">
        <w:t>e naïve comparison of safety outcomes</w:t>
      </w:r>
      <w:r w:rsidR="00DB2E1C" w:rsidRPr="008C164C">
        <w:t xml:space="preserve"> out to Week 104</w:t>
      </w:r>
      <w:r w:rsidR="00EC79E8" w:rsidRPr="008C164C">
        <w:t xml:space="preserve"> </w:t>
      </w:r>
      <w:r w:rsidR="00B22304" w:rsidRPr="008C164C">
        <w:t xml:space="preserve">was consistent with </w:t>
      </w:r>
      <w:r w:rsidR="00EC79E8" w:rsidRPr="008C164C">
        <w:t xml:space="preserve">this </w:t>
      </w:r>
      <w:r w:rsidR="00DB2E1C" w:rsidRPr="008C164C">
        <w:t xml:space="preserve">previous </w:t>
      </w:r>
      <w:r w:rsidR="00EC79E8" w:rsidRPr="008C164C">
        <w:t>conclusion.</w:t>
      </w:r>
    </w:p>
    <w:p w14:paraId="49E6F61D" w14:textId="7EFD79C2" w:rsidR="00EC79E8" w:rsidRPr="008C164C" w:rsidRDefault="00EC79E8" w:rsidP="00EC79E8">
      <w:pPr>
        <w:pStyle w:val="TableFigureHeading"/>
      </w:pPr>
      <w:bookmarkStart w:id="50" w:name="_Ref142589363"/>
      <w:r w:rsidRPr="008C164C">
        <w:lastRenderedPageBreak/>
        <w:t xml:space="preserve">Table </w:t>
      </w:r>
      <w:r w:rsidR="00B25BFE">
        <w:fldChar w:fldCharType="begin" w:fldLock="1"/>
      </w:r>
      <w:r w:rsidR="00B25BFE">
        <w:instrText xml:space="preserve"> SEQ Table \* ARABIC </w:instrText>
      </w:r>
      <w:r w:rsidR="00B25BFE">
        <w:fldChar w:fldCharType="separate"/>
      </w:r>
      <w:r w:rsidR="00682506">
        <w:rPr>
          <w:noProof/>
        </w:rPr>
        <w:t>10</w:t>
      </w:r>
      <w:r w:rsidR="00B25BFE">
        <w:rPr>
          <w:noProof/>
        </w:rPr>
        <w:fldChar w:fldCharType="end"/>
      </w:r>
      <w:bookmarkEnd w:id="50"/>
      <w:r w:rsidRPr="008C164C">
        <w:t>: TEAEs reported in the OBR (± Placebo) arm in comparator studies (varying reporting durations)</w:t>
      </w:r>
    </w:p>
    <w:tbl>
      <w:tblPr>
        <w:tblStyle w:val="TableGrid"/>
        <w:tblW w:w="5000" w:type="pct"/>
        <w:tblLayout w:type="fixed"/>
        <w:tblCellMar>
          <w:left w:w="29" w:type="dxa"/>
          <w:right w:w="29" w:type="dxa"/>
        </w:tblCellMar>
        <w:tblLook w:val="00A0" w:firstRow="1" w:lastRow="0" w:firstColumn="1" w:lastColumn="0" w:noHBand="0" w:noVBand="0"/>
      </w:tblPr>
      <w:tblGrid>
        <w:gridCol w:w="1796"/>
        <w:gridCol w:w="959"/>
        <w:gridCol w:w="1124"/>
        <w:gridCol w:w="893"/>
        <w:gridCol w:w="1062"/>
        <w:gridCol w:w="979"/>
        <w:gridCol w:w="1225"/>
        <w:gridCol w:w="979"/>
      </w:tblGrid>
      <w:tr w:rsidR="00EC79E8" w:rsidRPr="008C164C" w14:paraId="028837A8" w14:textId="77777777" w:rsidTr="006459CB">
        <w:tc>
          <w:tcPr>
            <w:tcW w:w="996" w:type="pct"/>
            <w:vMerge w:val="restart"/>
            <w:noWrap/>
          </w:tcPr>
          <w:p w14:paraId="3C7C9FF6" w14:textId="77777777" w:rsidR="00EC79E8" w:rsidRPr="008C164C" w:rsidRDefault="00EC79E8" w:rsidP="00240629">
            <w:pPr>
              <w:pStyle w:val="TableText0"/>
            </w:pPr>
          </w:p>
        </w:tc>
        <w:tc>
          <w:tcPr>
            <w:tcW w:w="2782" w:type="pct"/>
            <w:gridSpan w:val="5"/>
            <w:vAlign w:val="center"/>
          </w:tcPr>
          <w:p w14:paraId="141169A6" w14:textId="77777777" w:rsidR="00EC79E8" w:rsidRPr="008C164C" w:rsidRDefault="00EC79E8" w:rsidP="00240629">
            <w:pPr>
              <w:pStyle w:val="TableText0"/>
              <w:jc w:val="center"/>
              <w:rPr>
                <w:b/>
                <w:bCs w:val="0"/>
              </w:rPr>
            </w:pPr>
            <w:r w:rsidRPr="008C164C">
              <w:rPr>
                <w:b/>
                <w:bCs w:val="0"/>
              </w:rPr>
              <w:t>Reported in November 2022 Submission</w:t>
            </w:r>
          </w:p>
        </w:tc>
        <w:tc>
          <w:tcPr>
            <w:tcW w:w="1222" w:type="pct"/>
            <w:gridSpan w:val="2"/>
            <w:vAlign w:val="center"/>
          </w:tcPr>
          <w:p w14:paraId="7B0ED181" w14:textId="77777777" w:rsidR="00EC79E8" w:rsidRPr="008C164C" w:rsidRDefault="00EC79E8" w:rsidP="00240629">
            <w:pPr>
              <w:pStyle w:val="TableText0"/>
              <w:jc w:val="center"/>
              <w:rPr>
                <w:b/>
                <w:bCs w:val="0"/>
              </w:rPr>
            </w:pPr>
            <w:r w:rsidRPr="008C164C">
              <w:rPr>
                <w:b/>
                <w:bCs w:val="0"/>
              </w:rPr>
              <w:t>Data added in this resubmission</w:t>
            </w:r>
          </w:p>
        </w:tc>
      </w:tr>
      <w:tr w:rsidR="00EC79E8" w:rsidRPr="008C164C" w14:paraId="0E2C8235" w14:textId="77777777" w:rsidTr="006459CB">
        <w:tc>
          <w:tcPr>
            <w:tcW w:w="996" w:type="pct"/>
            <w:vMerge/>
            <w:noWrap/>
          </w:tcPr>
          <w:p w14:paraId="3ECBC9D3" w14:textId="77777777" w:rsidR="00EC79E8" w:rsidRPr="008C164C" w:rsidRDefault="00EC79E8" w:rsidP="00240629">
            <w:pPr>
              <w:pStyle w:val="TableText0"/>
            </w:pPr>
          </w:p>
        </w:tc>
        <w:tc>
          <w:tcPr>
            <w:tcW w:w="532" w:type="pct"/>
            <w:shd w:val="clear" w:color="auto" w:fill="C6D9F1" w:themeFill="text2" w:themeFillTint="33"/>
            <w:vAlign w:val="center"/>
          </w:tcPr>
          <w:p w14:paraId="2B0A7A6C" w14:textId="77777777" w:rsidR="00EC79E8" w:rsidRPr="008C164C" w:rsidRDefault="00EC79E8" w:rsidP="00240629">
            <w:pPr>
              <w:pStyle w:val="TableText0"/>
              <w:jc w:val="center"/>
              <w:rPr>
                <w:b/>
                <w:bCs w:val="0"/>
              </w:rPr>
            </w:pPr>
            <w:r w:rsidRPr="008C164C">
              <w:rPr>
                <w:b/>
                <w:bCs w:val="0"/>
              </w:rPr>
              <w:t>CAPELLA Cohort 1</w:t>
            </w:r>
          </w:p>
        </w:tc>
        <w:tc>
          <w:tcPr>
            <w:tcW w:w="623" w:type="pct"/>
            <w:shd w:val="clear" w:color="auto" w:fill="C6D9F1" w:themeFill="text2" w:themeFillTint="33"/>
            <w:vAlign w:val="center"/>
          </w:tcPr>
          <w:p w14:paraId="4C0758C0" w14:textId="77777777" w:rsidR="00EC79E8" w:rsidRPr="008C164C" w:rsidRDefault="00EC79E8" w:rsidP="00240629">
            <w:pPr>
              <w:pStyle w:val="TableText0"/>
              <w:jc w:val="center"/>
              <w:rPr>
                <w:b/>
                <w:bCs w:val="0"/>
              </w:rPr>
            </w:pPr>
            <w:r w:rsidRPr="008C164C">
              <w:rPr>
                <w:b/>
                <w:bCs w:val="0"/>
              </w:rPr>
              <w:t>CAPELLA Cohort 1&amp;2 combined</w:t>
            </w:r>
          </w:p>
        </w:tc>
        <w:tc>
          <w:tcPr>
            <w:tcW w:w="495" w:type="pct"/>
            <w:shd w:val="clear" w:color="auto" w:fill="C6D9F1" w:themeFill="text2" w:themeFillTint="33"/>
            <w:vAlign w:val="center"/>
          </w:tcPr>
          <w:p w14:paraId="50E49D95" w14:textId="77777777" w:rsidR="00EC79E8" w:rsidRPr="008C164C" w:rsidRDefault="00EC79E8" w:rsidP="00240629">
            <w:pPr>
              <w:pStyle w:val="TableText0"/>
              <w:jc w:val="center"/>
              <w:rPr>
                <w:b/>
                <w:bCs w:val="0"/>
              </w:rPr>
            </w:pPr>
            <w:r w:rsidRPr="008C164C">
              <w:rPr>
                <w:b/>
                <w:bCs w:val="0"/>
              </w:rPr>
              <w:t>BENCHMRK 1 &amp; 2</w:t>
            </w:r>
          </w:p>
        </w:tc>
        <w:tc>
          <w:tcPr>
            <w:tcW w:w="589" w:type="pct"/>
            <w:shd w:val="clear" w:color="auto" w:fill="C6D9F1" w:themeFill="text2" w:themeFillTint="33"/>
            <w:noWrap/>
            <w:vAlign w:val="center"/>
          </w:tcPr>
          <w:p w14:paraId="6D7E432E" w14:textId="77777777" w:rsidR="00EC79E8" w:rsidRPr="008C164C" w:rsidRDefault="00EC79E8" w:rsidP="00240629">
            <w:pPr>
              <w:pStyle w:val="TableText0"/>
              <w:jc w:val="center"/>
              <w:rPr>
                <w:b/>
                <w:bCs w:val="0"/>
              </w:rPr>
            </w:pPr>
            <w:r w:rsidRPr="008C164C">
              <w:rPr>
                <w:b/>
                <w:bCs w:val="0"/>
              </w:rPr>
              <w:t>MOTIVATE 1 &amp; 2</w:t>
            </w:r>
          </w:p>
        </w:tc>
        <w:tc>
          <w:tcPr>
            <w:tcW w:w="543" w:type="pct"/>
            <w:shd w:val="clear" w:color="auto" w:fill="C6D9F1" w:themeFill="text2" w:themeFillTint="33"/>
            <w:vAlign w:val="center"/>
          </w:tcPr>
          <w:p w14:paraId="1FE424B0" w14:textId="77777777" w:rsidR="00EC79E8" w:rsidRPr="008C164C" w:rsidRDefault="00EC79E8" w:rsidP="00240629">
            <w:pPr>
              <w:pStyle w:val="TableText0"/>
              <w:jc w:val="center"/>
              <w:rPr>
                <w:b/>
                <w:bCs w:val="0"/>
              </w:rPr>
            </w:pPr>
            <w:r w:rsidRPr="008C164C">
              <w:rPr>
                <w:b/>
                <w:bCs w:val="0"/>
              </w:rPr>
              <w:t>VICTOR-E1</w:t>
            </w:r>
          </w:p>
        </w:tc>
        <w:tc>
          <w:tcPr>
            <w:tcW w:w="679" w:type="pct"/>
            <w:vAlign w:val="center"/>
          </w:tcPr>
          <w:p w14:paraId="0E6039D9" w14:textId="77777777" w:rsidR="00EC79E8" w:rsidRPr="008C164C" w:rsidRDefault="00EC79E8" w:rsidP="00240629">
            <w:pPr>
              <w:pStyle w:val="TableText0"/>
              <w:jc w:val="center"/>
              <w:rPr>
                <w:b/>
                <w:bCs w:val="0"/>
              </w:rPr>
            </w:pPr>
            <w:r w:rsidRPr="008C164C">
              <w:rPr>
                <w:b/>
                <w:bCs w:val="0"/>
              </w:rPr>
              <w:t>BRIGHTE</w:t>
            </w:r>
          </w:p>
        </w:tc>
        <w:tc>
          <w:tcPr>
            <w:tcW w:w="543" w:type="pct"/>
            <w:vAlign w:val="center"/>
          </w:tcPr>
          <w:p w14:paraId="1C97FF5E" w14:textId="77777777" w:rsidR="00EC79E8" w:rsidRPr="008C164C" w:rsidRDefault="00EC79E8" w:rsidP="00240629">
            <w:pPr>
              <w:pStyle w:val="TableText0"/>
              <w:jc w:val="center"/>
              <w:rPr>
                <w:b/>
                <w:bCs w:val="0"/>
              </w:rPr>
            </w:pPr>
            <w:r w:rsidRPr="008C164C">
              <w:rPr>
                <w:b/>
                <w:bCs w:val="0"/>
              </w:rPr>
              <w:t>TMB-301</w:t>
            </w:r>
          </w:p>
        </w:tc>
      </w:tr>
      <w:tr w:rsidR="00EC79E8" w:rsidRPr="008C164C" w14:paraId="567C7F99" w14:textId="77777777" w:rsidTr="006459CB">
        <w:tc>
          <w:tcPr>
            <w:tcW w:w="996" w:type="pct"/>
            <w:vMerge/>
            <w:noWrap/>
          </w:tcPr>
          <w:p w14:paraId="5C8BE28D" w14:textId="77777777" w:rsidR="00EC79E8" w:rsidRPr="008C164C" w:rsidRDefault="00EC79E8" w:rsidP="00240629">
            <w:pPr>
              <w:pStyle w:val="TableText0"/>
            </w:pPr>
          </w:p>
        </w:tc>
        <w:tc>
          <w:tcPr>
            <w:tcW w:w="532" w:type="pct"/>
            <w:shd w:val="clear" w:color="auto" w:fill="C6D9F1" w:themeFill="text2" w:themeFillTint="33"/>
            <w:vAlign w:val="center"/>
          </w:tcPr>
          <w:p w14:paraId="7D7F1702" w14:textId="77777777" w:rsidR="00EC79E8" w:rsidRPr="008C164C" w:rsidRDefault="00EC79E8" w:rsidP="00240629">
            <w:pPr>
              <w:pStyle w:val="TableText0"/>
              <w:jc w:val="center"/>
              <w:rPr>
                <w:b/>
                <w:bCs w:val="0"/>
              </w:rPr>
            </w:pPr>
            <w:r w:rsidRPr="008C164C">
              <w:rPr>
                <w:b/>
                <w:bCs w:val="0"/>
              </w:rPr>
              <w:t>LEN + OBR</w:t>
            </w:r>
          </w:p>
          <w:p w14:paraId="0FA29520" w14:textId="77777777" w:rsidR="00EC79E8" w:rsidRPr="008C164C" w:rsidRDefault="00EC79E8" w:rsidP="00240629">
            <w:pPr>
              <w:pStyle w:val="TableText0"/>
              <w:jc w:val="center"/>
              <w:rPr>
                <w:b/>
                <w:bCs w:val="0"/>
              </w:rPr>
            </w:pPr>
            <w:r w:rsidRPr="008C164C">
              <w:rPr>
                <w:b/>
                <w:bCs w:val="0"/>
              </w:rPr>
              <w:t>(N=36)</w:t>
            </w:r>
          </w:p>
        </w:tc>
        <w:tc>
          <w:tcPr>
            <w:tcW w:w="623" w:type="pct"/>
            <w:shd w:val="clear" w:color="auto" w:fill="C6D9F1" w:themeFill="text2" w:themeFillTint="33"/>
            <w:vAlign w:val="center"/>
          </w:tcPr>
          <w:p w14:paraId="6B3FA797" w14:textId="77777777" w:rsidR="00EC79E8" w:rsidRPr="008C164C" w:rsidRDefault="00EC79E8" w:rsidP="00240629">
            <w:pPr>
              <w:pStyle w:val="TableText0"/>
              <w:jc w:val="center"/>
              <w:rPr>
                <w:b/>
                <w:bCs w:val="0"/>
              </w:rPr>
            </w:pPr>
            <w:r w:rsidRPr="008C164C">
              <w:rPr>
                <w:b/>
                <w:bCs w:val="0"/>
              </w:rPr>
              <w:t>LEN + OBR</w:t>
            </w:r>
          </w:p>
          <w:p w14:paraId="040D4A30" w14:textId="77777777" w:rsidR="00EC79E8" w:rsidRPr="008C164C" w:rsidRDefault="00EC79E8" w:rsidP="00240629">
            <w:pPr>
              <w:pStyle w:val="TableText0"/>
              <w:jc w:val="center"/>
              <w:rPr>
                <w:b/>
                <w:bCs w:val="0"/>
              </w:rPr>
            </w:pPr>
            <w:r w:rsidRPr="008C164C">
              <w:rPr>
                <w:b/>
                <w:bCs w:val="0"/>
              </w:rPr>
              <w:t>(N=72)</w:t>
            </w:r>
          </w:p>
        </w:tc>
        <w:tc>
          <w:tcPr>
            <w:tcW w:w="495" w:type="pct"/>
            <w:shd w:val="clear" w:color="auto" w:fill="C6D9F1" w:themeFill="text2" w:themeFillTint="33"/>
            <w:vAlign w:val="center"/>
          </w:tcPr>
          <w:p w14:paraId="0CE3D082" w14:textId="77777777" w:rsidR="00EC79E8" w:rsidRPr="008C164C" w:rsidRDefault="00EC79E8" w:rsidP="00240629">
            <w:pPr>
              <w:pStyle w:val="TableText0"/>
              <w:jc w:val="center"/>
              <w:rPr>
                <w:b/>
                <w:bCs w:val="0"/>
              </w:rPr>
            </w:pPr>
            <w:r w:rsidRPr="008C164C">
              <w:rPr>
                <w:b/>
                <w:bCs w:val="0"/>
              </w:rPr>
              <w:t>Placebo + OBR</w:t>
            </w:r>
          </w:p>
          <w:p w14:paraId="1AC2C021" w14:textId="77777777" w:rsidR="00EC79E8" w:rsidRPr="008C164C" w:rsidRDefault="00EC79E8" w:rsidP="00240629">
            <w:pPr>
              <w:pStyle w:val="TableText0"/>
              <w:jc w:val="center"/>
              <w:rPr>
                <w:b/>
                <w:bCs w:val="0"/>
              </w:rPr>
            </w:pPr>
            <w:r w:rsidRPr="008C164C">
              <w:rPr>
                <w:b/>
                <w:bCs w:val="0"/>
              </w:rPr>
              <w:t>(N=237)</w:t>
            </w:r>
          </w:p>
        </w:tc>
        <w:tc>
          <w:tcPr>
            <w:tcW w:w="589" w:type="pct"/>
            <w:shd w:val="clear" w:color="auto" w:fill="C6D9F1" w:themeFill="text2" w:themeFillTint="33"/>
            <w:noWrap/>
            <w:vAlign w:val="center"/>
          </w:tcPr>
          <w:p w14:paraId="3C516E9B" w14:textId="77777777" w:rsidR="00EC79E8" w:rsidRPr="008C164C" w:rsidRDefault="00EC79E8" w:rsidP="00240629">
            <w:pPr>
              <w:pStyle w:val="TableText0"/>
              <w:jc w:val="center"/>
              <w:rPr>
                <w:b/>
                <w:bCs w:val="0"/>
              </w:rPr>
            </w:pPr>
            <w:r w:rsidRPr="008C164C">
              <w:rPr>
                <w:b/>
                <w:bCs w:val="0"/>
              </w:rPr>
              <w:t>Placebo + OBR</w:t>
            </w:r>
          </w:p>
          <w:p w14:paraId="1B0D0821" w14:textId="77777777" w:rsidR="00EC79E8" w:rsidRPr="008C164C" w:rsidRDefault="00EC79E8" w:rsidP="00240629">
            <w:pPr>
              <w:pStyle w:val="TableText0"/>
              <w:jc w:val="center"/>
              <w:rPr>
                <w:b/>
                <w:bCs w:val="0"/>
              </w:rPr>
            </w:pPr>
            <w:r w:rsidRPr="008C164C">
              <w:rPr>
                <w:b/>
                <w:bCs w:val="0"/>
              </w:rPr>
              <w:t>(N=209)</w:t>
            </w:r>
          </w:p>
        </w:tc>
        <w:tc>
          <w:tcPr>
            <w:tcW w:w="543" w:type="pct"/>
            <w:shd w:val="clear" w:color="auto" w:fill="C6D9F1" w:themeFill="text2" w:themeFillTint="33"/>
            <w:vAlign w:val="center"/>
          </w:tcPr>
          <w:p w14:paraId="5DFD88F8" w14:textId="77777777" w:rsidR="00EC79E8" w:rsidRPr="008C164C" w:rsidRDefault="00EC79E8" w:rsidP="00240629">
            <w:pPr>
              <w:pStyle w:val="TableText0"/>
              <w:jc w:val="center"/>
              <w:rPr>
                <w:b/>
                <w:bCs w:val="0"/>
              </w:rPr>
            </w:pPr>
            <w:r w:rsidRPr="008C164C">
              <w:rPr>
                <w:b/>
                <w:bCs w:val="0"/>
              </w:rPr>
              <w:t>Placebo + OBR</w:t>
            </w:r>
          </w:p>
          <w:p w14:paraId="627C67A9" w14:textId="77777777" w:rsidR="00EC79E8" w:rsidRPr="008C164C" w:rsidRDefault="00EC79E8" w:rsidP="00240629">
            <w:pPr>
              <w:pStyle w:val="TableText0"/>
              <w:jc w:val="center"/>
              <w:rPr>
                <w:b/>
                <w:bCs w:val="0"/>
              </w:rPr>
            </w:pPr>
            <w:r w:rsidRPr="008C164C">
              <w:rPr>
                <w:b/>
                <w:bCs w:val="0"/>
              </w:rPr>
              <w:t>(N=35)</w:t>
            </w:r>
          </w:p>
        </w:tc>
        <w:tc>
          <w:tcPr>
            <w:tcW w:w="679" w:type="pct"/>
            <w:vAlign w:val="center"/>
          </w:tcPr>
          <w:p w14:paraId="59A1A8DE" w14:textId="77777777" w:rsidR="00EC79E8" w:rsidRPr="008C164C" w:rsidRDefault="00EC79E8" w:rsidP="00240629">
            <w:pPr>
              <w:pStyle w:val="TableText0"/>
              <w:jc w:val="center"/>
              <w:rPr>
                <w:b/>
                <w:bCs w:val="0"/>
              </w:rPr>
            </w:pPr>
            <w:r w:rsidRPr="008C164C">
              <w:rPr>
                <w:b/>
                <w:bCs w:val="0"/>
              </w:rPr>
              <w:t>FTR + OBR</w:t>
            </w:r>
          </w:p>
          <w:p w14:paraId="29D82AC3" w14:textId="77777777" w:rsidR="00EC79E8" w:rsidRPr="008C164C" w:rsidRDefault="00EC79E8" w:rsidP="00240629">
            <w:pPr>
              <w:pStyle w:val="TableText0"/>
              <w:jc w:val="center"/>
              <w:rPr>
                <w:b/>
                <w:bCs w:val="0"/>
              </w:rPr>
            </w:pPr>
            <w:r w:rsidRPr="008C164C">
              <w:rPr>
                <w:b/>
                <w:bCs w:val="0"/>
              </w:rPr>
              <w:t>(N=371)</w:t>
            </w:r>
          </w:p>
        </w:tc>
        <w:tc>
          <w:tcPr>
            <w:tcW w:w="543" w:type="pct"/>
            <w:vAlign w:val="center"/>
          </w:tcPr>
          <w:p w14:paraId="64ED33B5" w14:textId="77777777" w:rsidR="00EC79E8" w:rsidRPr="008C164C" w:rsidRDefault="00EC79E8" w:rsidP="00240629">
            <w:pPr>
              <w:pStyle w:val="TableText0"/>
              <w:jc w:val="center"/>
              <w:rPr>
                <w:b/>
                <w:bCs w:val="0"/>
              </w:rPr>
            </w:pPr>
            <w:r w:rsidRPr="008C164C">
              <w:rPr>
                <w:b/>
                <w:bCs w:val="0"/>
              </w:rPr>
              <w:t>IBA + OBR</w:t>
            </w:r>
          </w:p>
          <w:p w14:paraId="7AE5A1C8" w14:textId="77777777" w:rsidR="00EC79E8" w:rsidRPr="008C164C" w:rsidRDefault="00EC79E8" w:rsidP="00240629">
            <w:pPr>
              <w:pStyle w:val="TableText0"/>
              <w:jc w:val="center"/>
              <w:rPr>
                <w:b/>
                <w:bCs w:val="0"/>
              </w:rPr>
            </w:pPr>
            <w:r w:rsidRPr="008C164C">
              <w:rPr>
                <w:b/>
                <w:bCs w:val="0"/>
              </w:rPr>
              <w:t>(N=40)</w:t>
            </w:r>
          </w:p>
        </w:tc>
      </w:tr>
      <w:tr w:rsidR="00EC79E8" w:rsidRPr="008C164C" w14:paraId="5A099988" w14:textId="77777777" w:rsidTr="006459CB">
        <w:tc>
          <w:tcPr>
            <w:tcW w:w="996" w:type="pct"/>
          </w:tcPr>
          <w:p w14:paraId="0137F9DC" w14:textId="77777777" w:rsidR="00EC79E8" w:rsidRPr="008C164C" w:rsidRDefault="00EC79E8" w:rsidP="00240629">
            <w:pPr>
              <w:pStyle w:val="TableText0"/>
            </w:pPr>
            <w:r w:rsidRPr="008C164C">
              <w:t>Reporting duration</w:t>
            </w:r>
          </w:p>
        </w:tc>
        <w:tc>
          <w:tcPr>
            <w:tcW w:w="532" w:type="pct"/>
            <w:shd w:val="clear" w:color="auto" w:fill="C6D9F1" w:themeFill="text2" w:themeFillTint="33"/>
            <w:vAlign w:val="center"/>
          </w:tcPr>
          <w:p w14:paraId="5B792844" w14:textId="77777777" w:rsidR="00EC79E8" w:rsidRPr="008C164C" w:rsidRDefault="00EC79E8" w:rsidP="00240629">
            <w:pPr>
              <w:pStyle w:val="TableText0"/>
              <w:jc w:val="center"/>
            </w:pPr>
            <w:r w:rsidRPr="008C164C">
              <w:t>52 weeks</w:t>
            </w:r>
          </w:p>
        </w:tc>
        <w:tc>
          <w:tcPr>
            <w:tcW w:w="623" w:type="pct"/>
            <w:shd w:val="clear" w:color="auto" w:fill="C6D9F1" w:themeFill="text2" w:themeFillTint="33"/>
            <w:vAlign w:val="center"/>
          </w:tcPr>
          <w:p w14:paraId="520A8D26" w14:textId="77777777" w:rsidR="00EC79E8" w:rsidRPr="008C164C" w:rsidRDefault="00EC79E8" w:rsidP="00240629">
            <w:pPr>
              <w:pStyle w:val="TableText0"/>
              <w:jc w:val="center"/>
              <w:rPr>
                <w:rFonts w:eastAsia="Times New Roman"/>
              </w:rPr>
            </w:pPr>
            <w:r w:rsidRPr="008C164C">
              <w:rPr>
                <w:rFonts w:eastAsia="Times New Roman"/>
              </w:rPr>
              <w:t>52 weeks</w:t>
            </w:r>
          </w:p>
        </w:tc>
        <w:tc>
          <w:tcPr>
            <w:tcW w:w="495" w:type="pct"/>
            <w:shd w:val="clear" w:color="auto" w:fill="C6D9F1" w:themeFill="text2" w:themeFillTint="33"/>
            <w:vAlign w:val="center"/>
          </w:tcPr>
          <w:p w14:paraId="79D5C4F1" w14:textId="77777777" w:rsidR="00EC79E8" w:rsidRPr="008C164C" w:rsidRDefault="00EC79E8" w:rsidP="00240629">
            <w:pPr>
              <w:pStyle w:val="TableText0"/>
              <w:jc w:val="center"/>
            </w:pPr>
            <w:r w:rsidRPr="008C164C">
              <w:t>48 weeks</w:t>
            </w:r>
          </w:p>
        </w:tc>
        <w:tc>
          <w:tcPr>
            <w:tcW w:w="589" w:type="pct"/>
            <w:shd w:val="clear" w:color="auto" w:fill="C6D9F1" w:themeFill="text2" w:themeFillTint="33"/>
            <w:noWrap/>
            <w:vAlign w:val="center"/>
          </w:tcPr>
          <w:p w14:paraId="18F13F19" w14:textId="77777777" w:rsidR="00EC79E8" w:rsidRPr="008C164C" w:rsidRDefault="00EC79E8" w:rsidP="00240629">
            <w:pPr>
              <w:pStyle w:val="TableText0"/>
              <w:jc w:val="center"/>
            </w:pPr>
            <w:r w:rsidRPr="008C164C">
              <w:t>48 weeks</w:t>
            </w:r>
          </w:p>
        </w:tc>
        <w:tc>
          <w:tcPr>
            <w:tcW w:w="543" w:type="pct"/>
            <w:shd w:val="clear" w:color="auto" w:fill="C6D9F1" w:themeFill="text2" w:themeFillTint="33"/>
            <w:vAlign w:val="center"/>
          </w:tcPr>
          <w:p w14:paraId="7A0E6B22" w14:textId="77777777" w:rsidR="00EC79E8" w:rsidRPr="008C164C" w:rsidRDefault="00EC79E8" w:rsidP="00240629">
            <w:pPr>
              <w:pStyle w:val="TableText0"/>
              <w:jc w:val="center"/>
            </w:pPr>
            <w:r w:rsidRPr="008C164C">
              <w:t>48 weeks</w:t>
            </w:r>
          </w:p>
        </w:tc>
        <w:tc>
          <w:tcPr>
            <w:tcW w:w="679" w:type="pct"/>
            <w:vAlign w:val="center"/>
          </w:tcPr>
          <w:p w14:paraId="1630FB61" w14:textId="3855B542" w:rsidR="00EC79E8" w:rsidRPr="008C164C" w:rsidRDefault="00EC79E8" w:rsidP="00240629">
            <w:pPr>
              <w:pStyle w:val="TableText0"/>
              <w:jc w:val="center"/>
            </w:pPr>
            <w:r w:rsidRPr="008C164C">
              <w:t>48 weeks or 96 weeks</w:t>
            </w:r>
          </w:p>
        </w:tc>
        <w:tc>
          <w:tcPr>
            <w:tcW w:w="543" w:type="pct"/>
            <w:vAlign w:val="center"/>
          </w:tcPr>
          <w:p w14:paraId="70286DCF" w14:textId="77777777" w:rsidR="00EC79E8" w:rsidRPr="008C164C" w:rsidRDefault="00EC79E8" w:rsidP="00240629">
            <w:pPr>
              <w:pStyle w:val="TableText0"/>
              <w:jc w:val="center"/>
            </w:pPr>
            <w:r w:rsidRPr="008C164C">
              <w:t>25 weeks</w:t>
            </w:r>
          </w:p>
        </w:tc>
      </w:tr>
      <w:tr w:rsidR="00EC79E8" w:rsidRPr="008C164C" w14:paraId="6390BEAC" w14:textId="77777777" w:rsidTr="006459CB">
        <w:tc>
          <w:tcPr>
            <w:tcW w:w="996" w:type="pct"/>
          </w:tcPr>
          <w:p w14:paraId="3D53CFA5" w14:textId="77777777" w:rsidR="00EC79E8" w:rsidRPr="008C164C" w:rsidRDefault="00EC79E8" w:rsidP="00240629">
            <w:pPr>
              <w:pStyle w:val="TableText0"/>
            </w:pPr>
            <w:r w:rsidRPr="008C164C">
              <w:t>Any TEAE, n (%)</w:t>
            </w:r>
          </w:p>
        </w:tc>
        <w:tc>
          <w:tcPr>
            <w:tcW w:w="532" w:type="pct"/>
            <w:shd w:val="clear" w:color="auto" w:fill="auto"/>
            <w:vAlign w:val="center"/>
          </w:tcPr>
          <w:p w14:paraId="5351D398" w14:textId="77777777" w:rsidR="00EC79E8" w:rsidRPr="008C164C" w:rsidRDefault="00EC79E8" w:rsidP="00240629">
            <w:pPr>
              <w:pStyle w:val="TableText0"/>
              <w:jc w:val="center"/>
            </w:pPr>
            <w:r w:rsidRPr="008C164C">
              <w:t>34 (94)</w:t>
            </w:r>
          </w:p>
        </w:tc>
        <w:tc>
          <w:tcPr>
            <w:tcW w:w="623" w:type="pct"/>
            <w:shd w:val="clear" w:color="auto" w:fill="C6D9F1" w:themeFill="text2" w:themeFillTint="33"/>
            <w:vAlign w:val="center"/>
          </w:tcPr>
          <w:p w14:paraId="052F4238" w14:textId="77777777" w:rsidR="00EC79E8" w:rsidRPr="008C164C" w:rsidRDefault="00EC79E8" w:rsidP="00240629">
            <w:pPr>
              <w:pStyle w:val="TableText0"/>
              <w:jc w:val="center"/>
            </w:pPr>
            <w:r w:rsidRPr="008C164C">
              <w:rPr>
                <w:rFonts w:eastAsia="Times New Roman"/>
              </w:rPr>
              <w:t>69 (96)</w:t>
            </w:r>
          </w:p>
        </w:tc>
        <w:tc>
          <w:tcPr>
            <w:tcW w:w="495" w:type="pct"/>
            <w:shd w:val="clear" w:color="auto" w:fill="C6D9F1" w:themeFill="text2" w:themeFillTint="33"/>
            <w:vAlign w:val="center"/>
          </w:tcPr>
          <w:p w14:paraId="010C0336" w14:textId="77777777" w:rsidR="00EC79E8" w:rsidRPr="008C164C" w:rsidRDefault="00EC79E8" w:rsidP="00240629">
            <w:pPr>
              <w:pStyle w:val="TableText0"/>
              <w:jc w:val="center"/>
            </w:pPr>
            <w:r w:rsidRPr="008C164C">
              <w:t>209 (88)</w:t>
            </w:r>
          </w:p>
        </w:tc>
        <w:tc>
          <w:tcPr>
            <w:tcW w:w="589" w:type="pct"/>
            <w:shd w:val="clear" w:color="auto" w:fill="C6D9F1" w:themeFill="text2" w:themeFillTint="33"/>
            <w:noWrap/>
            <w:vAlign w:val="center"/>
          </w:tcPr>
          <w:p w14:paraId="44E3F02E" w14:textId="77777777" w:rsidR="00EC79E8" w:rsidRPr="008C164C" w:rsidRDefault="00EC79E8" w:rsidP="00240629">
            <w:pPr>
              <w:pStyle w:val="TableText0"/>
              <w:jc w:val="center"/>
            </w:pPr>
            <w:r w:rsidRPr="008C164C">
              <w:t>177 (85)</w:t>
            </w:r>
          </w:p>
        </w:tc>
        <w:tc>
          <w:tcPr>
            <w:tcW w:w="543" w:type="pct"/>
            <w:shd w:val="clear" w:color="auto" w:fill="C6D9F1" w:themeFill="text2" w:themeFillTint="33"/>
            <w:vAlign w:val="center"/>
          </w:tcPr>
          <w:p w14:paraId="7781EC13" w14:textId="77777777" w:rsidR="00EC79E8" w:rsidRPr="008C164C" w:rsidRDefault="00EC79E8" w:rsidP="00240629">
            <w:pPr>
              <w:pStyle w:val="TableText0"/>
              <w:jc w:val="center"/>
            </w:pPr>
            <w:r w:rsidRPr="008C164C">
              <w:t>33 (94)</w:t>
            </w:r>
          </w:p>
        </w:tc>
        <w:tc>
          <w:tcPr>
            <w:tcW w:w="679" w:type="pct"/>
            <w:vAlign w:val="center"/>
          </w:tcPr>
          <w:p w14:paraId="4E4A98A0" w14:textId="77777777" w:rsidR="00EC79E8" w:rsidRPr="008C164C" w:rsidRDefault="00EC79E8" w:rsidP="00240629">
            <w:pPr>
              <w:pStyle w:val="TableText0"/>
              <w:jc w:val="center"/>
            </w:pPr>
            <w:r w:rsidRPr="008C164C">
              <w:t>343 (92)</w:t>
            </w:r>
          </w:p>
        </w:tc>
        <w:tc>
          <w:tcPr>
            <w:tcW w:w="543" w:type="pct"/>
            <w:vAlign w:val="center"/>
          </w:tcPr>
          <w:p w14:paraId="1ECE188E" w14:textId="77777777" w:rsidR="00EC79E8" w:rsidRPr="008C164C" w:rsidRDefault="00EC79E8" w:rsidP="00240629">
            <w:pPr>
              <w:pStyle w:val="TableText0"/>
              <w:jc w:val="center"/>
            </w:pPr>
            <w:r w:rsidRPr="008C164C">
              <w:t>32 (80)</w:t>
            </w:r>
          </w:p>
        </w:tc>
      </w:tr>
      <w:tr w:rsidR="00EC79E8" w:rsidRPr="008C164C" w14:paraId="79DC112C" w14:textId="77777777" w:rsidTr="006459CB">
        <w:tc>
          <w:tcPr>
            <w:tcW w:w="996" w:type="pct"/>
          </w:tcPr>
          <w:p w14:paraId="42EFCA70" w14:textId="77777777" w:rsidR="00EC79E8" w:rsidRPr="008C164C" w:rsidRDefault="00EC79E8" w:rsidP="00240629">
            <w:pPr>
              <w:pStyle w:val="TableText0"/>
            </w:pPr>
            <w:r w:rsidRPr="008C164C">
              <w:t>Treatment-related TEAE, n (%)</w:t>
            </w:r>
          </w:p>
        </w:tc>
        <w:tc>
          <w:tcPr>
            <w:tcW w:w="532" w:type="pct"/>
            <w:shd w:val="clear" w:color="auto" w:fill="auto"/>
            <w:vAlign w:val="center"/>
          </w:tcPr>
          <w:p w14:paraId="0436117E" w14:textId="77777777" w:rsidR="00EC79E8" w:rsidRPr="008C164C" w:rsidRDefault="00EC79E8" w:rsidP="00240629">
            <w:pPr>
              <w:pStyle w:val="TableText0"/>
              <w:jc w:val="center"/>
            </w:pPr>
            <w:r w:rsidRPr="008C164C">
              <w:rPr>
                <w:rFonts w:eastAsia="Times New Roman"/>
              </w:rPr>
              <w:t>23 (64)</w:t>
            </w:r>
          </w:p>
        </w:tc>
        <w:tc>
          <w:tcPr>
            <w:tcW w:w="623" w:type="pct"/>
            <w:shd w:val="clear" w:color="auto" w:fill="C6D9F1" w:themeFill="text2" w:themeFillTint="33"/>
            <w:vAlign w:val="center"/>
          </w:tcPr>
          <w:p w14:paraId="2949CA58" w14:textId="77777777" w:rsidR="00EC79E8" w:rsidRPr="008C164C" w:rsidRDefault="00EC79E8" w:rsidP="00240629">
            <w:pPr>
              <w:pStyle w:val="TableText0"/>
              <w:jc w:val="center"/>
            </w:pPr>
            <w:r w:rsidRPr="008C164C">
              <w:rPr>
                <w:rFonts w:eastAsia="Times New Roman"/>
              </w:rPr>
              <w:t>50 (69)</w:t>
            </w:r>
          </w:p>
        </w:tc>
        <w:tc>
          <w:tcPr>
            <w:tcW w:w="495" w:type="pct"/>
            <w:shd w:val="clear" w:color="auto" w:fill="C6D9F1" w:themeFill="text2" w:themeFillTint="33"/>
            <w:vAlign w:val="center"/>
          </w:tcPr>
          <w:p w14:paraId="0EE454F5" w14:textId="77777777" w:rsidR="00EC79E8" w:rsidRPr="008C164C" w:rsidRDefault="00EC79E8" w:rsidP="00240629">
            <w:pPr>
              <w:pStyle w:val="TableText0"/>
              <w:jc w:val="center"/>
            </w:pPr>
            <w:r w:rsidRPr="008C164C">
              <w:t>131 (55)</w:t>
            </w:r>
          </w:p>
        </w:tc>
        <w:tc>
          <w:tcPr>
            <w:tcW w:w="589" w:type="pct"/>
            <w:shd w:val="clear" w:color="auto" w:fill="C6D9F1" w:themeFill="text2" w:themeFillTint="33"/>
            <w:noWrap/>
            <w:vAlign w:val="center"/>
          </w:tcPr>
          <w:p w14:paraId="689BFD50" w14:textId="77777777" w:rsidR="00EC79E8" w:rsidRPr="008C164C" w:rsidRDefault="00EC79E8" w:rsidP="00240629">
            <w:pPr>
              <w:pStyle w:val="TableText0"/>
              <w:jc w:val="center"/>
            </w:pPr>
            <w:r w:rsidRPr="008C164C">
              <w:t>94 (45)</w:t>
            </w:r>
          </w:p>
        </w:tc>
        <w:tc>
          <w:tcPr>
            <w:tcW w:w="543" w:type="pct"/>
            <w:shd w:val="clear" w:color="auto" w:fill="C6D9F1" w:themeFill="text2" w:themeFillTint="33"/>
            <w:vAlign w:val="center"/>
          </w:tcPr>
          <w:p w14:paraId="4351DCC0" w14:textId="77777777" w:rsidR="00EC79E8" w:rsidRPr="008C164C" w:rsidRDefault="00EC79E8" w:rsidP="00240629">
            <w:pPr>
              <w:pStyle w:val="TableText0"/>
              <w:jc w:val="center"/>
            </w:pPr>
            <w:r w:rsidRPr="008C164C">
              <w:t>NR</w:t>
            </w:r>
          </w:p>
        </w:tc>
        <w:tc>
          <w:tcPr>
            <w:tcW w:w="679" w:type="pct"/>
            <w:vAlign w:val="center"/>
          </w:tcPr>
          <w:p w14:paraId="368E80CD" w14:textId="77777777" w:rsidR="00EC79E8" w:rsidRPr="008C164C" w:rsidRDefault="00EC79E8" w:rsidP="00240629">
            <w:pPr>
              <w:pStyle w:val="TableText0"/>
              <w:jc w:val="center"/>
            </w:pPr>
            <w:r w:rsidRPr="008C164C">
              <w:t>290 (78) (Grade 2-4 only)</w:t>
            </w:r>
          </w:p>
        </w:tc>
        <w:tc>
          <w:tcPr>
            <w:tcW w:w="543" w:type="pct"/>
            <w:vAlign w:val="center"/>
          </w:tcPr>
          <w:p w14:paraId="13F00427" w14:textId="77777777" w:rsidR="00EC79E8" w:rsidRPr="008C164C" w:rsidRDefault="00EC79E8" w:rsidP="00240629">
            <w:pPr>
              <w:pStyle w:val="TableText0"/>
              <w:jc w:val="center"/>
            </w:pPr>
            <w:r w:rsidRPr="008C164C">
              <w:t>7 (18)</w:t>
            </w:r>
          </w:p>
        </w:tc>
      </w:tr>
      <w:tr w:rsidR="00EC79E8" w:rsidRPr="008C164C" w14:paraId="0A14077E" w14:textId="77777777" w:rsidTr="006459CB">
        <w:tc>
          <w:tcPr>
            <w:tcW w:w="996" w:type="pct"/>
          </w:tcPr>
          <w:p w14:paraId="0A8BD05B" w14:textId="77777777" w:rsidR="00EC79E8" w:rsidRPr="008C164C" w:rsidRDefault="00EC79E8" w:rsidP="00240629">
            <w:pPr>
              <w:pStyle w:val="TableText0"/>
            </w:pPr>
            <w:r w:rsidRPr="008C164C">
              <w:t>TEAEs, severe (Grade 3, 4), n (%)</w:t>
            </w:r>
          </w:p>
        </w:tc>
        <w:tc>
          <w:tcPr>
            <w:tcW w:w="532" w:type="pct"/>
            <w:shd w:val="clear" w:color="auto" w:fill="auto"/>
            <w:vAlign w:val="center"/>
          </w:tcPr>
          <w:p w14:paraId="30C4E0D7" w14:textId="77777777" w:rsidR="00EC79E8" w:rsidRPr="008C164C" w:rsidRDefault="00EC79E8" w:rsidP="00240629">
            <w:pPr>
              <w:pStyle w:val="TableText0"/>
              <w:jc w:val="center"/>
            </w:pPr>
            <w:r w:rsidRPr="008C164C">
              <w:rPr>
                <w:rFonts w:eastAsia="Times New Roman"/>
              </w:rPr>
              <w:t>7 (19)</w:t>
            </w:r>
          </w:p>
        </w:tc>
        <w:tc>
          <w:tcPr>
            <w:tcW w:w="623" w:type="pct"/>
            <w:shd w:val="clear" w:color="auto" w:fill="C6D9F1" w:themeFill="text2" w:themeFillTint="33"/>
            <w:vAlign w:val="center"/>
          </w:tcPr>
          <w:p w14:paraId="0BF27146" w14:textId="77777777" w:rsidR="00EC79E8" w:rsidRPr="008C164C" w:rsidRDefault="00EC79E8" w:rsidP="00240629">
            <w:pPr>
              <w:pStyle w:val="TableText0"/>
              <w:jc w:val="center"/>
            </w:pPr>
            <w:r w:rsidRPr="008C164C">
              <w:rPr>
                <w:rFonts w:eastAsia="Times New Roman"/>
              </w:rPr>
              <w:t>19 (26)</w:t>
            </w:r>
          </w:p>
        </w:tc>
        <w:tc>
          <w:tcPr>
            <w:tcW w:w="495" w:type="pct"/>
            <w:shd w:val="clear" w:color="auto" w:fill="C6D9F1" w:themeFill="text2" w:themeFillTint="33"/>
            <w:vAlign w:val="center"/>
          </w:tcPr>
          <w:p w14:paraId="6EF043BF" w14:textId="77777777" w:rsidR="00EC79E8" w:rsidRPr="008C164C" w:rsidRDefault="00EC79E8" w:rsidP="00240629">
            <w:pPr>
              <w:pStyle w:val="TableText0"/>
              <w:jc w:val="center"/>
            </w:pPr>
            <w:r w:rsidRPr="008C164C">
              <w:t>NR</w:t>
            </w:r>
          </w:p>
        </w:tc>
        <w:tc>
          <w:tcPr>
            <w:tcW w:w="589" w:type="pct"/>
            <w:shd w:val="clear" w:color="auto" w:fill="C6D9F1" w:themeFill="text2" w:themeFillTint="33"/>
            <w:noWrap/>
            <w:vAlign w:val="center"/>
          </w:tcPr>
          <w:p w14:paraId="1263F4DE" w14:textId="77777777" w:rsidR="00EC79E8" w:rsidRPr="008C164C" w:rsidRDefault="00EC79E8" w:rsidP="00240629">
            <w:pPr>
              <w:pStyle w:val="TableText0"/>
              <w:jc w:val="center"/>
            </w:pPr>
            <w:r w:rsidRPr="008C164C">
              <w:t>NR</w:t>
            </w:r>
          </w:p>
        </w:tc>
        <w:tc>
          <w:tcPr>
            <w:tcW w:w="543" w:type="pct"/>
            <w:shd w:val="clear" w:color="auto" w:fill="C6D9F1" w:themeFill="text2" w:themeFillTint="33"/>
            <w:vAlign w:val="center"/>
          </w:tcPr>
          <w:p w14:paraId="1FB5B381" w14:textId="77777777" w:rsidR="00EC79E8" w:rsidRPr="008C164C" w:rsidRDefault="00EC79E8" w:rsidP="00240629">
            <w:pPr>
              <w:pStyle w:val="TableText0"/>
              <w:jc w:val="center"/>
            </w:pPr>
            <w:r w:rsidRPr="008C164C">
              <w:t>7 (20)</w:t>
            </w:r>
          </w:p>
        </w:tc>
        <w:tc>
          <w:tcPr>
            <w:tcW w:w="679" w:type="pct"/>
            <w:vAlign w:val="center"/>
          </w:tcPr>
          <w:p w14:paraId="18B420F3" w14:textId="77777777" w:rsidR="00EC79E8" w:rsidRPr="008C164C" w:rsidRDefault="00EC79E8" w:rsidP="00240629">
            <w:pPr>
              <w:pStyle w:val="TableText0"/>
              <w:jc w:val="center"/>
            </w:pPr>
            <w:r w:rsidRPr="008C164C">
              <w:t>117 (32)</w:t>
            </w:r>
          </w:p>
        </w:tc>
        <w:tc>
          <w:tcPr>
            <w:tcW w:w="543" w:type="pct"/>
            <w:vAlign w:val="center"/>
          </w:tcPr>
          <w:p w14:paraId="5160CFE3" w14:textId="77777777" w:rsidR="00EC79E8" w:rsidRPr="008C164C" w:rsidRDefault="00EC79E8" w:rsidP="00240629">
            <w:pPr>
              <w:pStyle w:val="TableText0"/>
              <w:jc w:val="center"/>
            </w:pPr>
            <w:r w:rsidRPr="008C164C">
              <w:t>11 (28)</w:t>
            </w:r>
          </w:p>
        </w:tc>
      </w:tr>
      <w:tr w:rsidR="00EC79E8" w:rsidRPr="008C164C" w14:paraId="1E1E4944" w14:textId="77777777" w:rsidTr="006459CB">
        <w:tc>
          <w:tcPr>
            <w:tcW w:w="996" w:type="pct"/>
          </w:tcPr>
          <w:p w14:paraId="3D701FF3" w14:textId="77777777" w:rsidR="00EC79E8" w:rsidRPr="008C164C" w:rsidRDefault="00EC79E8" w:rsidP="00240629">
            <w:pPr>
              <w:pStyle w:val="TableText0"/>
            </w:pPr>
            <w:r w:rsidRPr="008C164C">
              <w:t>TEAEs, serious, n (%)</w:t>
            </w:r>
          </w:p>
        </w:tc>
        <w:tc>
          <w:tcPr>
            <w:tcW w:w="532" w:type="pct"/>
            <w:shd w:val="clear" w:color="auto" w:fill="auto"/>
            <w:vAlign w:val="center"/>
          </w:tcPr>
          <w:p w14:paraId="11868971" w14:textId="77777777" w:rsidR="00EC79E8" w:rsidRPr="008C164C" w:rsidRDefault="00EC79E8" w:rsidP="00240629">
            <w:pPr>
              <w:pStyle w:val="TableText0"/>
              <w:jc w:val="center"/>
            </w:pPr>
            <w:r w:rsidRPr="008C164C">
              <w:rPr>
                <w:rFonts w:eastAsia="Times New Roman"/>
              </w:rPr>
              <w:t>6 (17)</w:t>
            </w:r>
          </w:p>
        </w:tc>
        <w:tc>
          <w:tcPr>
            <w:tcW w:w="623" w:type="pct"/>
            <w:shd w:val="clear" w:color="auto" w:fill="C6D9F1" w:themeFill="text2" w:themeFillTint="33"/>
            <w:vAlign w:val="center"/>
          </w:tcPr>
          <w:p w14:paraId="7153778F" w14:textId="77777777" w:rsidR="00EC79E8" w:rsidRPr="008C164C" w:rsidRDefault="00EC79E8" w:rsidP="00240629">
            <w:pPr>
              <w:pStyle w:val="TableText0"/>
              <w:jc w:val="center"/>
            </w:pPr>
            <w:r w:rsidRPr="008C164C">
              <w:rPr>
                <w:rFonts w:eastAsia="Times New Roman"/>
              </w:rPr>
              <w:t>10 (14)</w:t>
            </w:r>
          </w:p>
        </w:tc>
        <w:tc>
          <w:tcPr>
            <w:tcW w:w="495" w:type="pct"/>
            <w:shd w:val="clear" w:color="auto" w:fill="C6D9F1" w:themeFill="text2" w:themeFillTint="33"/>
            <w:vAlign w:val="center"/>
          </w:tcPr>
          <w:p w14:paraId="2A1E9C0A" w14:textId="77777777" w:rsidR="00EC79E8" w:rsidRPr="008C164C" w:rsidRDefault="00EC79E8" w:rsidP="00240629">
            <w:pPr>
              <w:pStyle w:val="TableText0"/>
              <w:jc w:val="center"/>
            </w:pPr>
            <w:r w:rsidRPr="008C164C">
              <w:t>45 (19.0)</w:t>
            </w:r>
          </w:p>
        </w:tc>
        <w:tc>
          <w:tcPr>
            <w:tcW w:w="589" w:type="pct"/>
            <w:shd w:val="clear" w:color="auto" w:fill="C6D9F1" w:themeFill="text2" w:themeFillTint="33"/>
            <w:noWrap/>
            <w:vAlign w:val="center"/>
          </w:tcPr>
          <w:p w14:paraId="73550578" w14:textId="77777777" w:rsidR="00EC79E8" w:rsidRPr="008C164C" w:rsidRDefault="00EC79E8" w:rsidP="00240629">
            <w:pPr>
              <w:pStyle w:val="TableText0"/>
              <w:jc w:val="center"/>
            </w:pPr>
            <w:r w:rsidRPr="008C164C">
              <w:t>60 (28.7)</w:t>
            </w:r>
          </w:p>
        </w:tc>
        <w:tc>
          <w:tcPr>
            <w:tcW w:w="543" w:type="pct"/>
            <w:shd w:val="clear" w:color="auto" w:fill="C6D9F1" w:themeFill="text2" w:themeFillTint="33"/>
            <w:vAlign w:val="center"/>
          </w:tcPr>
          <w:p w14:paraId="1FBFC4A2" w14:textId="77777777" w:rsidR="00EC79E8" w:rsidRPr="008C164C" w:rsidRDefault="00EC79E8" w:rsidP="00240629">
            <w:pPr>
              <w:pStyle w:val="TableText0"/>
              <w:jc w:val="center"/>
            </w:pPr>
            <w:r w:rsidRPr="008C164C">
              <w:t>NR</w:t>
            </w:r>
          </w:p>
        </w:tc>
        <w:tc>
          <w:tcPr>
            <w:tcW w:w="679" w:type="pct"/>
            <w:vAlign w:val="center"/>
          </w:tcPr>
          <w:p w14:paraId="1AE72E08" w14:textId="77777777" w:rsidR="00EC79E8" w:rsidRPr="008C164C" w:rsidRDefault="00EC79E8" w:rsidP="00240629">
            <w:pPr>
              <w:pStyle w:val="TableText0"/>
              <w:jc w:val="center"/>
            </w:pPr>
            <w:r w:rsidRPr="008C164C">
              <w:t>129 (35)</w:t>
            </w:r>
          </w:p>
        </w:tc>
        <w:tc>
          <w:tcPr>
            <w:tcW w:w="543" w:type="pct"/>
            <w:vAlign w:val="center"/>
          </w:tcPr>
          <w:p w14:paraId="31DD9EB5" w14:textId="77777777" w:rsidR="00EC79E8" w:rsidRPr="008C164C" w:rsidRDefault="00EC79E8" w:rsidP="00240629">
            <w:pPr>
              <w:pStyle w:val="TableText0"/>
              <w:jc w:val="center"/>
            </w:pPr>
            <w:r w:rsidRPr="008C164C">
              <w:t>9 (23)</w:t>
            </w:r>
          </w:p>
        </w:tc>
      </w:tr>
      <w:tr w:rsidR="00EC79E8" w:rsidRPr="008C164C" w14:paraId="53613C4C" w14:textId="77777777" w:rsidTr="006459CB">
        <w:tc>
          <w:tcPr>
            <w:tcW w:w="996" w:type="pct"/>
          </w:tcPr>
          <w:p w14:paraId="0AED826F" w14:textId="77777777" w:rsidR="00EC79E8" w:rsidRPr="008C164C" w:rsidRDefault="00EC79E8" w:rsidP="00240629">
            <w:pPr>
              <w:pStyle w:val="TableText0"/>
            </w:pPr>
            <w:r w:rsidRPr="008C164C">
              <w:t>TEAE leading to discontinuation, n (%)</w:t>
            </w:r>
          </w:p>
        </w:tc>
        <w:tc>
          <w:tcPr>
            <w:tcW w:w="532" w:type="pct"/>
            <w:shd w:val="clear" w:color="auto" w:fill="auto"/>
            <w:vAlign w:val="center"/>
          </w:tcPr>
          <w:p w14:paraId="54B18FCD" w14:textId="77777777" w:rsidR="00EC79E8" w:rsidRPr="008C164C" w:rsidRDefault="00EC79E8" w:rsidP="00240629">
            <w:pPr>
              <w:pStyle w:val="TableText0"/>
              <w:jc w:val="center"/>
            </w:pPr>
            <w:r w:rsidRPr="008C164C">
              <w:rPr>
                <w:rFonts w:eastAsia="Times New Roman"/>
              </w:rPr>
              <w:t>1 (3)</w:t>
            </w:r>
          </w:p>
        </w:tc>
        <w:tc>
          <w:tcPr>
            <w:tcW w:w="623" w:type="pct"/>
            <w:shd w:val="clear" w:color="auto" w:fill="C6D9F1" w:themeFill="text2" w:themeFillTint="33"/>
            <w:vAlign w:val="center"/>
          </w:tcPr>
          <w:p w14:paraId="3AE67D25" w14:textId="77777777" w:rsidR="00EC79E8" w:rsidRPr="008C164C" w:rsidRDefault="00EC79E8" w:rsidP="00240629">
            <w:pPr>
              <w:pStyle w:val="TableText0"/>
              <w:jc w:val="center"/>
            </w:pPr>
            <w:r w:rsidRPr="008C164C">
              <w:rPr>
                <w:rFonts w:eastAsia="Times New Roman"/>
              </w:rPr>
              <w:t>3 (4)</w:t>
            </w:r>
          </w:p>
        </w:tc>
        <w:tc>
          <w:tcPr>
            <w:tcW w:w="495" w:type="pct"/>
            <w:shd w:val="clear" w:color="auto" w:fill="C6D9F1" w:themeFill="text2" w:themeFillTint="33"/>
            <w:vAlign w:val="center"/>
          </w:tcPr>
          <w:p w14:paraId="375BCDD5" w14:textId="77777777" w:rsidR="00EC79E8" w:rsidRPr="008C164C" w:rsidRDefault="00EC79E8" w:rsidP="00240629">
            <w:pPr>
              <w:pStyle w:val="TableText0"/>
              <w:jc w:val="center"/>
            </w:pPr>
            <w:r w:rsidRPr="008C164C">
              <w:t>7 (3)</w:t>
            </w:r>
          </w:p>
        </w:tc>
        <w:tc>
          <w:tcPr>
            <w:tcW w:w="589" w:type="pct"/>
            <w:shd w:val="clear" w:color="auto" w:fill="C6D9F1" w:themeFill="text2" w:themeFillTint="33"/>
            <w:noWrap/>
            <w:vAlign w:val="center"/>
          </w:tcPr>
          <w:p w14:paraId="57F4329A" w14:textId="77777777" w:rsidR="00EC79E8" w:rsidRPr="008C164C" w:rsidRDefault="00EC79E8" w:rsidP="00240629">
            <w:pPr>
              <w:pStyle w:val="TableText0"/>
              <w:jc w:val="center"/>
            </w:pPr>
            <w:r w:rsidRPr="008C164C">
              <w:t>6 (3)</w:t>
            </w:r>
          </w:p>
        </w:tc>
        <w:tc>
          <w:tcPr>
            <w:tcW w:w="543" w:type="pct"/>
            <w:shd w:val="clear" w:color="auto" w:fill="C6D9F1" w:themeFill="text2" w:themeFillTint="33"/>
            <w:vAlign w:val="center"/>
          </w:tcPr>
          <w:p w14:paraId="4E463010" w14:textId="77777777" w:rsidR="00EC79E8" w:rsidRPr="008C164C" w:rsidRDefault="00EC79E8" w:rsidP="00240629">
            <w:pPr>
              <w:pStyle w:val="TableText0"/>
              <w:jc w:val="center"/>
            </w:pPr>
            <w:r w:rsidRPr="008C164C">
              <w:t>NR</w:t>
            </w:r>
          </w:p>
        </w:tc>
        <w:tc>
          <w:tcPr>
            <w:tcW w:w="679" w:type="pct"/>
            <w:vAlign w:val="center"/>
          </w:tcPr>
          <w:p w14:paraId="75AEA1C9" w14:textId="77777777" w:rsidR="00EC79E8" w:rsidRPr="008C164C" w:rsidRDefault="00EC79E8" w:rsidP="00240629">
            <w:pPr>
              <w:pStyle w:val="TableText0"/>
              <w:jc w:val="center"/>
            </w:pPr>
            <w:r w:rsidRPr="008C164C">
              <w:t>27 (7)</w:t>
            </w:r>
          </w:p>
        </w:tc>
        <w:tc>
          <w:tcPr>
            <w:tcW w:w="543" w:type="pct"/>
            <w:vAlign w:val="center"/>
          </w:tcPr>
          <w:p w14:paraId="4781A344" w14:textId="77777777" w:rsidR="00EC79E8" w:rsidRPr="008C164C" w:rsidRDefault="00EC79E8" w:rsidP="00240629">
            <w:pPr>
              <w:pStyle w:val="TableText0"/>
              <w:jc w:val="center"/>
            </w:pPr>
            <w:r w:rsidRPr="008C164C">
              <w:t>5 (13)</w:t>
            </w:r>
          </w:p>
        </w:tc>
      </w:tr>
      <w:tr w:rsidR="00EC79E8" w:rsidRPr="008C164C" w14:paraId="724EEF62" w14:textId="77777777" w:rsidTr="006459CB">
        <w:tc>
          <w:tcPr>
            <w:tcW w:w="996" w:type="pct"/>
          </w:tcPr>
          <w:p w14:paraId="54530C38" w14:textId="77777777" w:rsidR="00EC79E8" w:rsidRPr="008C164C" w:rsidRDefault="00EC79E8" w:rsidP="00240629">
            <w:pPr>
              <w:pStyle w:val="TableText0"/>
            </w:pPr>
            <w:r w:rsidRPr="008C164C">
              <w:t>Deaths, n (%)</w:t>
            </w:r>
          </w:p>
        </w:tc>
        <w:tc>
          <w:tcPr>
            <w:tcW w:w="532" w:type="pct"/>
            <w:shd w:val="clear" w:color="auto" w:fill="auto"/>
            <w:vAlign w:val="center"/>
          </w:tcPr>
          <w:p w14:paraId="1108ADAB" w14:textId="77777777" w:rsidR="00EC79E8" w:rsidRPr="008C164C" w:rsidRDefault="00EC79E8" w:rsidP="00240629">
            <w:pPr>
              <w:pStyle w:val="TableText0"/>
              <w:jc w:val="center"/>
            </w:pPr>
            <w:r w:rsidRPr="008C164C">
              <w:rPr>
                <w:rFonts w:eastAsia="Times New Roman"/>
              </w:rPr>
              <w:t>0</w:t>
            </w:r>
          </w:p>
        </w:tc>
        <w:tc>
          <w:tcPr>
            <w:tcW w:w="623" w:type="pct"/>
            <w:shd w:val="clear" w:color="auto" w:fill="C6D9F1" w:themeFill="text2" w:themeFillTint="33"/>
            <w:vAlign w:val="center"/>
          </w:tcPr>
          <w:p w14:paraId="14FB2D20" w14:textId="77777777" w:rsidR="00EC79E8" w:rsidRPr="008C164C" w:rsidRDefault="00EC79E8" w:rsidP="00240629">
            <w:pPr>
              <w:pStyle w:val="TableText0"/>
              <w:jc w:val="center"/>
            </w:pPr>
            <w:r w:rsidRPr="008C164C">
              <w:rPr>
                <w:rFonts w:eastAsia="Times New Roman"/>
              </w:rPr>
              <w:t>2 (3)</w:t>
            </w:r>
          </w:p>
        </w:tc>
        <w:tc>
          <w:tcPr>
            <w:tcW w:w="495" w:type="pct"/>
            <w:shd w:val="clear" w:color="auto" w:fill="C6D9F1" w:themeFill="text2" w:themeFillTint="33"/>
            <w:vAlign w:val="center"/>
          </w:tcPr>
          <w:p w14:paraId="02FEDA5A" w14:textId="77777777" w:rsidR="00EC79E8" w:rsidRPr="008C164C" w:rsidRDefault="00EC79E8" w:rsidP="00240629">
            <w:pPr>
              <w:pStyle w:val="TableText0"/>
              <w:jc w:val="center"/>
            </w:pPr>
            <w:r w:rsidRPr="008C164C">
              <w:t>6 (3)</w:t>
            </w:r>
          </w:p>
        </w:tc>
        <w:tc>
          <w:tcPr>
            <w:tcW w:w="589" w:type="pct"/>
            <w:shd w:val="clear" w:color="auto" w:fill="C6D9F1" w:themeFill="text2" w:themeFillTint="33"/>
            <w:noWrap/>
            <w:vAlign w:val="center"/>
          </w:tcPr>
          <w:p w14:paraId="060B6B3E" w14:textId="77777777" w:rsidR="00EC79E8" w:rsidRPr="008C164C" w:rsidRDefault="00EC79E8" w:rsidP="00240629">
            <w:pPr>
              <w:pStyle w:val="TableText0"/>
              <w:jc w:val="center"/>
            </w:pPr>
            <w:r w:rsidRPr="008C164C">
              <w:t>2 (1)</w:t>
            </w:r>
          </w:p>
        </w:tc>
        <w:tc>
          <w:tcPr>
            <w:tcW w:w="543" w:type="pct"/>
            <w:shd w:val="clear" w:color="auto" w:fill="C6D9F1" w:themeFill="text2" w:themeFillTint="33"/>
            <w:vAlign w:val="center"/>
          </w:tcPr>
          <w:p w14:paraId="7F1DD402" w14:textId="77777777" w:rsidR="00EC79E8" w:rsidRPr="008C164C" w:rsidRDefault="00EC79E8" w:rsidP="00240629">
            <w:pPr>
              <w:pStyle w:val="TableText0"/>
              <w:jc w:val="center"/>
            </w:pPr>
            <w:r w:rsidRPr="008C164C">
              <w:t>2 (6)</w:t>
            </w:r>
          </w:p>
        </w:tc>
        <w:tc>
          <w:tcPr>
            <w:tcW w:w="679" w:type="pct"/>
            <w:vAlign w:val="center"/>
          </w:tcPr>
          <w:p w14:paraId="365B412F" w14:textId="77777777" w:rsidR="00EC79E8" w:rsidRPr="008C164C" w:rsidRDefault="00EC79E8" w:rsidP="00240629">
            <w:pPr>
              <w:pStyle w:val="TableText0"/>
              <w:jc w:val="center"/>
            </w:pPr>
            <w:r w:rsidRPr="008C164C">
              <w:t>25 (7)</w:t>
            </w:r>
          </w:p>
        </w:tc>
        <w:tc>
          <w:tcPr>
            <w:tcW w:w="543" w:type="pct"/>
            <w:vAlign w:val="center"/>
          </w:tcPr>
          <w:p w14:paraId="65E08B5A" w14:textId="77777777" w:rsidR="00EC79E8" w:rsidRPr="008C164C" w:rsidRDefault="00EC79E8" w:rsidP="00240629">
            <w:pPr>
              <w:pStyle w:val="TableText0"/>
              <w:jc w:val="center"/>
            </w:pPr>
            <w:r w:rsidRPr="008C164C">
              <w:t>4 (40)</w:t>
            </w:r>
          </w:p>
        </w:tc>
      </w:tr>
      <w:tr w:rsidR="00EC79E8" w:rsidRPr="008C164C" w14:paraId="647C0ECB" w14:textId="77777777" w:rsidTr="006459CB">
        <w:tc>
          <w:tcPr>
            <w:tcW w:w="5000" w:type="pct"/>
            <w:gridSpan w:val="8"/>
            <w:vAlign w:val="center"/>
          </w:tcPr>
          <w:p w14:paraId="59426DD3" w14:textId="77777777" w:rsidR="00EC79E8" w:rsidRPr="008C164C" w:rsidRDefault="00EC79E8" w:rsidP="00240629">
            <w:pPr>
              <w:pStyle w:val="TableText0"/>
              <w:rPr>
                <w:b/>
                <w:bCs w:val="0"/>
              </w:rPr>
            </w:pPr>
            <w:r w:rsidRPr="008C164C">
              <w:rPr>
                <w:b/>
                <w:bCs w:val="0"/>
              </w:rPr>
              <w:t>Any TEAE occurring in ≥10% of patients in any treatment arm, n (%)</w:t>
            </w:r>
          </w:p>
        </w:tc>
      </w:tr>
      <w:tr w:rsidR="00EC79E8" w:rsidRPr="008C164C" w14:paraId="4B16EE16" w14:textId="77777777" w:rsidTr="006459CB">
        <w:tc>
          <w:tcPr>
            <w:tcW w:w="996" w:type="pct"/>
          </w:tcPr>
          <w:p w14:paraId="0650651B" w14:textId="77777777" w:rsidR="00EC79E8" w:rsidRPr="008C164C" w:rsidRDefault="00EC79E8" w:rsidP="00240629">
            <w:pPr>
              <w:pStyle w:val="TableText0"/>
            </w:pPr>
            <w:r w:rsidRPr="008C164C">
              <w:t>Diarrhoea</w:t>
            </w:r>
          </w:p>
        </w:tc>
        <w:tc>
          <w:tcPr>
            <w:tcW w:w="532" w:type="pct"/>
            <w:shd w:val="clear" w:color="auto" w:fill="auto"/>
            <w:vAlign w:val="center"/>
          </w:tcPr>
          <w:p w14:paraId="55436ABD" w14:textId="77777777" w:rsidR="00EC79E8" w:rsidRPr="008C164C" w:rsidRDefault="00EC79E8" w:rsidP="00240629">
            <w:pPr>
              <w:pStyle w:val="TableText0"/>
              <w:jc w:val="center"/>
            </w:pPr>
            <w:r w:rsidRPr="008C164C">
              <w:t>6 (17)</w:t>
            </w:r>
          </w:p>
        </w:tc>
        <w:tc>
          <w:tcPr>
            <w:tcW w:w="623" w:type="pct"/>
            <w:shd w:val="clear" w:color="auto" w:fill="C6D9F1" w:themeFill="text2" w:themeFillTint="33"/>
            <w:vAlign w:val="center"/>
          </w:tcPr>
          <w:p w14:paraId="1662BBC4" w14:textId="77777777" w:rsidR="00EC79E8" w:rsidRPr="008C164C" w:rsidRDefault="00EC79E8" w:rsidP="00240629">
            <w:pPr>
              <w:pStyle w:val="TableText0"/>
              <w:jc w:val="center"/>
            </w:pPr>
            <w:r w:rsidRPr="008C164C">
              <w:t>10 (14)</w:t>
            </w:r>
          </w:p>
        </w:tc>
        <w:tc>
          <w:tcPr>
            <w:tcW w:w="495" w:type="pct"/>
            <w:shd w:val="clear" w:color="auto" w:fill="C6D9F1" w:themeFill="text2" w:themeFillTint="33"/>
            <w:vAlign w:val="center"/>
          </w:tcPr>
          <w:p w14:paraId="64C9FF47" w14:textId="77777777" w:rsidR="00EC79E8" w:rsidRPr="008C164C" w:rsidRDefault="00EC79E8" w:rsidP="00240629">
            <w:pPr>
              <w:pStyle w:val="TableText0"/>
              <w:jc w:val="center"/>
            </w:pPr>
            <w:r w:rsidRPr="008C164C">
              <w:t>50 (21)</w:t>
            </w:r>
          </w:p>
        </w:tc>
        <w:tc>
          <w:tcPr>
            <w:tcW w:w="589" w:type="pct"/>
            <w:shd w:val="clear" w:color="auto" w:fill="C6D9F1" w:themeFill="text2" w:themeFillTint="33"/>
            <w:noWrap/>
            <w:vAlign w:val="center"/>
          </w:tcPr>
          <w:p w14:paraId="34534606" w14:textId="77777777" w:rsidR="00EC79E8" w:rsidRPr="008C164C" w:rsidRDefault="00EC79E8" w:rsidP="00240629">
            <w:pPr>
              <w:pStyle w:val="TableText0"/>
              <w:jc w:val="center"/>
            </w:pPr>
            <w:r w:rsidRPr="008C164C">
              <w:t>50 (24)</w:t>
            </w:r>
          </w:p>
        </w:tc>
        <w:tc>
          <w:tcPr>
            <w:tcW w:w="543" w:type="pct"/>
            <w:shd w:val="clear" w:color="auto" w:fill="C6D9F1" w:themeFill="text2" w:themeFillTint="33"/>
            <w:vAlign w:val="center"/>
          </w:tcPr>
          <w:p w14:paraId="79B217FD" w14:textId="77777777" w:rsidR="00EC79E8" w:rsidRPr="008C164C" w:rsidRDefault="00EC79E8" w:rsidP="00240629">
            <w:pPr>
              <w:pStyle w:val="TableText0"/>
              <w:jc w:val="center"/>
            </w:pPr>
            <w:r w:rsidRPr="008C164C">
              <w:t>9 (26)</w:t>
            </w:r>
          </w:p>
        </w:tc>
        <w:tc>
          <w:tcPr>
            <w:tcW w:w="679" w:type="pct"/>
            <w:vAlign w:val="center"/>
          </w:tcPr>
          <w:p w14:paraId="404F2D83" w14:textId="77777777" w:rsidR="00EC79E8" w:rsidRPr="008C164C" w:rsidRDefault="00EC79E8" w:rsidP="00240629">
            <w:pPr>
              <w:pStyle w:val="TableText0"/>
              <w:jc w:val="center"/>
            </w:pPr>
            <w:r w:rsidRPr="008C164C">
              <w:t>83 (22)</w:t>
            </w:r>
          </w:p>
        </w:tc>
        <w:tc>
          <w:tcPr>
            <w:tcW w:w="543" w:type="pct"/>
            <w:vAlign w:val="center"/>
          </w:tcPr>
          <w:p w14:paraId="3891C3F2" w14:textId="77777777" w:rsidR="00EC79E8" w:rsidRPr="008C164C" w:rsidRDefault="00EC79E8" w:rsidP="00240629">
            <w:pPr>
              <w:pStyle w:val="TableText0"/>
              <w:jc w:val="center"/>
            </w:pPr>
            <w:r w:rsidRPr="008C164C">
              <w:t>8 (20)</w:t>
            </w:r>
          </w:p>
        </w:tc>
      </w:tr>
      <w:tr w:rsidR="00EC79E8" w:rsidRPr="008C164C" w14:paraId="01DA12B3" w14:textId="77777777" w:rsidTr="006459CB">
        <w:tc>
          <w:tcPr>
            <w:tcW w:w="996" w:type="pct"/>
          </w:tcPr>
          <w:p w14:paraId="49B88D4B" w14:textId="77777777" w:rsidR="00EC79E8" w:rsidRPr="008C164C" w:rsidRDefault="00EC79E8" w:rsidP="00240629">
            <w:pPr>
              <w:pStyle w:val="TableText0"/>
            </w:pPr>
            <w:r w:rsidRPr="008C164C">
              <w:t>Nausea</w:t>
            </w:r>
          </w:p>
        </w:tc>
        <w:tc>
          <w:tcPr>
            <w:tcW w:w="532" w:type="pct"/>
            <w:shd w:val="clear" w:color="auto" w:fill="auto"/>
            <w:vAlign w:val="center"/>
          </w:tcPr>
          <w:p w14:paraId="48116524" w14:textId="77777777" w:rsidR="00EC79E8" w:rsidRPr="008C164C" w:rsidRDefault="00EC79E8" w:rsidP="00240629">
            <w:pPr>
              <w:pStyle w:val="TableText0"/>
              <w:jc w:val="center"/>
            </w:pPr>
            <w:r w:rsidRPr="008C164C">
              <w:t>7 (19)</w:t>
            </w:r>
          </w:p>
        </w:tc>
        <w:tc>
          <w:tcPr>
            <w:tcW w:w="623" w:type="pct"/>
            <w:shd w:val="clear" w:color="auto" w:fill="C6D9F1" w:themeFill="text2" w:themeFillTint="33"/>
            <w:vAlign w:val="center"/>
          </w:tcPr>
          <w:p w14:paraId="5E61E952" w14:textId="77777777" w:rsidR="00EC79E8" w:rsidRPr="008C164C" w:rsidRDefault="00EC79E8" w:rsidP="00240629">
            <w:pPr>
              <w:pStyle w:val="TableText0"/>
              <w:jc w:val="center"/>
            </w:pPr>
            <w:r w:rsidRPr="008C164C">
              <w:t>10 (14)</w:t>
            </w:r>
          </w:p>
        </w:tc>
        <w:tc>
          <w:tcPr>
            <w:tcW w:w="495" w:type="pct"/>
            <w:shd w:val="clear" w:color="auto" w:fill="C6D9F1" w:themeFill="text2" w:themeFillTint="33"/>
            <w:vAlign w:val="center"/>
          </w:tcPr>
          <w:p w14:paraId="6D40E76C" w14:textId="77777777" w:rsidR="00EC79E8" w:rsidRPr="008C164C" w:rsidRDefault="00EC79E8" w:rsidP="00240629">
            <w:pPr>
              <w:pStyle w:val="TableText0"/>
              <w:jc w:val="center"/>
            </w:pPr>
            <w:r w:rsidRPr="008C164C">
              <w:t>34 (14)</w:t>
            </w:r>
          </w:p>
        </w:tc>
        <w:tc>
          <w:tcPr>
            <w:tcW w:w="589" w:type="pct"/>
            <w:shd w:val="clear" w:color="auto" w:fill="C6D9F1" w:themeFill="text2" w:themeFillTint="33"/>
            <w:noWrap/>
            <w:vAlign w:val="center"/>
          </w:tcPr>
          <w:p w14:paraId="6DFB0501" w14:textId="77777777" w:rsidR="00EC79E8" w:rsidRPr="008C164C" w:rsidRDefault="00EC79E8" w:rsidP="00240629">
            <w:pPr>
              <w:pStyle w:val="TableText0"/>
              <w:jc w:val="center"/>
            </w:pPr>
            <w:r w:rsidRPr="008C164C">
              <w:t>42 (20)</w:t>
            </w:r>
          </w:p>
        </w:tc>
        <w:tc>
          <w:tcPr>
            <w:tcW w:w="543" w:type="pct"/>
            <w:shd w:val="clear" w:color="auto" w:fill="C6D9F1" w:themeFill="text2" w:themeFillTint="33"/>
            <w:vAlign w:val="center"/>
          </w:tcPr>
          <w:p w14:paraId="51FBF16C" w14:textId="77777777" w:rsidR="00EC79E8" w:rsidRPr="008C164C" w:rsidRDefault="00EC79E8" w:rsidP="00240629">
            <w:pPr>
              <w:pStyle w:val="TableText0"/>
              <w:jc w:val="center"/>
            </w:pPr>
            <w:r w:rsidRPr="008C164C">
              <w:t>5 (14)</w:t>
            </w:r>
          </w:p>
        </w:tc>
        <w:tc>
          <w:tcPr>
            <w:tcW w:w="679" w:type="pct"/>
            <w:vAlign w:val="center"/>
          </w:tcPr>
          <w:p w14:paraId="49699207" w14:textId="77777777" w:rsidR="00EC79E8" w:rsidRPr="008C164C" w:rsidRDefault="00EC79E8" w:rsidP="00240629">
            <w:pPr>
              <w:pStyle w:val="TableText0"/>
              <w:jc w:val="center"/>
            </w:pPr>
            <w:r w:rsidRPr="008C164C">
              <w:t>60 (16)</w:t>
            </w:r>
          </w:p>
        </w:tc>
        <w:tc>
          <w:tcPr>
            <w:tcW w:w="543" w:type="pct"/>
            <w:vAlign w:val="center"/>
          </w:tcPr>
          <w:p w14:paraId="7213EF8E" w14:textId="77777777" w:rsidR="00EC79E8" w:rsidRPr="008C164C" w:rsidRDefault="00EC79E8" w:rsidP="00240629">
            <w:pPr>
              <w:pStyle w:val="TableText0"/>
              <w:jc w:val="center"/>
            </w:pPr>
            <w:r w:rsidRPr="008C164C">
              <w:t>5 (13)</w:t>
            </w:r>
          </w:p>
        </w:tc>
      </w:tr>
      <w:tr w:rsidR="00EC79E8" w:rsidRPr="008C164C" w14:paraId="4D7ED512" w14:textId="77777777" w:rsidTr="006459CB">
        <w:tc>
          <w:tcPr>
            <w:tcW w:w="996" w:type="pct"/>
          </w:tcPr>
          <w:p w14:paraId="260C1719" w14:textId="77777777" w:rsidR="00EC79E8" w:rsidRPr="008C164C" w:rsidRDefault="00EC79E8" w:rsidP="00240629">
            <w:pPr>
              <w:pStyle w:val="TableText0"/>
            </w:pPr>
            <w:r w:rsidRPr="008C164C">
              <w:t>Vomiting</w:t>
            </w:r>
          </w:p>
        </w:tc>
        <w:tc>
          <w:tcPr>
            <w:tcW w:w="532" w:type="pct"/>
            <w:shd w:val="clear" w:color="auto" w:fill="auto"/>
            <w:vAlign w:val="center"/>
          </w:tcPr>
          <w:p w14:paraId="38DEEB28" w14:textId="77777777" w:rsidR="00EC79E8" w:rsidRPr="008C164C" w:rsidRDefault="00EC79E8" w:rsidP="00240629">
            <w:pPr>
              <w:pStyle w:val="TableText0"/>
              <w:jc w:val="center"/>
            </w:pPr>
            <w:r w:rsidRPr="008C164C">
              <w:t>1 (3)</w:t>
            </w:r>
          </w:p>
        </w:tc>
        <w:tc>
          <w:tcPr>
            <w:tcW w:w="623" w:type="pct"/>
            <w:shd w:val="clear" w:color="auto" w:fill="C6D9F1" w:themeFill="text2" w:themeFillTint="33"/>
            <w:vAlign w:val="center"/>
          </w:tcPr>
          <w:p w14:paraId="5AF03C8A" w14:textId="77777777" w:rsidR="00EC79E8" w:rsidRPr="008C164C" w:rsidRDefault="00EC79E8" w:rsidP="00240629">
            <w:pPr>
              <w:pStyle w:val="TableText0"/>
              <w:jc w:val="center"/>
            </w:pPr>
            <w:r w:rsidRPr="008C164C">
              <w:t>4 (6)</w:t>
            </w:r>
          </w:p>
        </w:tc>
        <w:tc>
          <w:tcPr>
            <w:tcW w:w="495" w:type="pct"/>
            <w:shd w:val="clear" w:color="auto" w:fill="C6D9F1" w:themeFill="text2" w:themeFillTint="33"/>
            <w:vAlign w:val="center"/>
          </w:tcPr>
          <w:p w14:paraId="4D4F6042" w14:textId="77777777" w:rsidR="00EC79E8" w:rsidRPr="008C164C" w:rsidRDefault="00EC79E8" w:rsidP="00240629">
            <w:pPr>
              <w:pStyle w:val="TableText0"/>
              <w:jc w:val="center"/>
            </w:pPr>
            <w:r w:rsidRPr="008C164C">
              <w:t>22 (9)</w:t>
            </w:r>
          </w:p>
        </w:tc>
        <w:tc>
          <w:tcPr>
            <w:tcW w:w="589" w:type="pct"/>
            <w:shd w:val="clear" w:color="auto" w:fill="C6D9F1" w:themeFill="text2" w:themeFillTint="33"/>
            <w:noWrap/>
            <w:vAlign w:val="center"/>
          </w:tcPr>
          <w:p w14:paraId="792CB3EB" w14:textId="77777777" w:rsidR="00EC79E8" w:rsidRPr="008C164C" w:rsidRDefault="00EC79E8" w:rsidP="00240629">
            <w:pPr>
              <w:pStyle w:val="TableText0"/>
              <w:jc w:val="center"/>
            </w:pPr>
            <w:r w:rsidRPr="008C164C">
              <w:t>23 (11)</w:t>
            </w:r>
          </w:p>
        </w:tc>
        <w:tc>
          <w:tcPr>
            <w:tcW w:w="543" w:type="pct"/>
            <w:shd w:val="clear" w:color="auto" w:fill="C6D9F1" w:themeFill="text2" w:themeFillTint="33"/>
            <w:vAlign w:val="center"/>
          </w:tcPr>
          <w:p w14:paraId="42FF2672" w14:textId="77777777" w:rsidR="00EC79E8" w:rsidRPr="008C164C" w:rsidRDefault="00EC79E8" w:rsidP="00240629">
            <w:pPr>
              <w:pStyle w:val="TableText0"/>
              <w:jc w:val="center"/>
            </w:pPr>
            <w:r w:rsidRPr="008C164C">
              <w:t>3 (9)</w:t>
            </w:r>
          </w:p>
        </w:tc>
        <w:tc>
          <w:tcPr>
            <w:tcW w:w="679" w:type="pct"/>
            <w:vAlign w:val="center"/>
          </w:tcPr>
          <w:p w14:paraId="5172C8CB" w14:textId="77777777" w:rsidR="00EC79E8" w:rsidRPr="008C164C" w:rsidRDefault="00EC79E8" w:rsidP="00240629">
            <w:pPr>
              <w:pStyle w:val="TableText0"/>
              <w:jc w:val="center"/>
            </w:pPr>
            <w:r w:rsidRPr="008C164C">
              <w:t>38 (10)</w:t>
            </w:r>
          </w:p>
        </w:tc>
        <w:tc>
          <w:tcPr>
            <w:tcW w:w="543" w:type="pct"/>
            <w:vAlign w:val="center"/>
          </w:tcPr>
          <w:p w14:paraId="3B8DE45F" w14:textId="77777777" w:rsidR="00EC79E8" w:rsidRPr="008C164C" w:rsidRDefault="00EC79E8" w:rsidP="00240629">
            <w:pPr>
              <w:pStyle w:val="TableText0"/>
              <w:jc w:val="center"/>
            </w:pPr>
            <w:r w:rsidRPr="008C164C">
              <w:t>4 (10)</w:t>
            </w:r>
          </w:p>
        </w:tc>
      </w:tr>
      <w:tr w:rsidR="00EC79E8" w:rsidRPr="008C164C" w14:paraId="3634580A" w14:textId="77777777" w:rsidTr="006459CB">
        <w:tc>
          <w:tcPr>
            <w:tcW w:w="996" w:type="pct"/>
          </w:tcPr>
          <w:p w14:paraId="15C0F519" w14:textId="77777777" w:rsidR="00EC79E8" w:rsidRPr="008C164C" w:rsidRDefault="00EC79E8" w:rsidP="00240629">
            <w:pPr>
              <w:pStyle w:val="TableText0"/>
            </w:pPr>
            <w:r w:rsidRPr="008C164C">
              <w:t>Constipation</w:t>
            </w:r>
          </w:p>
        </w:tc>
        <w:tc>
          <w:tcPr>
            <w:tcW w:w="532" w:type="pct"/>
            <w:shd w:val="clear" w:color="auto" w:fill="auto"/>
            <w:vAlign w:val="center"/>
          </w:tcPr>
          <w:p w14:paraId="26878697" w14:textId="77777777" w:rsidR="00EC79E8" w:rsidRPr="008C164C" w:rsidRDefault="00EC79E8" w:rsidP="00240629">
            <w:pPr>
              <w:pStyle w:val="TableText0"/>
              <w:jc w:val="center"/>
            </w:pPr>
            <w:r w:rsidRPr="008C164C">
              <w:t>6 (17)</w:t>
            </w:r>
          </w:p>
        </w:tc>
        <w:tc>
          <w:tcPr>
            <w:tcW w:w="623" w:type="pct"/>
            <w:shd w:val="clear" w:color="auto" w:fill="C6D9F1" w:themeFill="text2" w:themeFillTint="33"/>
            <w:vAlign w:val="center"/>
          </w:tcPr>
          <w:p w14:paraId="384325C6" w14:textId="77777777" w:rsidR="00EC79E8" w:rsidRPr="008C164C" w:rsidRDefault="00EC79E8" w:rsidP="00240629">
            <w:pPr>
              <w:pStyle w:val="TableText0"/>
              <w:jc w:val="center"/>
            </w:pPr>
            <w:r w:rsidRPr="008C164C">
              <w:t>9 (13)</w:t>
            </w:r>
          </w:p>
        </w:tc>
        <w:tc>
          <w:tcPr>
            <w:tcW w:w="495" w:type="pct"/>
            <w:shd w:val="clear" w:color="auto" w:fill="C6D9F1" w:themeFill="text2" w:themeFillTint="33"/>
            <w:vAlign w:val="center"/>
          </w:tcPr>
          <w:p w14:paraId="030CEB62" w14:textId="77777777" w:rsidR="00EC79E8" w:rsidRPr="008C164C" w:rsidRDefault="00EC79E8" w:rsidP="00240629">
            <w:pPr>
              <w:pStyle w:val="TableText0"/>
              <w:jc w:val="center"/>
            </w:pPr>
            <w:r w:rsidRPr="008C164C">
              <w:t>1 (0.4)</w:t>
            </w:r>
          </w:p>
        </w:tc>
        <w:tc>
          <w:tcPr>
            <w:tcW w:w="589" w:type="pct"/>
            <w:shd w:val="clear" w:color="auto" w:fill="C6D9F1" w:themeFill="text2" w:themeFillTint="33"/>
            <w:noWrap/>
            <w:vAlign w:val="center"/>
          </w:tcPr>
          <w:p w14:paraId="21AEC8E6" w14:textId="77777777" w:rsidR="00EC79E8" w:rsidRPr="008C164C" w:rsidRDefault="00EC79E8" w:rsidP="00240629">
            <w:pPr>
              <w:pStyle w:val="TableText0"/>
              <w:jc w:val="center"/>
            </w:pPr>
            <w:r w:rsidRPr="008C164C">
              <w:t>6 (3)</w:t>
            </w:r>
          </w:p>
        </w:tc>
        <w:tc>
          <w:tcPr>
            <w:tcW w:w="543" w:type="pct"/>
            <w:shd w:val="clear" w:color="auto" w:fill="C6D9F1" w:themeFill="text2" w:themeFillTint="33"/>
            <w:vAlign w:val="center"/>
          </w:tcPr>
          <w:p w14:paraId="495DDF2C" w14:textId="77777777" w:rsidR="00EC79E8" w:rsidRPr="008C164C" w:rsidRDefault="00EC79E8" w:rsidP="00240629">
            <w:pPr>
              <w:pStyle w:val="TableText0"/>
              <w:jc w:val="center"/>
            </w:pPr>
            <w:r w:rsidRPr="008C164C">
              <w:t>NR</w:t>
            </w:r>
          </w:p>
        </w:tc>
        <w:tc>
          <w:tcPr>
            <w:tcW w:w="679" w:type="pct"/>
            <w:vAlign w:val="center"/>
          </w:tcPr>
          <w:p w14:paraId="31476DA2" w14:textId="77777777" w:rsidR="00EC79E8" w:rsidRPr="008C164C" w:rsidRDefault="00EC79E8" w:rsidP="00240629">
            <w:pPr>
              <w:pStyle w:val="TableText0"/>
              <w:jc w:val="center"/>
            </w:pPr>
            <w:r w:rsidRPr="008C164C">
              <w:t>NR</w:t>
            </w:r>
          </w:p>
        </w:tc>
        <w:tc>
          <w:tcPr>
            <w:tcW w:w="543" w:type="pct"/>
            <w:vAlign w:val="center"/>
          </w:tcPr>
          <w:p w14:paraId="1C45A0BE" w14:textId="77777777" w:rsidR="00EC79E8" w:rsidRPr="008C164C" w:rsidRDefault="00EC79E8" w:rsidP="00240629">
            <w:pPr>
              <w:pStyle w:val="TableText0"/>
              <w:jc w:val="center"/>
            </w:pPr>
            <w:r w:rsidRPr="008C164C">
              <w:t>NR</w:t>
            </w:r>
          </w:p>
        </w:tc>
      </w:tr>
      <w:tr w:rsidR="00EC79E8" w:rsidRPr="008C164C" w14:paraId="01527264" w14:textId="77777777" w:rsidTr="006459CB">
        <w:tc>
          <w:tcPr>
            <w:tcW w:w="996" w:type="pct"/>
          </w:tcPr>
          <w:p w14:paraId="11224842" w14:textId="77777777" w:rsidR="00EC79E8" w:rsidRPr="008C164C" w:rsidRDefault="00EC79E8" w:rsidP="00240629">
            <w:pPr>
              <w:pStyle w:val="TableText0"/>
            </w:pPr>
            <w:r w:rsidRPr="008C164C">
              <w:t>Flatulence</w:t>
            </w:r>
          </w:p>
        </w:tc>
        <w:tc>
          <w:tcPr>
            <w:tcW w:w="532" w:type="pct"/>
            <w:shd w:val="clear" w:color="auto" w:fill="auto"/>
            <w:vAlign w:val="center"/>
          </w:tcPr>
          <w:p w14:paraId="6B3AD089" w14:textId="77777777" w:rsidR="00EC79E8" w:rsidRPr="008C164C" w:rsidRDefault="00EC79E8" w:rsidP="00240629">
            <w:pPr>
              <w:pStyle w:val="TableText0"/>
              <w:jc w:val="center"/>
            </w:pPr>
            <w:r w:rsidRPr="008C164C">
              <w:t>1 (3)</w:t>
            </w:r>
          </w:p>
        </w:tc>
        <w:tc>
          <w:tcPr>
            <w:tcW w:w="623" w:type="pct"/>
            <w:shd w:val="clear" w:color="auto" w:fill="C6D9F1" w:themeFill="text2" w:themeFillTint="33"/>
            <w:vAlign w:val="center"/>
          </w:tcPr>
          <w:p w14:paraId="4A5EF953" w14:textId="77777777" w:rsidR="00EC79E8" w:rsidRPr="008C164C" w:rsidRDefault="00EC79E8" w:rsidP="00240629">
            <w:pPr>
              <w:pStyle w:val="TableText0"/>
              <w:jc w:val="center"/>
            </w:pPr>
            <w:r w:rsidRPr="008C164C">
              <w:t>1 (1)</w:t>
            </w:r>
          </w:p>
        </w:tc>
        <w:tc>
          <w:tcPr>
            <w:tcW w:w="495" w:type="pct"/>
            <w:shd w:val="clear" w:color="auto" w:fill="C6D9F1" w:themeFill="text2" w:themeFillTint="33"/>
            <w:vAlign w:val="center"/>
          </w:tcPr>
          <w:p w14:paraId="388FD22C" w14:textId="77777777" w:rsidR="00EC79E8" w:rsidRPr="008C164C" w:rsidRDefault="00EC79E8" w:rsidP="00240629">
            <w:pPr>
              <w:pStyle w:val="TableText0"/>
              <w:jc w:val="center"/>
            </w:pPr>
            <w:r w:rsidRPr="008C164C">
              <w:t>7 (3)</w:t>
            </w:r>
          </w:p>
        </w:tc>
        <w:tc>
          <w:tcPr>
            <w:tcW w:w="589" w:type="pct"/>
            <w:shd w:val="clear" w:color="auto" w:fill="C6D9F1" w:themeFill="text2" w:themeFillTint="33"/>
            <w:noWrap/>
            <w:vAlign w:val="center"/>
          </w:tcPr>
          <w:p w14:paraId="007EC6D8" w14:textId="77777777" w:rsidR="00EC79E8" w:rsidRPr="008C164C" w:rsidRDefault="00EC79E8" w:rsidP="00240629">
            <w:pPr>
              <w:pStyle w:val="TableText0"/>
              <w:jc w:val="center"/>
            </w:pPr>
            <w:r w:rsidRPr="008C164C">
              <w:t>7 (3)</w:t>
            </w:r>
          </w:p>
        </w:tc>
        <w:tc>
          <w:tcPr>
            <w:tcW w:w="543" w:type="pct"/>
            <w:shd w:val="clear" w:color="auto" w:fill="C6D9F1" w:themeFill="text2" w:themeFillTint="33"/>
            <w:vAlign w:val="center"/>
          </w:tcPr>
          <w:p w14:paraId="1A9EEC51" w14:textId="77777777" w:rsidR="00EC79E8" w:rsidRPr="008C164C" w:rsidRDefault="00EC79E8" w:rsidP="00240629">
            <w:pPr>
              <w:pStyle w:val="TableText0"/>
              <w:jc w:val="center"/>
            </w:pPr>
            <w:r w:rsidRPr="008C164C">
              <w:t>4 (11)</w:t>
            </w:r>
          </w:p>
        </w:tc>
        <w:tc>
          <w:tcPr>
            <w:tcW w:w="679" w:type="pct"/>
            <w:vAlign w:val="center"/>
          </w:tcPr>
          <w:p w14:paraId="5DDC9A78" w14:textId="77777777" w:rsidR="00EC79E8" w:rsidRPr="008C164C" w:rsidRDefault="00EC79E8" w:rsidP="00240629">
            <w:pPr>
              <w:pStyle w:val="TableText0"/>
              <w:jc w:val="center"/>
            </w:pPr>
            <w:r w:rsidRPr="008C164C">
              <w:t>NR</w:t>
            </w:r>
          </w:p>
        </w:tc>
        <w:tc>
          <w:tcPr>
            <w:tcW w:w="543" w:type="pct"/>
            <w:vAlign w:val="center"/>
          </w:tcPr>
          <w:p w14:paraId="731ED807" w14:textId="77777777" w:rsidR="00EC79E8" w:rsidRPr="008C164C" w:rsidRDefault="00EC79E8" w:rsidP="00240629">
            <w:pPr>
              <w:pStyle w:val="TableText0"/>
              <w:jc w:val="center"/>
            </w:pPr>
            <w:r w:rsidRPr="008C164C">
              <w:t>NR</w:t>
            </w:r>
          </w:p>
        </w:tc>
      </w:tr>
      <w:tr w:rsidR="00EC79E8" w:rsidRPr="008C164C" w14:paraId="0B7580C5" w14:textId="77777777" w:rsidTr="006459CB">
        <w:tc>
          <w:tcPr>
            <w:tcW w:w="996" w:type="pct"/>
          </w:tcPr>
          <w:p w14:paraId="52FB24E4" w14:textId="77777777" w:rsidR="00EC79E8" w:rsidRPr="008C164C" w:rsidRDefault="00EC79E8" w:rsidP="00240629">
            <w:pPr>
              <w:pStyle w:val="TableText0"/>
            </w:pPr>
            <w:r w:rsidRPr="008C164C">
              <w:t>Abdominal distention</w:t>
            </w:r>
          </w:p>
        </w:tc>
        <w:tc>
          <w:tcPr>
            <w:tcW w:w="532" w:type="pct"/>
            <w:shd w:val="clear" w:color="auto" w:fill="auto"/>
            <w:vAlign w:val="center"/>
          </w:tcPr>
          <w:p w14:paraId="07C3325F" w14:textId="77777777" w:rsidR="00EC79E8" w:rsidRPr="008C164C" w:rsidRDefault="00EC79E8" w:rsidP="00240629">
            <w:pPr>
              <w:pStyle w:val="TableText0"/>
              <w:jc w:val="center"/>
            </w:pPr>
            <w:r w:rsidRPr="008C164C">
              <w:t>5 (14)</w:t>
            </w:r>
          </w:p>
        </w:tc>
        <w:tc>
          <w:tcPr>
            <w:tcW w:w="623" w:type="pct"/>
            <w:shd w:val="clear" w:color="auto" w:fill="C6D9F1" w:themeFill="text2" w:themeFillTint="33"/>
            <w:vAlign w:val="center"/>
          </w:tcPr>
          <w:p w14:paraId="667028E5" w14:textId="77777777" w:rsidR="00EC79E8" w:rsidRPr="008C164C" w:rsidRDefault="00EC79E8" w:rsidP="00240629">
            <w:pPr>
              <w:pStyle w:val="TableText0"/>
              <w:jc w:val="center"/>
            </w:pPr>
            <w:r w:rsidRPr="008C164C">
              <w:t>7 (10)</w:t>
            </w:r>
          </w:p>
        </w:tc>
        <w:tc>
          <w:tcPr>
            <w:tcW w:w="495" w:type="pct"/>
            <w:shd w:val="clear" w:color="auto" w:fill="C6D9F1" w:themeFill="text2" w:themeFillTint="33"/>
            <w:vAlign w:val="center"/>
          </w:tcPr>
          <w:p w14:paraId="77DDD6D8" w14:textId="77777777" w:rsidR="00EC79E8" w:rsidRPr="008C164C" w:rsidRDefault="00EC79E8" w:rsidP="00240629">
            <w:pPr>
              <w:pStyle w:val="TableText0"/>
              <w:jc w:val="center"/>
            </w:pPr>
            <w:r w:rsidRPr="008C164C">
              <w:t>7 (3)</w:t>
            </w:r>
          </w:p>
        </w:tc>
        <w:tc>
          <w:tcPr>
            <w:tcW w:w="589" w:type="pct"/>
            <w:shd w:val="clear" w:color="auto" w:fill="C6D9F1" w:themeFill="text2" w:themeFillTint="33"/>
            <w:noWrap/>
            <w:vAlign w:val="center"/>
          </w:tcPr>
          <w:p w14:paraId="14880DC3" w14:textId="77777777" w:rsidR="00EC79E8" w:rsidRPr="008C164C" w:rsidRDefault="00EC79E8" w:rsidP="00240629">
            <w:pPr>
              <w:pStyle w:val="TableText0"/>
              <w:jc w:val="center"/>
            </w:pPr>
            <w:r w:rsidRPr="008C164C">
              <w:t>NR</w:t>
            </w:r>
          </w:p>
        </w:tc>
        <w:tc>
          <w:tcPr>
            <w:tcW w:w="543" w:type="pct"/>
            <w:shd w:val="clear" w:color="auto" w:fill="C6D9F1" w:themeFill="text2" w:themeFillTint="33"/>
            <w:vAlign w:val="center"/>
          </w:tcPr>
          <w:p w14:paraId="4284BDE4" w14:textId="77777777" w:rsidR="00EC79E8" w:rsidRPr="008C164C" w:rsidRDefault="00EC79E8" w:rsidP="00240629">
            <w:pPr>
              <w:pStyle w:val="TableText0"/>
              <w:jc w:val="center"/>
            </w:pPr>
            <w:r w:rsidRPr="008C164C">
              <w:t>NR</w:t>
            </w:r>
          </w:p>
        </w:tc>
        <w:tc>
          <w:tcPr>
            <w:tcW w:w="679" w:type="pct"/>
            <w:vAlign w:val="center"/>
          </w:tcPr>
          <w:p w14:paraId="7975BBAD" w14:textId="77777777" w:rsidR="00EC79E8" w:rsidRPr="008C164C" w:rsidRDefault="00EC79E8" w:rsidP="00240629">
            <w:pPr>
              <w:pStyle w:val="TableText0"/>
              <w:jc w:val="center"/>
            </w:pPr>
            <w:r w:rsidRPr="008C164C">
              <w:t>NR</w:t>
            </w:r>
          </w:p>
        </w:tc>
        <w:tc>
          <w:tcPr>
            <w:tcW w:w="543" w:type="pct"/>
            <w:vAlign w:val="center"/>
          </w:tcPr>
          <w:p w14:paraId="34ADD29C" w14:textId="77777777" w:rsidR="00EC79E8" w:rsidRPr="008C164C" w:rsidRDefault="00EC79E8" w:rsidP="00240629">
            <w:pPr>
              <w:pStyle w:val="TableText0"/>
              <w:jc w:val="center"/>
            </w:pPr>
            <w:r w:rsidRPr="008C164C">
              <w:t>NR</w:t>
            </w:r>
          </w:p>
        </w:tc>
      </w:tr>
      <w:tr w:rsidR="00EC79E8" w:rsidRPr="008C164C" w14:paraId="4A33D093" w14:textId="77777777" w:rsidTr="006459CB">
        <w:tc>
          <w:tcPr>
            <w:tcW w:w="996" w:type="pct"/>
          </w:tcPr>
          <w:p w14:paraId="35D9ADBB" w14:textId="77777777" w:rsidR="00EC79E8" w:rsidRPr="008C164C" w:rsidRDefault="00EC79E8" w:rsidP="00240629">
            <w:pPr>
              <w:pStyle w:val="TableText0"/>
            </w:pPr>
            <w:r w:rsidRPr="008C164C">
              <w:t>Arthralgia</w:t>
            </w:r>
          </w:p>
        </w:tc>
        <w:tc>
          <w:tcPr>
            <w:tcW w:w="532" w:type="pct"/>
            <w:shd w:val="clear" w:color="auto" w:fill="auto"/>
            <w:vAlign w:val="center"/>
          </w:tcPr>
          <w:p w14:paraId="7AEAA031" w14:textId="77777777" w:rsidR="00EC79E8" w:rsidRPr="008C164C" w:rsidRDefault="00EC79E8" w:rsidP="00240629">
            <w:pPr>
              <w:pStyle w:val="TableText0"/>
              <w:jc w:val="center"/>
            </w:pPr>
            <w:r w:rsidRPr="008C164C">
              <w:t>4 (11)</w:t>
            </w:r>
          </w:p>
        </w:tc>
        <w:tc>
          <w:tcPr>
            <w:tcW w:w="623" w:type="pct"/>
            <w:shd w:val="clear" w:color="auto" w:fill="C6D9F1" w:themeFill="text2" w:themeFillTint="33"/>
            <w:vAlign w:val="center"/>
          </w:tcPr>
          <w:p w14:paraId="16108006" w14:textId="77777777" w:rsidR="00EC79E8" w:rsidRPr="008C164C" w:rsidRDefault="00EC79E8" w:rsidP="00240629">
            <w:pPr>
              <w:pStyle w:val="TableText0"/>
              <w:jc w:val="center"/>
            </w:pPr>
            <w:r w:rsidRPr="008C164C">
              <w:t>6 (8)</w:t>
            </w:r>
          </w:p>
        </w:tc>
        <w:tc>
          <w:tcPr>
            <w:tcW w:w="495" w:type="pct"/>
            <w:shd w:val="clear" w:color="auto" w:fill="C6D9F1" w:themeFill="text2" w:themeFillTint="33"/>
            <w:vAlign w:val="center"/>
          </w:tcPr>
          <w:p w14:paraId="120C225A" w14:textId="77777777" w:rsidR="00EC79E8" w:rsidRPr="008C164C" w:rsidRDefault="00EC79E8" w:rsidP="00240629">
            <w:pPr>
              <w:pStyle w:val="TableText0"/>
              <w:jc w:val="center"/>
            </w:pPr>
            <w:r w:rsidRPr="008C164C">
              <w:t>7 (3)</w:t>
            </w:r>
          </w:p>
        </w:tc>
        <w:tc>
          <w:tcPr>
            <w:tcW w:w="589" w:type="pct"/>
            <w:shd w:val="clear" w:color="auto" w:fill="C6D9F1" w:themeFill="text2" w:themeFillTint="33"/>
            <w:noWrap/>
            <w:vAlign w:val="center"/>
          </w:tcPr>
          <w:p w14:paraId="768E84B3" w14:textId="77777777" w:rsidR="00EC79E8" w:rsidRPr="008C164C" w:rsidRDefault="00EC79E8" w:rsidP="00240629">
            <w:pPr>
              <w:pStyle w:val="TableText0"/>
              <w:jc w:val="center"/>
            </w:pPr>
            <w:r w:rsidRPr="008C164C">
              <w:t>3 (3)</w:t>
            </w:r>
          </w:p>
        </w:tc>
        <w:tc>
          <w:tcPr>
            <w:tcW w:w="543" w:type="pct"/>
            <w:shd w:val="clear" w:color="auto" w:fill="C6D9F1" w:themeFill="text2" w:themeFillTint="33"/>
            <w:vAlign w:val="center"/>
          </w:tcPr>
          <w:p w14:paraId="5485B519" w14:textId="77777777" w:rsidR="00EC79E8" w:rsidRPr="008C164C" w:rsidRDefault="00EC79E8" w:rsidP="00240629">
            <w:pPr>
              <w:pStyle w:val="TableText0"/>
              <w:jc w:val="center"/>
            </w:pPr>
            <w:r w:rsidRPr="008C164C">
              <w:t>2 (6)</w:t>
            </w:r>
          </w:p>
        </w:tc>
        <w:tc>
          <w:tcPr>
            <w:tcW w:w="679" w:type="pct"/>
            <w:vAlign w:val="center"/>
          </w:tcPr>
          <w:p w14:paraId="2881537B" w14:textId="77777777" w:rsidR="00EC79E8" w:rsidRPr="008C164C" w:rsidRDefault="00EC79E8" w:rsidP="00240629">
            <w:pPr>
              <w:pStyle w:val="TableText0"/>
              <w:jc w:val="center"/>
            </w:pPr>
            <w:r w:rsidRPr="008C164C">
              <w:t>NR</w:t>
            </w:r>
          </w:p>
        </w:tc>
        <w:tc>
          <w:tcPr>
            <w:tcW w:w="543" w:type="pct"/>
            <w:vAlign w:val="center"/>
          </w:tcPr>
          <w:p w14:paraId="046C4F88" w14:textId="77777777" w:rsidR="00EC79E8" w:rsidRPr="008C164C" w:rsidRDefault="00EC79E8" w:rsidP="00240629">
            <w:pPr>
              <w:pStyle w:val="TableText0"/>
              <w:jc w:val="center"/>
            </w:pPr>
            <w:r w:rsidRPr="008C164C">
              <w:t>NR</w:t>
            </w:r>
          </w:p>
        </w:tc>
      </w:tr>
      <w:tr w:rsidR="00EC79E8" w:rsidRPr="008C164C" w14:paraId="39E3C52D" w14:textId="77777777" w:rsidTr="006459CB">
        <w:tc>
          <w:tcPr>
            <w:tcW w:w="996" w:type="pct"/>
          </w:tcPr>
          <w:p w14:paraId="40D56BC6" w14:textId="77777777" w:rsidR="00EC79E8" w:rsidRPr="008C164C" w:rsidRDefault="00EC79E8" w:rsidP="00240629">
            <w:pPr>
              <w:pStyle w:val="TableText0"/>
            </w:pPr>
            <w:r w:rsidRPr="008C164C">
              <w:t>Rash</w:t>
            </w:r>
          </w:p>
        </w:tc>
        <w:tc>
          <w:tcPr>
            <w:tcW w:w="532" w:type="pct"/>
            <w:shd w:val="clear" w:color="auto" w:fill="auto"/>
            <w:vAlign w:val="center"/>
          </w:tcPr>
          <w:p w14:paraId="569452A3" w14:textId="77777777" w:rsidR="00EC79E8" w:rsidRPr="008C164C" w:rsidRDefault="00EC79E8" w:rsidP="00240629">
            <w:pPr>
              <w:pStyle w:val="TableText0"/>
              <w:jc w:val="center"/>
            </w:pPr>
            <w:r w:rsidRPr="008C164C">
              <w:t>2 (6)</w:t>
            </w:r>
          </w:p>
        </w:tc>
        <w:tc>
          <w:tcPr>
            <w:tcW w:w="623" w:type="pct"/>
            <w:shd w:val="clear" w:color="auto" w:fill="auto"/>
            <w:vAlign w:val="center"/>
          </w:tcPr>
          <w:p w14:paraId="13330A8A" w14:textId="77777777" w:rsidR="00EC79E8" w:rsidRPr="008C164C" w:rsidRDefault="00EC79E8" w:rsidP="00240629">
            <w:pPr>
              <w:pStyle w:val="TableText0"/>
              <w:jc w:val="center"/>
            </w:pPr>
            <w:r w:rsidRPr="008C164C">
              <w:t>6 (8)</w:t>
            </w:r>
          </w:p>
        </w:tc>
        <w:tc>
          <w:tcPr>
            <w:tcW w:w="495" w:type="pct"/>
            <w:shd w:val="clear" w:color="auto" w:fill="auto"/>
            <w:vAlign w:val="center"/>
          </w:tcPr>
          <w:p w14:paraId="28280303" w14:textId="77777777" w:rsidR="00EC79E8" w:rsidRPr="008C164C" w:rsidRDefault="00EC79E8" w:rsidP="00240629">
            <w:pPr>
              <w:pStyle w:val="TableText0"/>
              <w:jc w:val="center"/>
            </w:pPr>
            <w:r w:rsidRPr="008C164C">
              <w:t>NR</w:t>
            </w:r>
          </w:p>
        </w:tc>
        <w:tc>
          <w:tcPr>
            <w:tcW w:w="589" w:type="pct"/>
            <w:shd w:val="clear" w:color="auto" w:fill="auto"/>
            <w:noWrap/>
            <w:vAlign w:val="center"/>
          </w:tcPr>
          <w:p w14:paraId="22084A61" w14:textId="77777777" w:rsidR="00EC79E8" w:rsidRPr="008C164C" w:rsidRDefault="00EC79E8" w:rsidP="00240629">
            <w:pPr>
              <w:pStyle w:val="TableText0"/>
              <w:jc w:val="center"/>
            </w:pPr>
            <w:r w:rsidRPr="008C164C">
              <w:t>11 (5)</w:t>
            </w:r>
          </w:p>
        </w:tc>
        <w:tc>
          <w:tcPr>
            <w:tcW w:w="543" w:type="pct"/>
            <w:shd w:val="clear" w:color="auto" w:fill="auto"/>
            <w:vAlign w:val="center"/>
          </w:tcPr>
          <w:p w14:paraId="331A3F3C" w14:textId="77777777" w:rsidR="00EC79E8" w:rsidRPr="008C164C" w:rsidRDefault="00EC79E8" w:rsidP="00240629">
            <w:pPr>
              <w:pStyle w:val="TableText0"/>
              <w:jc w:val="center"/>
            </w:pPr>
            <w:r w:rsidRPr="008C164C">
              <w:t>NR</w:t>
            </w:r>
          </w:p>
        </w:tc>
        <w:tc>
          <w:tcPr>
            <w:tcW w:w="679" w:type="pct"/>
            <w:vAlign w:val="center"/>
          </w:tcPr>
          <w:p w14:paraId="10F8AC07" w14:textId="4B17736D" w:rsidR="00EC79E8" w:rsidRPr="008C164C" w:rsidRDefault="00EC79E8" w:rsidP="00240629">
            <w:pPr>
              <w:pStyle w:val="TableText0"/>
              <w:jc w:val="center"/>
            </w:pPr>
            <w:r w:rsidRPr="008C164C">
              <w:t>11/370 (3)</w:t>
            </w:r>
          </w:p>
        </w:tc>
        <w:tc>
          <w:tcPr>
            <w:tcW w:w="543" w:type="pct"/>
            <w:vAlign w:val="center"/>
          </w:tcPr>
          <w:p w14:paraId="2EEC4A1B" w14:textId="77777777" w:rsidR="00EC79E8" w:rsidRPr="008C164C" w:rsidRDefault="00EC79E8" w:rsidP="00240629">
            <w:pPr>
              <w:pStyle w:val="TableText0"/>
              <w:jc w:val="center"/>
            </w:pPr>
            <w:r w:rsidRPr="008C164C">
              <w:t>5 (13)</w:t>
            </w:r>
          </w:p>
        </w:tc>
      </w:tr>
      <w:tr w:rsidR="00EC79E8" w:rsidRPr="008C164C" w14:paraId="209447F3" w14:textId="77777777" w:rsidTr="006459CB">
        <w:tc>
          <w:tcPr>
            <w:tcW w:w="996" w:type="pct"/>
          </w:tcPr>
          <w:p w14:paraId="7210213E" w14:textId="77777777" w:rsidR="00EC79E8" w:rsidRPr="008C164C" w:rsidRDefault="00EC79E8" w:rsidP="00240629">
            <w:pPr>
              <w:pStyle w:val="TableText0"/>
            </w:pPr>
            <w:r w:rsidRPr="008C164C">
              <w:t>Headache</w:t>
            </w:r>
          </w:p>
        </w:tc>
        <w:tc>
          <w:tcPr>
            <w:tcW w:w="532" w:type="pct"/>
            <w:shd w:val="clear" w:color="auto" w:fill="auto"/>
            <w:vAlign w:val="center"/>
          </w:tcPr>
          <w:p w14:paraId="6FD835D1" w14:textId="77777777" w:rsidR="00EC79E8" w:rsidRPr="008C164C" w:rsidRDefault="00EC79E8" w:rsidP="00240629">
            <w:pPr>
              <w:pStyle w:val="TableText0"/>
              <w:jc w:val="center"/>
            </w:pPr>
            <w:r w:rsidRPr="008C164C">
              <w:t>2 (6)</w:t>
            </w:r>
          </w:p>
        </w:tc>
        <w:tc>
          <w:tcPr>
            <w:tcW w:w="623" w:type="pct"/>
            <w:shd w:val="clear" w:color="auto" w:fill="C6D9F1" w:themeFill="text2" w:themeFillTint="33"/>
            <w:vAlign w:val="center"/>
          </w:tcPr>
          <w:p w14:paraId="54957B26" w14:textId="77777777" w:rsidR="00EC79E8" w:rsidRPr="008C164C" w:rsidRDefault="00EC79E8" w:rsidP="00240629">
            <w:pPr>
              <w:pStyle w:val="TableText0"/>
              <w:jc w:val="center"/>
            </w:pPr>
            <w:r w:rsidRPr="008C164C">
              <w:t>7 (10)</w:t>
            </w:r>
          </w:p>
        </w:tc>
        <w:tc>
          <w:tcPr>
            <w:tcW w:w="495" w:type="pct"/>
            <w:shd w:val="clear" w:color="auto" w:fill="C6D9F1" w:themeFill="text2" w:themeFillTint="33"/>
            <w:vAlign w:val="center"/>
          </w:tcPr>
          <w:p w14:paraId="05A25420" w14:textId="77777777" w:rsidR="00EC79E8" w:rsidRPr="008C164C" w:rsidRDefault="00EC79E8" w:rsidP="00240629">
            <w:pPr>
              <w:pStyle w:val="TableText0"/>
              <w:jc w:val="center"/>
            </w:pPr>
            <w:r w:rsidRPr="008C164C">
              <w:t>30 (13)</w:t>
            </w:r>
          </w:p>
        </w:tc>
        <w:tc>
          <w:tcPr>
            <w:tcW w:w="589" w:type="pct"/>
            <w:shd w:val="clear" w:color="auto" w:fill="C6D9F1" w:themeFill="text2" w:themeFillTint="33"/>
            <w:noWrap/>
            <w:vAlign w:val="center"/>
          </w:tcPr>
          <w:p w14:paraId="3F81F1A5" w14:textId="77777777" w:rsidR="00EC79E8" w:rsidRPr="008C164C" w:rsidRDefault="00EC79E8" w:rsidP="00240629">
            <w:pPr>
              <w:pStyle w:val="TableText0"/>
              <w:jc w:val="center"/>
            </w:pPr>
            <w:r w:rsidRPr="008C164C">
              <w:t>36 (17)</w:t>
            </w:r>
          </w:p>
        </w:tc>
        <w:tc>
          <w:tcPr>
            <w:tcW w:w="543" w:type="pct"/>
            <w:shd w:val="clear" w:color="auto" w:fill="C6D9F1" w:themeFill="text2" w:themeFillTint="33"/>
            <w:vAlign w:val="center"/>
          </w:tcPr>
          <w:p w14:paraId="77200C3F" w14:textId="77777777" w:rsidR="00EC79E8" w:rsidRPr="008C164C" w:rsidRDefault="00EC79E8" w:rsidP="00240629">
            <w:pPr>
              <w:pStyle w:val="TableText0"/>
              <w:jc w:val="center"/>
            </w:pPr>
            <w:r w:rsidRPr="008C164C">
              <w:t>7 (20)</w:t>
            </w:r>
          </w:p>
        </w:tc>
        <w:tc>
          <w:tcPr>
            <w:tcW w:w="679" w:type="pct"/>
            <w:vAlign w:val="center"/>
          </w:tcPr>
          <w:p w14:paraId="2382CDC4" w14:textId="77777777" w:rsidR="00EC79E8" w:rsidRPr="008C164C" w:rsidRDefault="00EC79E8" w:rsidP="00240629">
            <w:pPr>
              <w:pStyle w:val="TableText0"/>
              <w:jc w:val="center"/>
            </w:pPr>
            <w:r w:rsidRPr="008C164C">
              <w:t>46 (12)</w:t>
            </w:r>
          </w:p>
        </w:tc>
        <w:tc>
          <w:tcPr>
            <w:tcW w:w="543" w:type="pct"/>
            <w:vAlign w:val="center"/>
          </w:tcPr>
          <w:p w14:paraId="6C1C9BDC" w14:textId="77777777" w:rsidR="00EC79E8" w:rsidRPr="008C164C" w:rsidRDefault="00EC79E8" w:rsidP="00240629">
            <w:pPr>
              <w:pStyle w:val="TableText0"/>
              <w:jc w:val="center"/>
            </w:pPr>
            <w:r w:rsidRPr="008C164C">
              <w:t>3 (8)</w:t>
            </w:r>
          </w:p>
        </w:tc>
      </w:tr>
      <w:tr w:rsidR="00EC79E8" w:rsidRPr="008C164C" w14:paraId="65B6D32C" w14:textId="77777777" w:rsidTr="006459CB">
        <w:tc>
          <w:tcPr>
            <w:tcW w:w="996" w:type="pct"/>
          </w:tcPr>
          <w:p w14:paraId="73990705" w14:textId="77777777" w:rsidR="00EC79E8" w:rsidRPr="008C164C" w:rsidRDefault="00EC79E8" w:rsidP="00240629">
            <w:pPr>
              <w:pStyle w:val="TableText0"/>
            </w:pPr>
            <w:r w:rsidRPr="008C164C">
              <w:t>Dizziness</w:t>
            </w:r>
          </w:p>
        </w:tc>
        <w:tc>
          <w:tcPr>
            <w:tcW w:w="532" w:type="pct"/>
            <w:shd w:val="clear" w:color="auto" w:fill="auto"/>
            <w:vAlign w:val="center"/>
          </w:tcPr>
          <w:p w14:paraId="50AF5189" w14:textId="77777777" w:rsidR="00EC79E8" w:rsidRPr="008C164C" w:rsidRDefault="00EC79E8" w:rsidP="00240629">
            <w:pPr>
              <w:pStyle w:val="TableText0"/>
              <w:jc w:val="center"/>
            </w:pPr>
            <w:r w:rsidRPr="008C164C">
              <w:t>3 (8)</w:t>
            </w:r>
          </w:p>
        </w:tc>
        <w:tc>
          <w:tcPr>
            <w:tcW w:w="623" w:type="pct"/>
            <w:shd w:val="clear" w:color="auto" w:fill="C6D9F1" w:themeFill="text2" w:themeFillTint="33"/>
            <w:vAlign w:val="center"/>
          </w:tcPr>
          <w:p w14:paraId="70D7E562" w14:textId="77777777" w:rsidR="00EC79E8" w:rsidRPr="008C164C" w:rsidRDefault="00EC79E8" w:rsidP="00240629">
            <w:pPr>
              <w:pStyle w:val="TableText0"/>
              <w:jc w:val="center"/>
            </w:pPr>
            <w:r w:rsidRPr="008C164C">
              <w:t>5 (7)</w:t>
            </w:r>
          </w:p>
        </w:tc>
        <w:tc>
          <w:tcPr>
            <w:tcW w:w="495" w:type="pct"/>
            <w:shd w:val="clear" w:color="auto" w:fill="C6D9F1" w:themeFill="text2" w:themeFillTint="33"/>
            <w:vAlign w:val="center"/>
          </w:tcPr>
          <w:p w14:paraId="2587E108" w14:textId="77777777" w:rsidR="00EC79E8" w:rsidRPr="008C164C" w:rsidRDefault="00EC79E8" w:rsidP="00240629">
            <w:pPr>
              <w:pStyle w:val="TableText0"/>
              <w:jc w:val="center"/>
            </w:pPr>
            <w:r w:rsidRPr="008C164C">
              <w:t>6 (3)</w:t>
            </w:r>
          </w:p>
        </w:tc>
        <w:tc>
          <w:tcPr>
            <w:tcW w:w="589" w:type="pct"/>
            <w:shd w:val="clear" w:color="auto" w:fill="C6D9F1" w:themeFill="text2" w:themeFillTint="33"/>
            <w:noWrap/>
            <w:vAlign w:val="center"/>
          </w:tcPr>
          <w:p w14:paraId="68D0B044" w14:textId="77777777" w:rsidR="00EC79E8" w:rsidRPr="008C164C" w:rsidRDefault="00EC79E8" w:rsidP="00240629">
            <w:pPr>
              <w:pStyle w:val="TableText0"/>
              <w:jc w:val="center"/>
            </w:pPr>
            <w:r w:rsidRPr="008C164C">
              <w:t>17 (8)</w:t>
            </w:r>
          </w:p>
        </w:tc>
        <w:tc>
          <w:tcPr>
            <w:tcW w:w="543" w:type="pct"/>
            <w:shd w:val="clear" w:color="auto" w:fill="C6D9F1" w:themeFill="text2" w:themeFillTint="33"/>
            <w:vAlign w:val="center"/>
          </w:tcPr>
          <w:p w14:paraId="29072208" w14:textId="77777777" w:rsidR="00EC79E8" w:rsidRPr="008C164C" w:rsidRDefault="00EC79E8" w:rsidP="00240629">
            <w:pPr>
              <w:pStyle w:val="TableText0"/>
              <w:jc w:val="center"/>
            </w:pPr>
            <w:r w:rsidRPr="008C164C">
              <w:t>4 (11)</w:t>
            </w:r>
          </w:p>
        </w:tc>
        <w:tc>
          <w:tcPr>
            <w:tcW w:w="679" w:type="pct"/>
            <w:vAlign w:val="center"/>
          </w:tcPr>
          <w:p w14:paraId="11B15404" w14:textId="5DB3FD41" w:rsidR="00EC79E8" w:rsidRPr="008C164C" w:rsidRDefault="00EC79E8" w:rsidP="00240629">
            <w:pPr>
              <w:pStyle w:val="TableText0"/>
              <w:jc w:val="center"/>
            </w:pPr>
            <w:r w:rsidRPr="008C164C">
              <w:t>23/370</w:t>
            </w:r>
            <w:r w:rsidR="00EA045C" w:rsidRPr="008C164C">
              <w:t xml:space="preserve"> </w:t>
            </w:r>
            <w:r w:rsidRPr="008C164C">
              <w:t>(7)</w:t>
            </w:r>
          </w:p>
        </w:tc>
        <w:tc>
          <w:tcPr>
            <w:tcW w:w="543" w:type="pct"/>
            <w:vAlign w:val="center"/>
          </w:tcPr>
          <w:p w14:paraId="5AF0DF64" w14:textId="77777777" w:rsidR="00EC79E8" w:rsidRPr="008C164C" w:rsidRDefault="00EC79E8" w:rsidP="00240629">
            <w:pPr>
              <w:pStyle w:val="TableText0"/>
              <w:jc w:val="center"/>
            </w:pPr>
            <w:r w:rsidRPr="008C164C">
              <w:t>5 (13)</w:t>
            </w:r>
          </w:p>
        </w:tc>
      </w:tr>
      <w:tr w:rsidR="00EC79E8" w:rsidRPr="008C164C" w14:paraId="0359A10C" w14:textId="77777777" w:rsidTr="006459CB">
        <w:tc>
          <w:tcPr>
            <w:tcW w:w="996" w:type="pct"/>
          </w:tcPr>
          <w:p w14:paraId="31D022A4" w14:textId="77777777" w:rsidR="00EC79E8" w:rsidRPr="008C164C" w:rsidRDefault="00EC79E8" w:rsidP="00240629">
            <w:pPr>
              <w:pStyle w:val="TableText0"/>
            </w:pPr>
            <w:r w:rsidRPr="008C164C">
              <w:t>Fatigue</w:t>
            </w:r>
          </w:p>
        </w:tc>
        <w:tc>
          <w:tcPr>
            <w:tcW w:w="532" w:type="pct"/>
            <w:shd w:val="clear" w:color="auto" w:fill="auto"/>
            <w:vAlign w:val="center"/>
          </w:tcPr>
          <w:p w14:paraId="18CDB763" w14:textId="77777777" w:rsidR="00EC79E8" w:rsidRPr="008C164C" w:rsidRDefault="00EC79E8" w:rsidP="00240629">
            <w:pPr>
              <w:pStyle w:val="TableText0"/>
              <w:jc w:val="center"/>
            </w:pPr>
            <w:r w:rsidRPr="008C164C">
              <w:t>4 (11)</w:t>
            </w:r>
          </w:p>
        </w:tc>
        <w:tc>
          <w:tcPr>
            <w:tcW w:w="623" w:type="pct"/>
            <w:shd w:val="clear" w:color="auto" w:fill="C6D9F1" w:themeFill="text2" w:themeFillTint="33"/>
            <w:vAlign w:val="center"/>
          </w:tcPr>
          <w:p w14:paraId="27010138" w14:textId="77777777" w:rsidR="00EC79E8" w:rsidRPr="008C164C" w:rsidRDefault="00EC79E8" w:rsidP="00240629">
            <w:pPr>
              <w:pStyle w:val="TableText0"/>
              <w:jc w:val="center"/>
            </w:pPr>
            <w:r w:rsidRPr="008C164C">
              <w:t>5 (7)</w:t>
            </w:r>
          </w:p>
        </w:tc>
        <w:tc>
          <w:tcPr>
            <w:tcW w:w="495" w:type="pct"/>
            <w:shd w:val="clear" w:color="auto" w:fill="C6D9F1" w:themeFill="text2" w:themeFillTint="33"/>
            <w:vAlign w:val="center"/>
          </w:tcPr>
          <w:p w14:paraId="6C989A48" w14:textId="77777777" w:rsidR="00EC79E8" w:rsidRPr="008C164C" w:rsidRDefault="00EC79E8" w:rsidP="00240629">
            <w:pPr>
              <w:pStyle w:val="TableText0"/>
              <w:jc w:val="center"/>
            </w:pPr>
            <w:r w:rsidRPr="008C164C">
              <w:t>11 (5)</w:t>
            </w:r>
          </w:p>
        </w:tc>
        <w:tc>
          <w:tcPr>
            <w:tcW w:w="589" w:type="pct"/>
            <w:shd w:val="clear" w:color="auto" w:fill="C6D9F1" w:themeFill="text2" w:themeFillTint="33"/>
            <w:noWrap/>
            <w:vAlign w:val="center"/>
          </w:tcPr>
          <w:p w14:paraId="3563AD4D" w14:textId="77777777" w:rsidR="00EC79E8" w:rsidRPr="008C164C" w:rsidRDefault="00EC79E8" w:rsidP="00240629">
            <w:pPr>
              <w:pStyle w:val="TableText0"/>
              <w:jc w:val="center"/>
            </w:pPr>
            <w:r w:rsidRPr="008C164C">
              <w:t>35 (17)</w:t>
            </w:r>
          </w:p>
        </w:tc>
        <w:tc>
          <w:tcPr>
            <w:tcW w:w="543" w:type="pct"/>
            <w:shd w:val="clear" w:color="auto" w:fill="C6D9F1" w:themeFill="text2" w:themeFillTint="33"/>
            <w:vAlign w:val="center"/>
          </w:tcPr>
          <w:p w14:paraId="4BFC213D" w14:textId="77777777" w:rsidR="00EC79E8" w:rsidRPr="008C164C" w:rsidRDefault="00EC79E8" w:rsidP="00240629">
            <w:pPr>
              <w:pStyle w:val="TableText0"/>
              <w:jc w:val="center"/>
            </w:pPr>
            <w:r w:rsidRPr="008C164C">
              <w:t>3 (9)</w:t>
            </w:r>
          </w:p>
        </w:tc>
        <w:tc>
          <w:tcPr>
            <w:tcW w:w="679" w:type="pct"/>
            <w:vAlign w:val="center"/>
          </w:tcPr>
          <w:p w14:paraId="2293F8D4" w14:textId="5D078C97" w:rsidR="00EC79E8" w:rsidRPr="008C164C" w:rsidRDefault="00EC79E8" w:rsidP="00240629">
            <w:pPr>
              <w:pStyle w:val="TableText0"/>
              <w:jc w:val="center"/>
            </w:pPr>
            <w:r w:rsidRPr="008C164C">
              <w:t>22/370 (6)</w:t>
            </w:r>
          </w:p>
        </w:tc>
        <w:tc>
          <w:tcPr>
            <w:tcW w:w="543" w:type="pct"/>
            <w:vAlign w:val="center"/>
          </w:tcPr>
          <w:p w14:paraId="21BDA46D" w14:textId="77777777" w:rsidR="00EC79E8" w:rsidRPr="008C164C" w:rsidRDefault="00EC79E8" w:rsidP="00240629">
            <w:pPr>
              <w:pStyle w:val="TableText0"/>
              <w:jc w:val="center"/>
            </w:pPr>
            <w:r w:rsidRPr="008C164C">
              <w:t>NR</w:t>
            </w:r>
          </w:p>
        </w:tc>
      </w:tr>
      <w:tr w:rsidR="00EC79E8" w:rsidRPr="008C164C" w14:paraId="3BB5A427" w14:textId="77777777" w:rsidTr="006459CB">
        <w:tc>
          <w:tcPr>
            <w:tcW w:w="996" w:type="pct"/>
          </w:tcPr>
          <w:p w14:paraId="20840CB9" w14:textId="77777777" w:rsidR="00EC79E8" w:rsidRPr="008C164C" w:rsidRDefault="00EC79E8" w:rsidP="00240629">
            <w:pPr>
              <w:pStyle w:val="TableText0"/>
            </w:pPr>
            <w:r w:rsidRPr="008C164C">
              <w:t>Depression</w:t>
            </w:r>
          </w:p>
        </w:tc>
        <w:tc>
          <w:tcPr>
            <w:tcW w:w="532" w:type="pct"/>
            <w:shd w:val="clear" w:color="auto" w:fill="auto"/>
            <w:vAlign w:val="center"/>
          </w:tcPr>
          <w:p w14:paraId="04E8D400" w14:textId="77777777" w:rsidR="00EC79E8" w:rsidRPr="008C164C" w:rsidRDefault="00EC79E8" w:rsidP="00240629">
            <w:pPr>
              <w:pStyle w:val="TableText0"/>
              <w:jc w:val="center"/>
            </w:pPr>
            <w:r w:rsidRPr="008C164C">
              <w:t>1 (3)</w:t>
            </w:r>
          </w:p>
        </w:tc>
        <w:tc>
          <w:tcPr>
            <w:tcW w:w="623" w:type="pct"/>
            <w:shd w:val="clear" w:color="auto" w:fill="C6D9F1" w:themeFill="text2" w:themeFillTint="33"/>
            <w:vAlign w:val="center"/>
          </w:tcPr>
          <w:p w14:paraId="7319BFB7" w14:textId="77777777" w:rsidR="00EC79E8" w:rsidRPr="008C164C" w:rsidRDefault="00EC79E8" w:rsidP="00240629">
            <w:pPr>
              <w:pStyle w:val="TableText0"/>
              <w:jc w:val="center"/>
            </w:pPr>
            <w:r w:rsidRPr="008C164C">
              <w:t>0 (0)</w:t>
            </w:r>
          </w:p>
        </w:tc>
        <w:tc>
          <w:tcPr>
            <w:tcW w:w="495" w:type="pct"/>
            <w:shd w:val="clear" w:color="auto" w:fill="C6D9F1" w:themeFill="text2" w:themeFillTint="33"/>
            <w:vAlign w:val="center"/>
          </w:tcPr>
          <w:p w14:paraId="3DDCC6C4" w14:textId="77777777" w:rsidR="00EC79E8" w:rsidRPr="008C164C" w:rsidRDefault="00EC79E8" w:rsidP="00240629">
            <w:pPr>
              <w:pStyle w:val="TableText0"/>
              <w:jc w:val="center"/>
            </w:pPr>
            <w:r w:rsidRPr="008C164C">
              <w:t>9 (4)</w:t>
            </w:r>
          </w:p>
        </w:tc>
        <w:tc>
          <w:tcPr>
            <w:tcW w:w="589" w:type="pct"/>
            <w:shd w:val="clear" w:color="auto" w:fill="C6D9F1" w:themeFill="text2" w:themeFillTint="33"/>
            <w:noWrap/>
            <w:vAlign w:val="center"/>
          </w:tcPr>
          <w:p w14:paraId="59C22DA2" w14:textId="77777777" w:rsidR="00EC79E8" w:rsidRPr="008C164C" w:rsidRDefault="00EC79E8" w:rsidP="00240629">
            <w:pPr>
              <w:pStyle w:val="TableText0"/>
              <w:jc w:val="center"/>
            </w:pPr>
            <w:r w:rsidRPr="008C164C">
              <w:t>8 (4)</w:t>
            </w:r>
          </w:p>
        </w:tc>
        <w:tc>
          <w:tcPr>
            <w:tcW w:w="543" w:type="pct"/>
            <w:shd w:val="clear" w:color="auto" w:fill="C6D9F1" w:themeFill="text2" w:themeFillTint="33"/>
            <w:vAlign w:val="center"/>
          </w:tcPr>
          <w:p w14:paraId="095D974A" w14:textId="77777777" w:rsidR="00EC79E8" w:rsidRPr="008C164C" w:rsidRDefault="00EC79E8" w:rsidP="00240629">
            <w:pPr>
              <w:pStyle w:val="TableText0"/>
              <w:jc w:val="center"/>
            </w:pPr>
            <w:r w:rsidRPr="008C164C">
              <w:t>6 (17)</w:t>
            </w:r>
          </w:p>
        </w:tc>
        <w:tc>
          <w:tcPr>
            <w:tcW w:w="679" w:type="pct"/>
            <w:vAlign w:val="center"/>
          </w:tcPr>
          <w:p w14:paraId="6681B9E3" w14:textId="77777777" w:rsidR="00EC79E8" w:rsidRPr="008C164C" w:rsidRDefault="00EC79E8" w:rsidP="00240629">
            <w:pPr>
              <w:pStyle w:val="TableText0"/>
              <w:jc w:val="center"/>
            </w:pPr>
            <w:r w:rsidRPr="008C164C">
              <w:t>NR</w:t>
            </w:r>
          </w:p>
        </w:tc>
        <w:tc>
          <w:tcPr>
            <w:tcW w:w="543" w:type="pct"/>
            <w:vAlign w:val="center"/>
          </w:tcPr>
          <w:p w14:paraId="19C528A9" w14:textId="77777777" w:rsidR="00EC79E8" w:rsidRPr="008C164C" w:rsidRDefault="00EC79E8" w:rsidP="00240629">
            <w:pPr>
              <w:pStyle w:val="TableText0"/>
              <w:jc w:val="center"/>
            </w:pPr>
            <w:r w:rsidRPr="008C164C">
              <w:t>NR</w:t>
            </w:r>
          </w:p>
        </w:tc>
      </w:tr>
      <w:tr w:rsidR="00EC79E8" w:rsidRPr="008C164C" w14:paraId="62E3B6B9" w14:textId="77777777" w:rsidTr="006459CB">
        <w:tc>
          <w:tcPr>
            <w:tcW w:w="996" w:type="pct"/>
          </w:tcPr>
          <w:p w14:paraId="42672DF5" w14:textId="77777777" w:rsidR="00EC79E8" w:rsidRPr="008C164C" w:rsidRDefault="00EC79E8" w:rsidP="00240629">
            <w:pPr>
              <w:pStyle w:val="TableText0"/>
            </w:pPr>
            <w:r w:rsidRPr="008C164C">
              <w:t>Pyrexia</w:t>
            </w:r>
          </w:p>
        </w:tc>
        <w:tc>
          <w:tcPr>
            <w:tcW w:w="532" w:type="pct"/>
            <w:shd w:val="clear" w:color="auto" w:fill="auto"/>
            <w:vAlign w:val="center"/>
          </w:tcPr>
          <w:p w14:paraId="0B5AD5EA" w14:textId="77777777" w:rsidR="00EC79E8" w:rsidRPr="008C164C" w:rsidRDefault="00EC79E8" w:rsidP="00240629">
            <w:pPr>
              <w:pStyle w:val="TableText0"/>
              <w:jc w:val="center"/>
            </w:pPr>
            <w:r w:rsidRPr="008C164C">
              <w:t>3 (8)</w:t>
            </w:r>
          </w:p>
        </w:tc>
        <w:tc>
          <w:tcPr>
            <w:tcW w:w="623" w:type="pct"/>
            <w:shd w:val="clear" w:color="auto" w:fill="C6D9F1" w:themeFill="text2" w:themeFillTint="33"/>
            <w:vAlign w:val="center"/>
          </w:tcPr>
          <w:p w14:paraId="36CD378B" w14:textId="77777777" w:rsidR="00EC79E8" w:rsidRPr="008C164C" w:rsidRDefault="00EC79E8" w:rsidP="00240629">
            <w:pPr>
              <w:pStyle w:val="TableText0"/>
              <w:jc w:val="center"/>
            </w:pPr>
            <w:r w:rsidRPr="008C164C">
              <w:t>8 (11)</w:t>
            </w:r>
          </w:p>
        </w:tc>
        <w:tc>
          <w:tcPr>
            <w:tcW w:w="495" w:type="pct"/>
            <w:shd w:val="clear" w:color="auto" w:fill="C6D9F1" w:themeFill="text2" w:themeFillTint="33"/>
            <w:vAlign w:val="center"/>
          </w:tcPr>
          <w:p w14:paraId="79D8988C" w14:textId="77777777" w:rsidR="00EC79E8" w:rsidRPr="008C164C" w:rsidRDefault="00EC79E8" w:rsidP="00240629">
            <w:pPr>
              <w:pStyle w:val="TableText0"/>
              <w:jc w:val="center"/>
            </w:pPr>
            <w:r w:rsidRPr="008C164C">
              <w:t>30 (13)</w:t>
            </w:r>
          </w:p>
        </w:tc>
        <w:tc>
          <w:tcPr>
            <w:tcW w:w="589" w:type="pct"/>
            <w:shd w:val="clear" w:color="auto" w:fill="C6D9F1" w:themeFill="text2" w:themeFillTint="33"/>
            <w:noWrap/>
            <w:vAlign w:val="center"/>
          </w:tcPr>
          <w:p w14:paraId="056136E3" w14:textId="77777777" w:rsidR="00EC79E8" w:rsidRPr="008C164C" w:rsidRDefault="00EC79E8" w:rsidP="00240629">
            <w:pPr>
              <w:pStyle w:val="TableText0"/>
              <w:jc w:val="center"/>
            </w:pPr>
            <w:r w:rsidRPr="008C164C">
              <w:t>25 (12)</w:t>
            </w:r>
          </w:p>
        </w:tc>
        <w:tc>
          <w:tcPr>
            <w:tcW w:w="543" w:type="pct"/>
            <w:shd w:val="clear" w:color="auto" w:fill="C6D9F1" w:themeFill="text2" w:themeFillTint="33"/>
            <w:vAlign w:val="center"/>
          </w:tcPr>
          <w:p w14:paraId="7D835809" w14:textId="77777777" w:rsidR="00EC79E8" w:rsidRPr="008C164C" w:rsidRDefault="00EC79E8" w:rsidP="00240629">
            <w:pPr>
              <w:pStyle w:val="TableText0"/>
              <w:jc w:val="center"/>
            </w:pPr>
            <w:r w:rsidRPr="008C164C">
              <w:t>4 (11)</w:t>
            </w:r>
          </w:p>
        </w:tc>
        <w:tc>
          <w:tcPr>
            <w:tcW w:w="679" w:type="pct"/>
            <w:vAlign w:val="center"/>
          </w:tcPr>
          <w:p w14:paraId="32D54C9A" w14:textId="77777777" w:rsidR="00EC79E8" w:rsidRPr="008C164C" w:rsidRDefault="00EC79E8" w:rsidP="00240629">
            <w:pPr>
              <w:pStyle w:val="TableText0"/>
              <w:jc w:val="center"/>
            </w:pPr>
            <w:r w:rsidRPr="008C164C">
              <w:t>41 (11)</w:t>
            </w:r>
          </w:p>
        </w:tc>
        <w:tc>
          <w:tcPr>
            <w:tcW w:w="543" w:type="pct"/>
            <w:vAlign w:val="center"/>
          </w:tcPr>
          <w:p w14:paraId="3BE8892F" w14:textId="77777777" w:rsidR="00EC79E8" w:rsidRPr="008C164C" w:rsidRDefault="00EC79E8" w:rsidP="00240629">
            <w:pPr>
              <w:pStyle w:val="TableText0"/>
              <w:jc w:val="center"/>
            </w:pPr>
            <w:r w:rsidRPr="008C164C">
              <w:t>5 (13)</w:t>
            </w:r>
          </w:p>
        </w:tc>
      </w:tr>
      <w:tr w:rsidR="00EC79E8" w:rsidRPr="008C164C" w14:paraId="6E8AD13A" w14:textId="77777777" w:rsidTr="006459CB">
        <w:tc>
          <w:tcPr>
            <w:tcW w:w="996" w:type="pct"/>
          </w:tcPr>
          <w:p w14:paraId="54E5D190" w14:textId="77777777" w:rsidR="00EC79E8" w:rsidRPr="008C164C" w:rsidRDefault="00EC79E8" w:rsidP="00240629">
            <w:pPr>
              <w:pStyle w:val="TableText0"/>
            </w:pPr>
            <w:r w:rsidRPr="008C164C">
              <w:t>Cough</w:t>
            </w:r>
          </w:p>
        </w:tc>
        <w:tc>
          <w:tcPr>
            <w:tcW w:w="532" w:type="pct"/>
            <w:shd w:val="clear" w:color="auto" w:fill="auto"/>
            <w:vAlign w:val="center"/>
          </w:tcPr>
          <w:p w14:paraId="0FA572E8" w14:textId="77777777" w:rsidR="00EC79E8" w:rsidRPr="008C164C" w:rsidRDefault="00EC79E8" w:rsidP="00240629">
            <w:pPr>
              <w:pStyle w:val="TableText0"/>
              <w:jc w:val="center"/>
            </w:pPr>
            <w:r w:rsidRPr="008C164C">
              <w:t>6 (17)</w:t>
            </w:r>
          </w:p>
        </w:tc>
        <w:tc>
          <w:tcPr>
            <w:tcW w:w="623" w:type="pct"/>
            <w:shd w:val="clear" w:color="auto" w:fill="C6D9F1" w:themeFill="text2" w:themeFillTint="33"/>
            <w:vAlign w:val="center"/>
          </w:tcPr>
          <w:p w14:paraId="5935EFD8" w14:textId="77777777" w:rsidR="00EC79E8" w:rsidRPr="008C164C" w:rsidRDefault="00EC79E8" w:rsidP="00240629">
            <w:pPr>
              <w:pStyle w:val="TableText0"/>
              <w:jc w:val="center"/>
            </w:pPr>
            <w:r w:rsidRPr="008C164C">
              <w:t>8 (11)</w:t>
            </w:r>
          </w:p>
        </w:tc>
        <w:tc>
          <w:tcPr>
            <w:tcW w:w="495" w:type="pct"/>
            <w:shd w:val="clear" w:color="auto" w:fill="C6D9F1" w:themeFill="text2" w:themeFillTint="33"/>
            <w:vAlign w:val="center"/>
          </w:tcPr>
          <w:p w14:paraId="053F08D7" w14:textId="77777777" w:rsidR="00EC79E8" w:rsidRPr="008C164C" w:rsidRDefault="00EC79E8" w:rsidP="00240629">
            <w:pPr>
              <w:pStyle w:val="TableText0"/>
              <w:jc w:val="center"/>
            </w:pPr>
            <w:r w:rsidRPr="008C164C">
              <w:t>8 (3)</w:t>
            </w:r>
          </w:p>
        </w:tc>
        <w:tc>
          <w:tcPr>
            <w:tcW w:w="589" w:type="pct"/>
            <w:shd w:val="clear" w:color="auto" w:fill="C6D9F1" w:themeFill="text2" w:themeFillTint="33"/>
            <w:noWrap/>
            <w:vAlign w:val="center"/>
          </w:tcPr>
          <w:p w14:paraId="5E42CBA3" w14:textId="77777777" w:rsidR="00EC79E8" w:rsidRPr="008C164C" w:rsidRDefault="00EC79E8" w:rsidP="00240629">
            <w:pPr>
              <w:pStyle w:val="TableText0"/>
              <w:jc w:val="center"/>
            </w:pPr>
            <w:r w:rsidRPr="008C164C">
              <w:t>13 (6)</w:t>
            </w:r>
          </w:p>
        </w:tc>
        <w:tc>
          <w:tcPr>
            <w:tcW w:w="543" w:type="pct"/>
            <w:shd w:val="clear" w:color="auto" w:fill="C6D9F1" w:themeFill="text2" w:themeFillTint="33"/>
            <w:vAlign w:val="center"/>
          </w:tcPr>
          <w:p w14:paraId="438B1A82" w14:textId="77777777" w:rsidR="00EC79E8" w:rsidRPr="008C164C" w:rsidRDefault="00EC79E8" w:rsidP="00240629">
            <w:pPr>
              <w:pStyle w:val="TableText0"/>
              <w:jc w:val="center"/>
            </w:pPr>
            <w:r w:rsidRPr="008C164C">
              <w:t>2 (6)</w:t>
            </w:r>
          </w:p>
        </w:tc>
        <w:tc>
          <w:tcPr>
            <w:tcW w:w="679" w:type="pct"/>
            <w:vAlign w:val="center"/>
          </w:tcPr>
          <w:p w14:paraId="4A84D574" w14:textId="77777777" w:rsidR="00EC79E8" w:rsidRPr="008C164C" w:rsidRDefault="00EC79E8" w:rsidP="00240629">
            <w:pPr>
              <w:pStyle w:val="TableText0"/>
              <w:jc w:val="center"/>
            </w:pPr>
            <w:r w:rsidRPr="008C164C">
              <w:t>43 (12)</w:t>
            </w:r>
          </w:p>
        </w:tc>
        <w:tc>
          <w:tcPr>
            <w:tcW w:w="543" w:type="pct"/>
            <w:vAlign w:val="center"/>
          </w:tcPr>
          <w:p w14:paraId="64FD9004" w14:textId="77777777" w:rsidR="00EC79E8" w:rsidRPr="008C164C" w:rsidRDefault="00EC79E8" w:rsidP="00240629">
            <w:pPr>
              <w:pStyle w:val="TableText0"/>
              <w:jc w:val="center"/>
            </w:pPr>
            <w:r w:rsidRPr="008C164C">
              <w:t>NR</w:t>
            </w:r>
          </w:p>
        </w:tc>
      </w:tr>
      <w:tr w:rsidR="00EC79E8" w:rsidRPr="008C164C" w14:paraId="174632C4" w14:textId="77777777" w:rsidTr="006459CB">
        <w:tc>
          <w:tcPr>
            <w:tcW w:w="996" w:type="pct"/>
          </w:tcPr>
          <w:p w14:paraId="5E898DDD" w14:textId="77777777" w:rsidR="00EC79E8" w:rsidRPr="008C164C" w:rsidRDefault="00EC79E8" w:rsidP="00240629">
            <w:pPr>
              <w:pStyle w:val="TableText0"/>
            </w:pPr>
            <w:r w:rsidRPr="008C164C">
              <w:t>Nasopharyngitis</w:t>
            </w:r>
          </w:p>
        </w:tc>
        <w:tc>
          <w:tcPr>
            <w:tcW w:w="532" w:type="pct"/>
            <w:shd w:val="clear" w:color="auto" w:fill="auto"/>
            <w:vAlign w:val="center"/>
          </w:tcPr>
          <w:p w14:paraId="5E14316C" w14:textId="77777777" w:rsidR="00EC79E8" w:rsidRPr="008C164C" w:rsidRDefault="00EC79E8" w:rsidP="00240629">
            <w:pPr>
              <w:pStyle w:val="TableText0"/>
              <w:jc w:val="center"/>
            </w:pPr>
            <w:r w:rsidRPr="008C164C">
              <w:t>1 (3)</w:t>
            </w:r>
          </w:p>
        </w:tc>
        <w:tc>
          <w:tcPr>
            <w:tcW w:w="623" w:type="pct"/>
            <w:shd w:val="clear" w:color="auto" w:fill="auto"/>
            <w:vAlign w:val="center"/>
          </w:tcPr>
          <w:p w14:paraId="47B8E9C8" w14:textId="77777777" w:rsidR="00EC79E8" w:rsidRPr="008C164C" w:rsidRDefault="00EC79E8" w:rsidP="00240629">
            <w:pPr>
              <w:pStyle w:val="TableText0"/>
              <w:jc w:val="center"/>
            </w:pPr>
            <w:r w:rsidRPr="008C164C">
              <w:t>3 (4)</w:t>
            </w:r>
          </w:p>
        </w:tc>
        <w:tc>
          <w:tcPr>
            <w:tcW w:w="495" w:type="pct"/>
            <w:shd w:val="clear" w:color="auto" w:fill="auto"/>
            <w:vAlign w:val="center"/>
          </w:tcPr>
          <w:p w14:paraId="1BED6690" w14:textId="77777777" w:rsidR="00EC79E8" w:rsidRPr="008C164C" w:rsidRDefault="00EC79E8" w:rsidP="00240629">
            <w:pPr>
              <w:pStyle w:val="TableText0"/>
              <w:jc w:val="center"/>
            </w:pPr>
            <w:r w:rsidRPr="008C164C">
              <w:t>14 (6)</w:t>
            </w:r>
          </w:p>
        </w:tc>
        <w:tc>
          <w:tcPr>
            <w:tcW w:w="589" w:type="pct"/>
            <w:shd w:val="clear" w:color="auto" w:fill="auto"/>
            <w:noWrap/>
            <w:vAlign w:val="center"/>
          </w:tcPr>
          <w:p w14:paraId="7D847208" w14:textId="77777777" w:rsidR="00EC79E8" w:rsidRPr="008C164C" w:rsidRDefault="00EC79E8" w:rsidP="00240629">
            <w:pPr>
              <w:pStyle w:val="TableText0"/>
              <w:jc w:val="center"/>
            </w:pPr>
            <w:r w:rsidRPr="008C164C">
              <w:t>13 (6)</w:t>
            </w:r>
          </w:p>
        </w:tc>
        <w:tc>
          <w:tcPr>
            <w:tcW w:w="543" w:type="pct"/>
            <w:shd w:val="clear" w:color="auto" w:fill="auto"/>
            <w:vAlign w:val="center"/>
          </w:tcPr>
          <w:p w14:paraId="5D17A74C" w14:textId="77777777" w:rsidR="00EC79E8" w:rsidRPr="008C164C" w:rsidRDefault="00EC79E8" w:rsidP="00240629">
            <w:pPr>
              <w:pStyle w:val="TableText0"/>
              <w:jc w:val="center"/>
            </w:pPr>
            <w:r w:rsidRPr="008C164C">
              <w:t>2 (6)</w:t>
            </w:r>
          </w:p>
        </w:tc>
        <w:tc>
          <w:tcPr>
            <w:tcW w:w="679" w:type="pct"/>
            <w:vAlign w:val="center"/>
          </w:tcPr>
          <w:p w14:paraId="6F79FB54" w14:textId="77777777" w:rsidR="00EC79E8" w:rsidRPr="008C164C" w:rsidRDefault="00EC79E8" w:rsidP="00240629">
            <w:pPr>
              <w:pStyle w:val="TableText0"/>
              <w:jc w:val="center"/>
            </w:pPr>
            <w:r w:rsidRPr="008C164C">
              <w:t>43 (12)</w:t>
            </w:r>
          </w:p>
        </w:tc>
        <w:tc>
          <w:tcPr>
            <w:tcW w:w="543" w:type="pct"/>
            <w:vAlign w:val="center"/>
          </w:tcPr>
          <w:p w14:paraId="35ABB4DC" w14:textId="77777777" w:rsidR="00EC79E8" w:rsidRPr="008C164C" w:rsidRDefault="00EC79E8" w:rsidP="00240629">
            <w:pPr>
              <w:pStyle w:val="TableText0"/>
              <w:jc w:val="center"/>
            </w:pPr>
            <w:r w:rsidRPr="008C164C">
              <w:t>4 (10)</w:t>
            </w:r>
          </w:p>
        </w:tc>
      </w:tr>
      <w:tr w:rsidR="00EC79E8" w:rsidRPr="008C164C" w14:paraId="28B02A08" w14:textId="77777777" w:rsidTr="006459CB">
        <w:tc>
          <w:tcPr>
            <w:tcW w:w="996" w:type="pct"/>
          </w:tcPr>
          <w:p w14:paraId="7B1650AE" w14:textId="77777777" w:rsidR="00EC79E8" w:rsidRPr="008C164C" w:rsidRDefault="00EC79E8" w:rsidP="00240629">
            <w:pPr>
              <w:pStyle w:val="TableText0"/>
            </w:pPr>
            <w:r w:rsidRPr="008C164C">
              <w:t>Upper respiratory tract infection</w:t>
            </w:r>
          </w:p>
        </w:tc>
        <w:tc>
          <w:tcPr>
            <w:tcW w:w="532" w:type="pct"/>
            <w:shd w:val="clear" w:color="auto" w:fill="auto"/>
            <w:vAlign w:val="center"/>
          </w:tcPr>
          <w:p w14:paraId="22222E5B" w14:textId="77777777" w:rsidR="00EC79E8" w:rsidRPr="008C164C" w:rsidRDefault="00EC79E8" w:rsidP="00240629">
            <w:pPr>
              <w:pStyle w:val="TableText0"/>
              <w:jc w:val="center"/>
            </w:pPr>
            <w:r w:rsidRPr="008C164C">
              <w:t>1 (3)</w:t>
            </w:r>
          </w:p>
        </w:tc>
        <w:tc>
          <w:tcPr>
            <w:tcW w:w="623" w:type="pct"/>
            <w:shd w:val="clear" w:color="auto" w:fill="auto"/>
            <w:vAlign w:val="center"/>
          </w:tcPr>
          <w:p w14:paraId="14591860" w14:textId="77777777" w:rsidR="00EC79E8" w:rsidRPr="008C164C" w:rsidRDefault="00EC79E8" w:rsidP="00240629">
            <w:pPr>
              <w:pStyle w:val="TableText0"/>
              <w:jc w:val="center"/>
            </w:pPr>
            <w:r w:rsidRPr="008C164C">
              <w:t>2 (3)</w:t>
            </w:r>
          </w:p>
        </w:tc>
        <w:tc>
          <w:tcPr>
            <w:tcW w:w="495" w:type="pct"/>
            <w:shd w:val="clear" w:color="auto" w:fill="auto"/>
            <w:vAlign w:val="center"/>
          </w:tcPr>
          <w:p w14:paraId="3908E102" w14:textId="77777777" w:rsidR="00EC79E8" w:rsidRPr="008C164C" w:rsidRDefault="00EC79E8" w:rsidP="00240629">
            <w:pPr>
              <w:pStyle w:val="TableText0"/>
              <w:jc w:val="center"/>
            </w:pPr>
            <w:r w:rsidRPr="008C164C">
              <w:t>17 (7)</w:t>
            </w:r>
          </w:p>
        </w:tc>
        <w:tc>
          <w:tcPr>
            <w:tcW w:w="589" w:type="pct"/>
            <w:shd w:val="clear" w:color="auto" w:fill="auto"/>
            <w:noWrap/>
            <w:vAlign w:val="center"/>
          </w:tcPr>
          <w:p w14:paraId="24ACE42B" w14:textId="77777777" w:rsidR="00EC79E8" w:rsidRPr="008C164C" w:rsidRDefault="00EC79E8" w:rsidP="00240629">
            <w:pPr>
              <w:pStyle w:val="TableText0"/>
              <w:jc w:val="center"/>
            </w:pPr>
            <w:r w:rsidRPr="008C164C">
              <w:t>15 (7)</w:t>
            </w:r>
          </w:p>
        </w:tc>
        <w:tc>
          <w:tcPr>
            <w:tcW w:w="543" w:type="pct"/>
            <w:shd w:val="clear" w:color="auto" w:fill="auto"/>
            <w:vAlign w:val="center"/>
          </w:tcPr>
          <w:p w14:paraId="17BA0251" w14:textId="77777777" w:rsidR="00EC79E8" w:rsidRPr="008C164C" w:rsidRDefault="00EC79E8" w:rsidP="00240629">
            <w:pPr>
              <w:pStyle w:val="TableText0"/>
              <w:jc w:val="center"/>
            </w:pPr>
            <w:r w:rsidRPr="008C164C">
              <w:t>3 (9)</w:t>
            </w:r>
          </w:p>
        </w:tc>
        <w:tc>
          <w:tcPr>
            <w:tcW w:w="679" w:type="pct"/>
            <w:vAlign w:val="center"/>
          </w:tcPr>
          <w:p w14:paraId="55F795D9" w14:textId="77777777" w:rsidR="00EC79E8" w:rsidRPr="008C164C" w:rsidRDefault="00EC79E8" w:rsidP="00240629">
            <w:pPr>
              <w:pStyle w:val="TableText0"/>
              <w:jc w:val="center"/>
            </w:pPr>
            <w:r w:rsidRPr="008C164C">
              <w:t>50 (13)</w:t>
            </w:r>
          </w:p>
        </w:tc>
        <w:tc>
          <w:tcPr>
            <w:tcW w:w="543" w:type="pct"/>
            <w:vAlign w:val="center"/>
          </w:tcPr>
          <w:p w14:paraId="163C770F" w14:textId="77777777" w:rsidR="00EC79E8" w:rsidRPr="008C164C" w:rsidRDefault="00EC79E8" w:rsidP="00240629">
            <w:pPr>
              <w:pStyle w:val="TableText0"/>
              <w:jc w:val="center"/>
            </w:pPr>
            <w:r w:rsidRPr="008C164C">
              <w:t>3 (8)</w:t>
            </w:r>
          </w:p>
        </w:tc>
      </w:tr>
      <w:tr w:rsidR="00EC79E8" w:rsidRPr="008C164C" w14:paraId="0EB307AF" w14:textId="77777777" w:rsidTr="006459CB">
        <w:tc>
          <w:tcPr>
            <w:tcW w:w="996" w:type="pct"/>
          </w:tcPr>
          <w:p w14:paraId="09493580" w14:textId="77777777" w:rsidR="00EC79E8" w:rsidRPr="008C164C" w:rsidRDefault="00EC79E8" w:rsidP="00240629">
            <w:pPr>
              <w:pStyle w:val="TableText0"/>
            </w:pPr>
            <w:r w:rsidRPr="008C164C">
              <w:t>Lymphadenopathy</w:t>
            </w:r>
          </w:p>
        </w:tc>
        <w:tc>
          <w:tcPr>
            <w:tcW w:w="532" w:type="pct"/>
            <w:shd w:val="clear" w:color="auto" w:fill="auto"/>
            <w:vAlign w:val="center"/>
          </w:tcPr>
          <w:p w14:paraId="589612A4" w14:textId="77777777" w:rsidR="00EC79E8" w:rsidRPr="008C164C" w:rsidRDefault="00EC79E8" w:rsidP="00240629">
            <w:pPr>
              <w:pStyle w:val="TableText0"/>
              <w:jc w:val="center"/>
            </w:pPr>
            <w:r w:rsidRPr="008C164C">
              <w:t>2 (6)</w:t>
            </w:r>
          </w:p>
        </w:tc>
        <w:tc>
          <w:tcPr>
            <w:tcW w:w="623" w:type="pct"/>
            <w:shd w:val="clear" w:color="auto" w:fill="auto"/>
            <w:vAlign w:val="center"/>
          </w:tcPr>
          <w:p w14:paraId="1055FEB0" w14:textId="77777777" w:rsidR="00EC79E8" w:rsidRPr="008C164C" w:rsidRDefault="00EC79E8" w:rsidP="00240629">
            <w:pPr>
              <w:pStyle w:val="TableText0"/>
              <w:jc w:val="center"/>
            </w:pPr>
            <w:r w:rsidRPr="008C164C">
              <w:t>2 (3)</w:t>
            </w:r>
          </w:p>
        </w:tc>
        <w:tc>
          <w:tcPr>
            <w:tcW w:w="495" w:type="pct"/>
            <w:shd w:val="clear" w:color="auto" w:fill="auto"/>
            <w:vAlign w:val="center"/>
          </w:tcPr>
          <w:p w14:paraId="4E1868FF" w14:textId="77777777" w:rsidR="00EC79E8" w:rsidRPr="008C164C" w:rsidRDefault="00EC79E8" w:rsidP="00240629">
            <w:pPr>
              <w:pStyle w:val="TableText0"/>
              <w:jc w:val="center"/>
            </w:pPr>
            <w:r w:rsidRPr="008C164C">
              <w:t>7 (3)</w:t>
            </w:r>
          </w:p>
        </w:tc>
        <w:tc>
          <w:tcPr>
            <w:tcW w:w="589" w:type="pct"/>
            <w:shd w:val="clear" w:color="auto" w:fill="auto"/>
            <w:noWrap/>
            <w:vAlign w:val="center"/>
          </w:tcPr>
          <w:p w14:paraId="1980EE48" w14:textId="77777777" w:rsidR="00EC79E8" w:rsidRPr="008C164C" w:rsidRDefault="00EC79E8" w:rsidP="00240629">
            <w:pPr>
              <w:pStyle w:val="TableText0"/>
              <w:jc w:val="center"/>
            </w:pPr>
            <w:r w:rsidRPr="008C164C">
              <w:t>1 (0.5)</w:t>
            </w:r>
          </w:p>
        </w:tc>
        <w:tc>
          <w:tcPr>
            <w:tcW w:w="543" w:type="pct"/>
            <w:shd w:val="clear" w:color="auto" w:fill="auto"/>
            <w:vAlign w:val="center"/>
          </w:tcPr>
          <w:p w14:paraId="02420C5D" w14:textId="77777777" w:rsidR="00EC79E8" w:rsidRPr="008C164C" w:rsidRDefault="00EC79E8" w:rsidP="00240629">
            <w:pPr>
              <w:pStyle w:val="TableText0"/>
              <w:jc w:val="center"/>
            </w:pPr>
            <w:r w:rsidRPr="008C164C">
              <w:t>2 (6)</w:t>
            </w:r>
          </w:p>
        </w:tc>
        <w:tc>
          <w:tcPr>
            <w:tcW w:w="679" w:type="pct"/>
            <w:vAlign w:val="center"/>
          </w:tcPr>
          <w:p w14:paraId="3AE0F4D9" w14:textId="77777777" w:rsidR="00EC79E8" w:rsidRPr="008C164C" w:rsidRDefault="00EC79E8" w:rsidP="00240629">
            <w:pPr>
              <w:pStyle w:val="TableText0"/>
              <w:jc w:val="center"/>
            </w:pPr>
            <w:r w:rsidRPr="008C164C">
              <w:t>NR</w:t>
            </w:r>
          </w:p>
        </w:tc>
        <w:tc>
          <w:tcPr>
            <w:tcW w:w="543" w:type="pct"/>
            <w:vAlign w:val="center"/>
          </w:tcPr>
          <w:p w14:paraId="631DF0FD" w14:textId="77777777" w:rsidR="00EC79E8" w:rsidRPr="008C164C" w:rsidRDefault="00EC79E8" w:rsidP="00240629">
            <w:pPr>
              <w:pStyle w:val="TableText0"/>
              <w:jc w:val="center"/>
            </w:pPr>
            <w:r w:rsidRPr="008C164C">
              <w:t>4 (10)</w:t>
            </w:r>
          </w:p>
        </w:tc>
      </w:tr>
      <w:tr w:rsidR="00EC79E8" w:rsidRPr="008C164C" w14:paraId="67DBCFE2" w14:textId="77777777" w:rsidTr="006459CB">
        <w:tc>
          <w:tcPr>
            <w:tcW w:w="996" w:type="pct"/>
          </w:tcPr>
          <w:p w14:paraId="053A7C06" w14:textId="77777777" w:rsidR="00EC79E8" w:rsidRPr="008C164C" w:rsidRDefault="00EC79E8" w:rsidP="00240629">
            <w:pPr>
              <w:pStyle w:val="TableText0"/>
            </w:pPr>
            <w:r w:rsidRPr="008C164C">
              <w:t>Sinusitis</w:t>
            </w:r>
          </w:p>
        </w:tc>
        <w:tc>
          <w:tcPr>
            <w:tcW w:w="532" w:type="pct"/>
            <w:shd w:val="clear" w:color="auto" w:fill="auto"/>
            <w:vAlign w:val="center"/>
          </w:tcPr>
          <w:p w14:paraId="2FB4B58B" w14:textId="77777777" w:rsidR="00EC79E8" w:rsidRPr="008C164C" w:rsidRDefault="00EC79E8" w:rsidP="00240629">
            <w:pPr>
              <w:pStyle w:val="TableText0"/>
              <w:jc w:val="center"/>
            </w:pPr>
            <w:r w:rsidRPr="008C164C">
              <w:t>0</w:t>
            </w:r>
          </w:p>
        </w:tc>
        <w:tc>
          <w:tcPr>
            <w:tcW w:w="623" w:type="pct"/>
            <w:shd w:val="clear" w:color="auto" w:fill="auto"/>
            <w:vAlign w:val="center"/>
          </w:tcPr>
          <w:p w14:paraId="42A55449" w14:textId="77777777" w:rsidR="00EC79E8" w:rsidRPr="008C164C" w:rsidRDefault="00EC79E8" w:rsidP="00240629">
            <w:pPr>
              <w:pStyle w:val="TableText0"/>
              <w:jc w:val="center"/>
            </w:pPr>
            <w:r w:rsidRPr="008C164C">
              <w:t>1 (1)</w:t>
            </w:r>
          </w:p>
        </w:tc>
        <w:tc>
          <w:tcPr>
            <w:tcW w:w="495" w:type="pct"/>
            <w:shd w:val="clear" w:color="auto" w:fill="auto"/>
            <w:vAlign w:val="center"/>
          </w:tcPr>
          <w:p w14:paraId="5B9F5699" w14:textId="77777777" w:rsidR="00EC79E8" w:rsidRPr="008C164C" w:rsidRDefault="00EC79E8" w:rsidP="00240629">
            <w:pPr>
              <w:pStyle w:val="TableText0"/>
              <w:jc w:val="center"/>
            </w:pPr>
            <w:r w:rsidRPr="008C164C">
              <w:t>8 (3)</w:t>
            </w:r>
          </w:p>
        </w:tc>
        <w:tc>
          <w:tcPr>
            <w:tcW w:w="589" w:type="pct"/>
            <w:shd w:val="clear" w:color="auto" w:fill="auto"/>
            <w:noWrap/>
            <w:vAlign w:val="center"/>
          </w:tcPr>
          <w:p w14:paraId="0ACA22DF" w14:textId="77777777" w:rsidR="00EC79E8" w:rsidRPr="008C164C" w:rsidRDefault="00EC79E8" w:rsidP="00240629">
            <w:pPr>
              <w:pStyle w:val="TableText0"/>
              <w:jc w:val="center"/>
            </w:pPr>
            <w:r w:rsidRPr="008C164C">
              <w:t>5 (2)</w:t>
            </w:r>
          </w:p>
        </w:tc>
        <w:tc>
          <w:tcPr>
            <w:tcW w:w="543" w:type="pct"/>
            <w:shd w:val="clear" w:color="auto" w:fill="auto"/>
            <w:vAlign w:val="center"/>
          </w:tcPr>
          <w:p w14:paraId="07A87F16" w14:textId="77777777" w:rsidR="00EC79E8" w:rsidRPr="008C164C" w:rsidRDefault="00EC79E8" w:rsidP="00240629">
            <w:pPr>
              <w:pStyle w:val="TableText0"/>
              <w:jc w:val="center"/>
            </w:pPr>
            <w:r w:rsidRPr="008C164C">
              <w:t>2 (6)</w:t>
            </w:r>
          </w:p>
        </w:tc>
        <w:tc>
          <w:tcPr>
            <w:tcW w:w="679" w:type="pct"/>
            <w:vAlign w:val="center"/>
          </w:tcPr>
          <w:p w14:paraId="662019B3" w14:textId="05A95EDE" w:rsidR="00EC79E8" w:rsidRPr="008C164C" w:rsidRDefault="00EC79E8" w:rsidP="00240629">
            <w:pPr>
              <w:pStyle w:val="TableText0"/>
              <w:jc w:val="center"/>
            </w:pPr>
            <w:r w:rsidRPr="008C164C">
              <w:t>36/370 (10)</w:t>
            </w:r>
          </w:p>
        </w:tc>
        <w:tc>
          <w:tcPr>
            <w:tcW w:w="543" w:type="pct"/>
            <w:vAlign w:val="center"/>
          </w:tcPr>
          <w:p w14:paraId="7886D665" w14:textId="77777777" w:rsidR="00EC79E8" w:rsidRPr="008C164C" w:rsidRDefault="00EC79E8" w:rsidP="00240629">
            <w:pPr>
              <w:pStyle w:val="TableText0"/>
              <w:jc w:val="center"/>
            </w:pPr>
            <w:r w:rsidRPr="008C164C">
              <w:t>NR</w:t>
            </w:r>
          </w:p>
        </w:tc>
      </w:tr>
      <w:tr w:rsidR="00EC79E8" w:rsidRPr="008C164C" w14:paraId="6EDD4CE1" w14:textId="77777777" w:rsidTr="006459CB">
        <w:tc>
          <w:tcPr>
            <w:tcW w:w="996" w:type="pct"/>
          </w:tcPr>
          <w:p w14:paraId="76C30038" w14:textId="77777777" w:rsidR="00EC79E8" w:rsidRPr="008C164C" w:rsidRDefault="00EC79E8" w:rsidP="00240629">
            <w:pPr>
              <w:pStyle w:val="TableText0"/>
            </w:pPr>
            <w:r w:rsidRPr="008C164C">
              <w:t>COVID-19</w:t>
            </w:r>
          </w:p>
        </w:tc>
        <w:tc>
          <w:tcPr>
            <w:tcW w:w="532" w:type="pct"/>
            <w:shd w:val="clear" w:color="auto" w:fill="auto"/>
            <w:vAlign w:val="center"/>
          </w:tcPr>
          <w:p w14:paraId="31EC4C7F" w14:textId="77777777" w:rsidR="00EC79E8" w:rsidRPr="008C164C" w:rsidRDefault="00EC79E8" w:rsidP="00240629">
            <w:pPr>
              <w:pStyle w:val="TableText0"/>
              <w:jc w:val="center"/>
            </w:pPr>
            <w:r w:rsidRPr="008C164C">
              <w:t>4 (11)</w:t>
            </w:r>
          </w:p>
        </w:tc>
        <w:tc>
          <w:tcPr>
            <w:tcW w:w="623" w:type="pct"/>
            <w:shd w:val="clear" w:color="auto" w:fill="C6D9F1" w:themeFill="text2" w:themeFillTint="33"/>
            <w:vAlign w:val="center"/>
          </w:tcPr>
          <w:p w14:paraId="513F6A32" w14:textId="77777777" w:rsidR="00EC79E8" w:rsidRPr="008C164C" w:rsidRDefault="00EC79E8" w:rsidP="00240629">
            <w:pPr>
              <w:pStyle w:val="TableText0"/>
              <w:jc w:val="center"/>
            </w:pPr>
            <w:r w:rsidRPr="008C164C">
              <w:t>9 (13)</w:t>
            </w:r>
          </w:p>
        </w:tc>
        <w:tc>
          <w:tcPr>
            <w:tcW w:w="495" w:type="pct"/>
            <w:shd w:val="clear" w:color="auto" w:fill="C6D9F1" w:themeFill="text2" w:themeFillTint="33"/>
            <w:vAlign w:val="center"/>
          </w:tcPr>
          <w:p w14:paraId="08D9D3A3" w14:textId="77777777" w:rsidR="00EC79E8" w:rsidRPr="008C164C" w:rsidRDefault="00EC79E8" w:rsidP="00240629">
            <w:pPr>
              <w:pStyle w:val="TableText0"/>
              <w:jc w:val="center"/>
            </w:pPr>
            <w:r w:rsidRPr="008C164C">
              <w:t>NA</w:t>
            </w:r>
          </w:p>
        </w:tc>
        <w:tc>
          <w:tcPr>
            <w:tcW w:w="589" w:type="pct"/>
            <w:shd w:val="clear" w:color="auto" w:fill="C6D9F1" w:themeFill="text2" w:themeFillTint="33"/>
            <w:noWrap/>
            <w:vAlign w:val="center"/>
          </w:tcPr>
          <w:p w14:paraId="2798D508" w14:textId="77777777" w:rsidR="00EC79E8" w:rsidRPr="008C164C" w:rsidRDefault="00EC79E8" w:rsidP="00240629">
            <w:pPr>
              <w:pStyle w:val="TableText0"/>
              <w:jc w:val="center"/>
            </w:pPr>
            <w:r w:rsidRPr="008C164C">
              <w:t>NA</w:t>
            </w:r>
          </w:p>
        </w:tc>
        <w:tc>
          <w:tcPr>
            <w:tcW w:w="543" w:type="pct"/>
            <w:shd w:val="clear" w:color="auto" w:fill="C6D9F1" w:themeFill="text2" w:themeFillTint="33"/>
            <w:vAlign w:val="center"/>
          </w:tcPr>
          <w:p w14:paraId="2D314BF4" w14:textId="77777777" w:rsidR="00EC79E8" w:rsidRPr="008C164C" w:rsidRDefault="00EC79E8" w:rsidP="00240629">
            <w:pPr>
              <w:pStyle w:val="TableText0"/>
              <w:jc w:val="center"/>
            </w:pPr>
            <w:r w:rsidRPr="008C164C">
              <w:t>NA</w:t>
            </w:r>
          </w:p>
        </w:tc>
        <w:tc>
          <w:tcPr>
            <w:tcW w:w="679" w:type="pct"/>
            <w:vAlign w:val="center"/>
          </w:tcPr>
          <w:p w14:paraId="573BA462" w14:textId="77777777" w:rsidR="00EC79E8" w:rsidRPr="008C164C" w:rsidRDefault="00EC79E8" w:rsidP="00240629">
            <w:pPr>
              <w:pStyle w:val="TableText0"/>
              <w:jc w:val="center"/>
            </w:pPr>
            <w:r w:rsidRPr="008C164C">
              <w:t>NA</w:t>
            </w:r>
          </w:p>
        </w:tc>
        <w:tc>
          <w:tcPr>
            <w:tcW w:w="543" w:type="pct"/>
            <w:vAlign w:val="center"/>
          </w:tcPr>
          <w:p w14:paraId="261E2E27" w14:textId="77777777" w:rsidR="00EC79E8" w:rsidRPr="008C164C" w:rsidRDefault="00EC79E8" w:rsidP="00240629">
            <w:pPr>
              <w:pStyle w:val="TableText0"/>
              <w:jc w:val="center"/>
            </w:pPr>
            <w:r w:rsidRPr="008C164C">
              <w:t>NA</w:t>
            </w:r>
          </w:p>
        </w:tc>
      </w:tr>
      <w:tr w:rsidR="00EC79E8" w:rsidRPr="008C164C" w14:paraId="6B0B7363" w14:textId="77777777" w:rsidTr="006459CB">
        <w:tc>
          <w:tcPr>
            <w:tcW w:w="996" w:type="pct"/>
          </w:tcPr>
          <w:p w14:paraId="3ADB5537" w14:textId="77777777" w:rsidR="00EC79E8" w:rsidRPr="008C164C" w:rsidRDefault="00EC79E8" w:rsidP="00240629">
            <w:pPr>
              <w:pStyle w:val="TableText0"/>
            </w:pPr>
            <w:r w:rsidRPr="008C164C">
              <w:t>Injection site reactions</w:t>
            </w:r>
          </w:p>
        </w:tc>
        <w:tc>
          <w:tcPr>
            <w:tcW w:w="532" w:type="pct"/>
            <w:shd w:val="clear" w:color="auto" w:fill="auto"/>
            <w:vAlign w:val="center"/>
          </w:tcPr>
          <w:p w14:paraId="0B60F407" w14:textId="77777777" w:rsidR="00EC79E8" w:rsidRPr="008C164C" w:rsidRDefault="00EC79E8" w:rsidP="00240629">
            <w:pPr>
              <w:pStyle w:val="TableText0"/>
              <w:jc w:val="center"/>
            </w:pPr>
          </w:p>
        </w:tc>
        <w:tc>
          <w:tcPr>
            <w:tcW w:w="623" w:type="pct"/>
            <w:shd w:val="clear" w:color="auto" w:fill="C6D9F1" w:themeFill="text2" w:themeFillTint="33"/>
            <w:vAlign w:val="center"/>
          </w:tcPr>
          <w:p w14:paraId="217E6A3D" w14:textId="77777777" w:rsidR="00EC79E8" w:rsidRPr="008C164C" w:rsidRDefault="00EC79E8" w:rsidP="00240629">
            <w:pPr>
              <w:pStyle w:val="TableText0"/>
              <w:jc w:val="center"/>
            </w:pPr>
          </w:p>
        </w:tc>
        <w:tc>
          <w:tcPr>
            <w:tcW w:w="495" w:type="pct"/>
            <w:shd w:val="clear" w:color="auto" w:fill="C6D9F1" w:themeFill="text2" w:themeFillTint="33"/>
            <w:vAlign w:val="center"/>
          </w:tcPr>
          <w:p w14:paraId="09BE7AC2" w14:textId="77777777" w:rsidR="00EC79E8" w:rsidRPr="008C164C" w:rsidRDefault="00EC79E8" w:rsidP="00240629">
            <w:pPr>
              <w:pStyle w:val="TableText0"/>
              <w:jc w:val="center"/>
            </w:pPr>
          </w:p>
        </w:tc>
        <w:tc>
          <w:tcPr>
            <w:tcW w:w="589" w:type="pct"/>
            <w:shd w:val="clear" w:color="auto" w:fill="C6D9F1" w:themeFill="text2" w:themeFillTint="33"/>
            <w:noWrap/>
            <w:vAlign w:val="center"/>
          </w:tcPr>
          <w:p w14:paraId="6B781AB9" w14:textId="77777777" w:rsidR="00EC79E8" w:rsidRPr="008C164C" w:rsidRDefault="00EC79E8" w:rsidP="00240629">
            <w:pPr>
              <w:pStyle w:val="TableText0"/>
              <w:jc w:val="center"/>
            </w:pPr>
          </w:p>
        </w:tc>
        <w:tc>
          <w:tcPr>
            <w:tcW w:w="543" w:type="pct"/>
            <w:shd w:val="clear" w:color="auto" w:fill="C6D9F1" w:themeFill="text2" w:themeFillTint="33"/>
            <w:vAlign w:val="center"/>
          </w:tcPr>
          <w:p w14:paraId="79A61886" w14:textId="77777777" w:rsidR="00EC79E8" w:rsidRPr="008C164C" w:rsidRDefault="00EC79E8" w:rsidP="00240629">
            <w:pPr>
              <w:pStyle w:val="TableText0"/>
              <w:jc w:val="center"/>
            </w:pPr>
          </w:p>
        </w:tc>
        <w:tc>
          <w:tcPr>
            <w:tcW w:w="679" w:type="pct"/>
            <w:vAlign w:val="center"/>
          </w:tcPr>
          <w:p w14:paraId="7407CD7B" w14:textId="77777777" w:rsidR="00EC79E8" w:rsidRPr="008C164C" w:rsidRDefault="00EC79E8" w:rsidP="00240629">
            <w:pPr>
              <w:pStyle w:val="TableText0"/>
              <w:jc w:val="center"/>
            </w:pPr>
          </w:p>
        </w:tc>
        <w:tc>
          <w:tcPr>
            <w:tcW w:w="543" w:type="pct"/>
            <w:vAlign w:val="center"/>
          </w:tcPr>
          <w:p w14:paraId="6A62CAD0" w14:textId="77777777" w:rsidR="00EC79E8" w:rsidRPr="008C164C" w:rsidRDefault="00EC79E8" w:rsidP="00240629">
            <w:pPr>
              <w:pStyle w:val="TableText0"/>
              <w:jc w:val="center"/>
            </w:pPr>
          </w:p>
        </w:tc>
      </w:tr>
      <w:tr w:rsidR="00EC79E8" w:rsidRPr="008C164C" w14:paraId="2BE1F740" w14:textId="77777777" w:rsidTr="006459CB">
        <w:tc>
          <w:tcPr>
            <w:tcW w:w="996" w:type="pct"/>
          </w:tcPr>
          <w:p w14:paraId="31569766" w14:textId="77777777" w:rsidR="00EC79E8" w:rsidRPr="008C164C" w:rsidRDefault="00EC79E8" w:rsidP="00240629">
            <w:pPr>
              <w:pStyle w:val="TableText0"/>
            </w:pPr>
            <w:r w:rsidRPr="008C164C">
              <w:t>Injection site swelling</w:t>
            </w:r>
          </w:p>
        </w:tc>
        <w:tc>
          <w:tcPr>
            <w:tcW w:w="532" w:type="pct"/>
            <w:shd w:val="clear" w:color="auto" w:fill="auto"/>
            <w:vAlign w:val="center"/>
          </w:tcPr>
          <w:p w14:paraId="61FAF666" w14:textId="77777777" w:rsidR="00EC79E8" w:rsidRPr="008C164C" w:rsidRDefault="00EC79E8" w:rsidP="00240629">
            <w:pPr>
              <w:pStyle w:val="TableText0"/>
              <w:jc w:val="center"/>
            </w:pPr>
            <w:r w:rsidRPr="008C164C">
              <w:t>14 (39)</w:t>
            </w:r>
          </w:p>
        </w:tc>
        <w:tc>
          <w:tcPr>
            <w:tcW w:w="623" w:type="pct"/>
            <w:shd w:val="clear" w:color="auto" w:fill="C6D9F1" w:themeFill="text2" w:themeFillTint="33"/>
            <w:vAlign w:val="center"/>
          </w:tcPr>
          <w:p w14:paraId="73CB98CB" w14:textId="77777777" w:rsidR="00EC79E8" w:rsidRPr="008C164C" w:rsidRDefault="00EC79E8" w:rsidP="00240629">
            <w:pPr>
              <w:pStyle w:val="TableText0"/>
              <w:jc w:val="center"/>
            </w:pPr>
            <w:r w:rsidRPr="008C164C">
              <w:t>28 (38.9)</w:t>
            </w:r>
          </w:p>
        </w:tc>
        <w:tc>
          <w:tcPr>
            <w:tcW w:w="495" w:type="pct"/>
            <w:shd w:val="clear" w:color="auto" w:fill="C6D9F1" w:themeFill="text2" w:themeFillTint="33"/>
            <w:vAlign w:val="center"/>
          </w:tcPr>
          <w:p w14:paraId="64B1999B" w14:textId="77777777" w:rsidR="00EC79E8" w:rsidRPr="008C164C" w:rsidRDefault="00EC79E8" w:rsidP="00240629">
            <w:pPr>
              <w:pStyle w:val="TableText0"/>
              <w:jc w:val="center"/>
            </w:pPr>
            <w:r w:rsidRPr="008C164C">
              <w:t>NR</w:t>
            </w:r>
          </w:p>
        </w:tc>
        <w:tc>
          <w:tcPr>
            <w:tcW w:w="589" w:type="pct"/>
            <w:shd w:val="clear" w:color="auto" w:fill="C6D9F1" w:themeFill="text2" w:themeFillTint="33"/>
            <w:noWrap/>
            <w:vAlign w:val="center"/>
          </w:tcPr>
          <w:p w14:paraId="0C5EC4E0" w14:textId="77777777" w:rsidR="00EC79E8" w:rsidRPr="008C164C" w:rsidRDefault="00EC79E8" w:rsidP="00240629">
            <w:pPr>
              <w:pStyle w:val="TableText0"/>
              <w:jc w:val="center"/>
            </w:pPr>
            <w:r w:rsidRPr="008C164C">
              <w:t>NR</w:t>
            </w:r>
          </w:p>
        </w:tc>
        <w:tc>
          <w:tcPr>
            <w:tcW w:w="543" w:type="pct"/>
            <w:shd w:val="clear" w:color="auto" w:fill="C6D9F1" w:themeFill="text2" w:themeFillTint="33"/>
            <w:vAlign w:val="center"/>
          </w:tcPr>
          <w:p w14:paraId="2AB378A1" w14:textId="77777777" w:rsidR="00EC79E8" w:rsidRPr="008C164C" w:rsidRDefault="00EC79E8" w:rsidP="00240629">
            <w:pPr>
              <w:pStyle w:val="TableText0"/>
              <w:jc w:val="center"/>
            </w:pPr>
            <w:r w:rsidRPr="008C164C">
              <w:t>NR</w:t>
            </w:r>
          </w:p>
        </w:tc>
        <w:tc>
          <w:tcPr>
            <w:tcW w:w="679" w:type="pct"/>
            <w:vAlign w:val="center"/>
          </w:tcPr>
          <w:p w14:paraId="42277541" w14:textId="77777777" w:rsidR="00EC79E8" w:rsidRPr="008C164C" w:rsidRDefault="00EC79E8" w:rsidP="00240629">
            <w:pPr>
              <w:pStyle w:val="TableText0"/>
              <w:jc w:val="center"/>
            </w:pPr>
            <w:r w:rsidRPr="008C164C">
              <w:t>NR</w:t>
            </w:r>
          </w:p>
        </w:tc>
        <w:tc>
          <w:tcPr>
            <w:tcW w:w="543" w:type="pct"/>
            <w:vAlign w:val="center"/>
          </w:tcPr>
          <w:p w14:paraId="7ECA245D" w14:textId="77777777" w:rsidR="00EC79E8" w:rsidRPr="008C164C" w:rsidRDefault="00EC79E8" w:rsidP="00240629">
            <w:pPr>
              <w:pStyle w:val="TableText0"/>
              <w:jc w:val="center"/>
            </w:pPr>
            <w:r w:rsidRPr="008C164C">
              <w:t>NR</w:t>
            </w:r>
          </w:p>
        </w:tc>
      </w:tr>
      <w:tr w:rsidR="00EC79E8" w:rsidRPr="008C164C" w14:paraId="14DE9C31" w14:textId="77777777" w:rsidTr="006459CB">
        <w:tc>
          <w:tcPr>
            <w:tcW w:w="996" w:type="pct"/>
          </w:tcPr>
          <w:p w14:paraId="16D728A5" w14:textId="77777777" w:rsidR="00EC79E8" w:rsidRPr="008C164C" w:rsidRDefault="00EC79E8" w:rsidP="00240629">
            <w:pPr>
              <w:pStyle w:val="TableText0"/>
            </w:pPr>
            <w:r w:rsidRPr="008C164C">
              <w:t>Injection site pain</w:t>
            </w:r>
          </w:p>
        </w:tc>
        <w:tc>
          <w:tcPr>
            <w:tcW w:w="532" w:type="pct"/>
            <w:shd w:val="clear" w:color="auto" w:fill="auto"/>
            <w:vAlign w:val="center"/>
          </w:tcPr>
          <w:p w14:paraId="573F05FA" w14:textId="77777777" w:rsidR="00EC79E8" w:rsidRPr="008C164C" w:rsidRDefault="00EC79E8" w:rsidP="00240629">
            <w:pPr>
              <w:pStyle w:val="TableText0"/>
              <w:jc w:val="center"/>
            </w:pPr>
            <w:r w:rsidRPr="008C164C">
              <w:t>14 (39)</w:t>
            </w:r>
          </w:p>
        </w:tc>
        <w:tc>
          <w:tcPr>
            <w:tcW w:w="623" w:type="pct"/>
            <w:shd w:val="clear" w:color="auto" w:fill="C6D9F1" w:themeFill="text2" w:themeFillTint="33"/>
            <w:vAlign w:val="center"/>
          </w:tcPr>
          <w:p w14:paraId="27D51EF7" w14:textId="77777777" w:rsidR="00EC79E8" w:rsidRPr="008C164C" w:rsidRDefault="00EC79E8" w:rsidP="00240629">
            <w:pPr>
              <w:pStyle w:val="TableText0"/>
              <w:jc w:val="center"/>
            </w:pPr>
            <w:r w:rsidRPr="008C164C">
              <w:t>27 (37.5)</w:t>
            </w:r>
          </w:p>
        </w:tc>
        <w:tc>
          <w:tcPr>
            <w:tcW w:w="495" w:type="pct"/>
            <w:shd w:val="clear" w:color="auto" w:fill="C6D9F1" w:themeFill="text2" w:themeFillTint="33"/>
            <w:vAlign w:val="center"/>
          </w:tcPr>
          <w:p w14:paraId="3611A6B9" w14:textId="77777777" w:rsidR="00EC79E8" w:rsidRPr="008C164C" w:rsidRDefault="00EC79E8" w:rsidP="00240629">
            <w:pPr>
              <w:pStyle w:val="TableText0"/>
              <w:jc w:val="center"/>
            </w:pPr>
            <w:r w:rsidRPr="008C164C">
              <w:t>3 (1)</w:t>
            </w:r>
          </w:p>
        </w:tc>
        <w:tc>
          <w:tcPr>
            <w:tcW w:w="589" w:type="pct"/>
            <w:shd w:val="clear" w:color="auto" w:fill="C6D9F1" w:themeFill="text2" w:themeFillTint="33"/>
            <w:noWrap/>
            <w:vAlign w:val="center"/>
          </w:tcPr>
          <w:p w14:paraId="5E35DB80" w14:textId="77777777" w:rsidR="00EC79E8" w:rsidRPr="008C164C" w:rsidRDefault="00EC79E8" w:rsidP="00240629">
            <w:pPr>
              <w:pStyle w:val="TableText0"/>
              <w:jc w:val="center"/>
            </w:pPr>
            <w:r w:rsidRPr="008C164C">
              <w:t>6 (3)</w:t>
            </w:r>
          </w:p>
        </w:tc>
        <w:tc>
          <w:tcPr>
            <w:tcW w:w="543" w:type="pct"/>
            <w:shd w:val="clear" w:color="auto" w:fill="C6D9F1" w:themeFill="text2" w:themeFillTint="33"/>
            <w:vAlign w:val="center"/>
          </w:tcPr>
          <w:p w14:paraId="5332A49A" w14:textId="77777777" w:rsidR="00EC79E8" w:rsidRPr="008C164C" w:rsidRDefault="00EC79E8" w:rsidP="00240629">
            <w:pPr>
              <w:pStyle w:val="TableText0"/>
              <w:jc w:val="center"/>
            </w:pPr>
            <w:r w:rsidRPr="008C164C">
              <w:t>NR</w:t>
            </w:r>
          </w:p>
        </w:tc>
        <w:tc>
          <w:tcPr>
            <w:tcW w:w="679" w:type="pct"/>
            <w:vAlign w:val="center"/>
          </w:tcPr>
          <w:p w14:paraId="58E17F63" w14:textId="77777777" w:rsidR="00EC79E8" w:rsidRPr="008C164C" w:rsidRDefault="00EC79E8" w:rsidP="00240629">
            <w:pPr>
              <w:pStyle w:val="TableText0"/>
              <w:jc w:val="center"/>
            </w:pPr>
            <w:r w:rsidRPr="008C164C">
              <w:t>NR</w:t>
            </w:r>
          </w:p>
        </w:tc>
        <w:tc>
          <w:tcPr>
            <w:tcW w:w="543" w:type="pct"/>
            <w:vAlign w:val="center"/>
          </w:tcPr>
          <w:p w14:paraId="5DE0D1D4" w14:textId="77777777" w:rsidR="00EC79E8" w:rsidRPr="008C164C" w:rsidRDefault="00EC79E8" w:rsidP="00240629">
            <w:pPr>
              <w:pStyle w:val="TableText0"/>
              <w:jc w:val="center"/>
            </w:pPr>
            <w:r w:rsidRPr="008C164C">
              <w:t>NR</w:t>
            </w:r>
          </w:p>
        </w:tc>
      </w:tr>
      <w:tr w:rsidR="00EC79E8" w:rsidRPr="008C164C" w14:paraId="3B489D9E" w14:textId="77777777" w:rsidTr="006459CB">
        <w:tc>
          <w:tcPr>
            <w:tcW w:w="996" w:type="pct"/>
          </w:tcPr>
          <w:p w14:paraId="3B1AC60A" w14:textId="77777777" w:rsidR="00EC79E8" w:rsidRPr="008C164C" w:rsidRDefault="00EC79E8" w:rsidP="00240629">
            <w:pPr>
              <w:pStyle w:val="TableText0"/>
            </w:pPr>
            <w:r w:rsidRPr="008C164C">
              <w:t>Injection site erythema</w:t>
            </w:r>
          </w:p>
        </w:tc>
        <w:tc>
          <w:tcPr>
            <w:tcW w:w="532" w:type="pct"/>
            <w:shd w:val="clear" w:color="auto" w:fill="auto"/>
            <w:vAlign w:val="center"/>
          </w:tcPr>
          <w:p w14:paraId="0D2C36FE" w14:textId="77777777" w:rsidR="00EC79E8" w:rsidRPr="008C164C" w:rsidRDefault="00EC79E8" w:rsidP="00240629">
            <w:pPr>
              <w:pStyle w:val="TableText0"/>
              <w:jc w:val="center"/>
            </w:pPr>
            <w:r w:rsidRPr="008C164C">
              <w:t>10 (28)</w:t>
            </w:r>
          </w:p>
        </w:tc>
        <w:tc>
          <w:tcPr>
            <w:tcW w:w="623" w:type="pct"/>
            <w:shd w:val="clear" w:color="auto" w:fill="C6D9F1" w:themeFill="text2" w:themeFillTint="33"/>
            <w:vAlign w:val="center"/>
          </w:tcPr>
          <w:p w14:paraId="74465B14" w14:textId="77777777" w:rsidR="00EC79E8" w:rsidRPr="008C164C" w:rsidRDefault="00EC79E8" w:rsidP="00240629">
            <w:pPr>
              <w:pStyle w:val="TableText0"/>
              <w:jc w:val="center"/>
            </w:pPr>
            <w:r w:rsidRPr="008C164C">
              <w:t>24 (33.3)</w:t>
            </w:r>
          </w:p>
        </w:tc>
        <w:tc>
          <w:tcPr>
            <w:tcW w:w="495" w:type="pct"/>
            <w:shd w:val="clear" w:color="auto" w:fill="C6D9F1" w:themeFill="text2" w:themeFillTint="33"/>
            <w:vAlign w:val="center"/>
          </w:tcPr>
          <w:p w14:paraId="4A20FFEE" w14:textId="77777777" w:rsidR="00EC79E8" w:rsidRPr="008C164C" w:rsidRDefault="00EC79E8" w:rsidP="00240629">
            <w:pPr>
              <w:pStyle w:val="TableText0"/>
              <w:jc w:val="center"/>
            </w:pPr>
            <w:r w:rsidRPr="008C164C">
              <w:t>NR</w:t>
            </w:r>
          </w:p>
        </w:tc>
        <w:tc>
          <w:tcPr>
            <w:tcW w:w="589" w:type="pct"/>
            <w:shd w:val="clear" w:color="auto" w:fill="C6D9F1" w:themeFill="text2" w:themeFillTint="33"/>
            <w:noWrap/>
            <w:vAlign w:val="center"/>
          </w:tcPr>
          <w:p w14:paraId="6F073C6D" w14:textId="77777777" w:rsidR="00EC79E8" w:rsidRPr="008C164C" w:rsidRDefault="00EC79E8" w:rsidP="00240629">
            <w:pPr>
              <w:pStyle w:val="TableText0"/>
              <w:jc w:val="center"/>
            </w:pPr>
            <w:r w:rsidRPr="008C164C">
              <w:t>NR</w:t>
            </w:r>
          </w:p>
        </w:tc>
        <w:tc>
          <w:tcPr>
            <w:tcW w:w="543" w:type="pct"/>
            <w:shd w:val="clear" w:color="auto" w:fill="C6D9F1" w:themeFill="text2" w:themeFillTint="33"/>
            <w:vAlign w:val="center"/>
          </w:tcPr>
          <w:p w14:paraId="03A6222E" w14:textId="77777777" w:rsidR="00EC79E8" w:rsidRPr="008C164C" w:rsidRDefault="00EC79E8" w:rsidP="00240629">
            <w:pPr>
              <w:pStyle w:val="TableText0"/>
              <w:jc w:val="center"/>
            </w:pPr>
            <w:r w:rsidRPr="008C164C">
              <w:t>NR</w:t>
            </w:r>
          </w:p>
        </w:tc>
        <w:tc>
          <w:tcPr>
            <w:tcW w:w="679" w:type="pct"/>
            <w:vAlign w:val="center"/>
          </w:tcPr>
          <w:p w14:paraId="1779E680" w14:textId="77777777" w:rsidR="00EC79E8" w:rsidRPr="008C164C" w:rsidRDefault="00EC79E8" w:rsidP="00240629">
            <w:pPr>
              <w:pStyle w:val="TableText0"/>
              <w:jc w:val="center"/>
            </w:pPr>
            <w:r w:rsidRPr="008C164C">
              <w:t>NR</w:t>
            </w:r>
          </w:p>
        </w:tc>
        <w:tc>
          <w:tcPr>
            <w:tcW w:w="543" w:type="pct"/>
            <w:vAlign w:val="center"/>
          </w:tcPr>
          <w:p w14:paraId="3A8C8149" w14:textId="77777777" w:rsidR="00EC79E8" w:rsidRPr="008C164C" w:rsidRDefault="00EC79E8" w:rsidP="00240629">
            <w:pPr>
              <w:pStyle w:val="TableText0"/>
              <w:jc w:val="center"/>
            </w:pPr>
            <w:r w:rsidRPr="008C164C">
              <w:t>NR</w:t>
            </w:r>
          </w:p>
        </w:tc>
      </w:tr>
      <w:tr w:rsidR="00EC79E8" w:rsidRPr="008C164C" w14:paraId="3B619719" w14:textId="77777777" w:rsidTr="006459CB">
        <w:tc>
          <w:tcPr>
            <w:tcW w:w="996" w:type="pct"/>
          </w:tcPr>
          <w:p w14:paraId="6BD396E7" w14:textId="77777777" w:rsidR="00EC79E8" w:rsidRPr="008C164C" w:rsidRDefault="00EC79E8" w:rsidP="00240629">
            <w:pPr>
              <w:pStyle w:val="TableText0"/>
            </w:pPr>
            <w:r w:rsidRPr="008C164C">
              <w:t>Injection site nodule</w:t>
            </w:r>
          </w:p>
        </w:tc>
        <w:tc>
          <w:tcPr>
            <w:tcW w:w="532" w:type="pct"/>
            <w:shd w:val="clear" w:color="auto" w:fill="auto"/>
            <w:vAlign w:val="center"/>
          </w:tcPr>
          <w:p w14:paraId="2F511A53" w14:textId="77777777" w:rsidR="00EC79E8" w:rsidRPr="008C164C" w:rsidRDefault="00EC79E8" w:rsidP="00240629">
            <w:pPr>
              <w:pStyle w:val="TableText0"/>
              <w:jc w:val="center"/>
            </w:pPr>
            <w:r w:rsidRPr="008C164C">
              <w:t>14 (39)</w:t>
            </w:r>
          </w:p>
        </w:tc>
        <w:tc>
          <w:tcPr>
            <w:tcW w:w="623" w:type="pct"/>
            <w:shd w:val="clear" w:color="auto" w:fill="C6D9F1" w:themeFill="text2" w:themeFillTint="33"/>
            <w:vAlign w:val="center"/>
          </w:tcPr>
          <w:p w14:paraId="556BA61C" w14:textId="77777777" w:rsidR="00EC79E8" w:rsidRPr="008C164C" w:rsidRDefault="00EC79E8" w:rsidP="00240629">
            <w:pPr>
              <w:pStyle w:val="TableText0"/>
              <w:jc w:val="center"/>
            </w:pPr>
            <w:r w:rsidRPr="008C164C">
              <w:t>20 (27.8)</w:t>
            </w:r>
          </w:p>
        </w:tc>
        <w:tc>
          <w:tcPr>
            <w:tcW w:w="495" w:type="pct"/>
            <w:shd w:val="clear" w:color="auto" w:fill="C6D9F1" w:themeFill="text2" w:themeFillTint="33"/>
            <w:vAlign w:val="center"/>
          </w:tcPr>
          <w:p w14:paraId="1DD076B6" w14:textId="77777777" w:rsidR="00EC79E8" w:rsidRPr="008C164C" w:rsidRDefault="00EC79E8" w:rsidP="00240629">
            <w:pPr>
              <w:pStyle w:val="TableText0"/>
              <w:jc w:val="center"/>
            </w:pPr>
            <w:r w:rsidRPr="008C164C">
              <w:t>NR</w:t>
            </w:r>
          </w:p>
        </w:tc>
        <w:tc>
          <w:tcPr>
            <w:tcW w:w="589" w:type="pct"/>
            <w:shd w:val="clear" w:color="auto" w:fill="C6D9F1" w:themeFill="text2" w:themeFillTint="33"/>
            <w:noWrap/>
            <w:vAlign w:val="center"/>
          </w:tcPr>
          <w:p w14:paraId="6166E53A" w14:textId="77777777" w:rsidR="00EC79E8" w:rsidRPr="008C164C" w:rsidRDefault="00EC79E8" w:rsidP="00240629">
            <w:pPr>
              <w:pStyle w:val="TableText0"/>
              <w:jc w:val="center"/>
            </w:pPr>
            <w:r w:rsidRPr="008C164C">
              <w:t>NR</w:t>
            </w:r>
          </w:p>
        </w:tc>
        <w:tc>
          <w:tcPr>
            <w:tcW w:w="543" w:type="pct"/>
            <w:shd w:val="clear" w:color="auto" w:fill="C6D9F1" w:themeFill="text2" w:themeFillTint="33"/>
            <w:vAlign w:val="center"/>
          </w:tcPr>
          <w:p w14:paraId="4374DC5A" w14:textId="77777777" w:rsidR="00EC79E8" w:rsidRPr="008C164C" w:rsidRDefault="00EC79E8" w:rsidP="00240629">
            <w:pPr>
              <w:pStyle w:val="TableText0"/>
              <w:jc w:val="center"/>
            </w:pPr>
            <w:r w:rsidRPr="008C164C">
              <w:t>NR</w:t>
            </w:r>
          </w:p>
        </w:tc>
        <w:tc>
          <w:tcPr>
            <w:tcW w:w="679" w:type="pct"/>
            <w:vAlign w:val="center"/>
          </w:tcPr>
          <w:p w14:paraId="75365351" w14:textId="77777777" w:rsidR="00EC79E8" w:rsidRPr="008C164C" w:rsidRDefault="00EC79E8" w:rsidP="00240629">
            <w:pPr>
              <w:pStyle w:val="TableText0"/>
              <w:jc w:val="center"/>
            </w:pPr>
            <w:r w:rsidRPr="008C164C">
              <w:t>NR</w:t>
            </w:r>
          </w:p>
        </w:tc>
        <w:tc>
          <w:tcPr>
            <w:tcW w:w="543" w:type="pct"/>
            <w:vAlign w:val="center"/>
          </w:tcPr>
          <w:p w14:paraId="40273679" w14:textId="77777777" w:rsidR="00EC79E8" w:rsidRPr="008C164C" w:rsidRDefault="00EC79E8" w:rsidP="00240629">
            <w:pPr>
              <w:pStyle w:val="TableText0"/>
              <w:jc w:val="center"/>
            </w:pPr>
            <w:r w:rsidRPr="008C164C">
              <w:t>NR</w:t>
            </w:r>
          </w:p>
        </w:tc>
      </w:tr>
      <w:tr w:rsidR="00EC79E8" w:rsidRPr="008C164C" w14:paraId="75F2CC2B" w14:textId="77777777" w:rsidTr="006459CB">
        <w:tc>
          <w:tcPr>
            <w:tcW w:w="996" w:type="pct"/>
          </w:tcPr>
          <w:p w14:paraId="29EE7D70" w14:textId="77777777" w:rsidR="00EC79E8" w:rsidRPr="008C164C" w:rsidRDefault="00EC79E8" w:rsidP="00240629">
            <w:pPr>
              <w:pStyle w:val="TableText0"/>
            </w:pPr>
            <w:r w:rsidRPr="008C164C">
              <w:t>Injection site induration</w:t>
            </w:r>
          </w:p>
        </w:tc>
        <w:tc>
          <w:tcPr>
            <w:tcW w:w="532" w:type="pct"/>
            <w:shd w:val="clear" w:color="auto" w:fill="auto"/>
            <w:vAlign w:val="center"/>
          </w:tcPr>
          <w:p w14:paraId="3D4F05FB" w14:textId="77777777" w:rsidR="00EC79E8" w:rsidRPr="008C164C" w:rsidRDefault="00EC79E8" w:rsidP="00240629">
            <w:pPr>
              <w:pStyle w:val="TableText0"/>
              <w:jc w:val="center"/>
            </w:pPr>
            <w:r w:rsidRPr="008C164C">
              <w:t>2 (6)</w:t>
            </w:r>
          </w:p>
        </w:tc>
        <w:tc>
          <w:tcPr>
            <w:tcW w:w="623" w:type="pct"/>
            <w:shd w:val="clear" w:color="auto" w:fill="C6D9F1" w:themeFill="text2" w:themeFillTint="33"/>
            <w:vAlign w:val="center"/>
          </w:tcPr>
          <w:p w14:paraId="1BA5554A" w14:textId="77777777" w:rsidR="00EC79E8" w:rsidRPr="008C164C" w:rsidRDefault="00EC79E8" w:rsidP="00240629">
            <w:pPr>
              <w:pStyle w:val="TableText0"/>
              <w:jc w:val="center"/>
            </w:pPr>
            <w:r w:rsidRPr="008C164C">
              <w:t>11 (15.3)</w:t>
            </w:r>
          </w:p>
        </w:tc>
        <w:tc>
          <w:tcPr>
            <w:tcW w:w="495" w:type="pct"/>
            <w:shd w:val="clear" w:color="auto" w:fill="C6D9F1" w:themeFill="text2" w:themeFillTint="33"/>
            <w:vAlign w:val="center"/>
          </w:tcPr>
          <w:p w14:paraId="30C5A8F6" w14:textId="77777777" w:rsidR="00EC79E8" w:rsidRPr="008C164C" w:rsidRDefault="00EC79E8" w:rsidP="00240629">
            <w:pPr>
              <w:pStyle w:val="TableText0"/>
              <w:jc w:val="center"/>
            </w:pPr>
            <w:r w:rsidRPr="008C164C">
              <w:t>NR</w:t>
            </w:r>
          </w:p>
        </w:tc>
        <w:tc>
          <w:tcPr>
            <w:tcW w:w="589" w:type="pct"/>
            <w:shd w:val="clear" w:color="auto" w:fill="C6D9F1" w:themeFill="text2" w:themeFillTint="33"/>
            <w:noWrap/>
            <w:vAlign w:val="center"/>
          </w:tcPr>
          <w:p w14:paraId="29EFBE3C" w14:textId="77777777" w:rsidR="00EC79E8" w:rsidRPr="008C164C" w:rsidRDefault="00EC79E8" w:rsidP="00240629">
            <w:pPr>
              <w:pStyle w:val="TableText0"/>
              <w:jc w:val="center"/>
            </w:pPr>
            <w:r w:rsidRPr="008C164C">
              <w:t>NR</w:t>
            </w:r>
          </w:p>
        </w:tc>
        <w:tc>
          <w:tcPr>
            <w:tcW w:w="543" w:type="pct"/>
            <w:shd w:val="clear" w:color="auto" w:fill="C6D9F1" w:themeFill="text2" w:themeFillTint="33"/>
            <w:vAlign w:val="center"/>
          </w:tcPr>
          <w:p w14:paraId="6D61C79B" w14:textId="77777777" w:rsidR="00EC79E8" w:rsidRPr="008C164C" w:rsidRDefault="00EC79E8" w:rsidP="00240629">
            <w:pPr>
              <w:pStyle w:val="TableText0"/>
              <w:jc w:val="center"/>
            </w:pPr>
            <w:r w:rsidRPr="008C164C">
              <w:t>NR</w:t>
            </w:r>
          </w:p>
        </w:tc>
        <w:tc>
          <w:tcPr>
            <w:tcW w:w="679" w:type="pct"/>
            <w:vAlign w:val="center"/>
          </w:tcPr>
          <w:p w14:paraId="5B336DE8" w14:textId="77777777" w:rsidR="00EC79E8" w:rsidRPr="008C164C" w:rsidRDefault="00EC79E8" w:rsidP="00240629">
            <w:pPr>
              <w:pStyle w:val="TableText0"/>
              <w:jc w:val="center"/>
            </w:pPr>
            <w:r w:rsidRPr="008C164C">
              <w:t>NR</w:t>
            </w:r>
          </w:p>
        </w:tc>
        <w:tc>
          <w:tcPr>
            <w:tcW w:w="543" w:type="pct"/>
            <w:vAlign w:val="center"/>
          </w:tcPr>
          <w:p w14:paraId="5F0C4CFF" w14:textId="77777777" w:rsidR="00EC79E8" w:rsidRPr="008C164C" w:rsidRDefault="00EC79E8" w:rsidP="00240629">
            <w:pPr>
              <w:pStyle w:val="TableText0"/>
              <w:jc w:val="center"/>
            </w:pPr>
            <w:r w:rsidRPr="008C164C">
              <w:t>NR</w:t>
            </w:r>
          </w:p>
        </w:tc>
      </w:tr>
    </w:tbl>
    <w:p w14:paraId="7E8F7F49" w14:textId="77777777" w:rsidR="00EC79E8" w:rsidRPr="008C164C" w:rsidRDefault="00EC79E8" w:rsidP="00EC79E8">
      <w:pPr>
        <w:pStyle w:val="FooterTableFigure"/>
      </w:pPr>
      <w:r w:rsidRPr="008C164C">
        <w:t>Source: Table 2-38, pp135-136 of the resubmission.</w:t>
      </w:r>
    </w:p>
    <w:p w14:paraId="6213027D" w14:textId="11DE5F38" w:rsidR="00EC79E8" w:rsidRPr="008C164C" w:rsidRDefault="00EC79E8" w:rsidP="00EC79E8">
      <w:pPr>
        <w:pStyle w:val="FooterTableFigure"/>
      </w:pPr>
      <w:r w:rsidRPr="008C164C">
        <w:t xml:space="preserve">Blue shaded cells represent results previously considered by </w:t>
      </w:r>
      <w:r w:rsidR="004E7754" w:rsidRPr="008C164C">
        <w:t xml:space="preserve">the </w:t>
      </w:r>
      <w:r w:rsidRPr="008C164C">
        <w:t xml:space="preserve">PBAC. </w:t>
      </w:r>
    </w:p>
    <w:p w14:paraId="0E534FB4" w14:textId="29954C5E" w:rsidR="00EC79E8" w:rsidRPr="008C164C" w:rsidRDefault="0085499F" w:rsidP="00EC79E8">
      <w:pPr>
        <w:pStyle w:val="FooterTableFigure"/>
      </w:pPr>
      <w:r w:rsidRPr="008C164C">
        <w:t xml:space="preserve">AE = adverse events; </w:t>
      </w:r>
      <w:r w:rsidR="00EC79E8" w:rsidRPr="008C164C">
        <w:t>NR: not reported; TEAE: treatment-emergent adverse event.</w:t>
      </w:r>
    </w:p>
    <w:p w14:paraId="74126ADA" w14:textId="35A3C9B0" w:rsidR="00AF2B01" w:rsidRPr="008C164C" w:rsidRDefault="00EC79E8" w:rsidP="00B22304">
      <w:pPr>
        <w:pStyle w:val="FooterTableFigure"/>
      </w:pPr>
      <w:r w:rsidRPr="008C164C">
        <w:t>TEAEs occurring during the 48-week study treatment periods are reported. Median duration of actual treatment in the studies will vary.</w:t>
      </w:r>
    </w:p>
    <w:p w14:paraId="73038132" w14:textId="6BE4610F" w:rsidR="00FF27DB" w:rsidRPr="008C164C" w:rsidRDefault="0085499F" w:rsidP="00B22304">
      <w:pPr>
        <w:pStyle w:val="FooterTableFigure"/>
      </w:pPr>
      <w:r w:rsidRPr="008C164C">
        <w:t xml:space="preserve">* AEs reported up to Week 96 in </w:t>
      </w:r>
      <w:r w:rsidR="00EE7748" w:rsidRPr="008C164C">
        <w:t xml:space="preserve">clinical study report </w:t>
      </w:r>
      <w:r w:rsidRPr="008C164C">
        <w:t>(</w:t>
      </w:r>
      <w:proofErr w:type="spellStart"/>
      <w:r w:rsidRPr="008C164C">
        <w:t>ViiV</w:t>
      </w:r>
      <w:proofErr w:type="spellEnd"/>
      <w:r w:rsidRPr="008C164C">
        <w:t xml:space="preserve"> Healthcare 2015) </w:t>
      </w:r>
      <w:proofErr w:type="spellStart"/>
      <w:r w:rsidRPr="008C164C">
        <w:t>Kozal</w:t>
      </w:r>
      <w:proofErr w:type="spellEnd"/>
      <w:r w:rsidRPr="008C164C">
        <w:t xml:space="preserve"> 2020 reports AEs in ≥10 patients at Week 52 only</w:t>
      </w:r>
    </w:p>
    <w:p w14:paraId="04908C7F" w14:textId="523D00C3" w:rsidR="007F1017" w:rsidRPr="008C164C" w:rsidRDefault="007F1017" w:rsidP="00D86231">
      <w:pPr>
        <w:pStyle w:val="4-SubsectionHeading"/>
      </w:pPr>
      <w:bookmarkStart w:id="51" w:name="_Toc22897643"/>
      <w:bookmarkStart w:id="52" w:name="_Toc145485262"/>
      <w:r w:rsidRPr="008C164C">
        <w:lastRenderedPageBreak/>
        <w:t>Benefits/harms</w:t>
      </w:r>
      <w:bookmarkEnd w:id="51"/>
      <w:bookmarkEnd w:id="52"/>
    </w:p>
    <w:p w14:paraId="1FFB9F75" w14:textId="2B00D9B8" w:rsidR="00EC79E8" w:rsidRPr="008C164C" w:rsidRDefault="00EC79E8" w:rsidP="00EC79E8">
      <w:pPr>
        <w:pStyle w:val="3-BodyText"/>
        <w:rPr>
          <w:rStyle w:val="CommentReference"/>
        </w:rPr>
      </w:pPr>
      <w:r w:rsidRPr="008C164C">
        <w:t xml:space="preserve">A summary of the comparative benefit and harms of </w:t>
      </w:r>
      <w:r w:rsidR="00531FAC" w:rsidRPr="008C164C">
        <w:t xml:space="preserve">LEN </w:t>
      </w:r>
      <w:r w:rsidRPr="008C164C">
        <w:t>+ failing therapy and placebo + failing therapy is presented in</w:t>
      </w:r>
      <w:r w:rsidR="00152FE7" w:rsidRPr="008C164C">
        <w:t xml:space="preserve"> </w:t>
      </w:r>
      <w:r w:rsidR="00152FE7" w:rsidRPr="008C164C">
        <w:fldChar w:fldCharType="begin" w:fldLock="1"/>
      </w:r>
      <w:r w:rsidR="00152FE7" w:rsidRPr="008C164C">
        <w:instrText xml:space="preserve"> REF _Ref142853994 \h </w:instrText>
      </w:r>
      <w:r w:rsidR="000F0A65" w:rsidRPr="008C164C">
        <w:instrText xml:space="preserve"> \* MERGEFORMAT </w:instrText>
      </w:r>
      <w:r w:rsidR="00152FE7" w:rsidRPr="008C164C">
        <w:fldChar w:fldCharType="separate"/>
      </w:r>
      <w:r w:rsidR="00682506" w:rsidRPr="008C164C">
        <w:t xml:space="preserve">Table </w:t>
      </w:r>
      <w:r w:rsidR="00682506">
        <w:t>11</w:t>
      </w:r>
      <w:r w:rsidR="00152FE7" w:rsidRPr="008C164C">
        <w:fldChar w:fldCharType="end"/>
      </w:r>
      <w:r w:rsidRPr="008C164C">
        <w:t xml:space="preserve">. These were based on the 14-day randomised period of the CAPELLA trial. This has not changed since the previous submission. </w:t>
      </w:r>
    </w:p>
    <w:p w14:paraId="1320FE29" w14:textId="06164F90" w:rsidR="00EC79E8" w:rsidRPr="008C164C" w:rsidRDefault="00EC79E8" w:rsidP="00EC79E8">
      <w:pPr>
        <w:pStyle w:val="Caption"/>
        <w:rPr>
          <w:szCs w:val="24"/>
        </w:rPr>
      </w:pPr>
      <w:bookmarkStart w:id="53" w:name="_Ref142853994"/>
      <w:r w:rsidRPr="008C164C">
        <w:t xml:space="preserve">Table </w:t>
      </w:r>
      <w:r w:rsidR="00B25BFE">
        <w:fldChar w:fldCharType="begin" w:fldLock="1"/>
      </w:r>
      <w:r w:rsidR="00B25BFE">
        <w:instrText xml:space="preserve"> SEQ Table \* ARABIC </w:instrText>
      </w:r>
      <w:r w:rsidR="00B25BFE">
        <w:fldChar w:fldCharType="separate"/>
      </w:r>
      <w:r w:rsidR="00682506">
        <w:rPr>
          <w:noProof/>
        </w:rPr>
        <w:t>11</w:t>
      </w:r>
      <w:r w:rsidR="00B25BFE">
        <w:rPr>
          <w:noProof/>
        </w:rPr>
        <w:fldChar w:fldCharType="end"/>
      </w:r>
      <w:bookmarkEnd w:id="53"/>
      <w:r w:rsidRPr="008C164C">
        <w:t xml:space="preserve">: </w:t>
      </w:r>
      <w:r w:rsidRPr="008C164C">
        <w:rPr>
          <w:rStyle w:val="CommentReference"/>
          <w:b/>
          <w:szCs w:val="24"/>
        </w:rPr>
        <w:t xml:space="preserve">Summary of comparative benefits and harms for </w:t>
      </w:r>
      <w:proofErr w:type="spellStart"/>
      <w:r w:rsidRPr="008C164C">
        <w:rPr>
          <w:rStyle w:val="CommentReference"/>
          <w:b/>
          <w:szCs w:val="24"/>
        </w:rPr>
        <w:t>lenacapavir</w:t>
      </w:r>
      <w:proofErr w:type="spellEnd"/>
      <w:r w:rsidRPr="008C164C">
        <w:rPr>
          <w:rStyle w:val="CommentReference"/>
          <w:b/>
          <w:szCs w:val="24"/>
        </w:rPr>
        <w:t xml:space="preserve"> + failing regimen versus placebo + failing regimen</w:t>
      </w:r>
    </w:p>
    <w:tbl>
      <w:tblPr>
        <w:tblW w:w="5000" w:type="pct"/>
        <w:shd w:val="clear" w:color="auto" w:fill="C6D9F1" w:themeFill="text2" w:themeFillTint="33"/>
        <w:tblLayout w:type="fixed"/>
        <w:tblCellMar>
          <w:left w:w="28" w:type="dxa"/>
          <w:right w:w="28" w:type="dxa"/>
        </w:tblCellMar>
        <w:tblLook w:val="04A0" w:firstRow="1" w:lastRow="0" w:firstColumn="1" w:lastColumn="0" w:noHBand="0" w:noVBand="1"/>
      </w:tblPr>
      <w:tblGrid>
        <w:gridCol w:w="2425"/>
        <w:gridCol w:w="1347"/>
        <w:gridCol w:w="1892"/>
        <w:gridCol w:w="904"/>
        <w:gridCol w:w="902"/>
        <w:gridCol w:w="1547"/>
      </w:tblGrid>
      <w:tr w:rsidR="00EC79E8" w:rsidRPr="008C164C" w14:paraId="5C008E51" w14:textId="77777777" w:rsidTr="00AD4BF2">
        <w:trPr>
          <w:cantSplit/>
          <w:trHeight w:val="150"/>
          <w:tblHeader/>
        </w:trPr>
        <w:tc>
          <w:tcPr>
            <w:tcW w:w="134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C31646" w14:textId="77777777" w:rsidR="00EC79E8" w:rsidRPr="008C164C" w:rsidRDefault="00EC79E8" w:rsidP="00240629">
            <w:pPr>
              <w:pStyle w:val="In-tableHeading"/>
              <w:rPr>
                <w:lang w:val="en-AU"/>
              </w:rPr>
            </w:pPr>
            <w:r w:rsidRPr="008C164C">
              <w:rPr>
                <w:lang w:val="en-AU"/>
              </w:rPr>
              <w:t>Trial</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3A8227" w14:textId="77777777" w:rsidR="00EC79E8" w:rsidRPr="008C164C" w:rsidRDefault="00EC79E8" w:rsidP="00240629">
            <w:pPr>
              <w:pStyle w:val="In-tableHeading"/>
              <w:jc w:val="center"/>
              <w:rPr>
                <w:lang w:val="en-AU"/>
              </w:rPr>
            </w:pPr>
            <w:r w:rsidRPr="008C164C">
              <w:rPr>
                <w:lang w:val="en-AU"/>
              </w:rPr>
              <w:t>LEN + failing regimen</w:t>
            </w:r>
          </w:p>
          <w:p w14:paraId="459FDC6C" w14:textId="77777777" w:rsidR="00EC79E8" w:rsidRPr="008C164C" w:rsidRDefault="00EC79E8" w:rsidP="00240629">
            <w:pPr>
              <w:pStyle w:val="In-tableHeading"/>
              <w:jc w:val="center"/>
              <w:rPr>
                <w:lang w:val="en-AU"/>
              </w:rPr>
            </w:pPr>
            <w:r w:rsidRPr="008C164C">
              <w:rPr>
                <w:lang w:val="en-AU"/>
              </w:rPr>
              <w:t>n/N (%)</w:t>
            </w:r>
          </w:p>
        </w:tc>
        <w:tc>
          <w:tcPr>
            <w:tcW w:w="1049" w:type="pct"/>
            <w:vMerge w:val="restart"/>
            <w:tcBorders>
              <w:top w:val="single" w:sz="4" w:space="0" w:color="auto"/>
              <w:left w:val="single" w:sz="4" w:space="0" w:color="auto"/>
              <w:right w:val="single" w:sz="4" w:space="0" w:color="auto"/>
            </w:tcBorders>
            <w:shd w:val="clear" w:color="auto" w:fill="C6D9F1" w:themeFill="text2" w:themeFillTint="33"/>
            <w:vAlign w:val="center"/>
          </w:tcPr>
          <w:p w14:paraId="20D7F54D" w14:textId="77777777" w:rsidR="00EC79E8" w:rsidRPr="008C164C" w:rsidRDefault="00EC79E8" w:rsidP="00240629">
            <w:pPr>
              <w:pStyle w:val="In-tableHeading"/>
              <w:jc w:val="center"/>
              <w:rPr>
                <w:lang w:val="en-AU"/>
              </w:rPr>
            </w:pPr>
            <w:r w:rsidRPr="008C164C">
              <w:rPr>
                <w:lang w:val="en-AU"/>
              </w:rPr>
              <w:t>PBO + failing regimen</w:t>
            </w:r>
          </w:p>
          <w:p w14:paraId="17EA4B30" w14:textId="77777777" w:rsidR="00EC79E8" w:rsidRPr="008C164C" w:rsidRDefault="00EC79E8" w:rsidP="00240629">
            <w:pPr>
              <w:pStyle w:val="In-tableHeading"/>
              <w:jc w:val="center"/>
              <w:rPr>
                <w:lang w:val="en-AU"/>
              </w:rPr>
            </w:pPr>
            <w:r w:rsidRPr="008C164C">
              <w:rPr>
                <w:lang w:val="en-AU"/>
              </w:rPr>
              <w:t>n/N (%)</w:t>
            </w:r>
          </w:p>
        </w:tc>
        <w:tc>
          <w:tcPr>
            <w:tcW w:w="100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533D78" w14:textId="77777777" w:rsidR="00EC79E8" w:rsidRPr="008C164C" w:rsidRDefault="00EC79E8" w:rsidP="00240629">
            <w:pPr>
              <w:pStyle w:val="In-tableHeading"/>
              <w:jc w:val="center"/>
              <w:rPr>
                <w:lang w:val="en-AU"/>
              </w:rPr>
            </w:pPr>
            <w:r w:rsidRPr="008C164C">
              <w:rPr>
                <w:lang w:val="en-AU"/>
              </w:rPr>
              <w:t>Event rate/100 patients per 14 days</w:t>
            </w:r>
          </w:p>
        </w:tc>
        <w:tc>
          <w:tcPr>
            <w:tcW w:w="858"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69CD95" w14:textId="77777777" w:rsidR="00EC79E8" w:rsidRPr="008C164C" w:rsidRDefault="00EC79E8" w:rsidP="00240629">
            <w:pPr>
              <w:pStyle w:val="In-tableHeading"/>
              <w:jc w:val="center"/>
              <w:rPr>
                <w:lang w:val="en-AU"/>
              </w:rPr>
            </w:pPr>
            <w:r w:rsidRPr="008C164C">
              <w:rPr>
                <w:lang w:val="en-AU"/>
              </w:rPr>
              <w:t>Risk difference (95% CI)</w:t>
            </w:r>
          </w:p>
        </w:tc>
      </w:tr>
      <w:tr w:rsidR="00EC79E8" w:rsidRPr="008C164C" w14:paraId="565F2C0C" w14:textId="77777777" w:rsidTr="00AD4BF2">
        <w:trPr>
          <w:cantSplit/>
          <w:trHeight w:val="315"/>
        </w:trPr>
        <w:tc>
          <w:tcPr>
            <w:tcW w:w="1345"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609451" w14:textId="77777777" w:rsidR="00EC79E8" w:rsidRPr="008C164C" w:rsidRDefault="00EC79E8" w:rsidP="00240629">
            <w:pPr>
              <w:pStyle w:val="In-tableHeading"/>
              <w:jc w:val="center"/>
              <w:rPr>
                <w:lang w:val="en-AU"/>
              </w:rPr>
            </w:pPr>
          </w:p>
        </w:tc>
        <w:tc>
          <w:tcPr>
            <w:tcW w:w="747"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26A791" w14:textId="77777777" w:rsidR="00EC79E8" w:rsidRPr="008C164C" w:rsidRDefault="00EC79E8" w:rsidP="00240629">
            <w:pPr>
              <w:pStyle w:val="In-tableHeading"/>
              <w:jc w:val="center"/>
              <w:rPr>
                <w:lang w:val="en-AU"/>
              </w:rPr>
            </w:pPr>
          </w:p>
        </w:tc>
        <w:tc>
          <w:tcPr>
            <w:tcW w:w="1049" w:type="pct"/>
            <w:vMerge/>
            <w:tcBorders>
              <w:left w:val="single" w:sz="4" w:space="0" w:color="auto"/>
              <w:bottom w:val="single" w:sz="4" w:space="0" w:color="auto"/>
              <w:right w:val="single" w:sz="4" w:space="0" w:color="auto"/>
            </w:tcBorders>
            <w:shd w:val="clear" w:color="auto" w:fill="C6D9F1" w:themeFill="text2" w:themeFillTint="33"/>
            <w:vAlign w:val="center"/>
          </w:tcPr>
          <w:p w14:paraId="25F72BBC" w14:textId="77777777" w:rsidR="00EC79E8" w:rsidRPr="008C164C" w:rsidRDefault="00EC79E8" w:rsidP="00240629">
            <w:pPr>
              <w:pStyle w:val="In-tableHeading"/>
              <w:jc w:val="center"/>
              <w:rPr>
                <w:lang w:val="en-AU"/>
              </w:rPr>
            </w:pPr>
          </w:p>
        </w:tc>
        <w:tc>
          <w:tcPr>
            <w:tcW w:w="5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559EC5" w14:textId="77777777" w:rsidR="00EC79E8" w:rsidRPr="008C164C" w:rsidRDefault="00EC79E8" w:rsidP="00240629">
            <w:pPr>
              <w:pStyle w:val="In-tableHeading"/>
              <w:jc w:val="center"/>
              <w:rPr>
                <w:lang w:val="en-AU"/>
              </w:rPr>
            </w:pPr>
            <w:r w:rsidRPr="008C164C">
              <w:rPr>
                <w:lang w:val="en-AU"/>
              </w:rPr>
              <w:t xml:space="preserve">LEN </w:t>
            </w:r>
          </w:p>
        </w:tc>
        <w:tc>
          <w:tcPr>
            <w:tcW w:w="50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B8AC60" w14:textId="77777777" w:rsidR="00EC79E8" w:rsidRPr="008C164C" w:rsidRDefault="00EC79E8" w:rsidP="00240629">
            <w:pPr>
              <w:pStyle w:val="In-tableHeading"/>
              <w:jc w:val="center"/>
              <w:rPr>
                <w:lang w:val="en-AU"/>
              </w:rPr>
            </w:pPr>
            <w:r w:rsidRPr="008C164C">
              <w:rPr>
                <w:lang w:val="en-AU"/>
              </w:rPr>
              <w:t>PBO</w:t>
            </w:r>
          </w:p>
        </w:tc>
        <w:tc>
          <w:tcPr>
            <w:tcW w:w="858"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B9E3A5" w14:textId="77777777" w:rsidR="00EC79E8" w:rsidRPr="008C164C" w:rsidRDefault="00EC79E8" w:rsidP="00240629">
            <w:pPr>
              <w:pStyle w:val="In-tableHeading"/>
              <w:jc w:val="center"/>
              <w:rPr>
                <w:lang w:val="en-AU"/>
              </w:rPr>
            </w:pPr>
          </w:p>
        </w:tc>
      </w:tr>
      <w:tr w:rsidR="00EC79E8" w:rsidRPr="008C164C" w14:paraId="06C1535D" w14:textId="77777777" w:rsidTr="00AD4BF2">
        <w:trPr>
          <w:cantSplit/>
        </w:trPr>
        <w:tc>
          <w:tcPr>
            <w:tcW w:w="5000" w:type="pct"/>
            <w:gridSpan w:val="6"/>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1C29B2E9" w14:textId="77777777" w:rsidR="00EC79E8" w:rsidRPr="008C164C" w:rsidRDefault="00EC79E8" w:rsidP="00240629">
            <w:pPr>
              <w:pStyle w:val="In-tableHeading"/>
              <w:rPr>
                <w:lang w:val="en-AU"/>
              </w:rPr>
            </w:pPr>
            <w:r w:rsidRPr="008C164C">
              <w:rPr>
                <w:lang w:val="en-AU"/>
              </w:rPr>
              <w:t>Benefits</w:t>
            </w:r>
          </w:p>
        </w:tc>
      </w:tr>
      <w:tr w:rsidR="00EC79E8" w:rsidRPr="008C164C" w14:paraId="5D381BD0" w14:textId="77777777" w:rsidTr="00AD4BF2">
        <w:trPr>
          <w:cantSplit/>
        </w:trPr>
        <w:tc>
          <w:tcPr>
            <w:tcW w:w="5000" w:type="pct"/>
            <w:gridSpan w:val="6"/>
            <w:tcBorders>
              <w:top w:val="double" w:sz="4" w:space="0" w:color="auto"/>
              <w:left w:val="single" w:sz="4" w:space="0" w:color="auto"/>
              <w:bottom w:val="single" w:sz="4" w:space="0" w:color="000000"/>
              <w:right w:val="single" w:sz="4" w:space="0" w:color="auto"/>
            </w:tcBorders>
            <w:shd w:val="clear" w:color="auto" w:fill="C6D9F1" w:themeFill="text2" w:themeFillTint="33"/>
            <w:vAlign w:val="center"/>
          </w:tcPr>
          <w:p w14:paraId="41A7CB89" w14:textId="77777777" w:rsidR="00EC79E8" w:rsidRPr="008C164C" w:rsidRDefault="00EC79E8" w:rsidP="00240629">
            <w:pPr>
              <w:pStyle w:val="In-tableHeading"/>
              <w:rPr>
                <w:lang w:val="en-AU"/>
              </w:rPr>
            </w:pPr>
            <w:r w:rsidRPr="008C164C">
              <w:rPr>
                <w:lang w:val="en-AU"/>
              </w:rPr>
              <w:t>Patients achieving ≥ 0.5 log</w:t>
            </w:r>
            <w:r w:rsidRPr="008C164C">
              <w:rPr>
                <w:vertAlign w:val="subscript"/>
                <w:lang w:val="en-AU"/>
              </w:rPr>
              <w:t>10</w:t>
            </w:r>
            <w:r w:rsidRPr="008C164C">
              <w:rPr>
                <w:lang w:val="en-AU"/>
              </w:rPr>
              <w:t xml:space="preserve"> copies/mL reduction from baseline in HIV-1 RNA, n (%)</w:t>
            </w:r>
          </w:p>
        </w:tc>
      </w:tr>
      <w:tr w:rsidR="00EC79E8" w:rsidRPr="008C164C" w14:paraId="57AFC31F" w14:textId="77777777" w:rsidTr="00AD4BF2">
        <w:trPr>
          <w:cantSplit/>
        </w:trPr>
        <w:tc>
          <w:tcPr>
            <w:tcW w:w="1345" w:type="pct"/>
            <w:tcBorders>
              <w:top w:val="single" w:sz="4" w:space="0" w:color="000000"/>
              <w:left w:val="single" w:sz="4" w:space="0" w:color="auto"/>
              <w:bottom w:val="single" w:sz="4" w:space="0" w:color="auto"/>
              <w:right w:val="single" w:sz="4" w:space="0" w:color="auto"/>
            </w:tcBorders>
            <w:shd w:val="clear" w:color="auto" w:fill="C6D9F1" w:themeFill="text2" w:themeFillTint="33"/>
          </w:tcPr>
          <w:p w14:paraId="4C8FDA9F" w14:textId="77777777" w:rsidR="00EC79E8" w:rsidRPr="008C164C" w:rsidRDefault="00EC79E8" w:rsidP="00240629">
            <w:pPr>
              <w:pStyle w:val="In-tableHeading"/>
              <w:rPr>
                <w:b w:val="0"/>
                <w:bCs/>
                <w:lang w:val="en-AU"/>
              </w:rPr>
            </w:pPr>
            <w:r w:rsidRPr="008C164C">
              <w:rPr>
                <w:b w:val="0"/>
                <w:bCs/>
                <w:lang w:val="en-AU"/>
              </w:rPr>
              <w:t>CAPELLA</w:t>
            </w:r>
          </w:p>
        </w:tc>
        <w:tc>
          <w:tcPr>
            <w:tcW w:w="747" w:type="pct"/>
            <w:tcBorders>
              <w:top w:val="single" w:sz="4" w:space="0" w:color="000000"/>
              <w:left w:val="single" w:sz="4" w:space="0" w:color="auto"/>
              <w:bottom w:val="single" w:sz="4" w:space="0" w:color="auto"/>
              <w:right w:val="single" w:sz="4" w:space="0" w:color="auto"/>
            </w:tcBorders>
            <w:shd w:val="clear" w:color="auto" w:fill="C6D9F1" w:themeFill="text2" w:themeFillTint="33"/>
          </w:tcPr>
          <w:p w14:paraId="45C2DA5B" w14:textId="77777777" w:rsidR="00EC79E8" w:rsidRPr="008C164C" w:rsidRDefault="00EC79E8" w:rsidP="00240629">
            <w:pPr>
              <w:pStyle w:val="In-tableHeading"/>
              <w:jc w:val="center"/>
              <w:rPr>
                <w:b w:val="0"/>
                <w:bCs/>
                <w:lang w:val="en-AU"/>
              </w:rPr>
            </w:pPr>
            <w:r w:rsidRPr="008C164C">
              <w:rPr>
                <w:b w:val="0"/>
                <w:bCs/>
                <w:lang w:val="en-AU"/>
              </w:rPr>
              <w:t>21/24 (87.5)</w:t>
            </w:r>
          </w:p>
        </w:tc>
        <w:tc>
          <w:tcPr>
            <w:tcW w:w="1049" w:type="pct"/>
            <w:tcBorders>
              <w:top w:val="single" w:sz="4" w:space="0" w:color="000000"/>
              <w:left w:val="single" w:sz="4" w:space="0" w:color="auto"/>
              <w:bottom w:val="single" w:sz="4" w:space="0" w:color="auto"/>
              <w:right w:val="single" w:sz="4" w:space="0" w:color="auto"/>
            </w:tcBorders>
            <w:shd w:val="clear" w:color="auto" w:fill="C6D9F1" w:themeFill="text2" w:themeFillTint="33"/>
          </w:tcPr>
          <w:p w14:paraId="5F3FB1AB" w14:textId="77777777" w:rsidR="00EC79E8" w:rsidRPr="008C164C" w:rsidRDefault="00EC79E8" w:rsidP="00240629">
            <w:pPr>
              <w:pStyle w:val="In-tableHeading"/>
              <w:jc w:val="center"/>
              <w:rPr>
                <w:b w:val="0"/>
                <w:bCs/>
                <w:lang w:val="en-AU"/>
              </w:rPr>
            </w:pPr>
            <w:r w:rsidRPr="008C164C">
              <w:rPr>
                <w:b w:val="0"/>
                <w:bCs/>
                <w:lang w:val="en-AU"/>
              </w:rPr>
              <w:t>2/12 (16.7)</w:t>
            </w:r>
          </w:p>
        </w:tc>
        <w:tc>
          <w:tcPr>
            <w:tcW w:w="501" w:type="pct"/>
            <w:tcBorders>
              <w:top w:val="single" w:sz="4" w:space="0" w:color="000000"/>
              <w:left w:val="single" w:sz="4" w:space="0" w:color="auto"/>
              <w:bottom w:val="single" w:sz="4" w:space="0" w:color="auto"/>
              <w:right w:val="single" w:sz="4" w:space="0" w:color="auto"/>
            </w:tcBorders>
            <w:shd w:val="clear" w:color="auto" w:fill="C6D9F1" w:themeFill="text2" w:themeFillTint="33"/>
          </w:tcPr>
          <w:p w14:paraId="298FDA71" w14:textId="77777777" w:rsidR="00EC79E8" w:rsidRPr="008C164C" w:rsidRDefault="00EC79E8" w:rsidP="00240629">
            <w:pPr>
              <w:pStyle w:val="In-tableHeading"/>
              <w:jc w:val="center"/>
              <w:rPr>
                <w:b w:val="0"/>
                <w:bCs/>
                <w:lang w:val="en-AU"/>
              </w:rPr>
            </w:pPr>
            <w:r w:rsidRPr="008C164C">
              <w:rPr>
                <w:b w:val="0"/>
                <w:bCs/>
                <w:lang w:val="en-AU"/>
              </w:rPr>
              <w:t>87.5</w:t>
            </w:r>
          </w:p>
        </w:tc>
        <w:tc>
          <w:tcPr>
            <w:tcW w:w="500" w:type="pct"/>
            <w:tcBorders>
              <w:top w:val="single" w:sz="4" w:space="0" w:color="000000"/>
              <w:left w:val="single" w:sz="4" w:space="0" w:color="auto"/>
              <w:bottom w:val="single" w:sz="4" w:space="0" w:color="auto"/>
              <w:right w:val="single" w:sz="4" w:space="0" w:color="auto"/>
            </w:tcBorders>
            <w:shd w:val="clear" w:color="auto" w:fill="C6D9F1" w:themeFill="text2" w:themeFillTint="33"/>
            <w:vAlign w:val="center"/>
          </w:tcPr>
          <w:p w14:paraId="0EBBFB6B" w14:textId="77777777" w:rsidR="00EC79E8" w:rsidRPr="008C164C" w:rsidRDefault="00EC79E8" w:rsidP="00240629">
            <w:pPr>
              <w:pStyle w:val="In-tableHeading"/>
              <w:jc w:val="center"/>
              <w:rPr>
                <w:b w:val="0"/>
                <w:bCs/>
                <w:lang w:val="en-AU"/>
              </w:rPr>
            </w:pPr>
            <w:r w:rsidRPr="008C164C">
              <w:rPr>
                <w:b w:val="0"/>
                <w:bCs/>
                <w:lang w:val="en-AU"/>
              </w:rPr>
              <w:t>16.7</w:t>
            </w:r>
          </w:p>
        </w:tc>
        <w:tc>
          <w:tcPr>
            <w:tcW w:w="858" w:type="pct"/>
            <w:tcBorders>
              <w:top w:val="single" w:sz="4" w:space="0" w:color="000000"/>
              <w:left w:val="single" w:sz="4" w:space="0" w:color="auto"/>
              <w:bottom w:val="single" w:sz="4" w:space="0" w:color="auto"/>
              <w:right w:val="single" w:sz="4" w:space="0" w:color="auto"/>
            </w:tcBorders>
            <w:shd w:val="clear" w:color="auto" w:fill="C6D9F1" w:themeFill="text2" w:themeFillTint="33"/>
          </w:tcPr>
          <w:p w14:paraId="5CA8ED98" w14:textId="77777777" w:rsidR="00EC79E8" w:rsidRPr="008C164C" w:rsidRDefault="00EC79E8" w:rsidP="00240629">
            <w:pPr>
              <w:pStyle w:val="In-tableHeading"/>
              <w:jc w:val="center"/>
              <w:rPr>
                <w:b w:val="0"/>
                <w:bCs/>
                <w:lang w:val="en-AU"/>
              </w:rPr>
            </w:pPr>
            <w:r w:rsidRPr="008C164C">
              <w:rPr>
                <w:b w:val="0"/>
                <w:bCs/>
                <w:lang w:val="en-AU"/>
              </w:rPr>
              <w:t>70.8 (34.9, 90.0)</w:t>
            </w:r>
          </w:p>
        </w:tc>
      </w:tr>
      <w:tr w:rsidR="00EC79E8" w:rsidRPr="008C164C" w14:paraId="2EADCD55" w14:textId="77777777" w:rsidTr="00AD4BF2">
        <w:trPr>
          <w:cantSplit/>
        </w:trPr>
        <w:tc>
          <w:tcPr>
            <w:tcW w:w="1345" w:type="pct"/>
            <w:tcBorders>
              <w:top w:val="double" w:sz="4" w:space="0" w:color="auto"/>
              <w:left w:val="single" w:sz="4" w:space="0" w:color="auto"/>
              <w:bottom w:val="single" w:sz="4" w:space="0" w:color="auto"/>
              <w:right w:val="single" w:sz="4" w:space="0" w:color="auto"/>
            </w:tcBorders>
            <w:shd w:val="clear" w:color="auto" w:fill="C6D9F1" w:themeFill="text2" w:themeFillTint="33"/>
          </w:tcPr>
          <w:p w14:paraId="0CDD737A" w14:textId="77777777" w:rsidR="00EC79E8" w:rsidRPr="008C164C" w:rsidRDefault="00EC79E8" w:rsidP="00240629">
            <w:pPr>
              <w:pStyle w:val="In-tableHeading"/>
              <w:rPr>
                <w:b w:val="0"/>
                <w:bCs/>
                <w:lang w:val="en-AU"/>
              </w:rPr>
            </w:pPr>
            <w:r w:rsidRPr="008C164C">
              <w:rPr>
                <w:lang w:val="en-AU"/>
              </w:rPr>
              <w:t>Harms</w:t>
            </w:r>
          </w:p>
        </w:tc>
        <w:tc>
          <w:tcPr>
            <w:tcW w:w="747" w:type="pct"/>
            <w:tcBorders>
              <w:top w:val="double" w:sz="4" w:space="0" w:color="auto"/>
              <w:left w:val="single" w:sz="4" w:space="0" w:color="auto"/>
              <w:bottom w:val="single" w:sz="4" w:space="0" w:color="auto"/>
              <w:right w:val="single" w:sz="4" w:space="0" w:color="auto"/>
            </w:tcBorders>
            <w:shd w:val="clear" w:color="auto" w:fill="C6D9F1" w:themeFill="text2" w:themeFillTint="33"/>
          </w:tcPr>
          <w:p w14:paraId="26A3C26C" w14:textId="77777777" w:rsidR="00EC79E8" w:rsidRPr="008C164C" w:rsidRDefault="00EC79E8" w:rsidP="00240629">
            <w:pPr>
              <w:pStyle w:val="In-tableHeading"/>
              <w:jc w:val="center"/>
              <w:rPr>
                <w:b w:val="0"/>
                <w:bCs/>
                <w:lang w:val="en-AU"/>
              </w:rPr>
            </w:pPr>
          </w:p>
        </w:tc>
        <w:tc>
          <w:tcPr>
            <w:tcW w:w="1049" w:type="pct"/>
            <w:tcBorders>
              <w:top w:val="double" w:sz="4" w:space="0" w:color="auto"/>
              <w:left w:val="single" w:sz="4" w:space="0" w:color="auto"/>
              <w:bottom w:val="single" w:sz="4" w:space="0" w:color="auto"/>
              <w:right w:val="single" w:sz="4" w:space="0" w:color="auto"/>
            </w:tcBorders>
            <w:shd w:val="clear" w:color="auto" w:fill="C6D9F1" w:themeFill="text2" w:themeFillTint="33"/>
          </w:tcPr>
          <w:p w14:paraId="73667E6D" w14:textId="77777777" w:rsidR="00EC79E8" w:rsidRPr="008C164C" w:rsidRDefault="00EC79E8" w:rsidP="00240629">
            <w:pPr>
              <w:pStyle w:val="In-tableHeading"/>
              <w:jc w:val="center"/>
              <w:rPr>
                <w:b w:val="0"/>
                <w:bCs/>
                <w:lang w:val="en-AU"/>
              </w:rPr>
            </w:pPr>
          </w:p>
        </w:tc>
        <w:tc>
          <w:tcPr>
            <w:tcW w:w="501" w:type="pct"/>
            <w:tcBorders>
              <w:top w:val="double" w:sz="4" w:space="0" w:color="auto"/>
              <w:left w:val="single" w:sz="4" w:space="0" w:color="auto"/>
              <w:bottom w:val="single" w:sz="4" w:space="0" w:color="auto"/>
              <w:right w:val="single" w:sz="4" w:space="0" w:color="auto"/>
            </w:tcBorders>
            <w:shd w:val="clear" w:color="auto" w:fill="C6D9F1" w:themeFill="text2" w:themeFillTint="33"/>
          </w:tcPr>
          <w:p w14:paraId="3E0D0998" w14:textId="77777777" w:rsidR="00EC79E8" w:rsidRPr="008C164C" w:rsidRDefault="00EC79E8" w:rsidP="00240629">
            <w:pPr>
              <w:pStyle w:val="In-tableHeading"/>
              <w:jc w:val="center"/>
              <w:rPr>
                <w:b w:val="0"/>
                <w:bCs/>
                <w:lang w:val="en-AU"/>
              </w:rPr>
            </w:pPr>
          </w:p>
        </w:tc>
        <w:tc>
          <w:tcPr>
            <w:tcW w:w="500" w:type="pct"/>
            <w:tcBorders>
              <w:top w:val="double" w:sz="4" w:space="0" w:color="auto"/>
              <w:left w:val="single" w:sz="4" w:space="0" w:color="auto"/>
              <w:bottom w:val="single" w:sz="4" w:space="0" w:color="auto"/>
              <w:right w:val="single" w:sz="4" w:space="0" w:color="auto"/>
            </w:tcBorders>
            <w:shd w:val="clear" w:color="auto" w:fill="C6D9F1" w:themeFill="text2" w:themeFillTint="33"/>
            <w:vAlign w:val="center"/>
          </w:tcPr>
          <w:p w14:paraId="1535D893" w14:textId="77777777" w:rsidR="00EC79E8" w:rsidRPr="008C164C" w:rsidRDefault="00EC79E8" w:rsidP="00240629">
            <w:pPr>
              <w:pStyle w:val="In-tableHeading"/>
              <w:jc w:val="center"/>
              <w:rPr>
                <w:b w:val="0"/>
                <w:bCs/>
                <w:lang w:val="en-AU"/>
              </w:rPr>
            </w:pPr>
          </w:p>
        </w:tc>
        <w:tc>
          <w:tcPr>
            <w:tcW w:w="858" w:type="pct"/>
            <w:tcBorders>
              <w:top w:val="double" w:sz="4" w:space="0" w:color="auto"/>
              <w:left w:val="single" w:sz="4" w:space="0" w:color="auto"/>
              <w:bottom w:val="single" w:sz="4" w:space="0" w:color="auto"/>
              <w:right w:val="single" w:sz="4" w:space="0" w:color="auto"/>
            </w:tcBorders>
            <w:shd w:val="clear" w:color="auto" w:fill="C6D9F1" w:themeFill="text2" w:themeFillTint="33"/>
          </w:tcPr>
          <w:p w14:paraId="4DC23666" w14:textId="77777777" w:rsidR="00EC79E8" w:rsidRPr="008C164C" w:rsidRDefault="00EC79E8" w:rsidP="00240629">
            <w:pPr>
              <w:pStyle w:val="In-tableHeading"/>
              <w:jc w:val="center"/>
              <w:rPr>
                <w:b w:val="0"/>
                <w:bCs/>
                <w:lang w:val="en-AU"/>
              </w:rPr>
            </w:pPr>
          </w:p>
        </w:tc>
      </w:tr>
      <w:tr w:rsidR="00EC79E8" w:rsidRPr="008C164C" w14:paraId="1861CC6E" w14:textId="77777777" w:rsidTr="00AD4BF2">
        <w:trPr>
          <w:cantSplit/>
        </w:trPr>
        <w:tc>
          <w:tcPr>
            <w:tcW w:w="134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AB0D65" w14:textId="77777777" w:rsidR="00EC79E8" w:rsidRPr="008C164C" w:rsidRDefault="00EC79E8" w:rsidP="00240629">
            <w:pPr>
              <w:pStyle w:val="In-tableHeading"/>
              <w:rPr>
                <w:b w:val="0"/>
                <w:lang w:val="en-AU"/>
              </w:rPr>
            </w:pPr>
            <w:r w:rsidRPr="008C164C">
              <w:rPr>
                <w:b w:val="0"/>
                <w:lang w:val="en-AU"/>
              </w:rPr>
              <w:t>Number (%) of patients with AE</w:t>
            </w:r>
          </w:p>
        </w:tc>
        <w:tc>
          <w:tcPr>
            <w:tcW w:w="74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2DBB87" w14:textId="2F492FBB" w:rsidR="00EC79E8" w:rsidRPr="008C164C" w:rsidRDefault="00EC79E8" w:rsidP="00240629">
            <w:pPr>
              <w:pStyle w:val="In-tableHeading"/>
              <w:jc w:val="center"/>
              <w:rPr>
                <w:b w:val="0"/>
                <w:lang w:val="en-AU"/>
              </w:rPr>
            </w:pPr>
            <w:r w:rsidRPr="008C164C">
              <w:rPr>
                <w:b w:val="0"/>
                <w:lang w:val="en-AU"/>
              </w:rPr>
              <w:t>9</w:t>
            </w:r>
            <w:r w:rsidR="00956953" w:rsidRPr="008C164C">
              <w:rPr>
                <w:b w:val="0"/>
                <w:lang w:val="en-AU"/>
              </w:rPr>
              <w:t>/24</w:t>
            </w:r>
            <w:r w:rsidRPr="008C164C">
              <w:rPr>
                <w:b w:val="0"/>
                <w:lang w:val="en-AU"/>
              </w:rPr>
              <w:t xml:space="preserve"> (37.5)</w:t>
            </w:r>
          </w:p>
        </w:tc>
        <w:tc>
          <w:tcPr>
            <w:tcW w:w="104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7FE9BB" w14:textId="7A2B0D73" w:rsidR="00EC79E8" w:rsidRPr="008C164C" w:rsidRDefault="00EC79E8" w:rsidP="00240629">
            <w:pPr>
              <w:pStyle w:val="In-tableHeading"/>
              <w:jc w:val="center"/>
              <w:rPr>
                <w:b w:val="0"/>
                <w:lang w:val="en-AU"/>
              </w:rPr>
            </w:pPr>
            <w:r w:rsidRPr="008C164C">
              <w:rPr>
                <w:b w:val="0"/>
                <w:lang w:val="en-AU"/>
              </w:rPr>
              <w:t>3</w:t>
            </w:r>
            <w:r w:rsidR="00956953" w:rsidRPr="008C164C">
              <w:rPr>
                <w:b w:val="0"/>
                <w:lang w:val="en-AU"/>
              </w:rPr>
              <w:t>/12</w:t>
            </w:r>
            <w:r w:rsidRPr="008C164C">
              <w:rPr>
                <w:b w:val="0"/>
                <w:lang w:val="en-AU"/>
              </w:rPr>
              <w:t xml:space="preserve"> (25.0)</w:t>
            </w:r>
          </w:p>
        </w:tc>
        <w:tc>
          <w:tcPr>
            <w:tcW w:w="5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3693E8" w14:textId="77777777" w:rsidR="00EC79E8" w:rsidRPr="008C164C" w:rsidRDefault="00EC79E8" w:rsidP="00240629">
            <w:pPr>
              <w:pStyle w:val="In-tableHeading"/>
              <w:jc w:val="center"/>
              <w:rPr>
                <w:b w:val="0"/>
                <w:lang w:val="en-AU"/>
              </w:rPr>
            </w:pPr>
            <w:r w:rsidRPr="008C164C">
              <w:rPr>
                <w:b w:val="0"/>
                <w:lang w:val="en-AU"/>
              </w:rPr>
              <w:t>37.5</w:t>
            </w:r>
          </w:p>
        </w:tc>
        <w:tc>
          <w:tcPr>
            <w:tcW w:w="5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D5177A" w14:textId="77777777" w:rsidR="00EC79E8" w:rsidRPr="008C164C" w:rsidRDefault="00EC79E8" w:rsidP="00240629">
            <w:pPr>
              <w:pStyle w:val="In-tableHeading"/>
              <w:jc w:val="center"/>
              <w:rPr>
                <w:b w:val="0"/>
                <w:lang w:val="en-AU"/>
              </w:rPr>
            </w:pPr>
            <w:r w:rsidRPr="008C164C">
              <w:rPr>
                <w:b w:val="0"/>
                <w:lang w:val="en-AU"/>
              </w:rPr>
              <w:t>25.0</w:t>
            </w:r>
          </w:p>
        </w:tc>
        <w:tc>
          <w:tcPr>
            <w:tcW w:w="8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9F2883F" w14:textId="5BE35291" w:rsidR="00EC79E8" w:rsidRPr="008C164C" w:rsidRDefault="009F634F" w:rsidP="009F634F">
            <w:pPr>
              <w:pStyle w:val="In-tableHeading"/>
              <w:jc w:val="center"/>
              <w:rPr>
                <w:b w:val="0"/>
                <w:bCs/>
                <w:lang w:val="en-AU"/>
              </w:rPr>
            </w:pPr>
            <w:r w:rsidRPr="008C164C">
              <w:rPr>
                <w:b w:val="0"/>
                <w:bCs/>
                <w:lang w:val="en-AU"/>
              </w:rPr>
              <w:t>12.5 (</w:t>
            </w:r>
            <w:r w:rsidR="004B28ED">
              <w:rPr>
                <w:b w:val="0"/>
                <w:bCs/>
                <w:lang w:val="en-AU"/>
              </w:rPr>
              <w:t>-21.46</w:t>
            </w:r>
            <w:r w:rsidRPr="008C164C">
              <w:rPr>
                <w:b w:val="0"/>
                <w:bCs/>
                <w:lang w:val="en-AU"/>
              </w:rPr>
              <w:t xml:space="preserve">, </w:t>
            </w:r>
            <w:r w:rsidR="004B28ED">
              <w:rPr>
                <w:b w:val="0"/>
                <w:bCs/>
                <w:lang w:val="en-AU"/>
              </w:rPr>
              <w:t>40.14</w:t>
            </w:r>
            <w:r w:rsidRPr="008C164C">
              <w:rPr>
                <w:b w:val="0"/>
                <w:bCs/>
                <w:lang w:val="en-AU"/>
              </w:rPr>
              <w:t>)</w:t>
            </w:r>
          </w:p>
        </w:tc>
      </w:tr>
      <w:tr w:rsidR="00EC79E8" w:rsidRPr="008C164C" w14:paraId="391BED4A" w14:textId="77777777" w:rsidTr="00AD4BF2">
        <w:trPr>
          <w:cantSplit/>
        </w:trPr>
        <w:tc>
          <w:tcPr>
            <w:tcW w:w="134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EC4EE1" w14:textId="77777777" w:rsidR="00EC79E8" w:rsidRPr="008C164C" w:rsidRDefault="00EC79E8" w:rsidP="00240629">
            <w:pPr>
              <w:pStyle w:val="In-tableHeading"/>
              <w:rPr>
                <w:b w:val="0"/>
                <w:bCs/>
                <w:lang w:val="en-AU"/>
              </w:rPr>
            </w:pPr>
            <w:r w:rsidRPr="008C164C">
              <w:rPr>
                <w:b w:val="0"/>
                <w:bCs/>
                <w:lang w:val="en-AU"/>
              </w:rPr>
              <w:t>TEAE of Grade 2 or higher</w:t>
            </w:r>
          </w:p>
        </w:tc>
        <w:tc>
          <w:tcPr>
            <w:tcW w:w="74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9B1369" w14:textId="24D7DD0C" w:rsidR="00EC79E8" w:rsidRPr="008C164C" w:rsidRDefault="00EC79E8" w:rsidP="00240629">
            <w:pPr>
              <w:pStyle w:val="In-tableHeading"/>
              <w:jc w:val="center"/>
              <w:rPr>
                <w:b w:val="0"/>
                <w:bCs/>
                <w:lang w:val="en-AU"/>
              </w:rPr>
            </w:pPr>
            <w:r w:rsidRPr="008C164C">
              <w:rPr>
                <w:b w:val="0"/>
                <w:bCs/>
                <w:lang w:val="en-AU"/>
              </w:rPr>
              <w:t>3</w:t>
            </w:r>
            <w:r w:rsidR="00956953" w:rsidRPr="008C164C">
              <w:rPr>
                <w:b w:val="0"/>
                <w:bCs/>
                <w:lang w:val="en-AU"/>
              </w:rPr>
              <w:t>/24</w:t>
            </w:r>
            <w:r w:rsidRPr="008C164C">
              <w:rPr>
                <w:b w:val="0"/>
                <w:bCs/>
                <w:lang w:val="en-AU"/>
              </w:rPr>
              <w:t xml:space="preserve"> (12.5)</w:t>
            </w:r>
          </w:p>
        </w:tc>
        <w:tc>
          <w:tcPr>
            <w:tcW w:w="104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447EC9" w14:textId="3104337B" w:rsidR="00EC79E8" w:rsidRPr="008C164C" w:rsidRDefault="00EC79E8" w:rsidP="00240629">
            <w:pPr>
              <w:pStyle w:val="In-tableHeading"/>
              <w:jc w:val="center"/>
              <w:rPr>
                <w:b w:val="0"/>
                <w:bCs/>
                <w:lang w:val="en-AU"/>
              </w:rPr>
            </w:pPr>
            <w:r w:rsidRPr="008C164C">
              <w:rPr>
                <w:b w:val="0"/>
                <w:bCs/>
                <w:lang w:val="en-AU"/>
              </w:rPr>
              <w:t>0</w:t>
            </w:r>
            <w:r w:rsidR="00956953" w:rsidRPr="008C164C">
              <w:rPr>
                <w:b w:val="0"/>
                <w:bCs/>
                <w:lang w:val="en-AU"/>
              </w:rPr>
              <w:t>/12 (0)</w:t>
            </w:r>
          </w:p>
        </w:tc>
        <w:tc>
          <w:tcPr>
            <w:tcW w:w="50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C09E1D" w14:textId="77777777" w:rsidR="00EC79E8" w:rsidRPr="008C164C" w:rsidRDefault="00EC79E8" w:rsidP="00240629">
            <w:pPr>
              <w:pStyle w:val="In-tableHeading"/>
              <w:jc w:val="center"/>
              <w:rPr>
                <w:b w:val="0"/>
                <w:bCs/>
                <w:lang w:val="en-AU"/>
              </w:rPr>
            </w:pPr>
            <w:r w:rsidRPr="008C164C">
              <w:rPr>
                <w:b w:val="0"/>
                <w:bCs/>
                <w:lang w:val="en-AU"/>
              </w:rPr>
              <w:t>12.5</w:t>
            </w:r>
          </w:p>
        </w:tc>
        <w:tc>
          <w:tcPr>
            <w:tcW w:w="5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7EA81B" w14:textId="77777777" w:rsidR="00EC79E8" w:rsidRPr="008C164C" w:rsidRDefault="00EC79E8" w:rsidP="00240629">
            <w:pPr>
              <w:pStyle w:val="In-tableHeading"/>
              <w:jc w:val="center"/>
              <w:rPr>
                <w:b w:val="0"/>
                <w:bCs/>
                <w:lang w:val="en-AU"/>
              </w:rPr>
            </w:pPr>
            <w:r w:rsidRPr="008C164C">
              <w:rPr>
                <w:b w:val="0"/>
                <w:bCs/>
                <w:lang w:val="en-AU"/>
              </w:rPr>
              <w:t>0</w:t>
            </w:r>
          </w:p>
        </w:tc>
        <w:tc>
          <w:tcPr>
            <w:tcW w:w="8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A041163" w14:textId="4DB7BE78" w:rsidR="00EC79E8" w:rsidRPr="008C164C" w:rsidRDefault="009F634F" w:rsidP="000F45A5">
            <w:pPr>
              <w:pStyle w:val="In-tableHeading"/>
              <w:jc w:val="center"/>
              <w:rPr>
                <w:b w:val="0"/>
                <w:bCs/>
                <w:lang w:val="en-AU"/>
              </w:rPr>
            </w:pPr>
            <w:r w:rsidRPr="008C164C">
              <w:rPr>
                <w:b w:val="0"/>
                <w:bCs/>
                <w:lang w:val="en-AU"/>
              </w:rPr>
              <w:t>12.5 (-</w:t>
            </w:r>
            <w:r w:rsidR="004B28ED">
              <w:rPr>
                <w:b w:val="0"/>
                <w:bCs/>
                <w:lang w:val="en-AU"/>
              </w:rPr>
              <w:t>13.41</w:t>
            </w:r>
            <w:r w:rsidRPr="008C164C">
              <w:rPr>
                <w:b w:val="0"/>
                <w:bCs/>
                <w:lang w:val="en-AU"/>
              </w:rPr>
              <w:t xml:space="preserve">, </w:t>
            </w:r>
            <w:r w:rsidR="004B28ED">
              <w:rPr>
                <w:b w:val="0"/>
                <w:bCs/>
                <w:lang w:val="en-AU"/>
              </w:rPr>
              <w:t>31.32</w:t>
            </w:r>
            <w:r w:rsidRPr="008C164C">
              <w:rPr>
                <w:b w:val="0"/>
                <w:bCs/>
                <w:lang w:val="en-AU"/>
              </w:rPr>
              <w:t>)</w:t>
            </w:r>
          </w:p>
        </w:tc>
      </w:tr>
    </w:tbl>
    <w:p w14:paraId="7F6B000D" w14:textId="77777777" w:rsidR="00EC79E8" w:rsidRPr="008C164C" w:rsidRDefault="00EC79E8" w:rsidP="00EC79E8">
      <w:pPr>
        <w:pStyle w:val="FooterTableFigure"/>
      </w:pPr>
      <w:r w:rsidRPr="008C164C">
        <w:t xml:space="preserve">Source: Table 2-26, p107 and </w:t>
      </w:r>
      <w:r w:rsidRPr="008C164C">
        <w:rPr>
          <w:szCs w:val="18"/>
        </w:rPr>
        <w:t xml:space="preserve">Table 2-44, p131-132 </w:t>
      </w:r>
      <w:r w:rsidRPr="008C164C">
        <w:t>of the submission.</w:t>
      </w:r>
    </w:p>
    <w:p w14:paraId="747C4EA5" w14:textId="6E38E423" w:rsidR="00AD4BF2" w:rsidRPr="008C164C" w:rsidRDefault="00AD4BF2" w:rsidP="00EC79E8">
      <w:pPr>
        <w:pStyle w:val="FooterTableFigure"/>
      </w:pPr>
      <w:r w:rsidRPr="008C164C">
        <w:t xml:space="preserve">Blue shaded cells represent results previously considered by </w:t>
      </w:r>
      <w:r w:rsidR="004E7754" w:rsidRPr="008C164C">
        <w:t xml:space="preserve">the </w:t>
      </w:r>
      <w:r w:rsidRPr="008C164C">
        <w:t xml:space="preserve">PBAC. </w:t>
      </w:r>
    </w:p>
    <w:p w14:paraId="46EE0090" w14:textId="7D3AEEE6" w:rsidR="00EC79E8" w:rsidRPr="008C164C" w:rsidRDefault="00EC79E8" w:rsidP="00EC79E8">
      <w:pPr>
        <w:pStyle w:val="FooterTableFigure"/>
      </w:pPr>
      <w:r w:rsidRPr="008C164C">
        <w:t xml:space="preserve">AE = adverse event; CI = confidence interval; HIV = Human immunodeficiency virus; LEN = </w:t>
      </w:r>
      <w:proofErr w:type="spellStart"/>
      <w:r w:rsidRPr="008C164C">
        <w:t>lenacapavir</w:t>
      </w:r>
      <w:proofErr w:type="spellEnd"/>
      <w:r w:rsidRPr="008C164C">
        <w:t>;  mL = millilitre; NR, not reported; PBO = placebo; RNA = ribonucleic acid. TEAE = treatment emergent adverse event</w:t>
      </w:r>
    </w:p>
    <w:p w14:paraId="3398684F" w14:textId="2D59FD73" w:rsidR="00EC79E8" w:rsidRPr="008C164C" w:rsidRDefault="00EC79E8" w:rsidP="00EC79E8">
      <w:pPr>
        <w:pStyle w:val="3-BodyText"/>
      </w:pPr>
      <w:r w:rsidRPr="008C164C">
        <w:t xml:space="preserve">On the basis of the 14-day randomised period of the CAPELLA trial, for every 100 patients treated with </w:t>
      </w:r>
      <w:r w:rsidR="00531FAC" w:rsidRPr="008C164C">
        <w:t>LEN</w:t>
      </w:r>
      <w:r w:rsidR="00561274" w:rsidRPr="008C164C">
        <w:t xml:space="preserve"> </w:t>
      </w:r>
      <w:r w:rsidRPr="008C164C">
        <w:t>+ failing therapy in comparison with placebo + failing therapy:</w:t>
      </w:r>
    </w:p>
    <w:p w14:paraId="78E669ED" w14:textId="3D7644D2" w:rsidR="00EC79E8" w:rsidRPr="008C164C" w:rsidRDefault="00EC79E8" w:rsidP="00FF255E">
      <w:pPr>
        <w:pStyle w:val="3-BodyText"/>
        <w:numPr>
          <w:ilvl w:val="0"/>
          <w:numId w:val="12"/>
        </w:numPr>
        <w:ind w:left="1134" w:hanging="425"/>
      </w:pPr>
      <w:r w:rsidRPr="008C164C">
        <w:t>Approximately 71 additional patients will achieve ≥ 0.5 log</w:t>
      </w:r>
      <w:r w:rsidRPr="008C164C">
        <w:rPr>
          <w:vertAlign w:val="subscript"/>
        </w:rPr>
        <w:t>10</w:t>
      </w:r>
      <w:r w:rsidRPr="008C164C">
        <w:t xml:space="preserve"> copies/mL reduction from baseline in HIV-1 RNA.</w:t>
      </w:r>
    </w:p>
    <w:p w14:paraId="3A7A9106" w14:textId="77777777" w:rsidR="00EC79E8" w:rsidRPr="008C164C" w:rsidRDefault="00EC79E8" w:rsidP="00FF255E">
      <w:pPr>
        <w:pStyle w:val="3-BodyText"/>
        <w:numPr>
          <w:ilvl w:val="0"/>
          <w:numId w:val="12"/>
        </w:numPr>
        <w:ind w:left="1134" w:hanging="425"/>
      </w:pPr>
      <w:r w:rsidRPr="008C164C">
        <w:t>Approximately 13 additional patients will experience a treatment emergent adverse event of grade 2 or higher.</w:t>
      </w:r>
    </w:p>
    <w:p w14:paraId="0B1A6AA0" w14:textId="5D225526" w:rsidR="00EC79E8" w:rsidRPr="008C164C" w:rsidRDefault="00EC79E8" w:rsidP="00EC79E8">
      <w:pPr>
        <w:pStyle w:val="3-BodyText"/>
        <w:rPr>
          <w:rStyle w:val="CommentReference"/>
        </w:rPr>
      </w:pPr>
      <w:r w:rsidRPr="008C164C">
        <w:t xml:space="preserve">A summary of the comparative benefit of </w:t>
      </w:r>
      <w:r w:rsidR="00531FAC" w:rsidRPr="008C164C">
        <w:t xml:space="preserve">LEN </w:t>
      </w:r>
      <w:r w:rsidRPr="008C164C">
        <w:t xml:space="preserve">+ OBR and OBR </w:t>
      </w:r>
      <w:r w:rsidR="00531FAC" w:rsidRPr="008C164C">
        <w:t xml:space="preserve">alone </w:t>
      </w:r>
      <w:r w:rsidRPr="008C164C">
        <w:t xml:space="preserve">based on the unanchored indirect comparison was presented in </w:t>
      </w:r>
      <w:r w:rsidR="00783F39" w:rsidRPr="008C164C">
        <w:fldChar w:fldCharType="begin" w:fldLock="1"/>
      </w:r>
      <w:r w:rsidR="00783F39" w:rsidRPr="008C164C">
        <w:instrText xml:space="preserve"> REF _Ref142589060 \h  \* MERGEFORMAT </w:instrText>
      </w:r>
      <w:r w:rsidR="00783F39" w:rsidRPr="008C164C">
        <w:fldChar w:fldCharType="separate"/>
      </w:r>
      <w:r w:rsidR="00682506" w:rsidRPr="00682506">
        <w:t>Table 9</w:t>
      </w:r>
      <w:r w:rsidR="00783F39" w:rsidRPr="008C164C">
        <w:fldChar w:fldCharType="end"/>
      </w:r>
      <w:r w:rsidRPr="008C164C">
        <w:t>. Conclusions regarding comparative safety could not be informed by the indirect comparison presented in the submission.</w:t>
      </w:r>
    </w:p>
    <w:p w14:paraId="0F792EA1" w14:textId="7DDD6F36" w:rsidR="00EC79E8" w:rsidRPr="008C164C" w:rsidRDefault="00EC79E8" w:rsidP="00EC79E8">
      <w:pPr>
        <w:pStyle w:val="3-BodyText"/>
      </w:pPr>
      <w:r w:rsidRPr="008C164C">
        <w:t xml:space="preserve">On the basis of the submission’s unanchored indirect comparison of the CAPELLA trial </w:t>
      </w:r>
      <w:r w:rsidR="00783F39" w:rsidRPr="008C164C">
        <w:t xml:space="preserve">(Cohorts 1 &amp; 2) </w:t>
      </w:r>
      <w:r w:rsidRPr="008C164C">
        <w:t xml:space="preserve">and meta-analysed results of </w:t>
      </w:r>
      <w:r w:rsidR="00783F39" w:rsidRPr="008C164C">
        <w:t>seven</w:t>
      </w:r>
      <w:r w:rsidRPr="008C164C">
        <w:t xml:space="preserve"> comparator trials presented by the submission, for every 100 patients treated with </w:t>
      </w:r>
      <w:r w:rsidR="00531FAC" w:rsidRPr="008C164C">
        <w:t xml:space="preserve">LEN </w:t>
      </w:r>
      <w:r w:rsidRPr="008C164C">
        <w:t xml:space="preserve">+ OBR in comparison with OBR </w:t>
      </w:r>
      <w:r w:rsidR="00531FAC" w:rsidRPr="008C164C">
        <w:t>alone</w:t>
      </w:r>
      <w:r w:rsidRPr="008C164C">
        <w:t>:</w:t>
      </w:r>
    </w:p>
    <w:p w14:paraId="36FE9A4D" w14:textId="19CBEC72" w:rsidR="00EC79E8" w:rsidRPr="008C164C" w:rsidRDefault="00EC79E8" w:rsidP="00FF255E">
      <w:pPr>
        <w:pStyle w:val="3-BodyText"/>
        <w:numPr>
          <w:ilvl w:val="0"/>
          <w:numId w:val="12"/>
        </w:numPr>
        <w:ind w:left="1134" w:hanging="425"/>
      </w:pPr>
      <w:r w:rsidRPr="008C164C">
        <w:t xml:space="preserve">Approximately </w:t>
      </w:r>
      <w:r w:rsidR="00783F39" w:rsidRPr="008C164C">
        <w:t>50</w:t>
      </w:r>
      <w:r w:rsidRPr="008C164C">
        <w:t xml:space="preserve"> additional patients will achieve virologic suppression (less than 50 copies of HIV RNA /mL of blood)</w:t>
      </w:r>
      <w:r w:rsidR="00093564" w:rsidRPr="008C164C">
        <w:t xml:space="preserve"> at 52 weeks</w:t>
      </w:r>
      <w:r w:rsidRPr="008C164C">
        <w:t>.</w:t>
      </w:r>
    </w:p>
    <w:p w14:paraId="7A1772B6" w14:textId="77D34153" w:rsidR="00B60939" w:rsidRPr="008C164C" w:rsidRDefault="00B60939" w:rsidP="00E9094A">
      <w:pPr>
        <w:pStyle w:val="4-SubsectionHeading"/>
      </w:pPr>
      <w:bookmarkStart w:id="54" w:name="_Toc22897644"/>
      <w:bookmarkStart w:id="55" w:name="_Toc145485263"/>
      <w:r w:rsidRPr="008C164C">
        <w:t>Clinical claim</w:t>
      </w:r>
      <w:bookmarkEnd w:id="54"/>
      <w:bookmarkEnd w:id="55"/>
    </w:p>
    <w:p w14:paraId="77DD8F97" w14:textId="77777777" w:rsidR="00986ACF" w:rsidRPr="008C164C" w:rsidRDefault="00986ACF" w:rsidP="00986ACF">
      <w:pPr>
        <w:pStyle w:val="3-BodyText"/>
      </w:pPr>
      <w:r w:rsidRPr="008C164C">
        <w:t xml:space="preserve">The resubmission claimed that, for PLWH who are </w:t>
      </w:r>
      <w:proofErr w:type="spellStart"/>
      <w:r w:rsidRPr="008C164C">
        <w:t>hMDR</w:t>
      </w:r>
      <w:proofErr w:type="spellEnd"/>
      <w:r w:rsidRPr="008C164C">
        <w:t>, LEN + OBR is superior in terms of effectiveness compared with OBR (± placebo) or OBR alone. Additionally, LEN + OBR is non-inferior in terms of safety compared with OBR.</w:t>
      </w:r>
    </w:p>
    <w:p w14:paraId="2810095F" w14:textId="63E13552" w:rsidR="00455659" w:rsidRPr="008C164C" w:rsidRDefault="00986ACF" w:rsidP="00237D9B">
      <w:pPr>
        <w:pStyle w:val="3-BodyText"/>
      </w:pPr>
      <w:r w:rsidRPr="008C164C">
        <w:lastRenderedPageBreak/>
        <w:t xml:space="preserve">In consideration of the November 2022 submission, the PBAC had considered that the claim of superior comparative effectiveness was uncertain (paragraph 6.62, </w:t>
      </w:r>
      <w:proofErr w:type="spellStart"/>
      <w:r w:rsidRPr="008C164C">
        <w:t>lenacapavir</w:t>
      </w:r>
      <w:proofErr w:type="spellEnd"/>
      <w:r w:rsidRPr="008C164C">
        <w:t xml:space="preserve"> PSD, November 2022 PBAC meeting). The PBAC previously noted </w:t>
      </w:r>
      <w:r w:rsidR="00636CB9" w:rsidRPr="008C164C">
        <w:t xml:space="preserve">there was uncertainty about the applicability of the evidence to the proposed PBS population, substantial uncertainty in comparator selection and assessing the comparative effectiveness of </w:t>
      </w:r>
      <w:r w:rsidR="006A54BD" w:rsidRPr="008C164C">
        <w:t xml:space="preserve">LEN </w:t>
      </w:r>
      <w:r w:rsidR="00636CB9" w:rsidRPr="008C164C">
        <w:t>and</w:t>
      </w:r>
      <w:r w:rsidR="00636CB9" w:rsidRPr="008C164C" w:rsidDel="00636CB9">
        <w:t xml:space="preserve"> </w:t>
      </w:r>
      <w:r w:rsidR="00636CB9" w:rsidRPr="008C164C">
        <w:t xml:space="preserve">inconsistencies and transitivity issues </w:t>
      </w:r>
      <w:r w:rsidR="00237D9B" w:rsidRPr="008C164C">
        <w:t xml:space="preserve">in the ITC </w:t>
      </w:r>
      <w:r w:rsidR="00636CB9" w:rsidRPr="008C164C">
        <w:t>including the small patient numbers in CAPELLA, the lack of a common comparator, and differences in the trial populations (e.g. differences in susceptibility of OBR regimen or agents used</w:t>
      </w:r>
      <w:r w:rsidR="006A54BD" w:rsidRPr="008C164C">
        <w:t xml:space="preserve">) </w:t>
      </w:r>
      <w:r w:rsidRPr="008C164C">
        <w:t xml:space="preserve">(paragraphs 7.5-7.6, </w:t>
      </w:r>
      <w:proofErr w:type="spellStart"/>
      <w:r w:rsidRPr="008C164C">
        <w:t>lenacapavir</w:t>
      </w:r>
      <w:proofErr w:type="spellEnd"/>
      <w:r w:rsidRPr="008C164C">
        <w:t xml:space="preserve"> PSD, November 2022 PBAC meeting)</w:t>
      </w:r>
      <w:r w:rsidR="00237D9B" w:rsidRPr="008C164C">
        <w:t>.</w:t>
      </w:r>
      <w:r w:rsidR="00455659" w:rsidRPr="008C164C">
        <w:t xml:space="preserve"> </w:t>
      </w:r>
    </w:p>
    <w:p w14:paraId="28D0B8E3" w14:textId="66BCDCFF" w:rsidR="00986ACF" w:rsidRPr="008C164C" w:rsidRDefault="00986ACF" w:rsidP="00986ACF">
      <w:pPr>
        <w:pStyle w:val="3-BodyText"/>
      </w:pPr>
      <w:bookmarkStart w:id="56" w:name="_Ref142865208"/>
      <w:r w:rsidRPr="008C164C">
        <w:t xml:space="preserve">The clinical claim </w:t>
      </w:r>
      <w:r w:rsidR="00353625" w:rsidRPr="008C164C">
        <w:t xml:space="preserve">in the resubmission </w:t>
      </w:r>
      <w:r w:rsidRPr="008C164C">
        <w:t>remains uncertain for similar reasons as the previous submission. Although the resubmission has presented an updated ITC analysis which, the resubmission argues, addresses the imbalances in ARV class of OBR, the efficacy of the comparator of OBR alone was likely underestimated as:</w:t>
      </w:r>
      <w:bookmarkEnd w:id="56"/>
      <w:r w:rsidRPr="008C164C">
        <w:t xml:space="preserve"> </w:t>
      </w:r>
    </w:p>
    <w:p w14:paraId="4CFA7027" w14:textId="77777777" w:rsidR="00455659" w:rsidRPr="008C164C" w:rsidRDefault="00455659" w:rsidP="00FF255E">
      <w:pPr>
        <w:pStyle w:val="ListParagraph"/>
        <w:numPr>
          <w:ilvl w:val="0"/>
          <w:numId w:val="9"/>
        </w:numPr>
      </w:pPr>
      <w:r w:rsidRPr="008C164C">
        <w:t>The weighting used in the base case to pool all nominated OBR arms was the least favourable towards OBR alone and was not consistent with the claimed usage of FTR and IBA;</w:t>
      </w:r>
    </w:p>
    <w:p w14:paraId="3EAD57A1" w14:textId="48906340" w:rsidR="00455659" w:rsidRPr="008C164C" w:rsidRDefault="00455659" w:rsidP="00FF255E">
      <w:pPr>
        <w:pStyle w:val="ListParagraph"/>
        <w:numPr>
          <w:ilvl w:val="0"/>
          <w:numId w:val="9"/>
        </w:numPr>
      </w:pPr>
      <w:r w:rsidRPr="008C164C">
        <w:t>The use of 25-week data from TMB-301 (43% response) as a proxy for week 48 data may have biased against IBA as available week 48 data in the 27/40 patients for whom data is available suggest a higher response rate (67%) at week 48</w:t>
      </w:r>
      <w:r w:rsidR="00D41991" w:rsidRPr="008C164C">
        <w:t xml:space="preserve"> was possible</w:t>
      </w:r>
      <w:r w:rsidRPr="008C164C">
        <w:t>; and</w:t>
      </w:r>
    </w:p>
    <w:p w14:paraId="499E1FDE" w14:textId="67F20C1F" w:rsidR="00455659" w:rsidRPr="008C164C" w:rsidRDefault="00455659" w:rsidP="00FF255E">
      <w:pPr>
        <w:pStyle w:val="ListParagraph"/>
        <w:numPr>
          <w:ilvl w:val="0"/>
          <w:numId w:val="9"/>
        </w:numPr>
      </w:pPr>
      <w:r w:rsidRPr="008C164C">
        <w:t>The estimate of proportion of patients who will have HIV-1 RNA &lt;</w:t>
      </w:r>
      <w:r w:rsidR="006A54BD" w:rsidRPr="008C164C">
        <w:t xml:space="preserve"> </w:t>
      </w:r>
      <w:r w:rsidRPr="008C164C">
        <w:t xml:space="preserve">50 copies/mL in patients treated with OBR alone used in the submission’s base case (29.3%) was substantially lower than estimates provided by 10 Australian clinicians (49.9-62.3%) surveyed by the sponsor. </w:t>
      </w:r>
      <w:r w:rsidR="00237D9B" w:rsidRPr="008C164C">
        <w:t>Further, u</w:t>
      </w:r>
      <w:r w:rsidRPr="008C164C">
        <w:t>sing alternative weighting methods provided OBR estimates of 32.2% to 35.7%</w:t>
      </w:r>
      <w:r w:rsidR="00797034" w:rsidRPr="008C164C">
        <w:t xml:space="preserve"> which were higher than the resubmission’s base case (29.3%)</w:t>
      </w:r>
      <w:r w:rsidR="00237D9B" w:rsidRPr="008C164C">
        <w:t>.</w:t>
      </w:r>
    </w:p>
    <w:p w14:paraId="74DA42C3" w14:textId="3EDFA9CC" w:rsidR="00455659" w:rsidRPr="008C164C" w:rsidRDefault="00986ACF" w:rsidP="00986ACF">
      <w:pPr>
        <w:pStyle w:val="3-BodyText"/>
      </w:pPr>
      <w:bookmarkStart w:id="57" w:name="_Ref142865210"/>
      <w:r w:rsidRPr="008C164C">
        <w:t xml:space="preserve">Consequently, the ITC results provided in the resubmission likely favoured LEN + OBR. Additionally, it was uncertain that the inclusion of FTR and IBA in the OBR alone arm was appropriate given neither </w:t>
      </w:r>
      <w:r w:rsidR="00B148D2" w:rsidRPr="008C164C">
        <w:t xml:space="preserve">ARV is </w:t>
      </w:r>
      <w:r w:rsidRPr="008C164C">
        <w:t xml:space="preserve">PBS-listed and Australian clinicians surveyed by the sponsor indicate that no patients are treated with either </w:t>
      </w:r>
      <w:r w:rsidR="00B148D2" w:rsidRPr="008C164C">
        <w:t xml:space="preserve">ARV </w:t>
      </w:r>
      <w:r w:rsidRPr="008C164C">
        <w:t xml:space="preserve">in Australia. Moreover, the resubmission’s approach of demonstrating a ‘balance’ of INSTI, FTR and IBA use between arms </w:t>
      </w:r>
      <w:r w:rsidR="00C74A77" w:rsidRPr="008C164C">
        <w:t xml:space="preserve">to </w:t>
      </w:r>
      <w:r w:rsidRPr="008C164C">
        <w:t>provide certainty that OBR arms of the included comparator studies would reflect treatment efficacy in the Australian setting</w:t>
      </w:r>
      <w:r w:rsidR="00C74A77" w:rsidRPr="008C164C">
        <w:t xml:space="preserve"> was poorly justified</w:t>
      </w:r>
      <w:r w:rsidR="00353625" w:rsidRPr="008C164C">
        <w:t xml:space="preserve"> and was not reflected in the weighting used in the meta-analysis of OBR </w:t>
      </w:r>
      <w:r w:rsidR="00EE0CC1" w:rsidRPr="008C164C">
        <w:t>alone studies</w:t>
      </w:r>
      <w:r w:rsidRPr="008C164C">
        <w:t>.</w:t>
      </w:r>
      <w:bookmarkEnd w:id="57"/>
    </w:p>
    <w:p w14:paraId="6CF4F298" w14:textId="2F7615EF" w:rsidR="00455659" w:rsidRPr="008C164C" w:rsidRDefault="00E6517B" w:rsidP="00986ACF">
      <w:pPr>
        <w:pStyle w:val="3-BodyText"/>
      </w:pPr>
      <w:r w:rsidRPr="008C164C">
        <w:t>Further, w</w:t>
      </w:r>
      <w:r w:rsidR="00986ACF" w:rsidRPr="008C164C">
        <w:t xml:space="preserve">hile the resubmission provided an ITC based on the combined </w:t>
      </w:r>
      <w:r w:rsidR="006A54BD" w:rsidRPr="008C164C">
        <w:t>C</w:t>
      </w:r>
      <w:r w:rsidR="00986ACF" w:rsidRPr="008C164C">
        <w:t>ohort 1 and 2 of CAPELLA, and thus provided a larger sample size</w:t>
      </w:r>
      <w:r w:rsidR="00E91236" w:rsidRPr="008C164C">
        <w:t xml:space="preserve">, the overall sample size of CAPELLA (n=72) remained small, and </w:t>
      </w:r>
      <w:r w:rsidR="00986ACF" w:rsidRPr="008C164C">
        <w:t>the ITC remained unanchored</w:t>
      </w:r>
      <w:r w:rsidR="00E91236" w:rsidRPr="008C164C">
        <w:t>. T</w:t>
      </w:r>
      <w:r w:rsidR="00986ACF" w:rsidRPr="008C164C">
        <w:t xml:space="preserve">he included trials/studies to inform OBR alone </w:t>
      </w:r>
      <w:r w:rsidR="00E91236" w:rsidRPr="008C164C">
        <w:t xml:space="preserve">also had </w:t>
      </w:r>
      <w:r w:rsidR="00986ACF" w:rsidRPr="008C164C">
        <w:t>substantial heterogeneity.</w:t>
      </w:r>
      <w:r w:rsidR="00663D76" w:rsidRPr="008C164C">
        <w:t xml:space="preserve"> </w:t>
      </w:r>
      <w:r w:rsidR="0065171A" w:rsidRPr="008C164C">
        <w:t xml:space="preserve">The PSCR argued the use of an unanchored ITC was reasonable in the context of the design of the CAPELLA trial in </w:t>
      </w:r>
      <w:proofErr w:type="spellStart"/>
      <w:r w:rsidR="0065171A" w:rsidRPr="008C164C">
        <w:t>hMDR</w:t>
      </w:r>
      <w:proofErr w:type="spellEnd"/>
      <w:r w:rsidR="0065171A" w:rsidRPr="008C164C">
        <w:t xml:space="preserve"> people living with HIV, where FDA guidance considered </w:t>
      </w:r>
      <w:r w:rsidR="0065171A" w:rsidRPr="008C164C">
        <w:lastRenderedPageBreak/>
        <w:t>long term treatment with placebo + OBR to be unethical, therefore no comparator arm was appropriate for the pivotal study.</w:t>
      </w:r>
    </w:p>
    <w:p w14:paraId="74CCF50F" w14:textId="29C06CA9" w:rsidR="00455659" w:rsidRPr="008C164C" w:rsidRDefault="00986ACF" w:rsidP="00986ACF">
      <w:pPr>
        <w:pStyle w:val="3-BodyText"/>
      </w:pPr>
      <w:r w:rsidRPr="008C164C">
        <w:t>Overall, the</w:t>
      </w:r>
      <w:r w:rsidR="009356D4" w:rsidRPr="008C164C">
        <w:t xml:space="preserve"> ESC considered that the </w:t>
      </w:r>
      <w:r w:rsidRPr="008C164C">
        <w:t>results remain highly uncertain, and the estimate of the incremental clinical benefit with LEN + OBR was likely overestimated</w:t>
      </w:r>
      <w:r w:rsidR="00406278" w:rsidRPr="008C164C">
        <w:t xml:space="preserve"> and favoured LEN + OBR</w:t>
      </w:r>
      <w:r w:rsidRPr="008C164C">
        <w:t>.</w:t>
      </w:r>
    </w:p>
    <w:p w14:paraId="18DB6192" w14:textId="5B55722F" w:rsidR="00455659" w:rsidRPr="008C164C" w:rsidRDefault="00986ACF" w:rsidP="00986ACF">
      <w:pPr>
        <w:pStyle w:val="3-BodyText"/>
      </w:pPr>
      <w:r w:rsidRPr="008C164C">
        <w:t xml:space="preserve">With regards to the non-inferior safety claim, the PBAC had previously considered that that while </w:t>
      </w:r>
      <w:r w:rsidR="0057014B">
        <w:t>LEN</w:t>
      </w:r>
      <w:r w:rsidR="0057014B" w:rsidRPr="008C164C">
        <w:t xml:space="preserve"> </w:t>
      </w:r>
      <w:r w:rsidRPr="008C164C">
        <w:t>was associated with increased injection site reactions and nausea compared to OBR, the submission’s claim of non-inferior safety was overall likely to be reasonable. However, the Committee considered this claim remained somewhat uncertain due to the small sample size of CAPELLA and the absence of long-term safety data (paragraph 7.7</w:t>
      </w:r>
      <w:r w:rsidR="00276943" w:rsidRPr="008C164C">
        <w:t xml:space="preserve">, </w:t>
      </w:r>
      <w:proofErr w:type="spellStart"/>
      <w:r w:rsidR="00276943" w:rsidRPr="008C164C">
        <w:t>lenacapavir</w:t>
      </w:r>
      <w:proofErr w:type="spellEnd"/>
      <w:r w:rsidR="00276943" w:rsidRPr="008C164C">
        <w:t xml:space="preserve"> PSD, November 2022 PBAC meeting</w:t>
      </w:r>
      <w:r w:rsidRPr="008C164C">
        <w:t>).</w:t>
      </w:r>
    </w:p>
    <w:p w14:paraId="6759BC47" w14:textId="6823B975" w:rsidR="00986ACF" w:rsidRPr="008C164C" w:rsidRDefault="00986ACF" w:rsidP="00986ACF">
      <w:pPr>
        <w:pStyle w:val="3-BodyText"/>
      </w:pPr>
      <w:r w:rsidRPr="008C164C">
        <w:t>Overall, longer 104-week follow-up safety data from CAPELLA indicated no new safety signals associated with LEN + OBR, giving some additional support to a claim of non-inferior safety. However</w:t>
      </w:r>
      <w:r w:rsidR="004E7754" w:rsidRPr="008C164C">
        <w:t>,</w:t>
      </w:r>
      <w:r w:rsidRPr="008C164C">
        <w:t xml:space="preserve"> the small sample size in CAPELLA may limit the ability of rarer safety signals to be detected</w:t>
      </w:r>
      <w:r w:rsidR="008C164C">
        <w:t xml:space="preserve">. </w:t>
      </w:r>
    </w:p>
    <w:p w14:paraId="73BD17D3" w14:textId="5386B625" w:rsidR="00635D3E" w:rsidRDefault="00635D3E" w:rsidP="00635D3E">
      <w:pPr>
        <w:pStyle w:val="3-BodyText"/>
      </w:pPr>
      <w:bookmarkStart w:id="58" w:name="_Hlk76376200"/>
      <w:r w:rsidRPr="008C164C">
        <w:rPr>
          <w:iCs/>
        </w:rPr>
        <w:t>The</w:t>
      </w:r>
      <w:r w:rsidRPr="008C164C">
        <w:t xml:space="preserve"> PBAC considered that based on the available data, the claim that LEN (in combination with OBR), is of superior comparative effectiveness to OBR</w:t>
      </w:r>
      <w:r>
        <w:t xml:space="preserve"> alone</w:t>
      </w:r>
      <w:r w:rsidRPr="008C164C">
        <w:t xml:space="preserve"> was supported,</w:t>
      </w:r>
      <w:r>
        <w:t xml:space="preserve"> in the proposed small population of patients with </w:t>
      </w:r>
      <w:proofErr w:type="spellStart"/>
      <w:r>
        <w:t>hMDR</w:t>
      </w:r>
      <w:proofErr w:type="spellEnd"/>
      <w:r>
        <w:t xml:space="preserve"> HIV infection</w:t>
      </w:r>
      <w:r w:rsidRPr="008C164C">
        <w:t>. However, the PBAC considered the uncertainties in the clinical comparison</w:t>
      </w:r>
      <w:r>
        <w:t xml:space="preserve"> meant that</w:t>
      </w:r>
      <w:r w:rsidRPr="008C164C">
        <w:t xml:space="preserve"> the magnitude of benefit could not be </w:t>
      </w:r>
      <w:r>
        <w:t>accurately</w:t>
      </w:r>
      <w:r w:rsidRPr="008C164C">
        <w:t xml:space="preserve"> determined.</w:t>
      </w:r>
    </w:p>
    <w:p w14:paraId="3A0F3117" w14:textId="3D8EB1CB" w:rsidR="00483F2D" w:rsidRPr="008C164C" w:rsidRDefault="00483F2D" w:rsidP="00483F2D">
      <w:pPr>
        <w:pStyle w:val="3-BodyText"/>
      </w:pPr>
      <w:r w:rsidRPr="008C164C">
        <w:t xml:space="preserve">The PBAC </w:t>
      </w:r>
      <w:bookmarkEnd w:id="58"/>
      <w:r w:rsidR="00264956" w:rsidRPr="008C164C">
        <w:t xml:space="preserve">noted updated safety data out to week 104 was presented in the resubmission with no new safety signals identified, and </w:t>
      </w:r>
      <w:r w:rsidR="0052089D" w:rsidRPr="008C164C">
        <w:t>reaffirmed its previously expressed view in November 2022 that the claim of non-inferior comparative safety was likely to be reasonable.</w:t>
      </w:r>
    </w:p>
    <w:p w14:paraId="74A1172E" w14:textId="05876FE3" w:rsidR="00B60939" w:rsidRPr="008C164C" w:rsidRDefault="00B60939" w:rsidP="00E9094A">
      <w:pPr>
        <w:pStyle w:val="4-SubsectionHeading"/>
      </w:pPr>
      <w:bookmarkStart w:id="59" w:name="_Toc22897645"/>
      <w:bookmarkStart w:id="60" w:name="_Toc145485264"/>
      <w:r w:rsidRPr="008C164C">
        <w:t>Economic analysis</w:t>
      </w:r>
      <w:bookmarkEnd w:id="59"/>
      <w:bookmarkEnd w:id="60"/>
      <w:r w:rsidR="00491B3A" w:rsidRPr="008C164C">
        <w:t xml:space="preserve"> </w:t>
      </w:r>
    </w:p>
    <w:p w14:paraId="40AB15E6" w14:textId="172B113E" w:rsidR="0055303C" w:rsidRPr="008C164C" w:rsidRDefault="00A14EEB" w:rsidP="0055303C">
      <w:pPr>
        <w:pStyle w:val="3-BodyText"/>
      </w:pPr>
      <w:r w:rsidRPr="008C164C">
        <w:t>The ESC considered the economic model presented in the resubmission was unreliable for decision-making</w:t>
      </w:r>
      <w:r w:rsidR="00DB4C9F" w:rsidRPr="008C164C">
        <w:t xml:space="preserve">. </w:t>
      </w:r>
      <w:r w:rsidRPr="008C164C">
        <w:t xml:space="preserve">In providing this advice, the ESC considered </w:t>
      </w:r>
      <w:r w:rsidR="00653D9F" w:rsidRPr="008C164C">
        <w:t xml:space="preserve">that there were </w:t>
      </w:r>
      <w:r w:rsidRPr="008C164C">
        <w:t xml:space="preserve">a number of key issues </w:t>
      </w:r>
      <w:r w:rsidR="00653D9F" w:rsidRPr="008C164C">
        <w:t xml:space="preserve">that resulted in </w:t>
      </w:r>
      <w:r w:rsidRPr="008C164C">
        <w:t>the model produc</w:t>
      </w:r>
      <w:r w:rsidR="00653D9F" w:rsidRPr="008C164C">
        <w:t>ing</w:t>
      </w:r>
      <w:r w:rsidRPr="008C164C">
        <w:t xml:space="preserve"> counter-intuitive and often unrealistic </w:t>
      </w:r>
      <w:r w:rsidR="00653D9F" w:rsidRPr="008C164C">
        <w:t>and</w:t>
      </w:r>
      <w:r w:rsidRPr="008C164C">
        <w:t xml:space="preserve"> impossible </w:t>
      </w:r>
      <w:r w:rsidR="00653D9F" w:rsidRPr="008C164C">
        <w:t>inputs and outcomes</w:t>
      </w:r>
      <w:r w:rsidR="00DB4C9F" w:rsidRPr="008C164C">
        <w:t>, resulting in the model lacking both face validity and technical operability</w:t>
      </w:r>
      <w:r w:rsidR="0055303C" w:rsidRPr="008C164C">
        <w:t xml:space="preserve"> (see paragraph </w:t>
      </w:r>
      <w:r w:rsidR="0055303C" w:rsidRPr="008C164C">
        <w:fldChar w:fldCharType="begin" w:fldLock="1"/>
      </w:r>
      <w:r w:rsidR="0055303C" w:rsidRPr="008C164C">
        <w:instrText xml:space="preserve"> REF _Ref148016013 \r \h </w:instrText>
      </w:r>
      <w:r w:rsidR="00483F2D" w:rsidRPr="008C164C">
        <w:instrText xml:space="preserve"> \* MERGEFORMAT </w:instrText>
      </w:r>
      <w:r w:rsidR="0055303C" w:rsidRPr="008C164C">
        <w:fldChar w:fldCharType="separate"/>
      </w:r>
      <w:r w:rsidR="00682506">
        <w:t>6.89</w:t>
      </w:r>
      <w:r w:rsidR="0055303C" w:rsidRPr="008C164C">
        <w:fldChar w:fldCharType="end"/>
      </w:r>
      <w:r w:rsidR="0055303C" w:rsidRPr="008C164C">
        <w:t>)</w:t>
      </w:r>
      <w:r w:rsidR="00653D9F" w:rsidRPr="008C164C">
        <w:t>.</w:t>
      </w:r>
      <w:r w:rsidR="0055303C" w:rsidRPr="008C164C">
        <w:t xml:space="preserve"> </w:t>
      </w:r>
      <w:r w:rsidR="0025519A" w:rsidRPr="008C164C">
        <w:t xml:space="preserve"> </w:t>
      </w:r>
    </w:p>
    <w:p w14:paraId="3303A6D7" w14:textId="20C6E37A" w:rsidR="00DF268D" w:rsidRPr="008C164C" w:rsidRDefault="00DF268D" w:rsidP="00DF268D">
      <w:pPr>
        <w:pStyle w:val="3-BodyText"/>
      </w:pPr>
      <w:r w:rsidRPr="008C164C">
        <w:t xml:space="preserve">The submission presented a cost-utility analysis based on data from the CAPELLA trial and the ITC described above. </w:t>
      </w:r>
    </w:p>
    <w:p w14:paraId="6EAA1420" w14:textId="7E933EF5" w:rsidR="00E30766" w:rsidRPr="008C164C" w:rsidRDefault="00EE0CC1" w:rsidP="00E30766">
      <w:pPr>
        <w:pStyle w:val="3-BodyText"/>
      </w:pPr>
      <w:r w:rsidRPr="008C164C">
        <w:t>T</w:t>
      </w:r>
      <w:r w:rsidR="00E30766" w:rsidRPr="008C164C">
        <w:t>he resubmission model was the same as the previous model with the following key changes:</w:t>
      </w:r>
    </w:p>
    <w:p w14:paraId="3EFED0F4" w14:textId="77777777" w:rsidR="00EE37C1" w:rsidRPr="008C164C" w:rsidRDefault="00E30766" w:rsidP="00FF255E">
      <w:pPr>
        <w:pStyle w:val="ListParagraph"/>
        <w:numPr>
          <w:ilvl w:val="0"/>
          <w:numId w:val="8"/>
        </w:numPr>
        <w:ind w:left="1134" w:hanging="425"/>
      </w:pPr>
      <w:r w:rsidRPr="008C164C">
        <w:t>Update</w:t>
      </w:r>
      <w:r w:rsidR="00446511" w:rsidRPr="008C164C">
        <w:t>d</w:t>
      </w:r>
      <w:r w:rsidRPr="008C164C">
        <w:t xml:space="preserve"> requested price</w:t>
      </w:r>
      <w:r w:rsidR="00446511" w:rsidRPr="008C164C">
        <w:t xml:space="preserve"> of LEN</w:t>
      </w:r>
      <w:r w:rsidR="009651FB" w:rsidRPr="008C164C">
        <w:t>;</w:t>
      </w:r>
    </w:p>
    <w:p w14:paraId="7A2044A7" w14:textId="28031893" w:rsidR="00EE37C1" w:rsidRPr="008C164C" w:rsidRDefault="00E30766" w:rsidP="00FF255E">
      <w:pPr>
        <w:pStyle w:val="ListParagraph"/>
        <w:numPr>
          <w:ilvl w:val="0"/>
          <w:numId w:val="8"/>
        </w:numPr>
        <w:ind w:left="1134" w:hanging="425"/>
      </w:pPr>
      <w:r w:rsidRPr="008C164C">
        <w:t>Update</w:t>
      </w:r>
      <w:r w:rsidR="00446511" w:rsidRPr="008C164C">
        <w:t>d</w:t>
      </w:r>
      <w:r w:rsidRPr="008C164C">
        <w:t xml:space="preserve"> number of oral </w:t>
      </w:r>
      <w:r w:rsidR="0062146E" w:rsidRPr="008C164C">
        <w:t xml:space="preserve">LEN </w:t>
      </w:r>
      <w:r w:rsidRPr="008C164C">
        <w:t xml:space="preserve">tablets </w:t>
      </w:r>
      <w:r w:rsidR="009651FB" w:rsidRPr="008C164C">
        <w:t xml:space="preserve">for initiation </w:t>
      </w:r>
      <w:r w:rsidRPr="008C164C">
        <w:t xml:space="preserve">from </w:t>
      </w:r>
      <w:r w:rsidR="009651FB" w:rsidRPr="008C164C">
        <w:t>four</w:t>
      </w:r>
      <w:r w:rsidRPr="008C164C">
        <w:t xml:space="preserve"> to </w:t>
      </w:r>
      <w:r w:rsidR="00D80AD5" w:rsidRPr="008C164C">
        <w:t>f</w:t>
      </w:r>
      <w:r w:rsidR="009651FB" w:rsidRPr="008C164C">
        <w:t>ive;</w:t>
      </w:r>
    </w:p>
    <w:p w14:paraId="618172D8" w14:textId="19D293ED" w:rsidR="00EE37C1" w:rsidRPr="008C164C" w:rsidRDefault="00E30766" w:rsidP="00FF255E">
      <w:pPr>
        <w:pStyle w:val="ListParagraph"/>
        <w:numPr>
          <w:ilvl w:val="0"/>
          <w:numId w:val="8"/>
        </w:numPr>
        <w:ind w:left="1134" w:hanging="425"/>
      </w:pPr>
      <w:r w:rsidRPr="008C164C">
        <w:t>Remov</w:t>
      </w:r>
      <w:r w:rsidR="00124B4F">
        <w:t>ed</w:t>
      </w:r>
      <w:r w:rsidRPr="008C164C">
        <w:t xml:space="preserve"> modelling for adherence benefit</w:t>
      </w:r>
      <w:r w:rsidR="009651FB" w:rsidRPr="008C164C">
        <w:t>;</w:t>
      </w:r>
    </w:p>
    <w:p w14:paraId="2C3EE95C" w14:textId="77777777" w:rsidR="00EE37C1" w:rsidRPr="008C164C" w:rsidRDefault="00E30766" w:rsidP="00FF255E">
      <w:pPr>
        <w:pStyle w:val="ListParagraph"/>
        <w:numPr>
          <w:ilvl w:val="0"/>
          <w:numId w:val="8"/>
        </w:numPr>
        <w:ind w:left="1134" w:hanging="425"/>
      </w:pPr>
      <w:r w:rsidRPr="008C164C">
        <w:lastRenderedPageBreak/>
        <w:t xml:space="preserve">Updated CAPELLA data from </w:t>
      </w:r>
      <w:r w:rsidR="009651FB" w:rsidRPr="008C164C">
        <w:t>C</w:t>
      </w:r>
      <w:r w:rsidRPr="008C164C">
        <w:t>ohort 1A to Cohorts 1 &amp; 2 and incorporated up to week 104 data</w:t>
      </w:r>
      <w:r w:rsidR="009651FB" w:rsidRPr="008C164C">
        <w:t>;</w:t>
      </w:r>
    </w:p>
    <w:p w14:paraId="15E2FC2C" w14:textId="3E819A61" w:rsidR="00EE37C1" w:rsidRPr="008C164C" w:rsidRDefault="00124B4F" w:rsidP="00FF255E">
      <w:pPr>
        <w:pStyle w:val="ListParagraph"/>
        <w:numPr>
          <w:ilvl w:val="0"/>
          <w:numId w:val="8"/>
        </w:numPr>
        <w:ind w:left="1134" w:hanging="425"/>
      </w:pPr>
      <w:r>
        <w:t>Started</w:t>
      </w:r>
      <w:r w:rsidRPr="008C164C">
        <w:t xml:space="preserve"> </w:t>
      </w:r>
      <w:r w:rsidR="00E30766" w:rsidRPr="008C164C">
        <w:t xml:space="preserve">extrapolation from Week 104 rather than from </w:t>
      </w:r>
      <w:r w:rsidR="00813BCC" w:rsidRPr="008C164C">
        <w:t xml:space="preserve">the first transition </w:t>
      </w:r>
      <w:r w:rsidR="00E83EC4" w:rsidRPr="008C164C">
        <w:t>(i.e. cycle 1)</w:t>
      </w:r>
      <w:r w:rsidR="00D717D1" w:rsidRPr="008C164C">
        <w:t xml:space="preserve"> to inform LEN + OBR viral suppression</w:t>
      </w:r>
      <w:r w:rsidR="00E83EC4" w:rsidRPr="008C164C">
        <w:t>, using observed data from CAPELLA up to week 104 instead</w:t>
      </w:r>
      <w:r w:rsidR="009651FB" w:rsidRPr="008C164C">
        <w:t>; and</w:t>
      </w:r>
    </w:p>
    <w:p w14:paraId="4CC6C974" w14:textId="1941E097" w:rsidR="00E30766" w:rsidRPr="008C164C" w:rsidRDefault="00E30766" w:rsidP="00FF255E">
      <w:pPr>
        <w:pStyle w:val="ListParagraph"/>
        <w:numPr>
          <w:ilvl w:val="0"/>
          <w:numId w:val="8"/>
        </w:numPr>
        <w:ind w:left="1134" w:hanging="425"/>
      </w:pPr>
      <w:r w:rsidRPr="008C164C">
        <w:t>Updated other costs (OBR, ARE, drug admin</w:t>
      </w:r>
      <w:r w:rsidR="0062146E" w:rsidRPr="008C164C">
        <w:t>istration</w:t>
      </w:r>
      <w:r w:rsidRPr="008C164C">
        <w:t xml:space="preserve">, treatment switching) </w:t>
      </w:r>
      <w:r w:rsidR="00D67753" w:rsidRPr="008C164C">
        <w:t>to reflect current prices.</w:t>
      </w:r>
    </w:p>
    <w:p w14:paraId="6E94FF02" w14:textId="5D822001" w:rsidR="00A669C0" w:rsidRPr="008C164C" w:rsidRDefault="00446511" w:rsidP="00A669C0">
      <w:pPr>
        <w:pStyle w:val="3-BodyText"/>
      </w:pPr>
      <w:r w:rsidRPr="008C164C">
        <w:t>The overall structure of the economic model was unchanged from the original submission</w:t>
      </w:r>
      <w:r w:rsidR="00877507" w:rsidRPr="008C164C">
        <w:t>.</w:t>
      </w:r>
      <w:r w:rsidRPr="008C164C">
        <w:t xml:space="preserve"> </w:t>
      </w:r>
      <w:r w:rsidR="00A669C0" w:rsidRPr="008C164C">
        <w:t>As in the previous submission, patients transition between health states defined by both viral load and CD4 cell count (for example, such a state may be defined as: viral load &lt; 50 copies/mL, and CD4 cell count &gt; 500 cells/mm</w:t>
      </w:r>
      <w:r w:rsidR="00A669C0" w:rsidRPr="008C164C">
        <w:rPr>
          <w:vertAlign w:val="superscript"/>
        </w:rPr>
        <w:t>3</w:t>
      </w:r>
      <w:r w:rsidR="00A669C0" w:rsidRPr="008C164C">
        <w:t>). Each health state was associated with a specific disease management cost. Patients with CD4 &lt; 200 cells/mm</w:t>
      </w:r>
      <w:r w:rsidR="00A669C0" w:rsidRPr="008C164C">
        <w:rPr>
          <w:vertAlign w:val="superscript"/>
        </w:rPr>
        <w:t>3</w:t>
      </w:r>
      <w:r w:rsidR="00A669C0" w:rsidRPr="008C164C">
        <w:t xml:space="preserve"> (irrespective of treatment) were assigned probabilities associated with acquired immunodeficiency syndrome (AIDS) related events (AREs) which led to increased disutility and higher costs. Mortality was a function of CD4 cell count and age. </w:t>
      </w:r>
    </w:p>
    <w:p w14:paraId="026F8158" w14:textId="667458D2" w:rsidR="00E30766" w:rsidRPr="008C164C" w:rsidRDefault="00A669C0" w:rsidP="00A669C0">
      <w:pPr>
        <w:pStyle w:val="3-BodyText"/>
      </w:pPr>
      <w:r w:rsidRPr="008C164C">
        <w:fldChar w:fldCharType="begin" w:fldLock="1"/>
      </w:r>
      <w:r w:rsidRPr="008C164C">
        <w:instrText xml:space="preserve"> REF _Ref142643347 \h </w:instrText>
      </w:r>
      <w:r w:rsidR="00596CCE" w:rsidRPr="008C164C">
        <w:instrText xml:space="preserve"> \* MERGEFORMAT </w:instrText>
      </w:r>
      <w:r w:rsidRPr="008C164C">
        <w:fldChar w:fldCharType="separate"/>
      </w:r>
      <w:r w:rsidR="00682506" w:rsidRPr="008C164C">
        <w:t xml:space="preserve">Table </w:t>
      </w:r>
      <w:r w:rsidR="00682506">
        <w:t>12</w:t>
      </w:r>
      <w:r w:rsidRPr="008C164C">
        <w:fldChar w:fldCharType="end"/>
      </w:r>
      <w:r w:rsidRPr="008C164C">
        <w:t xml:space="preserve"> presents a summary of the model structure and key inputs and rationale of the economic evaluation.</w:t>
      </w:r>
    </w:p>
    <w:p w14:paraId="0F10034B" w14:textId="6EBFEC92" w:rsidR="00E30766" w:rsidRPr="008C164C" w:rsidRDefault="00E16AD8" w:rsidP="00E30766">
      <w:pPr>
        <w:pStyle w:val="Caption"/>
        <w:jc w:val="left"/>
        <w:rPr>
          <w:rStyle w:val="CommentReference"/>
          <w:b/>
          <w:szCs w:val="24"/>
        </w:rPr>
      </w:pPr>
      <w:bookmarkStart w:id="61" w:name="_Ref142643347"/>
      <w:r w:rsidRPr="008C164C">
        <w:lastRenderedPageBreak/>
        <w:t xml:space="preserve">Table </w:t>
      </w:r>
      <w:r w:rsidR="00B25BFE">
        <w:fldChar w:fldCharType="begin" w:fldLock="1"/>
      </w:r>
      <w:r w:rsidR="00B25BFE">
        <w:instrText xml:space="preserve"> SEQ Table \* ARABIC </w:instrText>
      </w:r>
      <w:r w:rsidR="00B25BFE">
        <w:fldChar w:fldCharType="separate"/>
      </w:r>
      <w:r w:rsidR="00682506">
        <w:rPr>
          <w:noProof/>
        </w:rPr>
        <w:t>12</w:t>
      </w:r>
      <w:r w:rsidR="00B25BFE">
        <w:rPr>
          <w:noProof/>
        </w:rPr>
        <w:fldChar w:fldCharType="end"/>
      </w:r>
      <w:bookmarkEnd w:id="61"/>
      <w:r w:rsidRPr="008C164C">
        <w:t>:</w:t>
      </w:r>
      <w:r w:rsidR="00E30766" w:rsidRPr="008C164C">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46"/>
        <w:gridCol w:w="6471"/>
      </w:tblGrid>
      <w:tr w:rsidR="00E30766" w:rsidRPr="008C164C" w14:paraId="417FBB5C" w14:textId="77777777" w:rsidTr="00E83EC4">
        <w:trPr>
          <w:tblHeader/>
        </w:trPr>
        <w:tc>
          <w:tcPr>
            <w:tcW w:w="1412" w:type="pct"/>
            <w:shd w:val="clear" w:color="auto" w:fill="auto"/>
            <w:vAlign w:val="center"/>
          </w:tcPr>
          <w:p w14:paraId="745B1F8C" w14:textId="77777777" w:rsidR="00E30766" w:rsidRPr="008C164C" w:rsidRDefault="00E30766" w:rsidP="00240629">
            <w:pPr>
              <w:pStyle w:val="In-tableHeading"/>
              <w:rPr>
                <w:lang w:val="en-AU"/>
              </w:rPr>
            </w:pPr>
            <w:r w:rsidRPr="008C164C">
              <w:rPr>
                <w:lang w:val="en-AU"/>
              </w:rPr>
              <w:t>Component</w:t>
            </w:r>
          </w:p>
        </w:tc>
        <w:tc>
          <w:tcPr>
            <w:tcW w:w="3588" w:type="pct"/>
            <w:shd w:val="clear" w:color="auto" w:fill="auto"/>
            <w:vAlign w:val="center"/>
          </w:tcPr>
          <w:p w14:paraId="66D62CC0" w14:textId="77777777" w:rsidR="00E30766" w:rsidRPr="008C164C" w:rsidRDefault="00E30766" w:rsidP="00240629">
            <w:pPr>
              <w:pStyle w:val="In-tableHeading"/>
              <w:rPr>
                <w:lang w:val="en-AU"/>
              </w:rPr>
            </w:pPr>
            <w:r w:rsidRPr="008C164C">
              <w:rPr>
                <w:lang w:val="en-AU"/>
              </w:rPr>
              <w:t>Summary</w:t>
            </w:r>
          </w:p>
        </w:tc>
      </w:tr>
      <w:tr w:rsidR="00E30766" w:rsidRPr="008C164C" w14:paraId="17131386" w14:textId="77777777" w:rsidTr="00E83EC4">
        <w:tc>
          <w:tcPr>
            <w:tcW w:w="1412" w:type="pct"/>
            <w:shd w:val="clear" w:color="auto" w:fill="auto"/>
            <w:vAlign w:val="center"/>
          </w:tcPr>
          <w:p w14:paraId="5C438AB1" w14:textId="77777777" w:rsidR="00E30766" w:rsidRPr="008C164C" w:rsidRDefault="00E30766" w:rsidP="00240629">
            <w:pPr>
              <w:pStyle w:val="TableText0"/>
            </w:pPr>
            <w:r w:rsidRPr="008C164C">
              <w:t>Treatments</w:t>
            </w:r>
          </w:p>
        </w:tc>
        <w:tc>
          <w:tcPr>
            <w:tcW w:w="3588" w:type="pct"/>
            <w:shd w:val="clear" w:color="auto" w:fill="auto"/>
            <w:vAlign w:val="center"/>
          </w:tcPr>
          <w:p w14:paraId="262C9313" w14:textId="4FDCF253" w:rsidR="00E30766" w:rsidRPr="008C164C" w:rsidRDefault="00E30766" w:rsidP="00240629">
            <w:pPr>
              <w:pStyle w:val="TableText0"/>
            </w:pPr>
            <w:r w:rsidRPr="008C164C">
              <w:t xml:space="preserve">LEN + OBR vs OBR </w:t>
            </w:r>
          </w:p>
        </w:tc>
      </w:tr>
      <w:tr w:rsidR="00E30766" w:rsidRPr="008C164C" w14:paraId="43852B7B" w14:textId="77777777" w:rsidTr="00E83EC4">
        <w:tc>
          <w:tcPr>
            <w:tcW w:w="1412" w:type="pct"/>
            <w:shd w:val="clear" w:color="auto" w:fill="auto"/>
            <w:vAlign w:val="center"/>
          </w:tcPr>
          <w:p w14:paraId="51E0CA6E" w14:textId="77777777" w:rsidR="00E30766" w:rsidRPr="008C164C" w:rsidRDefault="00E30766" w:rsidP="00240629">
            <w:pPr>
              <w:pStyle w:val="TableText0"/>
            </w:pPr>
            <w:r w:rsidRPr="008C164C">
              <w:t>Time horizon</w:t>
            </w:r>
          </w:p>
        </w:tc>
        <w:tc>
          <w:tcPr>
            <w:tcW w:w="3588" w:type="pct"/>
            <w:shd w:val="clear" w:color="auto" w:fill="auto"/>
            <w:vAlign w:val="center"/>
          </w:tcPr>
          <w:p w14:paraId="37C2B421" w14:textId="77777777" w:rsidR="00E30766" w:rsidRPr="008C164C" w:rsidRDefault="00E30766" w:rsidP="00240629">
            <w:pPr>
              <w:pStyle w:val="TableText0"/>
            </w:pPr>
            <w:r w:rsidRPr="008C164C">
              <w:t>A life-time time horizon based on 14 days of randomised comparative data and 52 weeks of non-randomised data.</w:t>
            </w:r>
          </w:p>
        </w:tc>
      </w:tr>
      <w:tr w:rsidR="00E30766" w:rsidRPr="008C164C" w14:paraId="51969EFB" w14:textId="77777777" w:rsidTr="00E83EC4">
        <w:tc>
          <w:tcPr>
            <w:tcW w:w="1412" w:type="pct"/>
            <w:shd w:val="clear" w:color="auto" w:fill="auto"/>
            <w:vAlign w:val="center"/>
          </w:tcPr>
          <w:p w14:paraId="66E1F130" w14:textId="77777777" w:rsidR="00E30766" w:rsidRPr="008C164C" w:rsidRDefault="00E30766" w:rsidP="00240629">
            <w:pPr>
              <w:pStyle w:val="TableText0"/>
            </w:pPr>
            <w:r w:rsidRPr="008C164C">
              <w:t>Outcomes</w:t>
            </w:r>
          </w:p>
        </w:tc>
        <w:tc>
          <w:tcPr>
            <w:tcW w:w="3588" w:type="pct"/>
            <w:shd w:val="clear" w:color="auto" w:fill="auto"/>
            <w:vAlign w:val="center"/>
          </w:tcPr>
          <w:p w14:paraId="04EEA0AC" w14:textId="77777777" w:rsidR="00E30766" w:rsidRPr="008C164C" w:rsidRDefault="00E30766" w:rsidP="00240629">
            <w:pPr>
              <w:pStyle w:val="TableText0"/>
            </w:pPr>
            <w:r w:rsidRPr="008C164C">
              <w:t>LYG and QALYs</w:t>
            </w:r>
          </w:p>
        </w:tc>
      </w:tr>
      <w:tr w:rsidR="00E30766" w:rsidRPr="008C164C" w14:paraId="61216AFD" w14:textId="77777777" w:rsidTr="00E83EC4">
        <w:tc>
          <w:tcPr>
            <w:tcW w:w="1412" w:type="pct"/>
            <w:shd w:val="clear" w:color="auto" w:fill="auto"/>
            <w:vAlign w:val="center"/>
          </w:tcPr>
          <w:p w14:paraId="1A5DDB60" w14:textId="77777777" w:rsidR="00E30766" w:rsidRPr="008C164C" w:rsidRDefault="00E30766" w:rsidP="00240629">
            <w:pPr>
              <w:pStyle w:val="TableText0"/>
            </w:pPr>
            <w:r w:rsidRPr="008C164C">
              <w:t>Methods used to generate results</w:t>
            </w:r>
          </w:p>
        </w:tc>
        <w:tc>
          <w:tcPr>
            <w:tcW w:w="3588" w:type="pct"/>
            <w:shd w:val="clear" w:color="auto" w:fill="auto"/>
            <w:vAlign w:val="center"/>
          </w:tcPr>
          <w:p w14:paraId="1DB5C3B3" w14:textId="77777777" w:rsidR="00E30766" w:rsidRPr="008C164C" w:rsidRDefault="00E30766" w:rsidP="00240629">
            <w:pPr>
              <w:pStyle w:val="TableText0"/>
            </w:pPr>
            <w:r w:rsidRPr="008C164C">
              <w:t>Markov state transition model</w:t>
            </w:r>
          </w:p>
        </w:tc>
      </w:tr>
      <w:tr w:rsidR="00E30766" w:rsidRPr="008C164C" w14:paraId="3BDC3B9E" w14:textId="77777777" w:rsidTr="00E83EC4">
        <w:tc>
          <w:tcPr>
            <w:tcW w:w="1412" w:type="pct"/>
            <w:shd w:val="clear" w:color="auto" w:fill="auto"/>
            <w:vAlign w:val="center"/>
          </w:tcPr>
          <w:p w14:paraId="5A125841" w14:textId="77777777" w:rsidR="00E30766" w:rsidRPr="008C164C" w:rsidRDefault="00E30766" w:rsidP="00240629">
            <w:pPr>
              <w:pStyle w:val="TableText0"/>
            </w:pPr>
            <w:r w:rsidRPr="008C164C">
              <w:t>Health states</w:t>
            </w:r>
          </w:p>
        </w:tc>
        <w:tc>
          <w:tcPr>
            <w:tcW w:w="3588" w:type="pct"/>
            <w:shd w:val="clear" w:color="auto" w:fill="auto"/>
            <w:vAlign w:val="center"/>
          </w:tcPr>
          <w:p w14:paraId="0CD0A87B" w14:textId="77777777" w:rsidR="00E30766" w:rsidRPr="008C164C" w:rsidRDefault="00E30766" w:rsidP="00240629">
            <w:pPr>
              <w:pStyle w:val="TableText0"/>
            </w:pPr>
            <w:r w:rsidRPr="008C164C">
              <w:t>Unchanged from previous submission. States defined by viral load (&lt;50, 50-199, &gt;200) and CD4 cells count (&lt;50, 50-199, 200-499, &gt;500).</w:t>
            </w:r>
          </w:p>
        </w:tc>
      </w:tr>
      <w:tr w:rsidR="00E30766" w:rsidRPr="008C164C" w14:paraId="6D1609A9" w14:textId="77777777" w:rsidTr="00E83EC4">
        <w:tc>
          <w:tcPr>
            <w:tcW w:w="1412" w:type="pct"/>
            <w:shd w:val="clear" w:color="auto" w:fill="auto"/>
            <w:vAlign w:val="center"/>
          </w:tcPr>
          <w:p w14:paraId="0AE7FA70" w14:textId="77777777" w:rsidR="00E30766" w:rsidRPr="008C164C" w:rsidRDefault="00E30766" w:rsidP="00240629">
            <w:pPr>
              <w:pStyle w:val="TableText0"/>
            </w:pPr>
            <w:r w:rsidRPr="008C164C">
              <w:t>Costs</w:t>
            </w:r>
          </w:p>
        </w:tc>
        <w:tc>
          <w:tcPr>
            <w:tcW w:w="3588" w:type="pct"/>
            <w:shd w:val="clear" w:color="auto" w:fill="auto"/>
            <w:vAlign w:val="center"/>
          </w:tcPr>
          <w:p w14:paraId="007F4C98" w14:textId="0682AFB7" w:rsidR="00E30766" w:rsidRPr="008C164C" w:rsidRDefault="00E30766" w:rsidP="00240629">
            <w:pPr>
              <w:pStyle w:val="TableText0"/>
            </w:pPr>
            <w:r w:rsidRPr="008C164C">
              <w:t xml:space="preserve">As in the previous submission, the resubmission estimated drug acquisition costs, administration costs, disease management costs, ARE costs, </w:t>
            </w:r>
            <w:r w:rsidR="00EF6970" w:rsidRPr="008C164C">
              <w:t>t</w:t>
            </w:r>
            <w:r w:rsidRPr="008C164C">
              <w:t>reatment switching costs</w:t>
            </w:r>
            <w:r w:rsidR="00EF6970" w:rsidRPr="008C164C">
              <w:t>, and</w:t>
            </w:r>
            <w:r w:rsidRPr="008C164C">
              <w:t xml:space="preserve"> </w:t>
            </w:r>
            <w:r w:rsidR="00EF6970" w:rsidRPr="008C164C">
              <w:t>s</w:t>
            </w:r>
            <w:r w:rsidRPr="008C164C">
              <w:t xml:space="preserve">ocietal costs (not in </w:t>
            </w:r>
            <w:r w:rsidR="00EF6970" w:rsidRPr="008C164C">
              <w:t xml:space="preserve">the </w:t>
            </w:r>
            <w:r w:rsidRPr="008C164C">
              <w:t xml:space="preserve">base case). Disease management costs included in the model depended on CD4 cell count and were sourced from Schneider (2014), a detailed micro-costing (conducted using 2013 costs) conducted </w:t>
            </w:r>
            <w:r w:rsidR="00EF6970" w:rsidRPr="008C164C">
              <w:t>for the</w:t>
            </w:r>
            <w:r w:rsidRPr="008C164C">
              <w:t xml:space="preserve"> Australia</w:t>
            </w:r>
            <w:r w:rsidR="00EF6970" w:rsidRPr="008C164C">
              <w:t xml:space="preserve"> setting</w:t>
            </w:r>
            <w:r w:rsidRPr="008C164C">
              <w:t xml:space="preserve">. The resubmission updated costs and updated the modelling of ARE costs to account for the risk of double counting. </w:t>
            </w:r>
          </w:p>
          <w:p w14:paraId="2EAA15A6" w14:textId="77777777" w:rsidR="00E30766" w:rsidRPr="008C164C" w:rsidRDefault="00E30766" w:rsidP="00240629">
            <w:pPr>
              <w:pStyle w:val="TableText0"/>
            </w:pPr>
          </w:p>
          <w:p w14:paraId="4E0D3E26" w14:textId="2F544B63" w:rsidR="00E30766" w:rsidRPr="008C164C" w:rsidRDefault="00E30766" w:rsidP="00240629">
            <w:pPr>
              <w:pStyle w:val="TableText0"/>
            </w:pPr>
            <w:r w:rsidRPr="008C164C">
              <w:t>Overall</w:t>
            </w:r>
            <w:r w:rsidR="004E7754" w:rsidRPr="008C164C">
              <w:t>,</w:t>
            </w:r>
            <w:r w:rsidRPr="008C164C">
              <w:t xml:space="preserve"> the model was not sensitive to costs outside of drug acquisition costs. </w:t>
            </w:r>
          </w:p>
        </w:tc>
      </w:tr>
      <w:tr w:rsidR="00E30766" w:rsidRPr="008C164C" w14:paraId="144D12EB" w14:textId="77777777" w:rsidTr="00E83EC4">
        <w:tc>
          <w:tcPr>
            <w:tcW w:w="1412" w:type="pct"/>
            <w:shd w:val="clear" w:color="auto" w:fill="auto"/>
            <w:vAlign w:val="center"/>
          </w:tcPr>
          <w:p w14:paraId="017D966E" w14:textId="77777777" w:rsidR="00E30766" w:rsidRPr="008C164C" w:rsidRDefault="00E30766" w:rsidP="00240629">
            <w:pPr>
              <w:pStyle w:val="TableText0"/>
            </w:pPr>
            <w:r w:rsidRPr="008C164C">
              <w:t>Cycle length</w:t>
            </w:r>
          </w:p>
        </w:tc>
        <w:tc>
          <w:tcPr>
            <w:tcW w:w="3588" w:type="pct"/>
            <w:shd w:val="clear" w:color="auto" w:fill="auto"/>
            <w:vAlign w:val="center"/>
          </w:tcPr>
          <w:p w14:paraId="4A009B27" w14:textId="77777777" w:rsidR="00E30766" w:rsidRPr="008C164C" w:rsidRDefault="00E30766" w:rsidP="00240629">
            <w:pPr>
              <w:pStyle w:val="TableText0"/>
            </w:pPr>
            <w:r w:rsidRPr="008C164C">
              <w:t>3 months</w:t>
            </w:r>
          </w:p>
        </w:tc>
      </w:tr>
      <w:tr w:rsidR="00E30766" w:rsidRPr="008C164C" w14:paraId="28A1CF6B" w14:textId="77777777" w:rsidTr="00E83EC4">
        <w:tc>
          <w:tcPr>
            <w:tcW w:w="1412" w:type="pct"/>
            <w:shd w:val="clear" w:color="auto" w:fill="auto"/>
            <w:vAlign w:val="center"/>
          </w:tcPr>
          <w:p w14:paraId="6BDB87F4" w14:textId="77777777" w:rsidR="00E30766" w:rsidRPr="008C164C" w:rsidRDefault="00E30766" w:rsidP="00240629">
            <w:pPr>
              <w:pStyle w:val="TableText0"/>
            </w:pPr>
            <w:r w:rsidRPr="008C164C">
              <w:t xml:space="preserve">Transition probabilities </w:t>
            </w:r>
          </w:p>
        </w:tc>
        <w:tc>
          <w:tcPr>
            <w:tcW w:w="3588" w:type="pct"/>
            <w:shd w:val="clear" w:color="auto" w:fill="auto"/>
            <w:vAlign w:val="center"/>
          </w:tcPr>
          <w:p w14:paraId="5FFB7986" w14:textId="77777777" w:rsidR="00E30766" w:rsidRPr="008C164C" w:rsidRDefault="00E30766" w:rsidP="00240629">
            <w:pPr>
              <w:pStyle w:val="TableText0"/>
            </w:pPr>
            <w:r w:rsidRPr="008C164C">
              <w:t xml:space="preserve">Based on individual patient data from CAPELLA and the literature. </w:t>
            </w:r>
          </w:p>
          <w:p w14:paraId="4D71FA72" w14:textId="77777777" w:rsidR="00E30766" w:rsidRPr="008C164C" w:rsidRDefault="00E30766" w:rsidP="00240629">
            <w:pPr>
              <w:pStyle w:val="TableText0"/>
            </w:pPr>
            <w:r w:rsidRPr="008C164C">
              <w:t xml:space="preserve">Mortality was modelled by CD4 health state based on data from Mangal (2017) and Australian life tables. </w:t>
            </w:r>
          </w:p>
        </w:tc>
      </w:tr>
      <w:tr w:rsidR="00E30766" w:rsidRPr="008C164C" w14:paraId="13B4FF80" w14:textId="77777777" w:rsidTr="00E83EC4">
        <w:tc>
          <w:tcPr>
            <w:tcW w:w="1412" w:type="pct"/>
            <w:shd w:val="clear" w:color="auto" w:fill="auto"/>
            <w:vAlign w:val="center"/>
          </w:tcPr>
          <w:p w14:paraId="629EF3D7" w14:textId="77777777" w:rsidR="00E30766" w:rsidRPr="008C164C" w:rsidRDefault="00E30766" w:rsidP="00240629">
            <w:pPr>
              <w:pStyle w:val="TableText0"/>
            </w:pPr>
            <w:r w:rsidRPr="008C164C">
              <w:t>Extrapolation method</w:t>
            </w:r>
          </w:p>
        </w:tc>
        <w:tc>
          <w:tcPr>
            <w:tcW w:w="3588" w:type="pct"/>
            <w:shd w:val="clear" w:color="auto" w:fill="auto"/>
            <w:vAlign w:val="center"/>
          </w:tcPr>
          <w:p w14:paraId="06FD7340" w14:textId="7ABC15DC" w:rsidR="00E30766" w:rsidRPr="008C164C" w:rsidRDefault="00E30766" w:rsidP="00240629">
            <w:pPr>
              <w:pStyle w:val="TableText0"/>
            </w:pPr>
            <w:r w:rsidRPr="008C164C">
              <w:t>Virologic suppression at &lt; 50 copies/mL and at &lt;</w:t>
            </w:r>
            <w:r w:rsidR="00EF6970" w:rsidRPr="008C164C">
              <w:t xml:space="preserve"> </w:t>
            </w:r>
            <w:r w:rsidRPr="008C164C">
              <w:t>200 copies</w:t>
            </w:r>
            <w:r w:rsidR="00EF6970" w:rsidRPr="008C164C">
              <w:t>/</w:t>
            </w:r>
            <w:r w:rsidRPr="008C164C">
              <w:t>mL were extrapolated using exponential models. No other parametric models were tested. The resubmission’s base case used the extrapolated transitions at the end of the available trial data (week 104)</w:t>
            </w:r>
            <w:r w:rsidR="0062146E" w:rsidRPr="008C164C">
              <w:t>.</w:t>
            </w:r>
          </w:p>
          <w:p w14:paraId="443B0031" w14:textId="77777777" w:rsidR="00E30766" w:rsidRPr="008C164C" w:rsidRDefault="00E30766" w:rsidP="00240629">
            <w:pPr>
              <w:pStyle w:val="TableText0"/>
            </w:pPr>
          </w:p>
          <w:p w14:paraId="26833C82" w14:textId="77777777" w:rsidR="00E30766" w:rsidRPr="008C164C" w:rsidRDefault="00E30766" w:rsidP="00240629">
            <w:pPr>
              <w:pStyle w:val="TableText0"/>
            </w:pPr>
            <w:r w:rsidRPr="008C164C">
              <w:t>This differed from the original submission where the model was extrapolated from the initiation of the model.</w:t>
            </w:r>
          </w:p>
        </w:tc>
      </w:tr>
      <w:tr w:rsidR="00E30766" w:rsidRPr="008C164C" w14:paraId="0202CE19" w14:textId="77777777" w:rsidTr="00E83EC4">
        <w:tc>
          <w:tcPr>
            <w:tcW w:w="1412" w:type="pct"/>
            <w:shd w:val="clear" w:color="auto" w:fill="auto"/>
            <w:vAlign w:val="center"/>
          </w:tcPr>
          <w:p w14:paraId="21BA94CA" w14:textId="77777777" w:rsidR="00E30766" w:rsidRPr="008C164C" w:rsidRDefault="00E30766" w:rsidP="00240629">
            <w:pPr>
              <w:pStyle w:val="TableText0"/>
            </w:pPr>
            <w:r w:rsidRPr="008C164C">
              <w:t>Health related quality of life</w:t>
            </w:r>
          </w:p>
        </w:tc>
        <w:tc>
          <w:tcPr>
            <w:tcW w:w="3588" w:type="pct"/>
            <w:shd w:val="clear" w:color="auto" w:fill="auto"/>
            <w:vAlign w:val="center"/>
          </w:tcPr>
          <w:p w14:paraId="0DEAC135" w14:textId="71F6C16A" w:rsidR="00E30766" w:rsidRPr="008C164C" w:rsidRDefault="00E30766" w:rsidP="00240629">
            <w:pPr>
              <w:pStyle w:val="TableText0"/>
            </w:pPr>
            <w:r w:rsidRPr="008C164C">
              <w:t xml:space="preserve">Unchanged from previous submission. Utility values were sourced from Schneider (2014), based on </w:t>
            </w:r>
            <w:proofErr w:type="spellStart"/>
            <w:r w:rsidRPr="008C164C">
              <w:t>Tengs</w:t>
            </w:r>
            <w:proofErr w:type="spellEnd"/>
            <w:r w:rsidRPr="008C164C">
              <w:t xml:space="preserve"> (2002). Utility values were based on CD4 count (copies/mm</w:t>
            </w:r>
            <w:r w:rsidRPr="008C164C">
              <w:rPr>
                <w:vertAlign w:val="superscript"/>
              </w:rPr>
              <w:t>3</w:t>
            </w:r>
            <w:r w:rsidRPr="008C164C">
              <w:t>):  &lt; 50 =</w:t>
            </w:r>
            <w:r w:rsidR="00EF6970" w:rsidRPr="008C164C">
              <w:t xml:space="preserve"> </w:t>
            </w:r>
            <w:r w:rsidRPr="008C164C">
              <w:t>0.702; 50-200 = 0.702; 200-500 = 0.877; &gt; 500 = 0.935</w:t>
            </w:r>
          </w:p>
        </w:tc>
      </w:tr>
    </w:tbl>
    <w:p w14:paraId="40A93F44" w14:textId="77777777" w:rsidR="00E30766" w:rsidRPr="008C164C" w:rsidRDefault="00E30766" w:rsidP="00E30766">
      <w:pPr>
        <w:pStyle w:val="FooterTableFigure"/>
      </w:pPr>
      <w:r w:rsidRPr="008C164C">
        <w:t>Source: Table 3.1, p144 of the resubmission and Table 11, p26 of the previous Commentary</w:t>
      </w:r>
    </w:p>
    <w:p w14:paraId="37ECF7A9" w14:textId="77777777" w:rsidR="00E30766" w:rsidRPr="008C164C" w:rsidRDefault="00E30766" w:rsidP="00E30766">
      <w:pPr>
        <w:pStyle w:val="FooterTableFigure"/>
      </w:pPr>
      <w:r w:rsidRPr="008C164C">
        <w:t xml:space="preserve">ARE = AIDS-related costs; LEN = </w:t>
      </w:r>
      <w:proofErr w:type="spellStart"/>
      <w:r w:rsidRPr="008C164C">
        <w:t>lenacapavir</w:t>
      </w:r>
      <w:proofErr w:type="spellEnd"/>
      <w:r w:rsidRPr="008C164C">
        <w:t>; LYG = life-years gained; OBR = optimised background regimen; TRAE = treatment related adverse events; QALY = quality-adjusted life years</w:t>
      </w:r>
    </w:p>
    <w:p w14:paraId="7FECA6EC" w14:textId="14D3569C" w:rsidR="00877507" w:rsidRPr="008C164C" w:rsidRDefault="00A669C0" w:rsidP="006D0EFA">
      <w:pPr>
        <w:pStyle w:val="3-BodyText"/>
      </w:pPr>
      <w:r w:rsidRPr="008C164C">
        <w:t xml:space="preserve">In consideration of the previous submission the ESC considered that </w:t>
      </w:r>
      <w:r w:rsidR="003A372B" w:rsidRPr="008C164C">
        <w:t>‘</w:t>
      </w:r>
      <w:r w:rsidRPr="008C164C">
        <w:t>due to the small size of the CAPELLA study, there was insufficient data to inform a 16 health state model and therefore the model, as presented, was likely not informative for decision-making</w:t>
      </w:r>
      <w:r w:rsidR="0074494D" w:rsidRPr="008C164C">
        <w:t>.</w:t>
      </w:r>
      <w:r w:rsidRPr="008C164C">
        <w:t xml:space="preserve"> Furthermore, the ESC noted that while longer-term open label data may have been used in the model, only 14 days of randomised data was available and considered this also introduced substantial additional uncertainty to an economic model extrapolated to a lifetime</w:t>
      </w:r>
      <w:r w:rsidR="003A372B" w:rsidRPr="008C164C">
        <w:t>’</w:t>
      </w:r>
      <w:r w:rsidRPr="008C164C">
        <w:t xml:space="preserve"> (paragraph 6.70, </w:t>
      </w:r>
      <w:proofErr w:type="spellStart"/>
      <w:r w:rsidRPr="008C164C">
        <w:t>lenacapavir</w:t>
      </w:r>
      <w:proofErr w:type="spellEnd"/>
      <w:r w:rsidRPr="008C164C">
        <w:t xml:space="preserve"> PSD, November 2022 PBAC meeting). </w:t>
      </w:r>
      <w:r w:rsidR="00877507" w:rsidRPr="008C164C">
        <w:t>The PBAC</w:t>
      </w:r>
      <w:r w:rsidR="00511A1C" w:rsidRPr="008C164C">
        <w:t xml:space="preserve"> previously</w:t>
      </w:r>
      <w:r w:rsidR="00877507" w:rsidRPr="008C164C">
        <w:t xml:space="preserve"> agreed with ESC that the model was not informative for decision making (paragraph 7.8, </w:t>
      </w:r>
      <w:proofErr w:type="spellStart"/>
      <w:r w:rsidR="00877507" w:rsidRPr="008C164C">
        <w:t>lenacapavir</w:t>
      </w:r>
      <w:proofErr w:type="spellEnd"/>
      <w:r w:rsidR="00877507" w:rsidRPr="008C164C">
        <w:t xml:space="preserve"> PSD, November 2022 PBAC meeting)</w:t>
      </w:r>
      <w:r w:rsidR="00511A1C" w:rsidRPr="008C164C">
        <w:t>.</w:t>
      </w:r>
    </w:p>
    <w:p w14:paraId="211FE1EE" w14:textId="06699C9D" w:rsidR="004C2602" w:rsidRPr="008C164C" w:rsidRDefault="00A669C0" w:rsidP="004C2602">
      <w:pPr>
        <w:pStyle w:val="3-BodyText"/>
      </w:pPr>
      <w:r w:rsidRPr="008C164C">
        <w:t xml:space="preserve">The resubmission </w:t>
      </w:r>
      <w:r w:rsidR="001F4964" w:rsidRPr="008C164C">
        <w:t>wa</w:t>
      </w:r>
      <w:r w:rsidRPr="008C164C">
        <w:t xml:space="preserve">s based on the combined </w:t>
      </w:r>
      <w:r w:rsidR="0074494D" w:rsidRPr="008C164C">
        <w:t>C</w:t>
      </w:r>
      <w:r w:rsidRPr="008C164C">
        <w:t xml:space="preserve">ohort 1 &amp; 2 of </w:t>
      </w:r>
      <w:r w:rsidR="00440BB7" w:rsidRPr="008C164C">
        <w:t xml:space="preserve">the </w:t>
      </w:r>
      <w:r w:rsidRPr="008C164C">
        <w:t>CAPELLA</w:t>
      </w:r>
      <w:r w:rsidR="00440BB7" w:rsidRPr="008C164C">
        <w:t xml:space="preserve"> trial</w:t>
      </w:r>
      <w:r w:rsidRPr="008C164C">
        <w:t xml:space="preserve"> </w:t>
      </w:r>
      <w:r w:rsidR="00440BB7" w:rsidRPr="008C164C">
        <w:t>(</w:t>
      </w:r>
      <w:r w:rsidRPr="008C164C">
        <w:t>n=72</w:t>
      </w:r>
      <w:r w:rsidR="00440BB7" w:rsidRPr="008C164C">
        <w:t>),</w:t>
      </w:r>
      <w:r w:rsidRPr="008C164C">
        <w:t xml:space="preserve"> compared to 24 patients in </w:t>
      </w:r>
      <w:r w:rsidR="0074494D" w:rsidRPr="008C164C">
        <w:t>C</w:t>
      </w:r>
      <w:r w:rsidRPr="008C164C">
        <w:t xml:space="preserve">ohort 1a in the previous submission. This </w:t>
      </w:r>
      <w:r w:rsidR="0074494D" w:rsidRPr="008C164C">
        <w:t>wa</w:t>
      </w:r>
      <w:r w:rsidRPr="008C164C">
        <w:t xml:space="preserve">s </w:t>
      </w:r>
      <w:r w:rsidR="001F4964" w:rsidRPr="008C164C">
        <w:t>appropriate</w:t>
      </w:r>
      <w:r w:rsidR="0062146E" w:rsidRPr="008C164C">
        <w:t>, although the</w:t>
      </w:r>
      <w:r w:rsidRPr="008C164C">
        <w:t xml:space="preserve"> sample size </w:t>
      </w:r>
      <w:r w:rsidR="0062146E" w:rsidRPr="008C164C">
        <w:t>remained small relative to the number of</w:t>
      </w:r>
      <w:r w:rsidRPr="008C164C">
        <w:t xml:space="preserve"> health states</w:t>
      </w:r>
      <w:r w:rsidR="00D4131C">
        <w:t xml:space="preserve"> (16)</w:t>
      </w:r>
      <w:r w:rsidRPr="008C164C">
        <w:t xml:space="preserve">. </w:t>
      </w:r>
    </w:p>
    <w:p w14:paraId="63A545EE" w14:textId="508500C9" w:rsidR="004C2602" w:rsidRPr="008C164C" w:rsidRDefault="004C2602" w:rsidP="004C2602">
      <w:pPr>
        <w:pStyle w:val="3-BodyText"/>
      </w:pPr>
      <w:r w:rsidRPr="008C164C">
        <w:lastRenderedPageBreak/>
        <w:t xml:space="preserve">In consideration of the previous submission, </w:t>
      </w:r>
      <w:r w:rsidR="003D354D" w:rsidRPr="008C164C">
        <w:t xml:space="preserve">the </w:t>
      </w:r>
      <w:r w:rsidRPr="008C164C">
        <w:t>ESC noted t</w:t>
      </w:r>
      <w:r w:rsidR="001C42C5" w:rsidRPr="008C164C">
        <w:t>hat</w:t>
      </w:r>
      <w:r w:rsidRPr="008C164C">
        <w:t xml:space="preserve"> </w:t>
      </w:r>
      <w:r w:rsidR="00440BB7" w:rsidRPr="008C164C">
        <w:t>‘</w:t>
      </w:r>
      <w:r w:rsidRPr="008C164C">
        <w:t xml:space="preserve">the submission’s base case transition probabilities remain unexplained and favoured </w:t>
      </w:r>
      <w:proofErr w:type="spellStart"/>
      <w:r w:rsidRPr="008C164C">
        <w:t>lenacapavir</w:t>
      </w:r>
      <w:proofErr w:type="spellEnd"/>
      <w:r w:rsidR="00440BB7" w:rsidRPr="008C164C">
        <w:t>’</w:t>
      </w:r>
      <w:r w:rsidRPr="008C164C">
        <w:t xml:space="preserve"> (paragraph 6.74</w:t>
      </w:r>
      <w:r w:rsidR="003D354D" w:rsidRPr="008C164C">
        <w:t xml:space="preserve">, </w:t>
      </w:r>
      <w:proofErr w:type="spellStart"/>
      <w:r w:rsidR="003D354D" w:rsidRPr="008C164C">
        <w:t>lenacapavir</w:t>
      </w:r>
      <w:proofErr w:type="spellEnd"/>
      <w:r w:rsidR="003D354D" w:rsidRPr="008C164C">
        <w:t xml:space="preserve"> PSD, November 2022 PBAC meeting</w:t>
      </w:r>
      <w:r w:rsidRPr="008C164C">
        <w:t>). The resubmission probabilities have been verified and are consistent with those reported in the CAPELLA 104</w:t>
      </w:r>
      <w:r w:rsidR="000E52C6" w:rsidRPr="008C164C">
        <w:t>-</w:t>
      </w:r>
      <w:r w:rsidRPr="008C164C">
        <w:t>week analysis tables.</w:t>
      </w:r>
    </w:p>
    <w:p w14:paraId="3E173136" w14:textId="561552FB" w:rsidR="004C2602" w:rsidRPr="008C164C" w:rsidRDefault="004C2602" w:rsidP="00565216">
      <w:pPr>
        <w:pStyle w:val="3-BodyText"/>
      </w:pPr>
      <w:bookmarkStart w:id="62" w:name="_Ref147235906"/>
      <w:r w:rsidRPr="008C164C">
        <w:t>In the previous submission</w:t>
      </w:r>
      <w:r w:rsidR="00BA6900" w:rsidRPr="008C164C">
        <w:t>, viral load transitions in</w:t>
      </w:r>
      <w:r w:rsidRPr="008C164C">
        <w:t xml:space="preserve"> the base case </w:t>
      </w:r>
      <w:r w:rsidR="00BA6900" w:rsidRPr="008C164C">
        <w:t xml:space="preserve">were </w:t>
      </w:r>
      <w:r w:rsidRPr="008C164C">
        <w:t>based on an exponential curve fitted to</w:t>
      </w:r>
      <w:r w:rsidR="00BA6900" w:rsidRPr="008C164C">
        <w:t xml:space="preserve"> the</w:t>
      </w:r>
      <w:r w:rsidRPr="008C164C">
        <w:t xml:space="preserve"> proportion of individuals with &lt;</w:t>
      </w:r>
      <w:r w:rsidR="00BA6900" w:rsidRPr="008C164C">
        <w:t xml:space="preserve"> </w:t>
      </w:r>
      <w:r w:rsidRPr="008C164C">
        <w:t xml:space="preserve">50 </w:t>
      </w:r>
      <w:r w:rsidR="006C2DCB" w:rsidRPr="008C164C">
        <w:t>and &lt;</w:t>
      </w:r>
      <w:r w:rsidR="00BA6900" w:rsidRPr="008C164C">
        <w:t xml:space="preserve"> </w:t>
      </w:r>
      <w:r w:rsidR="006C2DCB" w:rsidRPr="008C164C">
        <w:t xml:space="preserve">200 </w:t>
      </w:r>
      <w:r w:rsidRPr="008C164C">
        <w:t xml:space="preserve">copies/mL of HIV-RNA throughout the entire duration of the model. The resubmission considered that </w:t>
      </w:r>
      <w:r w:rsidR="00AE1BD7" w:rsidRPr="008C164C">
        <w:t xml:space="preserve">as all 72 patients from CAPELLA were included and </w:t>
      </w:r>
      <w:r w:rsidRPr="008C164C">
        <w:t>given the availability of Week 104 CAPELLA data for this resubmission, observed trial data is used up to Week 104 and thereafter the exponential extrapolation function</w:t>
      </w:r>
      <w:r w:rsidR="00E06201" w:rsidRPr="008C164C">
        <w:t xml:space="preserve"> was used to inform LEN + OBR</w:t>
      </w:r>
      <w:r w:rsidR="00683CF0" w:rsidRPr="008C164C">
        <w:t xml:space="preserve"> viral load</w:t>
      </w:r>
      <w:r w:rsidRPr="008C164C">
        <w:t xml:space="preserve">. </w:t>
      </w:r>
      <w:r w:rsidR="00394C2F" w:rsidRPr="008C164C">
        <w:t xml:space="preserve">Viral load in </w:t>
      </w:r>
      <w:r w:rsidR="00BE351D" w:rsidRPr="008C164C">
        <w:t xml:space="preserve">OBR alone however </w:t>
      </w:r>
      <w:r w:rsidR="00394C2F" w:rsidRPr="008C164C">
        <w:t>wa</w:t>
      </w:r>
      <w:r w:rsidR="00BE351D" w:rsidRPr="008C164C">
        <w:t>s completely modelled and no</w:t>
      </w:r>
      <w:r w:rsidR="00877507" w:rsidRPr="008C164C">
        <w:t xml:space="preserve"> KM </w:t>
      </w:r>
      <w:r w:rsidR="00BE351D" w:rsidRPr="008C164C">
        <w:t>data from any of the OBR comparator trials were used directly in the model</w:t>
      </w:r>
      <w:r w:rsidR="0002567F" w:rsidRPr="008C164C">
        <w:t>. Specifically, the OBR arm was modelled by applying the RR of viral load at &lt;</w:t>
      </w:r>
      <w:r w:rsidR="00511A1C" w:rsidRPr="008C164C">
        <w:t xml:space="preserve"> </w:t>
      </w:r>
      <w:r w:rsidR="0002567F" w:rsidRPr="008C164C">
        <w:t>50 copies/mL and &lt;</w:t>
      </w:r>
      <w:r w:rsidR="00511A1C" w:rsidRPr="008C164C">
        <w:t xml:space="preserve"> </w:t>
      </w:r>
      <w:r w:rsidR="0002567F" w:rsidRPr="008C164C">
        <w:t>200 copies/mL sourced from the indirect treatment comparison to the LEN + OBR arm at each cycle</w:t>
      </w:r>
      <w:r w:rsidR="00BE351D" w:rsidRPr="008C164C">
        <w:t>.</w:t>
      </w:r>
      <w:bookmarkEnd w:id="62"/>
    </w:p>
    <w:p w14:paraId="3EC03A2D" w14:textId="1A19AA01" w:rsidR="004C2602" w:rsidRPr="008C164C" w:rsidRDefault="004C2602" w:rsidP="004C2602">
      <w:pPr>
        <w:pStyle w:val="3-BodyText"/>
      </w:pPr>
      <w:bookmarkStart w:id="63" w:name="_Ref142934415"/>
      <w:r w:rsidRPr="008C164C">
        <w:t>The previous submission considered the use of the exponential curve from model initiation</w:t>
      </w:r>
      <w:r w:rsidR="00685012" w:rsidRPr="008C164C">
        <w:t>,</w:t>
      </w:r>
      <w:r w:rsidRPr="008C164C">
        <w:t xml:space="preserve"> rather than after week 104</w:t>
      </w:r>
      <w:r w:rsidR="00685012" w:rsidRPr="008C164C">
        <w:t>,</w:t>
      </w:r>
      <w:r w:rsidRPr="008C164C">
        <w:t xml:space="preserve"> was conservative because the alternative approach (using the observed data to week 104) would result in greater viral load suppression in the first </w:t>
      </w:r>
      <w:r w:rsidR="000E52C6" w:rsidRPr="008C164C">
        <w:t>two</w:t>
      </w:r>
      <w:r w:rsidRPr="008C164C">
        <w:t xml:space="preserve"> years of the model and therefore decrease the modelled incremental cost-effectiveness ratio (ICER). The PBAC </w:t>
      </w:r>
      <w:r w:rsidR="00D24DE6" w:rsidRPr="008C164C">
        <w:t xml:space="preserve">previously </w:t>
      </w:r>
      <w:r w:rsidRPr="008C164C">
        <w:t>considered that this was reasonable (</w:t>
      </w:r>
      <w:r w:rsidR="00BD04FE" w:rsidRPr="008C164C">
        <w:t>p</w:t>
      </w:r>
      <w:r w:rsidRPr="008C164C">
        <w:t xml:space="preserve">aragraph 6.77, </w:t>
      </w:r>
      <w:proofErr w:type="spellStart"/>
      <w:r w:rsidRPr="008C164C">
        <w:t>lenacapavir</w:t>
      </w:r>
      <w:proofErr w:type="spellEnd"/>
      <w:r w:rsidRPr="008C164C">
        <w:t xml:space="preserve"> PSD, November 2022 PBAC meeting). The resubmission however </w:t>
      </w:r>
      <w:r w:rsidR="00A71BF9" w:rsidRPr="008C164C">
        <w:t>revised the</w:t>
      </w:r>
      <w:r w:rsidRPr="008C164C">
        <w:t xml:space="preserve"> approach</w:t>
      </w:r>
      <w:r w:rsidR="00696A68" w:rsidRPr="008C164C">
        <w:t>,</w:t>
      </w:r>
      <w:r w:rsidRPr="008C164C">
        <w:t xml:space="preserve"> and the use of the observed CAPELLA data for up to week 104 favour</w:t>
      </w:r>
      <w:r w:rsidR="005063A2" w:rsidRPr="008C164C">
        <w:t>ed</w:t>
      </w:r>
      <w:r w:rsidRPr="008C164C">
        <w:t xml:space="preserve"> LEN and </w:t>
      </w:r>
      <w:r w:rsidR="005063A2" w:rsidRPr="008C164C">
        <w:t xml:space="preserve">also caused </w:t>
      </w:r>
      <w:r w:rsidRPr="008C164C">
        <w:t xml:space="preserve">the model </w:t>
      </w:r>
      <w:r w:rsidR="005063A2" w:rsidRPr="008C164C">
        <w:t xml:space="preserve">to </w:t>
      </w:r>
      <w:r w:rsidRPr="008C164C">
        <w:t>behav</w:t>
      </w:r>
      <w:r w:rsidR="005063A2" w:rsidRPr="008C164C">
        <w:t>e</w:t>
      </w:r>
      <w:r w:rsidRPr="008C164C">
        <w:t xml:space="preserve"> in a</w:t>
      </w:r>
      <w:r w:rsidR="000D2231" w:rsidRPr="008C164C">
        <w:t>n unexpected</w:t>
      </w:r>
      <w:r w:rsidRPr="008C164C">
        <w:t xml:space="preserve"> manner.</w:t>
      </w:r>
      <w:bookmarkEnd w:id="63"/>
    </w:p>
    <w:p w14:paraId="02CCEFC6" w14:textId="432DC59B" w:rsidR="00565216" w:rsidRPr="008C164C" w:rsidRDefault="007C1D7B" w:rsidP="004C2602">
      <w:pPr>
        <w:pStyle w:val="3-BodyText"/>
      </w:pPr>
      <w:bookmarkStart w:id="64" w:name="_Ref142866640"/>
      <w:r w:rsidRPr="008C164C">
        <w:t xml:space="preserve">Firstly, </w:t>
      </w:r>
      <w:r w:rsidR="000D2231" w:rsidRPr="008C164C">
        <w:t>g</w:t>
      </w:r>
      <w:r w:rsidR="004C2602" w:rsidRPr="008C164C">
        <w:t>iven the substantial decrease in incremental benefit</w:t>
      </w:r>
      <w:r w:rsidR="0040741D" w:rsidRPr="008C164C">
        <w:t xml:space="preserve"> </w:t>
      </w:r>
      <w:r w:rsidR="00F74B15" w:rsidRPr="008C164C">
        <w:t xml:space="preserve">(27%, see paragraph </w:t>
      </w:r>
      <w:r w:rsidR="00F74B15" w:rsidRPr="008C164C">
        <w:fldChar w:fldCharType="begin" w:fldLock="1"/>
      </w:r>
      <w:r w:rsidR="00F74B15" w:rsidRPr="008C164C">
        <w:instrText xml:space="preserve"> REF _Ref142864357 \r \h </w:instrText>
      </w:r>
      <w:r w:rsidR="00596CCE" w:rsidRPr="008C164C">
        <w:instrText xml:space="preserve"> \* MERGEFORMAT </w:instrText>
      </w:r>
      <w:r w:rsidR="00F74B15" w:rsidRPr="008C164C">
        <w:fldChar w:fldCharType="separate"/>
      </w:r>
      <w:r w:rsidR="00682506">
        <w:t>6.41</w:t>
      </w:r>
      <w:r w:rsidR="00F74B15" w:rsidRPr="008C164C">
        <w:fldChar w:fldCharType="end"/>
      </w:r>
      <w:r w:rsidR="00F74B15" w:rsidRPr="008C164C">
        <w:t>)</w:t>
      </w:r>
      <w:r w:rsidR="004C2602" w:rsidRPr="008C164C">
        <w:t xml:space="preserve"> relative to the </w:t>
      </w:r>
      <w:r w:rsidR="00F74B15" w:rsidRPr="008C164C">
        <w:t xml:space="preserve">smaller </w:t>
      </w:r>
      <w:r w:rsidR="004C2602" w:rsidRPr="008C164C">
        <w:t>price decrease</w:t>
      </w:r>
      <w:r w:rsidR="00F74B15" w:rsidRPr="008C164C">
        <w:t xml:space="preserve"> (</w:t>
      </w:r>
      <w:r w:rsidR="00851D33">
        <w:t xml:space="preserve"> </w:t>
      </w:r>
      <w:r w:rsidR="00851D33" w:rsidRPr="005D5F06">
        <w:rPr>
          <w:color w:val="000000"/>
          <w:w w:val="15"/>
          <w:shd w:val="solid" w:color="000000" w:fill="000000"/>
          <w:fitText w:val="-20" w:id="-1032080630"/>
          <w14:textFill>
            <w14:solidFill>
              <w14:srgbClr w14:val="000000">
                <w14:alpha w14:val="100000"/>
              </w14:srgbClr>
            </w14:solidFill>
          </w14:textFill>
        </w:rPr>
        <w:t xml:space="preserve">|  </w:t>
      </w:r>
      <w:r w:rsidR="00851D33" w:rsidRPr="005D5F06">
        <w:rPr>
          <w:color w:val="000000"/>
          <w:spacing w:val="-69"/>
          <w:w w:val="15"/>
          <w:shd w:val="solid" w:color="000000" w:fill="000000"/>
          <w:fitText w:val="-20" w:id="-1032080630"/>
          <w14:textFill>
            <w14:solidFill>
              <w14:srgbClr w14:val="000000">
                <w14:alpha w14:val="100000"/>
              </w14:srgbClr>
            </w14:solidFill>
          </w14:textFill>
        </w:rPr>
        <w:t>|</w:t>
      </w:r>
      <w:r w:rsidR="00F74B15" w:rsidRPr="008C164C">
        <w:t xml:space="preserve">%, see </w:t>
      </w:r>
      <w:r w:rsidR="000D2231" w:rsidRPr="008C164C">
        <w:t xml:space="preserve">paragraph </w:t>
      </w:r>
      <w:r w:rsidR="000D2231" w:rsidRPr="008C164C">
        <w:fldChar w:fldCharType="begin" w:fldLock="1"/>
      </w:r>
      <w:r w:rsidR="000D2231" w:rsidRPr="008C164C">
        <w:instrText xml:space="preserve"> REF _Ref142864555 \r \h </w:instrText>
      </w:r>
      <w:r w:rsidR="00596CCE" w:rsidRPr="008C164C">
        <w:instrText xml:space="preserve"> \* MERGEFORMAT </w:instrText>
      </w:r>
      <w:r w:rsidR="000D2231" w:rsidRPr="008C164C">
        <w:fldChar w:fldCharType="separate"/>
      </w:r>
      <w:r w:rsidR="00682506">
        <w:t>3.3</w:t>
      </w:r>
      <w:r w:rsidR="000D2231" w:rsidRPr="008C164C">
        <w:fldChar w:fldCharType="end"/>
      </w:r>
      <w:r w:rsidR="000D2231" w:rsidRPr="008C164C">
        <w:t>)</w:t>
      </w:r>
      <w:r w:rsidR="004C2602" w:rsidRPr="008C164C">
        <w:t xml:space="preserve">, a higher </w:t>
      </w:r>
      <w:r w:rsidR="00877507" w:rsidRPr="008C164C">
        <w:t>ICER</w:t>
      </w:r>
      <w:r w:rsidR="004C2602" w:rsidRPr="008C164C">
        <w:t xml:space="preserve"> </w:t>
      </w:r>
      <w:r w:rsidR="00501922" w:rsidRPr="008C164C">
        <w:t xml:space="preserve">compared </w:t>
      </w:r>
      <w:r w:rsidR="004C2602" w:rsidRPr="008C164C">
        <w:t>to the previous submission (previous submission ICER = $</w:t>
      </w:r>
      <w:r w:rsidR="00D66751">
        <w:t>75,000 to &lt; $95,000</w:t>
      </w:r>
      <w:r w:rsidR="004C2602" w:rsidRPr="008C164C">
        <w:t>/QALY) was expected, however the resubmission reported a base case ICER which was 16% lower (resubmission base case ICER = $</w:t>
      </w:r>
      <w:r w:rsidR="00D66751">
        <w:t>75,000 to &lt; $95,000</w:t>
      </w:r>
      <w:r w:rsidR="004C2602" w:rsidRPr="008C164C">
        <w:t>/QALY)</w:t>
      </w:r>
      <w:r w:rsidR="00501922" w:rsidRPr="008C164C">
        <w:t>. Additionally, there was</w:t>
      </w:r>
      <w:r w:rsidR="004C2602" w:rsidRPr="008C164C">
        <w:t xml:space="preserve"> an unexpected increase in the incremental QALY gain (3.09 QALY gained in the resubmission compared to 1.97 QALY gained in the previous submission) which was inconsistent with the assumption of a lower incremental benefit.</w:t>
      </w:r>
      <w:bookmarkEnd w:id="64"/>
      <w:r w:rsidR="004C2602" w:rsidRPr="008C164C">
        <w:t xml:space="preserve"> </w:t>
      </w:r>
    </w:p>
    <w:p w14:paraId="30592D51" w14:textId="2070D95A" w:rsidR="00006DDA" w:rsidRPr="008C164C" w:rsidRDefault="000D2231" w:rsidP="002E2133">
      <w:pPr>
        <w:pStyle w:val="3-BodyText"/>
      </w:pPr>
      <w:bookmarkStart w:id="65" w:name="_Ref148011180"/>
      <w:r w:rsidRPr="008C164C">
        <w:t>Secondly</w:t>
      </w:r>
      <w:r w:rsidR="00565216" w:rsidRPr="008C164C">
        <w:t>,</w:t>
      </w:r>
      <w:r w:rsidR="004C2602" w:rsidRPr="008C164C">
        <w:t xml:space="preserve"> the incorporation of the clinical data from model initiation</w:t>
      </w:r>
      <w:r w:rsidR="006D0EFA" w:rsidRPr="008C164C">
        <w:t xml:space="preserve"> in the resubmission base case</w:t>
      </w:r>
      <w:r w:rsidR="004C2602" w:rsidRPr="008C164C">
        <w:t xml:space="preserve"> appear</w:t>
      </w:r>
      <w:r w:rsidR="006D0EFA" w:rsidRPr="008C164C">
        <w:t>ed</w:t>
      </w:r>
      <w:r w:rsidR="004C2602" w:rsidRPr="008C164C">
        <w:t xml:space="preserve"> to have created illogical </w:t>
      </w:r>
      <w:r w:rsidR="00676065" w:rsidRPr="008C164C">
        <w:t xml:space="preserve">viral load </w:t>
      </w:r>
      <w:r w:rsidR="004C2602" w:rsidRPr="008C164C">
        <w:t>transition probabilities being either greater than 1</w:t>
      </w:r>
      <w:r w:rsidR="004B3F5A" w:rsidRPr="008C164C">
        <w:t>00%</w:t>
      </w:r>
      <w:r w:rsidR="004C2602" w:rsidRPr="008C164C">
        <w:t xml:space="preserve"> or less than 0</w:t>
      </w:r>
      <w:r w:rsidR="00562258" w:rsidRPr="008C164C">
        <w:t>%</w:t>
      </w:r>
      <w:r w:rsidR="004C2602" w:rsidRPr="008C164C">
        <w:t>.</w:t>
      </w:r>
      <w:bookmarkEnd w:id="65"/>
    </w:p>
    <w:p w14:paraId="410462FB" w14:textId="59B64DE1" w:rsidR="003325BE" w:rsidRPr="008C164C" w:rsidRDefault="002E2133" w:rsidP="00006DDA">
      <w:pPr>
        <w:pStyle w:val="3-BodyText"/>
      </w:pPr>
      <w:bookmarkStart w:id="66" w:name="_Ref147236043"/>
      <w:r w:rsidRPr="008C164C">
        <w:t xml:space="preserve">Consequently, during the evaluation, an alternative analysis </w:t>
      </w:r>
      <w:r w:rsidR="00E51E0D" w:rsidRPr="008C164C">
        <w:t>was</w:t>
      </w:r>
      <w:r w:rsidRPr="008C164C">
        <w:t xml:space="preserve"> proposed whereby the </w:t>
      </w:r>
      <w:r w:rsidR="0055677F">
        <w:t xml:space="preserve">exponential curve </w:t>
      </w:r>
      <w:r w:rsidR="0055677F" w:rsidRPr="008C164C">
        <w:t xml:space="preserve"> </w:t>
      </w:r>
      <w:r w:rsidRPr="008C164C">
        <w:t xml:space="preserve">is used </w:t>
      </w:r>
      <w:r w:rsidR="00E51E0D" w:rsidRPr="008C164C">
        <w:t xml:space="preserve">to inform viral </w:t>
      </w:r>
      <w:r w:rsidR="00BC65E5" w:rsidRPr="008C164C">
        <w:t xml:space="preserve">load in LEN + OBR </w:t>
      </w:r>
      <w:r w:rsidRPr="008C164C">
        <w:t xml:space="preserve">from the </w:t>
      </w:r>
      <w:r w:rsidR="00813BCC" w:rsidRPr="008C164C">
        <w:t xml:space="preserve">first </w:t>
      </w:r>
      <w:r w:rsidRPr="008C164C">
        <w:t xml:space="preserve">model </w:t>
      </w:r>
      <w:r w:rsidR="00813BCC" w:rsidRPr="008C164C">
        <w:t xml:space="preserve">transition </w:t>
      </w:r>
      <w:r w:rsidRPr="008C164C">
        <w:t>(i.e. cycle 1) rather than after week 104 (i.e. cycle 9). This increase</w:t>
      </w:r>
      <w:r w:rsidR="00E51E0D" w:rsidRPr="008C164C">
        <w:t>d</w:t>
      </w:r>
      <w:r w:rsidRPr="008C164C">
        <w:t xml:space="preserve"> the </w:t>
      </w:r>
      <w:r w:rsidR="00176A5B" w:rsidRPr="008C164C">
        <w:t xml:space="preserve">base </w:t>
      </w:r>
      <w:r w:rsidR="00176A5B" w:rsidRPr="008C164C">
        <w:lastRenderedPageBreak/>
        <w:t xml:space="preserve">case </w:t>
      </w:r>
      <w:r w:rsidRPr="008C164C">
        <w:t>ICER to $</w:t>
      </w:r>
      <w:r w:rsidR="00D66751">
        <w:t>115,000 to &lt; $135,000</w:t>
      </w:r>
      <w:r w:rsidRPr="008C164C">
        <w:t xml:space="preserve">/QALY, </w:t>
      </w:r>
      <w:r w:rsidR="00A71BF9" w:rsidRPr="008C164C">
        <w:t>which</w:t>
      </w:r>
      <w:r w:rsidRPr="008C164C">
        <w:t xml:space="preserve"> </w:t>
      </w:r>
      <w:r w:rsidR="00A71BF9" w:rsidRPr="008C164C">
        <w:t>is</w:t>
      </w:r>
      <w:r w:rsidRPr="008C164C">
        <w:t xml:space="preserve"> consistent with the decreased incremental benefit (and small price discount) assumed in the resubmission, relative to the previous submission.</w:t>
      </w:r>
      <w:bookmarkEnd w:id="66"/>
    </w:p>
    <w:p w14:paraId="23C8E964" w14:textId="39F179DC" w:rsidR="00006DDA" w:rsidRPr="008C164C" w:rsidRDefault="00006DDA" w:rsidP="00006DDA">
      <w:pPr>
        <w:pStyle w:val="3-BodyText"/>
      </w:pPr>
      <w:r w:rsidRPr="008C164C">
        <w:fldChar w:fldCharType="begin" w:fldLock="1"/>
      </w:r>
      <w:r w:rsidRPr="008C164C">
        <w:instrText xml:space="preserve"> REF _Ref142645101 \h </w:instrText>
      </w:r>
      <w:r w:rsidR="003325BE" w:rsidRPr="008C164C">
        <w:instrText xml:space="preserve"> \* MERGEFORMAT </w:instrText>
      </w:r>
      <w:r w:rsidRPr="008C164C">
        <w:fldChar w:fldCharType="separate"/>
      </w:r>
      <w:r w:rsidR="00682506" w:rsidRPr="008C164C">
        <w:rPr>
          <w:szCs w:val="20"/>
        </w:rPr>
        <w:t xml:space="preserve">Figure </w:t>
      </w:r>
      <w:r w:rsidR="00682506" w:rsidRPr="00682506">
        <w:t>5</w:t>
      </w:r>
      <w:r w:rsidRPr="008C164C">
        <w:fldChar w:fldCharType="end"/>
      </w:r>
      <w:r w:rsidR="003325BE" w:rsidRPr="008C164C">
        <w:t xml:space="preserve"> and </w:t>
      </w:r>
      <w:r w:rsidRPr="008C164C">
        <w:fldChar w:fldCharType="begin" w:fldLock="1"/>
      </w:r>
      <w:r w:rsidRPr="008C164C">
        <w:instrText xml:space="preserve"> REF _Ref142645104 \h </w:instrText>
      </w:r>
      <w:r w:rsidR="003325BE" w:rsidRPr="008C164C">
        <w:instrText xml:space="preserve"> \* MERGEFORMAT </w:instrText>
      </w:r>
      <w:r w:rsidRPr="008C164C">
        <w:fldChar w:fldCharType="separate"/>
      </w:r>
      <w:r w:rsidR="00682506" w:rsidRPr="008C164C">
        <w:rPr>
          <w:szCs w:val="20"/>
        </w:rPr>
        <w:t xml:space="preserve">Figure </w:t>
      </w:r>
      <w:r w:rsidR="00682506" w:rsidRPr="00682506">
        <w:t>6</w:t>
      </w:r>
      <w:r w:rsidRPr="008C164C">
        <w:fldChar w:fldCharType="end"/>
      </w:r>
      <w:r w:rsidR="003325BE" w:rsidRPr="008C164C">
        <w:t xml:space="preserve"> </w:t>
      </w:r>
      <w:r w:rsidRPr="008C164C">
        <w:t xml:space="preserve">present traces of </w:t>
      </w:r>
      <w:r w:rsidR="00B06630">
        <w:t xml:space="preserve">the </w:t>
      </w:r>
      <w:r w:rsidRPr="008C164C">
        <w:t>proportion of patients with &lt;</w:t>
      </w:r>
      <w:r w:rsidR="00676065" w:rsidRPr="008C164C">
        <w:t xml:space="preserve"> </w:t>
      </w:r>
      <w:r w:rsidRPr="008C164C">
        <w:t>50 copies</w:t>
      </w:r>
      <w:r w:rsidR="00676065" w:rsidRPr="008C164C">
        <w:t>/mL</w:t>
      </w:r>
      <w:r w:rsidRPr="008C164C">
        <w:t xml:space="preserve"> </w:t>
      </w:r>
      <w:r w:rsidR="00A71BF9" w:rsidRPr="008C164C">
        <w:t xml:space="preserve">for </w:t>
      </w:r>
      <w:r w:rsidRPr="008C164C">
        <w:t xml:space="preserve">the original submission, the resubmission base case, and the resubmission alternative base case in the LEN and OBR arms. </w:t>
      </w:r>
      <w:r w:rsidR="00A71BF9" w:rsidRPr="008C164C">
        <w:t>A</w:t>
      </w:r>
      <w:r w:rsidRPr="008C164C">
        <w:t>fter week 104, the alternative base case and the resubmission base case for LEN ha</w:t>
      </w:r>
      <w:r w:rsidR="00400A35" w:rsidRPr="008C164C">
        <w:t>ve</w:t>
      </w:r>
      <w:r w:rsidRPr="008C164C">
        <w:t xml:space="preserve"> the same values.</w:t>
      </w:r>
      <w:r w:rsidR="0014624B" w:rsidRPr="0014624B">
        <w:rPr>
          <w:noProof/>
        </w:rPr>
        <w:t xml:space="preserve"> </w:t>
      </w:r>
    </w:p>
    <w:p w14:paraId="578A4B62" w14:textId="55DECCC9" w:rsidR="00006DDA" w:rsidRPr="008C164C" w:rsidRDefault="00006DDA" w:rsidP="00D15079">
      <w:pPr>
        <w:pStyle w:val="TableFigureHeading"/>
        <w:keepLines/>
      </w:pPr>
      <w:bookmarkStart w:id="67" w:name="_Ref142645101"/>
      <w:r w:rsidRPr="008C164C">
        <w:rPr>
          <w:szCs w:val="20"/>
        </w:rPr>
        <w:t xml:space="preserve">Figure </w:t>
      </w:r>
      <w:r w:rsidRPr="008C164C">
        <w:rPr>
          <w:szCs w:val="20"/>
        </w:rPr>
        <w:fldChar w:fldCharType="begin" w:fldLock="1"/>
      </w:r>
      <w:r w:rsidRPr="008C164C">
        <w:rPr>
          <w:szCs w:val="20"/>
        </w:rPr>
        <w:instrText xml:space="preserve"> SEQ Figure \* MERGEFORMAT </w:instrText>
      </w:r>
      <w:r w:rsidRPr="008C164C">
        <w:rPr>
          <w:szCs w:val="20"/>
        </w:rPr>
        <w:fldChar w:fldCharType="separate"/>
      </w:r>
      <w:r w:rsidR="00682506" w:rsidRPr="00682506">
        <w:rPr>
          <w:noProof/>
        </w:rPr>
        <w:t>5</w:t>
      </w:r>
      <w:r w:rsidRPr="008C164C">
        <w:rPr>
          <w:szCs w:val="20"/>
        </w:rPr>
        <w:fldChar w:fldCharType="end"/>
      </w:r>
      <w:bookmarkEnd w:id="67"/>
      <w:r w:rsidRPr="008C164C">
        <w:t xml:space="preserve">: Trace of </w:t>
      </w:r>
      <w:r w:rsidR="0014624B">
        <w:t>percent</w:t>
      </w:r>
      <w:r w:rsidR="00142ABC" w:rsidRPr="008C164C">
        <w:t xml:space="preserve"> </w:t>
      </w:r>
      <w:r w:rsidR="0014624B">
        <w:t xml:space="preserve">of patients with viral load </w:t>
      </w:r>
      <w:r w:rsidRPr="008C164C">
        <w:t>&lt;</w:t>
      </w:r>
      <w:r w:rsidR="00142ABC" w:rsidRPr="008C164C">
        <w:t xml:space="preserve"> </w:t>
      </w:r>
      <w:r w:rsidRPr="008C164C">
        <w:t>50 copies/mL</w:t>
      </w:r>
      <w:r w:rsidR="00142ABC" w:rsidRPr="008C164C">
        <w:t xml:space="preserve">, </w:t>
      </w:r>
      <w:r w:rsidRPr="008C164C">
        <w:t>LEN arm</w:t>
      </w:r>
    </w:p>
    <w:p w14:paraId="5E7EAF3E" w14:textId="6174B40A" w:rsidR="00BD6BAC" w:rsidRDefault="00F91621" w:rsidP="00D15079">
      <w:pPr>
        <w:pStyle w:val="In-tableHeading"/>
        <w:keepLines/>
        <w:rPr>
          <w:noProof/>
        </w:rPr>
      </w:pPr>
      <w:r w:rsidRPr="00F91621">
        <w:rPr>
          <w:noProof/>
        </w:rPr>
        <w:t xml:space="preserve"> </w:t>
      </w:r>
    </w:p>
    <w:p w14:paraId="12782237" w14:textId="3F2A43D1" w:rsidR="00AD0BE8" w:rsidRPr="008C164C" w:rsidRDefault="00BD6BAC" w:rsidP="00D15079">
      <w:pPr>
        <w:pStyle w:val="In-tableHeading"/>
        <w:keepLines/>
        <w:rPr>
          <w:lang w:val="en-AU"/>
        </w:rPr>
      </w:pPr>
      <w:r>
        <w:rPr>
          <w:noProof/>
        </w:rPr>
        <w:drawing>
          <wp:inline distT="0" distB="0" distL="0" distR="0" wp14:anchorId="2E92EFDC" wp14:editId="1A9E1F7A">
            <wp:extent cx="5187950" cy="3011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7950" cy="3011805"/>
                    </a:xfrm>
                    <a:prstGeom prst="rect">
                      <a:avLst/>
                    </a:prstGeom>
                    <a:noFill/>
                  </pic:spPr>
                </pic:pic>
              </a:graphicData>
            </a:graphic>
          </wp:inline>
        </w:drawing>
      </w:r>
      <w:r w:rsidR="000F1708" w:rsidDel="00155607">
        <w:rPr>
          <w:noProof/>
        </w:rPr>
        <w:t xml:space="preserve"> </w:t>
      </w:r>
    </w:p>
    <w:p w14:paraId="536B741A" w14:textId="37B4D88F" w:rsidR="00006DDA" w:rsidRPr="008C164C" w:rsidRDefault="00006DDA" w:rsidP="00D15079">
      <w:pPr>
        <w:pStyle w:val="FooterTableFigure"/>
        <w:keepNext/>
        <w:keepLines/>
      </w:pPr>
      <w:r w:rsidRPr="008C164C">
        <w:t>Source: constructed during the evaluation.</w:t>
      </w:r>
    </w:p>
    <w:p w14:paraId="2FE4B706" w14:textId="78656786" w:rsidR="003325BE" w:rsidRPr="008C164C" w:rsidRDefault="003325BE" w:rsidP="00D15079">
      <w:pPr>
        <w:pStyle w:val="FooterTableFigure"/>
        <w:keepNext/>
        <w:keepLines/>
      </w:pPr>
      <w:r w:rsidRPr="008C164C">
        <w:t xml:space="preserve">ICER = incremental cost effectiveness ratio; LEN = </w:t>
      </w:r>
      <w:proofErr w:type="spellStart"/>
      <w:r w:rsidRPr="008C164C">
        <w:t>lenacapavir</w:t>
      </w:r>
      <w:proofErr w:type="spellEnd"/>
      <w:r w:rsidRPr="008C164C">
        <w:t>; Nov = November</w:t>
      </w:r>
    </w:p>
    <w:p w14:paraId="04A95DF5" w14:textId="7F65A9B7" w:rsidR="00400600" w:rsidRPr="008C164C" w:rsidRDefault="00400600" w:rsidP="00D15079">
      <w:pPr>
        <w:pStyle w:val="FooterTableFigure"/>
        <w:keepNext/>
        <w:keepLines/>
      </w:pPr>
      <w:r w:rsidRPr="008C164C">
        <w:t>ICER in November 2022 was $</w:t>
      </w:r>
      <w:r w:rsidR="00D66751">
        <w:t>75,000 to &lt; $95,000</w:t>
      </w:r>
      <w:r w:rsidRPr="008C164C">
        <w:t>; ICER in November 2023 resubmission base case is $</w:t>
      </w:r>
      <w:r w:rsidR="00D66751">
        <w:t>75,000 to &lt; $95,000</w:t>
      </w:r>
      <w:r w:rsidRPr="008C164C">
        <w:t>; ICER in November 2023 alternative base case is $</w:t>
      </w:r>
      <w:r w:rsidR="00D66751">
        <w:t>115,000 to &lt; $135,000.</w:t>
      </w:r>
    </w:p>
    <w:p w14:paraId="5C51F45E" w14:textId="77777777" w:rsidR="00006DDA" w:rsidRPr="008C164C" w:rsidRDefault="00006DDA" w:rsidP="00006DDA">
      <w:pPr>
        <w:pStyle w:val="FooterTableFigure"/>
      </w:pPr>
    </w:p>
    <w:p w14:paraId="4F189BB4" w14:textId="5AC0507B" w:rsidR="00006DDA" w:rsidRPr="008C164C" w:rsidRDefault="00006DDA" w:rsidP="00006DDA">
      <w:pPr>
        <w:pStyle w:val="TableFigureHeading"/>
        <w:keepLines/>
      </w:pPr>
      <w:bookmarkStart w:id="68" w:name="_Ref142645104"/>
      <w:r w:rsidRPr="008C164C">
        <w:rPr>
          <w:szCs w:val="20"/>
        </w:rPr>
        <w:lastRenderedPageBreak/>
        <w:t xml:space="preserve">Figure </w:t>
      </w:r>
      <w:r w:rsidRPr="008C164C">
        <w:rPr>
          <w:szCs w:val="20"/>
        </w:rPr>
        <w:fldChar w:fldCharType="begin" w:fldLock="1"/>
      </w:r>
      <w:r w:rsidRPr="008C164C">
        <w:rPr>
          <w:szCs w:val="20"/>
        </w:rPr>
        <w:instrText xml:space="preserve"> SEQ Figure \* MERGEFORMAT </w:instrText>
      </w:r>
      <w:r w:rsidRPr="008C164C">
        <w:rPr>
          <w:szCs w:val="20"/>
        </w:rPr>
        <w:fldChar w:fldCharType="separate"/>
      </w:r>
      <w:r w:rsidR="00682506" w:rsidRPr="00682506">
        <w:rPr>
          <w:noProof/>
        </w:rPr>
        <w:t>6</w:t>
      </w:r>
      <w:r w:rsidRPr="008C164C">
        <w:rPr>
          <w:szCs w:val="20"/>
        </w:rPr>
        <w:fldChar w:fldCharType="end"/>
      </w:r>
      <w:bookmarkEnd w:id="68"/>
      <w:r w:rsidRPr="008C164C">
        <w:t xml:space="preserve">: Trace of </w:t>
      </w:r>
      <w:r w:rsidR="0014624B">
        <w:t>percent of patients with viral load</w:t>
      </w:r>
      <w:r w:rsidRPr="008C164C">
        <w:t>&lt;</w:t>
      </w:r>
      <w:r w:rsidR="00142ABC" w:rsidRPr="008C164C">
        <w:t xml:space="preserve"> </w:t>
      </w:r>
      <w:r w:rsidRPr="008C164C">
        <w:t>50 copies/mL</w:t>
      </w:r>
      <w:r w:rsidR="00142ABC" w:rsidRPr="008C164C">
        <w:t xml:space="preserve">, </w:t>
      </w:r>
      <w:r w:rsidRPr="008C164C">
        <w:t>OBR arm</w:t>
      </w:r>
    </w:p>
    <w:p w14:paraId="3A47474B" w14:textId="7A2CD520" w:rsidR="000E5C1B" w:rsidRPr="008C164C" w:rsidRDefault="000E5C1B" w:rsidP="00D15079">
      <w:pPr>
        <w:pStyle w:val="In-tableHeading"/>
        <w:keepLines/>
        <w:rPr>
          <w:lang w:val="en-AU"/>
        </w:rPr>
      </w:pPr>
    </w:p>
    <w:p w14:paraId="59EA798F" w14:textId="34459864" w:rsidR="004577F0" w:rsidRDefault="0029023A" w:rsidP="00D15079">
      <w:pPr>
        <w:pStyle w:val="FooterTableFigure"/>
        <w:keepNext/>
        <w:keepLines/>
      </w:pPr>
      <w:r w:rsidRPr="0029023A">
        <w:rPr>
          <w:noProof/>
        </w:rPr>
        <w:t xml:space="preserve"> </w:t>
      </w:r>
      <w:r>
        <w:rPr>
          <w:noProof/>
        </w:rPr>
        <w:drawing>
          <wp:inline distT="0" distB="0" distL="0" distR="0" wp14:anchorId="0F81F1B7" wp14:editId="0722B234">
            <wp:extent cx="4962525" cy="303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2525" cy="3038475"/>
                    </a:xfrm>
                    <a:prstGeom prst="rect">
                      <a:avLst/>
                    </a:prstGeom>
                  </pic:spPr>
                </pic:pic>
              </a:graphicData>
            </a:graphic>
          </wp:inline>
        </w:drawing>
      </w:r>
    </w:p>
    <w:p w14:paraId="4E7A2242" w14:textId="011691F8" w:rsidR="00006DDA" w:rsidRPr="008C164C" w:rsidRDefault="00006DDA" w:rsidP="00D15079">
      <w:pPr>
        <w:pStyle w:val="FooterTableFigure"/>
        <w:keepNext/>
        <w:keepLines/>
      </w:pPr>
      <w:r w:rsidRPr="008C164C">
        <w:t>Source: Constructed during the evaluation</w:t>
      </w:r>
    </w:p>
    <w:p w14:paraId="6A523FEB" w14:textId="57ECE577" w:rsidR="003325BE" w:rsidRPr="008C164C" w:rsidRDefault="003325BE" w:rsidP="00D15079">
      <w:pPr>
        <w:pStyle w:val="FooterTableFigure"/>
        <w:keepNext/>
        <w:keepLines/>
      </w:pPr>
      <w:r w:rsidRPr="008C164C">
        <w:t>ICER = incremental cost-effectiveness ratio; Nov = November; OBR = optimised background regimen</w:t>
      </w:r>
    </w:p>
    <w:p w14:paraId="4E201862" w14:textId="53243707" w:rsidR="00400600" w:rsidRPr="008C164C" w:rsidRDefault="00400600" w:rsidP="00D15079">
      <w:pPr>
        <w:pStyle w:val="FooterTableFigure"/>
        <w:keepNext/>
        <w:keepLines/>
      </w:pPr>
      <w:bookmarkStart w:id="69" w:name="OLE_LINK2"/>
      <w:r w:rsidRPr="008C164C">
        <w:t>ICER in November 2022 was $</w:t>
      </w:r>
      <w:r w:rsidR="00D66751">
        <w:t>75,000 to &lt; $95,000</w:t>
      </w:r>
      <w:r w:rsidRPr="008C164C">
        <w:t>; ICER in November 2023 resubmission base case is $</w:t>
      </w:r>
      <w:r w:rsidR="00D66751">
        <w:t>75,000 to &lt; $95,000</w:t>
      </w:r>
      <w:r w:rsidRPr="008C164C">
        <w:t>; ICER in November 2023 alternative base case is $</w:t>
      </w:r>
      <w:r w:rsidR="00D66751">
        <w:t>115,000 to &lt; $135,000.</w:t>
      </w:r>
    </w:p>
    <w:bookmarkEnd w:id="69"/>
    <w:p w14:paraId="3E4C1923" w14:textId="7DF7DCE4" w:rsidR="003325BE" w:rsidRPr="008C164C" w:rsidRDefault="003325BE" w:rsidP="003325BE">
      <w:pPr>
        <w:pStyle w:val="3-BodyText"/>
      </w:pPr>
      <w:r w:rsidRPr="008C164C">
        <w:t xml:space="preserve">The traces show that using </w:t>
      </w:r>
      <w:r w:rsidR="0014624B">
        <w:t>modelled data</w:t>
      </w:r>
      <w:r w:rsidR="0014624B" w:rsidRPr="008C164C">
        <w:t xml:space="preserve"> </w:t>
      </w:r>
      <w:r w:rsidR="00B46C75" w:rsidRPr="008C164C">
        <w:t>to inform the LEN + OBR values up to Week 104 (as opposed to observed data from CAPELLA)</w:t>
      </w:r>
      <w:r w:rsidRPr="008C164C">
        <w:t xml:space="preserve"> had only a moderate effect on modelled effect the LEN arm up to week 104</w:t>
      </w:r>
      <w:r w:rsidR="00BC65E5" w:rsidRPr="008C164C">
        <w:t xml:space="preserve">, </w:t>
      </w:r>
      <w:r w:rsidRPr="008C164C">
        <w:t>after which there was no difference between methods of estimating proportion of patients with &lt;</w:t>
      </w:r>
      <w:r w:rsidR="009B3940" w:rsidRPr="008C164C">
        <w:t xml:space="preserve"> </w:t>
      </w:r>
      <w:r w:rsidRPr="008C164C">
        <w:t>50 copies/mL in LEN + OBR. However, surprisingly, this had a large impact on the virological response modelled in the OBR arm over the entire model duration. Th</w:t>
      </w:r>
      <w:r w:rsidR="006D0EFA" w:rsidRPr="008C164C">
        <w:t>e</w:t>
      </w:r>
      <w:r w:rsidR="0025519A" w:rsidRPr="008C164C">
        <w:t xml:space="preserve"> evaluation considered this</w:t>
      </w:r>
      <w:r w:rsidRPr="008C164C">
        <w:t xml:space="preserve"> relationship </w:t>
      </w:r>
      <w:r w:rsidR="00A71BF9" w:rsidRPr="008C164C">
        <w:t xml:space="preserve">did </w:t>
      </w:r>
      <w:r w:rsidRPr="008C164C">
        <w:t>not appear to have face validity and raise</w:t>
      </w:r>
      <w:r w:rsidR="00A71BF9" w:rsidRPr="008C164C">
        <w:t>d</w:t>
      </w:r>
      <w:r w:rsidRPr="008C164C">
        <w:t xml:space="preserve"> concerns about the reliability of the resubmission’s model. </w:t>
      </w:r>
      <w:r w:rsidR="009038A3">
        <w:t>The PBAC noted the virological response for the OBR arm was</w:t>
      </w:r>
      <w:r w:rsidR="00BF7D00">
        <w:t xml:space="preserve"> higher, and hence</w:t>
      </w:r>
      <w:r w:rsidR="009038A3">
        <w:t xml:space="preserve"> </w:t>
      </w:r>
      <w:r w:rsidR="00BF7D00">
        <w:t>more conservative, when the modelled data for LEN was used for the first 104 weeks of the model (</w:t>
      </w:r>
      <w:r w:rsidR="00BF7D00">
        <w:fldChar w:fldCharType="begin" w:fldLock="1"/>
      </w:r>
      <w:r w:rsidR="00BF7D00">
        <w:instrText xml:space="preserve"> REF _Ref142645104 \h </w:instrText>
      </w:r>
      <w:r w:rsidR="00BF7D00">
        <w:fldChar w:fldCharType="separate"/>
      </w:r>
      <w:r w:rsidR="00682506" w:rsidRPr="008C164C">
        <w:rPr>
          <w:szCs w:val="20"/>
        </w:rPr>
        <w:t xml:space="preserve">Figure </w:t>
      </w:r>
      <w:r w:rsidR="00682506" w:rsidRPr="00682506">
        <w:rPr>
          <w:noProof/>
        </w:rPr>
        <w:t>6</w:t>
      </w:r>
      <w:r w:rsidR="00BF7D00">
        <w:fldChar w:fldCharType="end"/>
      </w:r>
      <w:r w:rsidR="00BF7D00">
        <w:t xml:space="preserve">). </w:t>
      </w:r>
      <w:r w:rsidR="009038A3">
        <w:t xml:space="preserve"> </w:t>
      </w:r>
    </w:p>
    <w:p w14:paraId="60DA1615" w14:textId="4627E35F" w:rsidR="003325BE" w:rsidRPr="008C164C" w:rsidRDefault="003325BE" w:rsidP="003325BE">
      <w:pPr>
        <w:pStyle w:val="3-BodyText"/>
      </w:pPr>
      <w:bookmarkStart w:id="70" w:name="_Ref142866641"/>
      <w:r w:rsidRPr="008C164C">
        <w:t>The alternative base case addresses some of the key operational issue</w:t>
      </w:r>
      <w:r w:rsidR="00093F37" w:rsidRPr="008C164C">
        <w:t>s</w:t>
      </w:r>
      <w:r w:rsidRPr="008C164C">
        <w:t xml:space="preserve"> of the </w:t>
      </w:r>
      <w:r w:rsidR="00757353" w:rsidRPr="008C164C">
        <w:t xml:space="preserve">economic model of the </w:t>
      </w:r>
      <w:r w:rsidRPr="008C164C">
        <w:t>resubmission. However, even the alternative base case behave</w:t>
      </w:r>
      <w:r w:rsidR="00BC65E5" w:rsidRPr="008C164C">
        <w:t>d</w:t>
      </w:r>
      <w:r w:rsidRPr="008C164C">
        <w:t xml:space="preserve"> in unexpected ways as, for example, assuming 100% efficacy for LEN + OBR in cycle 1 (i.e. all patients will achieve &lt;</w:t>
      </w:r>
      <w:r w:rsidR="00757353" w:rsidRPr="008C164C">
        <w:t xml:space="preserve"> </w:t>
      </w:r>
      <w:r w:rsidRPr="008C164C">
        <w:t>50 copies/mL in cycle 1</w:t>
      </w:r>
      <w:r w:rsidR="0099209B" w:rsidRPr="008C164C">
        <w:t>/week 13</w:t>
      </w:r>
      <w:r w:rsidRPr="008C164C">
        <w:t>, but all else unchanged) paradoxically increase</w:t>
      </w:r>
      <w:r w:rsidR="00735DF1" w:rsidRPr="008C164C">
        <w:t>d</w:t>
      </w:r>
      <w:r w:rsidRPr="008C164C">
        <w:t xml:space="preserve"> the ICER by 3.5% and deliver</w:t>
      </w:r>
      <w:r w:rsidR="00735DF1" w:rsidRPr="008C164C">
        <w:t>ed</w:t>
      </w:r>
      <w:r w:rsidRPr="008C164C">
        <w:t xml:space="preserve"> a lower QALY gain than the base case, when an improvement in LEN + OBR response</w:t>
      </w:r>
      <w:r w:rsidR="00735DF1" w:rsidRPr="008C164C">
        <w:t xml:space="preserve"> would be expected</w:t>
      </w:r>
      <w:r w:rsidRPr="008C164C">
        <w:t xml:space="preserve"> to decrease the ICER and deliver a higher QALY gain.</w:t>
      </w:r>
      <w:r w:rsidR="00F97D85" w:rsidRPr="008C164C">
        <w:t xml:space="preserve"> </w:t>
      </w:r>
      <w:r w:rsidRPr="008C164C">
        <w:t xml:space="preserve">This illustrates that even with the alternative base case (which functioned similarly to the previous model) there </w:t>
      </w:r>
      <w:r w:rsidR="006E3ECA" w:rsidRPr="008C164C">
        <w:t>we</w:t>
      </w:r>
      <w:r w:rsidRPr="008C164C">
        <w:t xml:space="preserve">re other structural issues </w:t>
      </w:r>
      <w:r w:rsidR="00831AED" w:rsidRPr="008C164C">
        <w:t xml:space="preserve">and assumptions </w:t>
      </w:r>
      <w:r w:rsidRPr="008C164C">
        <w:t xml:space="preserve">associated with the model and the </w:t>
      </w:r>
      <w:r w:rsidR="006E3ECA" w:rsidRPr="008C164C">
        <w:t xml:space="preserve">economic evaluation </w:t>
      </w:r>
      <w:r w:rsidRPr="008C164C">
        <w:t>results cannot be considered robust.</w:t>
      </w:r>
      <w:bookmarkEnd w:id="70"/>
      <w:r w:rsidRPr="008C164C">
        <w:t xml:space="preserve"> </w:t>
      </w:r>
    </w:p>
    <w:p w14:paraId="50C04620" w14:textId="31F05A4F" w:rsidR="003325BE" w:rsidRPr="008C164C" w:rsidRDefault="003325BE" w:rsidP="00240629">
      <w:pPr>
        <w:pStyle w:val="3-BodyText"/>
      </w:pPr>
      <w:r w:rsidRPr="008C164C">
        <w:lastRenderedPageBreak/>
        <w:t xml:space="preserve">As in the previous submission, the transition probabilities for viral load suppression in the OBR arm </w:t>
      </w:r>
      <w:r w:rsidR="00757353" w:rsidRPr="008C164C">
        <w:t xml:space="preserve">were </w:t>
      </w:r>
      <w:r w:rsidRPr="008C164C">
        <w:t xml:space="preserve">based on the </w:t>
      </w:r>
      <w:r w:rsidR="00D4131C">
        <w:t>LEN</w:t>
      </w:r>
      <w:r w:rsidR="00D4131C" w:rsidRPr="008C164C">
        <w:t xml:space="preserve"> </w:t>
      </w:r>
      <w:r w:rsidRPr="008C164C">
        <w:t xml:space="preserve">arm transition probabilities with a </w:t>
      </w:r>
      <w:r w:rsidR="00511B53" w:rsidRPr="008C164C">
        <w:t>RR</w:t>
      </w:r>
      <w:r w:rsidRPr="008C164C">
        <w:t xml:space="preserve"> from the ITC applied. In the previous submission a RR of viral suppression of 3.828 (95% CI: 2.592, 5.655) had been applied to both the transitions to &gt;</w:t>
      </w:r>
      <w:r w:rsidR="00757353" w:rsidRPr="008C164C">
        <w:t xml:space="preserve"> </w:t>
      </w:r>
      <w:r w:rsidRPr="008C164C">
        <w:t>50 copies and &gt;</w:t>
      </w:r>
      <w:r w:rsidR="00757353" w:rsidRPr="008C164C">
        <w:t xml:space="preserve"> </w:t>
      </w:r>
      <w:r w:rsidRPr="008C164C">
        <w:t xml:space="preserve">200 copies of viral RNA / </w:t>
      </w:r>
      <w:proofErr w:type="spellStart"/>
      <w:r w:rsidRPr="008C164C">
        <w:t>mL.</w:t>
      </w:r>
      <w:proofErr w:type="spellEnd"/>
      <w:r w:rsidRPr="008C164C">
        <w:t xml:space="preserve"> In the resubmission this value </w:t>
      </w:r>
      <w:r w:rsidR="00D4131C">
        <w:t>wa</w:t>
      </w:r>
      <w:r w:rsidRPr="008C164C">
        <w:t>s 2.807 (95% CI: 1.928, 4.088).</w:t>
      </w:r>
      <w:r w:rsidR="001855C9" w:rsidRPr="008C164C">
        <w:t xml:space="preserve"> </w:t>
      </w:r>
      <w:r w:rsidRPr="008C164C">
        <w:t xml:space="preserve">As </w:t>
      </w:r>
      <w:r w:rsidR="00511B53" w:rsidRPr="008C164C">
        <w:t>discussed in paragraph</w:t>
      </w:r>
      <w:r w:rsidR="001444A8" w:rsidRPr="008C164C">
        <w:t xml:space="preserve">s </w:t>
      </w:r>
      <w:r w:rsidR="001444A8" w:rsidRPr="008C164C">
        <w:fldChar w:fldCharType="begin" w:fldLock="1"/>
      </w:r>
      <w:r w:rsidR="001444A8" w:rsidRPr="008C164C">
        <w:instrText xml:space="preserve"> REF _Ref142865208 \r \h </w:instrText>
      </w:r>
      <w:r w:rsidR="00596CCE" w:rsidRPr="008C164C">
        <w:instrText xml:space="preserve"> \* MERGEFORMAT </w:instrText>
      </w:r>
      <w:r w:rsidR="001444A8" w:rsidRPr="008C164C">
        <w:fldChar w:fldCharType="separate"/>
      </w:r>
      <w:r w:rsidR="00682506">
        <w:t>6.55</w:t>
      </w:r>
      <w:r w:rsidR="001444A8" w:rsidRPr="008C164C">
        <w:fldChar w:fldCharType="end"/>
      </w:r>
      <w:r w:rsidR="001444A8" w:rsidRPr="008C164C">
        <w:t xml:space="preserve"> and </w:t>
      </w:r>
      <w:r w:rsidR="001444A8" w:rsidRPr="008C164C">
        <w:fldChar w:fldCharType="begin" w:fldLock="1"/>
      </w:r>
      <w:r w:rsidR="001444A8" w:rsidRPr="008C164C">
        <w:instrText xml:space="preserve"> REF _Ref142865210 \r \h </w:instrText>
      </w:r>
      <w:r w:rsidR="00596CCE" w:rsidRPr="008C164C">
        <w:instrText xml:space="preserve"> \* MERGEFORMAT </w:instrText>
      </w:r>
      <w:r w:rsidR="001444A8" w:rsidRPr="008C164C">
        <w:fldChar w:fldCharType="separate"/>
      </w:r>
      <w:r w:rsidR="00682506">
        <w:t>6.56</w:t>
      </w:r>
      <w:r w:rsidR="001444A8" w:rsidRPr="008C164C">
        <w:fldChar w:fldCharType="end"/>
      </w:r>
      <w:r w:rsidRPr="008C164C">
        <w:t>, this estimate was likely overestimated due to uncertain estimation of viral suppression in the meta-analysed OBR arm.</w:t>
      </w:r>
    </w:p>
    <w:p w14:paraId="284924AC" w14:textId="1107D0E4" w:rsidR="00006DDA" w:rsidRPr="008C164C" w:rsidRDefault="00006DDA" w:rsidP="00006DDA">
      <w:pPr>
        <w:pStyle w:val="3-BodyText"/>
      </w:pPr>
      <w:r w:rsidRPr="008C164C">
        <w:t xml:space="preserve">Appropriately, modelling of </w:t>
      </w:r>
      <w:r w:rsidR="008E5253" w:rsidRPr="008C164C">
        <w:t xml:space="preserve">an </w:t>
      </w:r>
      <w:r w:rsidRPr="008C164C">
        <w:t xml:space="preserve">adherence benefit </w:t>
      </w:r>
      <w:r w:rsidR="008E5253" w:rsidRPr="008C164C">
        <w:t>was</w:t>
      </w:r>
      <w:r w:rsidRPr="008C164C">
        <w:t xml:space="preserve"> removed from the</w:t>
      </w:r>
      <w:r w:rsidR="008E5253" w:rsidRPr="008C164C">
        <w:t xml:space="preserve"> economic model of the</w:t>
      </w:r>
      <w:r w:rsidRPr="008C164C">
        <w:t xml:space="preserve"> resubmission</w:t>
      </w:r>
      <w:r w:rsidR="00A07EC0" w:rsidRPr="008C164C">
        <w:t xml:space="preserve">, which was previously requested by the ESC (paragraph 6.80, </w:t>
      </w:r>
      <w:proofErr w:type="spellStart"/>
      <w:r w:rsidR="00A07EC0" w:rsidRPr="008C164C">
        <w:t>lenacapavir</w:t>
      </w:r>
      <w:proofErr w:type="spellEnd"/>
      <w:r w:rsidR="00A07EC0" w:rsidRPr="008C164C">
        <w:t xml:space="preserve"> PSD, November 2022 PBAC meeting)</w:t>
      </w:r>
      <w:r w:rsidRPr="008C164C">
        <w:t>.</w:t>
      </w:r>
    </w:p>
    <w:p w14:paraId="0EC8F3C1" w14:textId="3705B3E9" w:rsidR="00AC6506" w:rsidRPr="008C164C" w:rsidRDefault="00006DDA" w:rsidP="004B6B0B">
      <w:pPr>
        <w:pStyle w:val="3-BodyText"/>
      </w:pPr>
      <w:r w:rsidRPr="008C164C">
        <w:t xml:space="preserve">The resubmission relied on the same health state utility estimates as in the previous submission (Schneider 2014) </w:t>
      </w:r>
      <w:r w:rsidR="00A07EC0" w:rsidRPr="008C164C">
        <w:t>which were</w:t>
      </w:r>
      <w:r w:rsidR="004F2D22" w:rsidRPr="008C164C">
        <w:t xml:space="preserve"> </w:t>
      </w:r>
      <w:r w:rsidRPr="008C164C">
        <w:t>based</w:t>
      </w:r>
      <w:r w:rsidR="00A07EC0" w:rsidRPr="008C164C">
        <w:t xml:space="preserve"> on</w:t>
      </w:r>
      <w:r w:rsidRPr="008C164C">
        <w:t xml:space="preserve"> utility values on</w:t>
      </w:r>
      <w:r w:rsidR="00A07EC0" w:rsidRPr="008C164C">
        <w:t xml:space="preserve"> from</w:t>
      </w:r>
      <w:r w:rsidRPr="008C164C">
        <w:t xml:space="preserve"> </w:t>
      </w:r>
      <w:proofErr w:type="spellStart"/>
      <w:r w:rsidRPr="008C164C">
        <w:t>Tengs</w:t>
      </w:r>
      <w:proofErr w:type="spellEnd"/>
      <w:r w:rsidRPr="008C164C">
        <w:t xml:space="preserve"> (2002), a meta-analysis of utility estimates for HIV/AIDS. </w:t>
      </w:r>
    </w:p>
    <w:p w14:paraId="291AA0E8" w14:textId="65C89AF0" w:rsidR="00195DAC" w:rsidRPr="008C164C" w:rsidRDefault="00195DAC" w:rsidP="00195DAC">
      <w:pPr>
        <w:pStyle w:val="3-BodyText"/>
      </w:pPr>
      <w:bookmarkStart w:id="71" w:name="_Ref142908506"/>
      <w:r w:rsidRPr="008C164C">
        <w:t>The resubmission model (even with the alternative base case) continued to estimate a substantial mortality benefit from LEN</w:t>
      </w:r>
      <w:r w:rsidR="003B4432" w:rsidRPr="008C164C">
        <w:t xml:space="preserve"> + OBR versus OBR</w:t>
      </w:r>
      <w:r w:rsidRPr="008C164C">
        <w:t xml:space="preserve"> </w:t>
      </w:r>
      <w:r w:rsidR="0014624B">
        <w:t>and there was a lack of evidence to support this</w:t>
      </w:r>
      <w:bookmarkEnd w:id="71"/>
      <w:r w:rsidR="008C164C">
        <w:t xml:space="preserve">. </w:t>
      </w:r>
      <w:bookmarkStart w:id="72" w:name="_Hlk151489876"/>
      <w:r w:rsidR="0014624B">
        <w:t>T</w:t>
      </w:r>
      <w:r w:rsidR="007B241F" w:rsidRPr="008C164C">
        <w:t xml:space="preserve">he life years gained </w:t>
      </w:r>
      <w:r w:rsidR="003B4432" w:rsidRPr="008C164C">
        <w:t xml:space="preserve">from treatment with LEN + OBR compared with OBR </w:t>
      </w:r>
      <w:r w:rsidR="007B241F" w:rsidRPr="008C164C">
        <w:t>in the resubmission base case (</w:t>
      </w:r>
      <w:r w:rsidR="0021425F" w:rsidRPr="008C164C">
        <w:t>3.26 years) exceeded that in the previous submission (2.05 years).</w:t>
      </w:r>
      <w:r w:rsidRPr="008C164C">
        <w:t xml:space="preserve"> </w:t>
      </w:r>
      <w:bookmarkEnd w:id="72"/>
      <w:r w:rsidR="004B6B0B" w:rsidRPr="008C164C">
        <w:t xml:space="preserve">In the resubmission base case, </w:t>
      </w:r>
      <w:r w:rsidR="0096767B" w:rsidRPr="008C164C">
        <w:t xml:space="preserve">50% of patients in the OBR arm had died </w:t>
      </w:r>
      <w:r w:rsidR="004B6B0B" w:rsidRPr="008C164C">
        <w:t>after</w:t>
      </w:r>
      <w:r w:rsidR="0096767B" w:rsidRPr="008C164C">
        <w:t xml:space="preserve"> 7.</w:t>
      </w:r>
      <w:r w:rsidR="00CC33E8" w:rsidRPr="008C164C">
        <w:t>2</w:t>
      </w:r>
      <w:r w:rsidR="0096767B" w:rsidRPr="008C164C">
        <w:t>5 years (versus 10 years in the previous submission) but it took an additional 1</w:t>
      </w:r>
      <w:r w:rsidR="00CC33E8" w:rsidRPr="008C164C">
        <w:t>2</w:t>
      </w:r>
      <w:r w:rsidR="0096767B" w:rsidRPr="008C164C">
        <w:t xml:space="preserve"> years (versus </w:t>
      </w:r>
      <w:r w:rsidR="005B1642" w:rsidRPr="008C164C">
        <w:t xml:space="preserve">an additional </w:t>
      </w:r>
      <w:r w:rsidR="0096767B" w:rsidRPr="008C164C">
        <w:t xml:space="preserve">8 years in the previous submission) for the </w:t>
      </w:r>
      <w:r w:rsidR="009D56E7">
        <w:t xml:space="preserve">LEN + </w:t>
      </w:r>
      <w:r w:rsidR="00CC33E8" w:rsidRPr="008C164C">
        <w:t>OBR</w:t>
      </w:r>
      <w:r w:rsidR="0096767B" w:rsidRPr="008C164C">
        <w:t xml:space="preserve"> arm to reach 50% death.</w:t>
      </w:r>
      <w:r w:rsidR="004C711F" w:rsidRPr="008C164C">
        <w:t xml:space="preserve"> </w:t>
      </w:r>
      <w:r w:rsidR="0014624B">
        <w:t>T</w:t>
      </w:r>
      <w:r w:rsidR="0014624B" w:rsidRPr="008C164C">
        <w:t xml:space="preserve">he life years gained from treatment with LEN + OBR compared with OBR in the </w:t>
      </w:r>
      <w:r w:rsidR="0014624B">
        <w:t>alternative</w:t>
      </w:r>
      <w:r w:rsidR="0014624B" w:rsidRPr="008C164C">
        <w:t xml:space="preserve"> base case (</w:t>
      </w:r>
      <w:r w:rsidR="0014624B">
        <w:t xml:space="preserve">1.93 </w:t>
      </w:r>
      <w:r w:rsidR="0014624B" w:rsidRPr="008C164C">
        <w:t xml:space="preserve">years) </w:t>
      </w:r>
      <w:r w:rsidR="0014624B">
        <w:t xml:space="preserve">was similar to </w:t>
      </w:r>
      <w:r w:rsidR="0014624B" w:rsidRPr="008C164C">
        <w:t>that in the previous submission (2.05 years).</w:t>
      </w:r>
    </w:p>
    <w:p w14:paraId="33DBC532" w14:textId="263CA2C7" w:rsidR="00195DAC" w:rsidRPr="008C164C" w:rsidRDefault="00195DAC" w:rsidP="009838A7">
      <w:pPr>
        <w:pStyle w:val="3-BodyText"/>
      </w:pPr>
      <w:r w:rsidRPr="008C164C">
        <w:t>Overall,</w:t>
      </w:r>
      <w:r w:rsidR="00A433B4" w:rsidRPr="008C164C">
        <w:t xml:space="preserve"> the evaluation considered</w:t>
      </w:r>
      <w:r w:rsidRPr="008C164C">
        <w:t xml:space="preserve"> the </w:t>
      </w:r>
      <w:r w:rsidR="001D316A" w:rsidRPr="008C164C">
        <w:t xml:space="preserve">economic </w:t>
      </w:r>
      <w:r w:rsidRPr="008C164C">
        <w:t>model may be overly optimistic and the relationship between changing LEN + OBR efficacy and how it impacts OBR alone efficacy may lack face validity</w:t>
      </w:r>
      <w:r w:rsidR="001D316A" w:rsidRPr="008C164C">
        <w:t>, and the model may not be informative for decision making</w:t>
      </w:r>
      <w:r w:rsidRPr="008C164C">
        <w:t xml:space="preserve">. </w:t>
      </w:r>
    </w:p>
    <w:p w14:paraId="24987191" w14:textId="265B4383" w:rsidR="00564DFA" w:rsidRPr="008C164C" w:rsidRDefault="00564DFA" w:rsidP="00564DFA">
      <w:pPr>
        <w:pStyle w:val="3-BodyText"/>
      </w:pPr>
      <w:r w:rsidRPr="008C164C">
        <w:fldChar w:fldCharType="begin" w:fldLock="1"/>
      </w:r>
      <w:r w:rsidRPr="008C164C">
        <w:instrText xml:space="preserve"> REF _Ref104805160 \h </w:instrText>
      </w:r>
      <w:r w:rsidR="00596CCE" w:rsidRPr="008C164C">
        <w:instrText xml:space="preserve"> \* MERGEFORMAT </w:instrText>
      </w:r>
      <w:r w:rsidRPr="008C164C">
        <w:fldChar w:fldCharType="separate"/>
      </w:r>
      <w:r w:rsidR="00682506" w:rsidRPr="008C164C">
        <w:t xml:space="preserve">Table </w:t>
      </w:r>
      <w:r w:rsidR="00682506">
        <w:t>13</w:t>
      </w:r>
      <w:r w:rsidRPr="008C164C">
        <w:fldChar w:fldCharType="end"/>
      </w:r>
      <w:r w:rsidR="00D312C8" w:rsidRPr="008C164C">
        <w:t xml:space="preserve"> and </w:t>
      </w:r>
      <w:r w:rsidRPr="008C164C">
        <w:fldChar w:fldCharType="begin" w:fldLock="1"/>
      </w:r>
      <w:r w:rsidRPr="008C164C">
        <w:instrText xml:space="preserve"> REF _Ref104805181 \h </w:instrText>
      </w:r>
      <w:r w:rsidR="00596CCE" w:rsidRPr="008C164C">
        <w:instrText xml:space="preserve"> \* MERGEFORMAT </w:instrText>
      </w:r>
      <w:r w:rsidRPr="008C164C">
        <w:fldChar w:fldCharType="separate"/>
      </w:r>
      <w:r w:rsidR="00682506" w:rsidRPr="008C164C">
        <w:t xml:space="preserve">Table </w:t>
      </w:r>
      <w:r w:rsidR="00682506">
        <w:t>14</w:t>
      </w:r>
      <w:r w:rsidRPr="008C164C">
        <w:fldChar w:fldCharType="end"/>
      </w:r>
      <w:r w:rsidR="00D312C8" w:rsidRPr="008C164C">
        <w:t xml:space="preserve"> </w:t>
      </w:r>
      <w:r w:rsidRPr="008C164C">
        <w:t xml:space="preserve">present the economic evaluation results in the resubmission base case and the alternative base case using </w:t>
      </w:r>
      <w:r w:rsidR="0055677F">
        <w:t>modelled data from cycle 1</w:t>
      </w:r>
      <w:r w:rsidRPr="008C164C">
        <w:t>, respectively.</w:t>
      </w:r>
    </w:p>
    <w:p w14:paraId="741C2EFE" w14:textId="6CD94A52" w:rsidR="00564DFA" w:rsidRPr="008C164C" w:rsidRDefault="00564DFA" w:rsidP="00564DFA">
      <w:pPr>
        <w:pStyle w:val="TableFigureHeading"/>
        <w:rPr>
          <w:rStyle w:val="CommentReference"/>
          <w:b/>
          <w:szCs w:val="24"/>
        </w:rPr>
      </w:pPr>
      <w:bookmarkStart w:id="73" w:name="_Ref104805160"/>
      <w:r w:rsidRPr="008C164C">
        <w:t xml:space="preserve">Table </w:t>
      </w:r>
      <w:r w:rsidR="00B25BFE">
        <w:fldChar w:fldCharType="begin" w:fldLock="1"/>
      </w:r>
      <w:r w:rsidR="00B25BFE">
        <w:instrText xml:space="preserve"> SEQ Table \* ARABIC </w:instrText>
      </w:r>
      <w:r w:rsidR="00B25BFE">
        <w:fldChar w:fldCharType="separate"/>
      </w:r>
      <w:r w:rsidR="00682506">
        <w:rPr>
          <w:noProof/>
        </w:rPr>
        <w:t>13</w:t>
      </w:r>
      <w:r w:rsidR="00B25BFE">
        <w:rPr>
          <w:noProof/>
        </w:rPr>
        <w:fldChar w:fldCharType="end"/>
      </w:r>
      <w:bookmarkEnd w:id="73"/>
      <w:r w:rsidRPr="008C164C">
        <w:rPr>
          <w:rStyle w:val="CommentReference"/>
          <w:b/>
          <w:szCs w:val="24"/>
        </w:rPr>
        <w:t>: Results of the economic evaluation (resubmission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564DFA" w:rsidRPr="008C164C" w14:paraId="08795556" w14:textId="77777777" w:rsidTr="00240629">
        <w:trPr>
          <w:tblHeader/>
        </w:trPr>
        <w:tc>
          <w:tcPr>
            <w:tcW w:w="1529" w:type="pct"/>
            <w:vAlign w:val="center"/>
          </w:tcPr>
          <w:p w14:paraId="7843B6AA" w14:textId="77777777" w:rsidR="00564DFA" w:rsidRPr="008C164C" w:rsidRDefault="00564DFA" w:rsidP="00240629">
            <w:pPr>
              <w:pStyle w:val="In-tableHeading"/>
              <w:rPr>
                <w:lang w:val="en-AU"/>
              </w:rPr>
            </w:pPr>
            <w:r w:rsidRPr="008C164C">
              <w:rPr>
                <w:lang w:val="en-AU"/>
              </w:rPr>
              <w:t>Component</w:t>
            </w:r>
          </w:p>
        </w:tc>
        <w:tc>
          <w:tcPr>
            <w:tcW w:w="1359" w:type="pct"/>
            <w:vAlign w:val="center"/>
          </w:tcPr>
          <w:p w14:paraId="58C38347" w14:textId="77777777" w:rsidR="00564DFA" w:rsidRPr="008C164C" w:rsidRDefault="00564DFA" w:rsidP="00240629">
            <w:pPr>
              <w:pStyle w:val="In-tableHeading"/>
              <w:jc w:val="center"/>
              <w:rPr>
                <w:lang w:val="en-AU"/>
              </w:rPr>
            </w:pPr>
            <w:r w:rsidRPr="008C164C">
              <w:rPr>
                <w:lang w:val="en-AU"/>
              </w:rPr>
              <w:t>LEN + OBR</w:t>
            </w:r>
          </w:p>
        </w:tc>
        <w:tc>
          <w:tcPr>
            <w:tcW w:w="1274" w:type="pct"/>
            <w:vAlign w:val="center"/>
          </w:tcPr>
          <w:p w14:paraId="5F902DCE" w14:textId="77777777" w:rsidR="00564DFA" w:rsidRPr="008C164C" w:rsidRDefault="00564DFA" w:rsidP="00240629">
            <w:pPr>
              <w:pStyle w:val="In-tableHeading"/>
              <w:jc w:val="center"/>
              <w:rPr>
                <w:lang w:val="en-AU"/>
              </w:rPr>
            </w:pPr>
            <w:r w:rsidRPr="008C164C">
              <w:rPr>
                <w:lang w:val="en-AU"/>
              </w:rPr>
              <w:t>OBR</w:t>
            </w:r>
          </w:p>
        </w:tc>
        <w:tc>
          <w:tcPr>
            <w:tcW w:w="838" w:type="pct"/>
            <w:vAlign w:val="center"/>
          </w:tcPr>
          <w:p w14:paraId="393A3112" w14:textId="77777777" w:rsidR="00564DFA" w:rsidRPr="008C164C" w:rsidRDefault="00564DFA" w:rsidP="00240629">
            <w:pPr>
              <w:pStyle w:val="In-tableHeading"/>
              <w:jc w:val="center"/>
              <w:rPr>
                <w:lang w:val="en-AU"/>
              </w:rPr>
            </w:pPr>
            <w:r w:rsidRPr="008C164C">
              <w:rPr>
                <w:lang w:val="en-AU"/>
              </w:rPr>
              <w:t>Increment</w:t>
            </w:r>
          </w:p>
        </w:tc>
      </w:tr>
      <w:tr w:rsidR="00564DFA" w:rsidRPr="008C164C" w14:paraId="6EB2D2DB" w14:textId="77777777" w:rsidTr="00240629">
        <w:tc>
          <w:tcPr>
            <w:tcW w:w="1529" w:type="pct"/>
            <w:vAlign w:val="center"/>
          </w:tcPr>
          <w:p w14:paraId="31CB76E5" w14:textId="79E89447" w:rsidR="00564DFA" w:rsidRPr="008C164C" w:rsidRDefault="00564DFA" w:rsidP="00240629">
            <w:pPr>
              <w:pStyle w:val="TableText0"/>
              <w:rPr>
                <w:rFonts w:ascii="Times" w:hAnsi="Times"/>
              </w:rPr>
            </w:pPr>
            <w:r w:rsidRPr="008C164C">
              <w:t>Costs</w:t>
            </w:r>
            <w:r w:rsidR="00D66751">
              <w:t xml:space="preserve"> ($)</w:t>
            </w:r>
          </w:p>
        </w:tc>
        <w:tc>
          <w:tcPr>
            <w:tcW w:w="1359" w:type="pct"/>
          </w:tcPr>
          <w:p w14:paraId="659D00F0" w14:textId="4965D020" w:rsidR="00564DFA" w:rsidRPr="008C164C" w:rsidRDefault="00851D33" w:rsidP="00240629">
            <w:pPr>
              <w:pStyle w:val="TableText0"/>
              <w:jc w:val="center"/>
            </w:pPr>
            <w:r>
              <w:t xml:space="preserve"> </w:t>
            </w:r>
            <w:r w:rsidRPr="00851D33">
              <w:rPr>
                <w:color w:val="000000"/>
                <w:shd w:val="solid" w:color="000000" w:fill="000000"/>
                <w14:textFill>
                  <w14:solidFill>
                    <w14:srgbClr w14:val="000000">
                      <w14:alpha w14:val="100000"/>
                    </w14:srgbClr>
                  </w14:solidFill>
                </w14:textFill>
              </w:rPr>
              <w:t>|</w:t>
            </w:r>
          </w:p>
        </w:tc>
        <w:tc>
          <w:tcPr>
            <w:tcW w:w="1274" w:type="pct"/>
          </w:tcPr>
          <w:p w14:paraId="5339D78B" w14:textId="77777777" w:rsidR="00564DFA" w:rsidRPr="008C164C" w:rsidRDefault="00564DFA" w:rsidP="00240629">
            <w:pPr>
              <w:pStyle w:val="TableText0"/>
              <w:jc w:val="center"/>
            </w:pPr>
            <w:r w:rsidRPr="008C164C">
              <w:t>$167,947</w:t>
            </w:r>
          </w:p>
        </w:tc>
        <w:tc>
          <w:tcPr>
            <w:tcW w:w="838" w:type="pct"/>
          </w:tcPr>
          <w:p w14:paraId="6D0EDFF6" w14:textId="39428F92" w:rsidR="00564DFA" w:rsidRPr="008C164C" w:rsidRDefault="00851D33" w:rsidP="00240629">
            <w:pPr>
              <w:pStyle w:val="TableText0"/>
              <w:jc w:val="center"/>
            </w:pPr>
            <w:r>
              <w:t xml:space="preserve"> </w:t>
            </w:r>
            <w:r w:rsidRPr="00851D33">
              <w:rPr>
                <w:color w:val="000000"/>
                <w:shd w:val="solid" w:color="000000" w:fill="000000"/>
                <w14:textFill>
                  <w14:solidFill>
                    <w14:srgbClr w14:val="000000">
                      <w14:alpha w14:val="100000"/>
                    </w14:srgbClr>
                  </w14:solidFill>
                </w14:textFill>
              </w:rPr>
              <w:t>|</w:t>
            </w:r>
          </w:p>
        </w:tc>
      </w:tr>
      <w:tr w:rsidR="00564DFA" w:rsidRPr="008C164C" w14:paraId="2D4F907F" w14:textId="77777777" w:rsidTr="00240629">
        <w:tc>
          <w:tcPr>
            <w:tcW w:w="1529" w:type="pct"/>
            <w:vAlign w:val="center"/>
          </w:tcPr>
          <w:p w14:paraId="5D500A60" w14:textId="77777777" w:rsidR="00564DFA" w:rsidRPr="008C164C" w:rsidRDefault="00564DFA" w:rsidP="00240629">
            <w:pPr>
              <w:pStyle w:val="TableText0"/>
              <w:rPr>
                <w:rFonts w:ascii="Times" w:hAnsi="Times"/>
              </w:rPr>
            </w:pPr>
            <w:r w:rsidRPr="008C164C">
              <w:t>LYs</w:t>
            </w:r>
          </w:p>
        </w:tc>
        <w:tc>
          <w:tcPr>
            <w:tcW w:w="1359" w:type="pct"/>
          </w:tcPr>
          <w:p w14:paraId="62AAF797" w14:textId="77777777" w:rsidR="00564DFA" w:rsidRPr="008C164C" w:rsidRDefault="00564DFA" w:rsidP="00240629">
            <w:pPr>
              <w:pStyle w:val="TableText0"/>
              <w:jc w:val="center"/>
              <w:rPr>
                <w:rFonts w:ascii="Times" w:hAnsi="Times"/>
                <w:bCs w:val="0"/>
              </w:rPr>
            </w:pPr>
            <w:r w:rsidRPr="008C164C">
              <w:rPr>
                <w:bCs w:val="0"/>
              </w:rPr>
              <w:t>10.85</w:t>
            </w:r>
          </w:p>
        </w:tc>
        <w:tc>
          <w:tcPr>
            <w:tcW w:w="1274" w:type="pct"/>
          </w:tcPr>
          <w:p w14:paraId="53E93937" w14:textId="77777777" w:rsidR="00564DFA" w:rsidRPr="008C164C" w:rsidRDefault="00564DFA" w:rsidP="00240629">
            <w:pPr>
              <w:pStyle w:val="TableText0"/>
              <w:jc w:val="center"/>
              <w:rPr>
                <w:rFonts w:ascii="Times" w:hAnsi="Times"/>
                <w:bCs w:val="0"/>
              </w:rPr>
            </w:pPr>
            <w:r w:rsidRPr="008C164C">
              <w:rPr>
                <w:bCs w:val="0"/>
              </w:rPr>
              <w:t>7.59</w:t>
            </w:r>
          </w:p>
        </w:tc>
        <w:tc>
          <w:tcPr>
            <w:tcW w:w="838" w:type="pct"/>
          </w:tcPr>
          <w:p w14:paraId="3544D942" w14:textId="77777777" w:rsidR="00564DFA" w:rsidRPr="008C164C" w:rsidRDefault="00564DFA" w:rsidP="00240629">
            <w:pPr>
              <w:pStyle w:val="TableText0"/>
              <w:jc w:val="center"/>
              <w:rPr>
                <w:bCs w:val="0"/>
              </w:rPr>
            </w:pPr>
            <w:r w:rsidRPr="008C164C">
              <w:rPr>
                <w:bCs w:val="0"/>
              </w:rPr>
              <w:t>3.26</w:t>
            </w:r>
          </w:p>
        </w:tc>
      </w:tr>
      <w:tr w:rsidR="00564DFA" w:rsidRPr="008C164C" w14:paraId="56872243" w14:textId="77777777" w:rsidTr="00240629">
        <w:tc>
          <w:tcPr>
            <w:tcW w:w="1529" w:type="pct"/>
            <w:vAlign w:val="center"/>
          </w:tcPr>
          <w:p w14:paraId="6067119B" w14:textId="77777777" w:rsidR="00564DFA" w:rsidRPr="008C164C" w:rsidRDefault="00564DFA" w:rsidP="00240629">
            <w:pPr>
              <w:pStyle w:val="TableText0"/>
            </w:pPr>
            <w:r w:rsidRPr="008C164C">
              <w:t>QALYs</w:t>
            </w:r>
          </w:p>
        </w:tc>
        <w:tc>
          <w:tcPr>
            <w:tcW w:w="1359" w:type="pct"/>
          </w:tcPr>
          <w:p w14:paraId="6D1B4D5C" w14:textId="77777777" w:rsidR="00564DFA" w:rsidRPr="008C164C" w:rsidRDefault="00564DFA" w:rsidP="00240629">
            <w:pPr>
              <w:pStyle w:val="TableText0"/>
              <w:jc w:val="center"/>
              <w:rPr>
                <w:bCs w:val="0"/>
              </w:rPr>
            </w:pPr>
            <w:r w:rsidRPr="008C164C">
              <w:rPr>
                <w:bCs w:val="0"/>
              </w:rPr>
              <w:t>9.47</w:t>
            </w:r>
          </w:p>
        </w:tc>
        <w:tc>
          <w:tcPr>
            <w:tcW w:w="1274" w:type="pct"/>
          </w:tcPr>
          <w:p w14:paraId="4B73AB65" w14:textId="77777777" w:rsidR="00564DFA" w:rsidRPr="008C164C" w:rsidRDefault="00564DFA" w:rsidP="00240629">
            <w:pPr>
              <w:pStyle w:val="TableText0"/>
              <w:jc w:val="center"/>
              <w:rPr>
                <w:bCs w:val="0"/>
              </w:rPr>
            </w:pPr>
            <w:r w:rsidRPr="008C164C">
              <w:rPr>
                <w:bCs w:val="0"/>
              </w:rPr>
              <w:t>6.37</w:t>
            </w:r>
          </w:p>
        </w:tc>
        <w:tc>
          <w:tcPr>
            <w:tcW w:w="838" w:type="pct"/>
          </w:tcPr>
          <w:p w14:paraId="2F832DF7" w14:textId="77777777" w:rsidR="00564DFA" w:rsidRPr="008C164C" w:rsidRDefault="00564DFA" w:rsidP="00240629">
            <w:pPr>
              <w:pStyle w:val="TableText0"/>
              <w:jc w:val="center"/>
              <w:rPr>
                <w:bCs w:val="0"/>
              </w:rPr>
            </w:pPr>
            <w:r w:rsidRPr="008C164C">
              <w:rPr>
                <w:bCs w:val="0"/>
              </w:rPr>
              <w:t>3.09</w:t>
            </w:r>
          </w:p>
        </w:tc>
      </w:tr>
      <w:tr w:rsidR="00564DFA" w:rsidRPr="008C164C" w14:paraId="7E007580" w14:textId="77777777" w:rsidTr="00240629">
        <w:tc>
          <w:tcPr>
            <w:tcW w:w="4162" w:type="pct"/>
            <w:gridSpan w:val="3"/>
            <w:vAlign w:val="center"/>
          </w:tcPr>
          <w:p w14:paraId="193A53C3" w14:textId="77777777" w:rsidR="00564DFA" w:rsidRPr="008C164C" w:rsidRDefault="00564DFA" w:rsidP="00240629">
            <w:pPr>
              <w:pStyle w:val="TableText0"/>
              <w:rPr>
                <w:rFonts w:ascii="Times" w:hAnsi="Times"/>
                <w:b/>
              </w:rPr>
            </w:pPr>
            <w:r w:rsidRPr="008C164C">
              <w:rPr>
                <w:b/>
              </w:rPr>
              <w:t>Incremental cost/extra QALY gained</w:t>
            </w:r>
          </w:p>
        </w:tc>
        <w:tc>
          <w:tcPr>
            <w:tcW w:w="838" w:type="pct"/>
            <w:vAlign w:val="center"/>
          </w:tcPr>
          <w:p w14:paraId="6DAC1722" w14:textId="7B9944A3" w:rsidR="00564DFA" w:rsidRPr="008C164C" w:rsidRDefault="00851D33" w:rsidP="00240629">
            <w:pPr>
              <w:pStyle w:val="TableText0"/>
              <w:jc w:val="center"/>
              <w:rPr>
                <w:rFonts w:ascii="Times" w:hAnsi="Times"/>
                <w:b/>
              </w:rPr>
            </w:pPr>
            <w:r>
              <w:rPr>
                <w:b/>
                <w:lang w:bidi="th-TH"/>
              </w:rPr>
              <w:t xml:space="preserve"> </w:t>
            </w:r>
            <w:r w:rsidRPr="00851D33">
              <w:rPr>
                <w:b/>
                <w:color w:val="000000"/>
                <w:spacing w:val="78"/>
                <w:shd w:val="solid" w:color="000000" w:fill="000000"/>
                <w:fitText w:val="170" w:id="-1032080629"/>
                <w:lang w:bidi="th-TH"/>
                <w14:textFill>
                  <w14:solidFill>
                    <w14:srgbClr w14:val="000000">
                      <w14:alpha w14:val="100000"/>
                    </w14:srgbClr>
                  </w14:solidFill>
                </w14:textFill>
              </w:rPr>
              <w:t>|</w:t>
            </w:r>
            <w:r w:rsidRPr="00851D33">
              <w:rPr>
                <w:b/>
                <w:color w:val="000000"/>
                <w:spacing w:val="1"/>
                <w:shd w:val="solid" w:color="000000" w:fill="000000"/>
                <w:fitText w:val="170" w:id="-1032080629"/>
                <w:lang w:bidi="th-TH"/>
                <w14:textFill>
                  <w14:solidFill>
                    <w14:srgbClr w14:val="000000">
                      <w14:alpha w14:val="100000"/>
                    </w14:srgbClr>
                  </w14:solidFill>
                </w14:textFill>
              </w:rPr>
              <w:t>|</w:t>
            </w:r>
            <w:r w:rsidR="00D66751" w:rsidRPr="00D66751">
              <w:rPr>
                <w:b/>
                <w:bCs w:val="0"/>
                <w:vertAlign w:val="superscript"/>
              </w:rPr>
              <w:t>1</w:t>
            </w:r>
            <w:r w:rsidR="00564DFA" w:rsidRPr="008C164C">
              <w:rPr>
                <w:b/>
                <w:lang w:bidi="th-TH"/>
              </w:rPr>
              <w:t>/QALY</w:t>
            </w:r>
          </w:p>
        </w:tc>
      </w:tr>
    </w:tbl>
    <w:p w14:paraId="72A89CF8" w14:textId="77777777" w:rsidR="00564DFA" w:rsidRPr="008C164C" w:rsidRDefault="00564DFA" w:rsidP="00564DFA">
      <w:pPr>
        <w:pStyle w:val="FooterTableFigure"/>
      </w:pPr>
      <w:r w:rsidRPr="008C164C">
        <w:t>Source: Table 3-7, p160 of the resubmission.</w:t>
      </w:r>
    </w:p>
    <w:p w14:paraId="499ABE78" w14:textId="413AF209" w:rsidR="00564DFA" w:rsidRDefault="00564DFA" w:rsidP="00564DFA">
      <w:pPr>
        <w:pStyle w:val="FooterTableFigure"/>
      </w:pPr>
      <w:r w:rsidRPr="008C164C">
        <w:t xml:space="preserve">LEN = </w:t>
      </w:r>
      <w:proofErr w:type="spellStart"/>
      <w:r w:rsidRPr="008C164C">
        <w:t>lenacapavir</w:t>
      </w:r>
      <w:proofErr w:type="spellEnd"/>
      <w:r w:rsidRPr="008C164C">
        <w:t xml:space="preserve">; LY = </w:t>
      </w:r>
      <w:r w:rsidR="00936593" w:rsidRPr="008C164C">
        <w:t>life year</w:t>
      </w:r>
      <w:r w:rsidRPr="008C164C">
        <w:t xml:space="preserve">; OBR = optimised background regimen; QALY = quality adjusted </w:t>
      </w:r>
      <w:r w:rsidR="00936593" w:rsidRPr="008C164C">
        <w:t>life year</w:t>
      </w:r>
    </w:p>
    <w:p w14:paraId="0D64091B" w14:textId="27E30554" w:rsidR="00D66751" w:rsidRPr="00D66751" w:rsidRDefault="00D66751" w:rsidP="00564DFA">
      <w:pPr>
        <w:pStyle w:val="FooterTableFigure"/>
        <w:rPr>
          <w:i/>
          <w:iCs/>
        </w:rPr>
      </w:pPr>
      <w:r w:rsidRPr="00D66751">
        <w:rPr>
          <w:i/>
          <w:iCs/>
        </w:rPr>
        <w:t>The redacted values correspond to the following ranges:</w:t>
      </w:r>
    </w:p>
    <w:p w14:paraId="4B504061" w14:textId="6D8895C7" w:rsidR="00D66751" w:rsidRPr="00D66751" w:rsidRDefault="00D66751" w:rsidP="00564DFA">
      <w:pPr>
        <w:pStyle w:val="FooterTableFigure"/>
        <w:rPr>
          <w:i/>
          <w:iCs/>
        </w:rPr>
      </w:pPr>
      <w:r w:rsidRPr="00D66751">
        <w:rPr>
          <w:i/>
          <w:iCs/>
          <w:vertAlign w:val="superscript"/>
        </w:rPr>
        <w:t>1</w:t>
      </w:r>
      <w:r w:rsidRPr="00D66751">
        <w:rPr>
          <w:i/>
          <w:iCs/>
        </w:rPr>
        <w:t xml:space="preserve"> $75,000 to &lt; $95,000</w:t>
      </w:r>
    </w:p>
    <w:p w14:paraId="43BD947F" w14:textId="4BC5F348" w:rsidR="00564DFA" w:rsidRPr="008C164C" w:rsidRDefault="00564DFA" w:rsidP="00564DFA">
      <w:pPr>
        <w:pStyle w:val="TableFigureHeading"/>
        <w:rPr>
          <w:rStyle w:val="CommentReference"/>
          <w:b/>
          <w:szCs w:val="24"/>
        </w:rPr>
      </w:pPr>
      <w:bookmarkStart w:id="74" w:name="_Ref104805181"/>
      <w:r w:rsidRPr="008C164C">
        <w:lastRenderedPageBreak/>
        <w:t xml:space="preserve">Table </w:t>
      </w:r>
      <w:r w:rsidR="00B25BFE">
        <w:fldChar w:fldCharType="begin" w:fldLock="1"/>
      </w:r>
      <w:r w:rsidR="00B25BFE">
        <w:instrText xml:space="preserve"> SEQ Table \* ARABIC </w:instrText>
      </w:r>
      <w:r w:rsidR="00B25BFE">
        <w:fldChar w:fldCharType="separate"/>
      </w:r>
      <w:r w:rsidR="00682506">
        <w:rPr>
          <w:noProof/>
        </w:rPr>
        <w:t>14</w:t>
      </w:r>
      <w:r w:rsidR="00B25BFE">
        <w:rPr>
          <w:noProof/>
        </w:rPr>
        <w:fldChar w:fldCharType="end"/>
      </w:r>
      <w:bookmarkEnd w:id="74"/>
      <w:r w:rsidRPr="008C164C">
        <w:rPr>
          <w:rStyle w:val="CommentReference"/>
          <w:b/>
          <w:szCs w:val="24"/>
        </w:rPr>
        <w:t>: Results of the economic evaluation (</w:t>
      </w:r>
      <w:r w:rsidR="005B1642" w:rsidRPr="008C164C">
        <w:rPr>
          <w:rStyle w:val="CommentReference"/>
          <w:b/>
          <w:szCs w:val="24"/>
        </w:rPr>
        <w:t>a</w:t>
      </w:r>
      <w:r w:rsidRPr="008C164C">
        <w:rPr>
          <w:rStyle w:val="CommentReference"/>
          <w:b/>
          <w:szCs w:val="24"/>
        </w:rPr>
        <w:t>lternative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564DFA" w:rsidRPr="008C164C" w14:paraId="1951E383" w14:textId="77777777" w:rsidTr="00240629">
        <w:trPr>
          <w:tblHeader/>
        </w:trPr>
        <w:tc>
          <w:tcPr>
            <w:tcW w:w="1529" w:type="pct"/>
            <w:vAlign w:val="center"/>
          </w:tcPr>
          <w:p w14:paraId="5AF69F9B" w14:textId="77777777" w:rsidR="00564DFA" w:rsidRPr="008C164C" w:rsidRDefault="00564DFA" w:rsidP="00240629">
            <w:pPr>
              <w:pStyle w:val="In-tableHeading"/>
              <w:rPr>
                <w:lang w:val="en-AU"/>
              </w:rPr>
            </w:pPr>
            <w:r w:rsidRPr="008C164C">
              <w:rPr>
                <w:lang w:val="en-AU"/>
              </w:rPr>
              <w:t>Component</w:t>
            </w:r>
          </w:p>
        </w:tc>
        <w:tc>
          <w:tcPr>
            <w:tcW w:w="1359" w:type="pct"/>
            <w:vAlign w:val="center"/>
          </w:tcPr>
          <w:p w14:paraId="4255E47C" w14:textId="77777777" w:rsidR="00564DFA" w:rsidRPr="008C164C" w:rsidRDefault="00564DFA" w:rsidP="00240629">
            <w:pPr>
              <w:pStyle w:val="In-tableHeading"/>
              <w:jc w:val="center"/>
              <w:rPr>
                <w:lang w:val="en-AU"/>
              </w:rPr>
            </w:pPr>
            <w:r w:rsidRPr="008C164C">
              <w:rPr>
                <w:lang w:val="en-AU"/>
              </w:rPr>
              <w:t>LEN + OBR</w:t>
            </w:r>
          </w:p>
        </w:tc>
        <w:tc>
          <w:tcPr>
            <w:tcW w:w="1274" w:type="pct"/>
            <w:vAlign w:val="center"/>
          </w:tcPr>
          <w:p w14:paraId="742B4774" w14:textId="77777777" w:rsidR="00564DFA" w:rsidRPr="008C164C" w:rsidRDefault="00564DFA" w:rsidP="00240629">
            <w:pPr>
              <w:pStyle w:val="In-tableHeading"/>
              <w:jc w:val="center"/>
              <w:rPr>
                <w:lang w:val="en-AU"/>
              </w:rPr>
            </w:pPr>
            <w:r w:rsidRPr="008C164C">
              <w:rPr>
                <w:lang w:val="en-AU"/>
              </w:rPr>
              <w:t>OBR</w:t>
            </w:r>
          </w:p>
        </w:tc>
        <w:tc>
          <w:tcPr>
            <w:tcW w:w="838" w:type="pct"/>
            <w:vAlign w:val="center"/>
          </w:tcPr>
          <w:p w14:paraId="3B612840" w14:textId="77777777" w:rsidR="00564DFA" w:rsidRPr="008C164C" w:rsidRDefault="00564DFA" w:rsidP="00240629">
            <w:pPr>
              <w:pStyle w:val="In-tableHeading"/>
              <w:jc w:val="center"/>
              <w:rPr>
                <w:lang w:val="en-AU"/>
              </w:rPr>
            </w:pPr>
            <w:r w:rsidRPr="008C164C">
              <w:rPr>
                <w:lang w:val="en-AU"/>
              </w:rPr>
              <w:t>Increment</w:t>
            </w:r>
          </w:p>
        </w:tc>
      </w:tr>
      <w:tr w:rsidR="00564DFA" w:rsidRPr="008C164C" w14:paraId="210C7802" w14:textId="77777777" w:rsidTr="00240629">
        <w:tc>
          <w:tcPr>
            <w:tcW w:w="1529" w:type="pct"/>
            <w:vAlign w:val="center"/>
          </w:tcPr>
          <w:p w14:paraId="7591DE45" w14:textId="1060E1AB" w:rsidR="00564DFA" w:rsidRPr="008C164C" w:rsidRDefault="00564DFA" w:rsidP="00240629">
            <w:pPr>
              <w:pStyle w:val="TableText0"/>
              <w:rPr>
                <w:rFonts w:ascii="Times" w:hAnsi="Times"/>
              </w:rPr>
            </w:pPr>
            <w:r w:rsidRPr="008C164C">
              <w:t>Costs</w:t>
            </w:r>
            <w:r w:rsidR="00D66751">
              <w:t xml:space="preserve"> ($)</w:t>
            </w:r>
          </w:p>
        </w:tc>
        <w:tc>
          <w:tcPr>
            <w:tcW w:w="1359" w:type="pct"/>
            <w:vAlign w:val="center"/>
          </w:tcPr>
          <w:p w14:paraId="7808FA6B" w14:textId="7C3BF082" w:rsidR="00564DFA" w:rsidRPr="008C164C" w:rsidRDefault="00851D33" w:rsidP="00240629">
            <w:pPr>
              <w:pStyle w:val="TableText0"/>
              <w:jc w:val="center"/>
            </w:pPr>
            <w:r>
              <w:rPr>
                <w:rFonts w:cs="Arial"/>
                <w:color w:val="000000"/>
                <w:szCs w:val="20"/>
              </w:rPr>
              <w:t xml:space="preserve"> </w:t>
            </w:r>
            <w:r w:rsidRPr="00851D33">
              <w:rPr>
                <w:rFonts w:cs="Arial"/>
                <w:color w:val="000000"/>
                <w:szCs w:val="20"/>
                <w:shd w:val="solid" w:color="000000" w:fill="000000"/>
                <w14:textFill>
                  <w14:solidFill>
                    <w14:srgbClr w14:val="000000">
                      <w14:alpha w14:val="100000"/>
                    </w14:srgbClr>
                  </w14:solidFill>
                </w14:textFill>
              </w:rPr>
              <w:t>|</w:t>
            </w:r>
          </w:p>
        </w:tc>
        <w:tc>
          <w:tcPr>
            <w:tcW w:w="1274" w:type="pct"/>
            <w:vAlign w:val="center"/>
          </w:tcPr>
          <w:p w14:paraId="0B7BD6BB" w14:textId="77777777" w:rsidR="00564DFA" w:rsidRPr="008C164C" w:rsidRDefault="00564DFA" w:rsidP="00240629">
            <w:pPr>
              <w:pStyle w:val="TableText0"/>
              <w:jc w:val="center"/>
            </w:pPr>
            <w:r w:rsidRPr="008C164C">
              <w:rPr>
                <w:rFonts w:cs="Arial"/>
                <w:color w:val="000000"/>
                <w:szCs w:val="20"/>
              </w:rPr>
              <w:t>$198,909</w:t>
            </w:r>
          </w:p>
        </w:tc>
        <w:tc>
          <w:tcPr>
            <w:tcW w:w="838" w:type="pct"/>
            <w:vAlign w:val="center"/>
          </w:tcPr>
          <w:p w14:paraId="28E98127" w14:textId="4CAB8BD3" w:rsidR="00564DFA" w:rsidRPr="008C164C" w:rsidRDefault="00851D33" w:rsidP="00240629">
            <w:pPr>
              <w:pStyle w:val="TableText0"/>
              <w:jc w:val="center"/>
            </w:pPr>
            <w:r>
              <w:rPr>
                <w:rFonts w:cs="Arial"/>
                <w:color w:val="000000"/>
                <w:szCs w:val="20"/>
              </w:rPr>
              <w:t xml:space="preserve"> </w:t>
            </w:r>
            <w:r w:rsidRPr="00851D33">
              <w:rPr>
                <w:rFonts w:cs="Arial"/>
                <w:color w:val="000000"/>
                <w:szCs w:val="20"/>
                <w:shd w:val="solid" w:color="000000" w:fill="000000"/>
                <w14:textFill>
                  <w14:solidFill>
                    <w14:srgbClr w14:val="000000">
                      <w14:alpha w14:val="100000"/>
                    </w14:srgbClr>
                  </w14:solidFill>
                </w14:textFill>
              </w:rPr>
              <w:t>|</w:t>
            </w:r>
          </w:p>
        </w:tc>
      </w:tr>
      <w:tr w:rsidR="00564DFA" w:rsidRPr="008C164C" w14:paraId="6E48695C" w14:textId="77777777" w:rsidTr="00240629">
        <w:trPr>
          <w:trHeight w:val="87"/>
        </w:trPr>
        <w:tc>
          <w:tcPr>
            <w:tcW w:w="1529" w:type="pct"/>
            <w:vAlign w:val="center"/>
          </w:tcPr>
          <w:p w14:paraId="76649919" w14:textId="77777777" w:rsidR="00564DFA" w:rsidRPr="008C164C" w:rsidRDefault="00564DFA" w:rsidP="00240629">
            <w:pPr>
              <w:pStyle w:val="TableText0"/>
              <w:rPr>
                <w:rFonts w:ascii="Times" w:hAnsi="Times"/>
              </w:rPr>
            </w:pPr>
            <w:r w:rsidRPr="008C164C">
              <w:t>LYs</w:t>
            </w:r>
          </w:p>
        </w:tc>
        <w:tc>
          <w:tcPr>
            <w:tcW w:w="1359" w:type="pct"/>
            <w:vAlign w:val="center"/>
          </w:tcPr>
          <w:p w14:paraId="0C525304" w14:textId="77777777" w:rsidR="00564DFA" w:rsidRPr="008C164C" w:rsidRDefault="00564DFA" w:rsidP="00240629">
            <w:pPr>
              <w:pStyle w:val="TableText0"/>
              <w:jc w:val="center"/>
              <w:rPr>
                <w:rFonts w:ascii="Times" w:hAnsi="Times"/>
              </w:rPr>
            </w:pPr>
            <w:r w:rsidRPr="008C164C">
              <w:rPr>
                <w:rFonts w:cs="Arial"/>
                <w:color w:val="000000"/>
                <w:szCs w:val="20"/>
              </w:rPr>
              <w:t>10.92</w:t>
            </w:r>
          </w:p>
        </w:tc>
        <w:tc>
          <w:tcPr>
            <w:tcW w:w="1274" w:type="pct"/>
            <w:vAlign w:val="center"/>
          </w:tcPr>
          <w:p w14:paraId="4D47688A" w14:textId="77777777" w:rsidR="00564DFA" w:rsidRPr="008C164C" w:rsidRDefault="00564DFA" w:rsidP="00240629">
            <w:pPr>
              <w:pStyle w:val="TableText0"/>
              <w:jc w:val="center"/>
              <w:rPr>
                <w:rFonts w:ascii="Times" w:hAnsi="Times"/>
              </w:rPr>
            </w:pPr>
            <w:r w:rsidRPr="008C164C">
              <w:rPr>
                <w:rFonts w:cs="Arial"/>
                <w:color w:val="000000"/>
                <w:szCs w:val="20"/>
              </w:rPr>
              <w:t>8.99</w:t>
            </w:r>
          </w:p>
        </w:tc>
        <w:tc>
          <w:tcPr>
            <w:tcW w:w="838" w:type="pct"/>
            <w:vAlign w:val="center"/>
          </w:tcPr>
          <w:p w14:paraId="478256CA" w14:textId="77777777" w:rsidR="00564DFA" w:rsidRPr="008C164C" w:rsidRDefault="00564DFA" w:rsidP="00240629">
            <w:pPr>
              <w:pStyle w:val="TableText0"/>
              <w:jc w:val="center"/>
            </w:pPr>
            <w:r w:rsidRPr="008C164C">
              <w:rPr>
                <w:rFonts w:cs="Arial"/>
                <w:color w:val="000000"/>
                <w:szCs w:val="20"/>
              </w:rPr>
              <w:t>1.93</w:t>
            </w:r>
          </w:p>
        </w:tc>
      </w:tr>
      <w:tr w:rsidR="00564DFA" w:rsidRPr="008C164C" w14:paraId="2F8ADF82" w14:textId="77777777" w:rsidTr="00240629">
        <w:tc>
          <w:tcPr>
            <w:tcW w:w="1529" w:type="pct"/>
            <w:vAlign w:val="center"/>
          </w:tcPr>
          <w:p w14:paraId="6AFED06D" w14:textId="77777777" w:rsidR="00564DFA" w:rsidRPr="008C164C" w:rsidRDefault="00564DFA" w:rsidP="00240629">
            <w:pPr>
              <w:pStyle w:val="TableText0"/>
            </w:pPr>
            <w:r w:rsidRPr="008C164C">
              <w:t>QALYs</w:t>
            </w:r>
          </w:p>
        </w:tc>
        <w:tc>
          <w:tcPr>
            <w:tcW w:w="1359" w:type="pct"/>
            <w:vAlign w:val="center"/>
          </w:tcPr>
          <w:p w14:paraId="4C8ED5EA" w14:textId="77777777" w:rsidR="00564DFA" w:rsidRPr="008C164C" w:rsidRDefault="00564DFA" w:rsidP="00240629">
            <w:pPr>
              <w:pStyle w:val="TableText0"/>
              <w:jc w:val="center"/>
            </w:pPr>
            <w:r w:rsidRPr="008C164C">
              <w:rPr>
                <w:rFonts w:cs="Arial"/>
                <w:color w:val="000000"/>
                <w:szCs w:val="20"/>
              </w:rPr>
              <w:t>9.52</w:t>
            </w:r>
          </w:p>
        </w:tc>
        <w:tc>
          <w:tcPr>
            <w:tcW w:w="1274" w:type="pct"/>
            <w:vAlign w:val="center"/>
          </w:tcPr>
          <w:p w14:paraId="1EB156A4" w14:textId="77777777" w:rsidR="00564DFA" w:rsidRPr="008C164C" w:rsidRDefault="00564DFA" w:rsidP="00240629">
            <w:pPr>
              <w:pStyle w:val="TableText0"/>
              <w:jc w:val="center"/>
            </w:pPr>
            <w:r w:rsidRPr="008C164C">
              <w:rPr>
                <w:rFonts w:cs="Arial"/>
                <w:color w:val="000000"/>
                <w:szCs w:val="20"/>
              </w:rPr>
              <w:t>7.65</w:t>
            </w:r>
          </w:p>
        </w:tc>
        <w:tc>
          <w:tcPr>
            <w:tcW w:w="838" w:type="pct"/>
            <w:vAlign w:val="center"/>
          </w:tcPr>
          <w:p w14:paraId="145582E2" w14:textId="77777777" w:rsidR="00564DFA" w:rsidRPr="008C164C" w:rsidRDefault="00564DFA" w:rsidP="00240629">
            <w:pPr>
              <w:pStyle w:val="TableText0"/>
              <w:jc w:val="center"/>
            </w:pPr>
            <w:r w:rsidRPr="008C164C">
              <w:rPr>
                <w:rFonts w:cs="Arial"/>
                <w:color w:val="000000"/>
                <w:szCs w:val="20"/>
              </w:rPr>
              <w:t>1.87</w:t>
            </w:r>
          </w:p>
        </w:tc>
      </w:tr>
      <w:tr w:rsidR="00564DFA" w:rsidRPr="008C164C" w14:paraId="5B362B80" w14:textId="77777777" w:rsidTr="00240629">
        <w:tc>
          <w:tcPr>
            <w:tcW w:w="4162" w:type="pct"/>
            <w:gridSpan w:val="3"/>
            <w:vAlign w:val="center"/>
          </w:tcPr>
          <w:p w14:paraId="7DAD5C09" w14:textId="77777777" w:rsidR="00564DFA" w:rsidRPr="008C164C" w:rsidRDefault="00564DFA" w:rsidP="00240629">
            <w:pPr>
              <w:pStyle w:val="TableText0"/>
              <w:rPr>
                <w:rFonts w:ascii="Times" w:hAnsi="Times"/>
                <w:b/>
              </w:rPr>
            </w:pPr>
            <w:r w:rsidRPr="008C164C">
              <w:rPr>
                <w:b/>
              </w:rPr>
              <w:t>Incremental cost/extra QALY gained</w:t>
            </w:r>
          </w:p>
        </w:tc>
        <w:tc>
          <w:tcPr>
            <w:tcW w:w="838" w:type="pct"/>
            <w:vAlign w:val="center"/>
          </w:tcPr>
          <w:p w14:paraId="7EB0AEFD" w14:textId="3C5D581A" w:rsidR="00564DFA" w:rsidRPr="008C164C" w:rsidRDefault="00851D33" w:rsidP="00240629">
            <w:pPr>
              <w:pStyle w:val="TableText0"/>
              <w:jc w:val="center"/>
              <w:rPr>
                <w:b/>
                <w:bCs w:val="0"/>
              </w:rPr>
            </w:pPr>
            <w:r>
              <w:rPr>
                <w:b/>
                <w:bCs w:val="0"/>
              </w:rPr>
              <w:t xml:space="preserve"> </w:t>
            </w:r>
            <w:r w:rsidRPr="00851D33">
              <w:rPr>
                <w:b/>
                <w:bCs w:val="0"/>
                <w:color w:val="000000"/>
                <w:spacing w:val="98"/>
                <w:shd w:val="solid" w:color="000000" w:fill="000000"/>
                <w:fitText w:val="190" w:id="-1032080628"/>
                <w14:textFill>
                  <w14:solidFill>
                    <w14:srgbClr w14:val="000000">
                      <w14:alpha w14:val="100000"/>
                    </w14:srgbClr>
                  </w14:solidFill>
                </w14:textFill>
              </w:rPr>
              <w:t>|</w:t>
            </w:r>
            <w:r w:rsidRPr="00851D33">
              <w:rPr>
                <w:b/>
                <w:bCs w:val="0"/>
                <w:color w:val="000000"/>
                <w:spacing w:val="1"/>
                <w:shd w:val="solid" w:color="000000" w:fill="000000"/>
                <w:fitText w:val="190" w:id="-1032080628"/>
                <w14:textFill>
                  <w14:solidFill>
                    <w14:srgbClr w14:val="000000">
                      <w14:alpha w14:val="100000"/>
                    </w14:srgbClr>
                  </w14:solidFill>
                </w14:textFill>
              </w:rPr>
              <w:t>|</w:t>
            </w:r>
            <w:r w:rsidR="00D66751">
              <w:rPr>
                <w:vertAlign w:val="superscript"/>
              </w:rPr>
              <w:t>1</w:t>
            </w:r>
            <w:r w:rsidR="00A4090B">
              <w:rPr>
                <w:b/>
                <w:bCs w:val="0"/>
              </w:rPr>
              <w:t xml:space="preserve"> </w:t>
            </w:r>
            <w:r w:rsidR="00564DFA" w:rsidRPr="008C164C">
              <w:rPr>
                <w:b/>
                <w:bCs w:val="0"/>
              </w:rPr>
              <w:t>/QALY</w:t>
            </w:r>
          </w:p>
        </w:tc>
      </w:tr>
    </w:tbl>
    <w:p w14:paraId="482FB6A0" w14:textId="77777777" w:rsidR="00564DFA" w:rsidRPr="008C164C" w:rsidRDefault="00564DFA" w:rsidP="00564DFA">
      <w:pPr>
        <w:pStyle w:val="FooterTableFigure"/>
      </w:pPr>
      <w:r w:rsidRPr="008C164C">
        <w:t xml:space="preserve">Source: constructed during the evaluation by applying extrapolation from model initiation in attached economic model. </w:t>
      </w:r>
    </w:p>
    <w:p w14:paraId="697DEBE5" w14:textId="50D353DC" w:rsidR="00564DFA" w:rsidRDefault="00564DFA" w:rsidP="00564DFA">
      <w:pPr>
        <w:pStyle w:val="FooterTableFigure"/>
      </w:pPr>
      <w:r w:rsidRPr="008C164C">
        <w:t xml:space="preserve">LEN = </w:t>
      </w:r>
      <w:proofErr w:type="spellStart"/>
      <w:r w:rsidRPr="008C164C">
        <w:t>lenacapavir</w:t>
      </w:r>
      <w:proofErr w:type="spellEnd"/>
      <w:r w:rsidRPr="008C164C">
        <w:t xml:space="preserve">; LY = </w:t>
      </w:r>
      <w:r w:rsidR="00936593" w:rsidRPr="008C164C">
        <w:t>life year</w:t>
      </w:r>
      <w:r w:rsidRPr="008C164C">
        <w:t xml:space="preserve">; OBR = optimised background regimen; QALY = quality adjusted </w:t>
      </w:r>
      <w:r w:rsidR="00936593" w:rsidRPr="008C164C">
        <w:t>life year</w:t>
      </w:r>
    </w:p>
    <w:p w14:paraId="56450712" w14:textId="13DCC502" w:rsidR="00D66751" w:rsidRPr="00D66751" w:rsidRDefault="00D66751" w:rsidP="00564DFA">
      <w:pPr>
        <w:pStyle w:val="FooterTableFigure"/>
        <w:rPr>
          <w:i/>
          <w:iCs/>
        </w:rPr>
      </w:pPr>
      <w:r w:rsidRPr="00D66751">
        <w:rPr>
          <w:i/>
          <w:iCs/>
        </w:rPr>
        <w:t>The redacted values correspond to the following ranges:</w:t>
      </w:r>
    </w:p>
    <w:p w14:paraId="177E90E8" w14:textId="78016BF8" w:rsidR="00D66751" w:rsidRPr="00D66751" w:rsidRDefault="00D66751" w:rsidP="00564DFA">
      <w:pPr>
        <w:pStyle w:val="FooterTableFigure"/>
        <w:rPr>
          <w:i/>
          <w:iCs/>
        </w:rPr>
      </w:pPr>
      <w:r w:rsidRPr="00D66751">
        <w:rPr>
          <w:i/>
          <w:iCs/>
          <w:vertAlign w:val="superscript"/>
        </w:rPr>
        <w:t>1</w:t>
      </w:r>
      <w:r w:rsidRPr="00D66751">
        <w:rPr>
          <w:i/>
          <w:iCs/>
        </w:rPr>
        <w:t xml:space="preserve"> $115,000 to &lt; $135,000</w:t>
      </w:r>
    </w:p>
    <w:p w14:paraId="57B7887C" w14:textId="7E341CCB" w:rsidR="00564DFA" w:rsidRPr="008C164C" w:rsidRDefault="00564DFA" w:rsidP="00564DFA">
      <w:pPr>
        <w:pStyle w:val="3-BodyText"/>
      </w:pPr>
      <w:r w:rsidRPr="008C164C">
        <w:t xml:space="preserve">For comparison, the results from the previous submission are presented in </w:t>
      </w:r>
      <w:r w:rsidR="00D312C8" w:rsidRPr="008C164C">
        <w:fldChar w:fldCharType="begin" w:fldLock="1"/>
      </w:r>
      <w:r w:rsidR="00D312C8" w:rsidRPr="008C164C">
        <w:instrText xml:space="preserve"> REF _Ref142648176 \h  \* MERGEFORMAT </w:instrText>
      </w:r>
      <w:r w:rsidR="00D312C8" w:rsidRPr="008C164C">
        <w:fldChar w:fldCharType="separate"/>
      </w:r>
      <w:r w:rsidR="00682506" w:rsidRPr="008C164C">
        <w:t xml:space="preserve">Table </w:t>
      </w:r>
      <w:r w:rsidR="00682506">
        <w:t>15</w:t>
      </w:r>
      <w:r w:rsidR="00D312C8" w:rsidRPr="008C164C">
        <w:fldChar w:fldCharType="end"/>
      </w:r>
      <w:r w:rsidR="00D312C8" w:rsidRPr="008C164C">
        <w:t xml:space="preserve"> </w:t>
      </w:r>
      <w:r w:rsidRPr="008C164C">
        <w:t>.</w:t>
      </w:r>
    </w:p>
    <w:p w14:paraId="7A8E84AC" w14:textId="348C3502" w:rsidR="00564DFA" w:rsidRPr="008C164C" w:rsidRDefault="00564DFA" w:rsidP="002F5D8C">
      <w:pPr>
        <w:pStyle w:val="TableFigureHeading"/>
        <w:keepLines/>
        <w:rPr>
          <w:rStyle w:val="CommentReference"/>
          <w:b/>
          <w:bCs w:val="0"/>
        </w:rPr>
      </w:pPr>
      <w:bookmarkStart w:id="75" w:name="_Ref142648176"/>
      <w:r w:rsidRPr="008C164C">
        <w:t xml:space="preserve">Table </w:t>
      </w:r>
      <w:r w:rsidR="00B25BFE">
        <w:fldChar w:fldCharType="begin" w:fldLock="1"/>
      </w:r>
      <w:r w:rsidR="00B25BFE">
        <w:instrText xml:space="preserve"> SEQ Table \* ARABIC </w:instrText>
      </w:r>
      <w:r w:rsidR="00B25BFE">
        <w:fldChar w:fldCharType="separate"/>
      </w:r>
      <w:r w:rsidR="00682506">
        <w:rPr>
          <w:noProof/>
        </w:rPr>
        <w:t>15</w:t>
      </w:r>
      <w:r w:rsidR="00B25BFE">
        <w:rPr>
          <w:noProof/>
        </w:rPr>
        <w:fldChar w:fldCharType="end"/>
      </w:r>
      <w:bookmarkEnd w:id="75"/>
      <w:r w:rsidRPr="008C164C">
        <w:rPr>
          <w:rStyle w:val="CommentReference"/>
          <w:b/>
          <w:bCs w:val="0"/>
        </w:rPr>
        <w:t>: Results of the economic evaluation from November 2022</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59"/>
        <w:gridCol w:w="2379"/>
        <w:gridCol w:w="2269"/>
        <w:gridCol w:w="1560"/>
      </w:tblGrid>
      <w:tr w:rsidR="00564DFA" w:rsidRPr="008C164C" w14:paraId="23B1ED2D" w14:textId="77777777" w:rsidTr="00240629">
        <w:trPr>
          <w:tblHeader/>
        </w:trPr>
        <w:tc>
          <w:tcPr>
            <w:tcW w:w="1577" w:type="pct"/>
            <w:tcBorders>
              <w:top w:val="single" w:sz="4" w:space="0" w:color="auto"/>
              <w:left w:val="single" w:sz="4" w:space="0" w:color="auto"/>
              <w:bottom w:val="single" w:sz="4" w:space="0" w:color="auto"/>
              <w:right w:val="single" w:sz="4" w:space="0" w:color="auto"/>
            </w:tcBorders>
            <w:vAlign w:val="center"/>
            <w:hideMark/>
          </w:tcPr>
          <w:p w14:paraId="4884A9FA" w14:textId="77777777" w:rsidR="00564DFA" w:rsidRPr="008C164C" w:rsidRDefault="00564DFA" w:rsidP="002F5D8C">
            <w:pPr>
              <w:pStyle w:val="In-tableHeading"/>
              <w:keepLines/>
              <w:rPr>
                <w:lang w:val="en-AU"/>
              </w:rPr>
            </w:pPr>
            <w:r w:rsidRPr="008C164C">
              <w:rPr>
                <w:lang w:val="en-AU"/>
              </w:rPr>
              <w:t>Component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2479C073" w14:textId="77777777" w:rsidR="00564DFA" w:rsidRPr="008C164C" w:rsidRDefault="00564DFA" w:rsidP="002F5D8C">
            <w:pPr>
              <w:pStyle w:val="In-tableHeading"/>
              <w:keepLines/>
              <w:jc w:val="center"/>
              <w:rPr>
                <w:lang w:val="en-AU"/>
              </w:rPr>
            </w:pPr>
            <w:r w:rsidRPr="008C164C">
              <w:rPr>
                <w:lang w:val="en-AU"/>
              </w:rPr>
              <w:t>LEN + OBR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DD8D371" w14:textId="77777777" w:rsidR="00564DFA" w:rsidRPr="008C164C" w:rsidRDefault="00564DFA" w:rsidP="002F5D8C">
            <w:pPr>
              <w:pStyle w:val="In-tableHeading"/>
              <w:keepLines/>
              <w:jc w:val="center"/>
              <w:rPr>
                <w:lang w:val="en-AU"/>
              </w:rPr>
            </w:pPr>
            <w:r w:rsidRPr="008C164C">
              <w:rPr>
                <w:lang w:val="en-AU"/>
              </w:rPr>
              <w:t>OBR</w:t>
            </w:r>
          </w:p>
        </w:tc>
        <w:tc>
          <w:tcPr>
            <w:tcW w:w="860" w:type="pct"/>
            <w:tcBorders>
              <w:top w:val="single" w:sz="4" w:space="0" w:color="auto"/>
              <w:left w:val="single" w:sz="4" w:space="0" w:color="auto"/>
              <w:bottom w:val="single" w:sz="4" w:space="0" w:color="auto"/>
              <w:right w:val="single" w:sz="4" w:space="0" w:color="auto"/>
            </w:tcBorders>
            <w:vAlign w:val="center"/>
            <w:hideMark/>
          </w:tcPr>
          <w:p w14:paraId="323483D2" w14:textId="77777777" w:rsidR="00564DFA" w:rsidRPr="008C164C" w:rsidRDefault="00564DFA" w:rsidP="002F5D8C">
            <w:pPr>
              <w:pStyle w:val="In-tableHeading"/>
              <w:keepLines/>
              <w:jc w:val="center"/>
              <w:rPr>
                <w:lang w:val="en-AU"/>
              </w:rPr>
            </w:pPr>
            <w:r w:rsidRPr="008C164C">
              <w:rPr>
                <w:lang w:val="en-AU"/>
              </w:rPr>
              <w:t>Increment</w:t>
            </w:r>
          </w:p>
        </w:tc>
      </w:tr>
      <w:tr w:rsidR="00564DFA" w:rsidRPr="008C164C" w14:paraId="198B8B8C" w14:textId="77777777" w:rsidTr="00240629">
        <w:tc>
          <w:tcPr>
            <w:tcW w:w="1577" w:type="pct"/>
            <w:tcBorders>
              <w:top w:val="single" w:sz="4" w:space="0" w:color="auto"/>
              <w:left w:val="single" w:sz="4" w:space="0" w:color="auto"/>
              <w:bottom w:val="single" w:sz="4" w:space="0" w:color="auto"/>
              <w:right w:val="single" w:sz="4" w:space="0" w:color="auto"/>
            </w:tcBorders>
            <w:vAlign w:val="center"/>
            <w:hideMark/>
          </w:tcPr>
          <w:p w14:paraId="7BE4A1AC" w14:textId="77777777" w:rsidR="00564DFA" w:rsidRPr="008C164C" w:rsidRDefault="00564DFA" w:rsidP="002F5D8C">
            <w:pPr>
              <w:pStyle w:val="TableText0"/>
              <w:keepLines/>
              <w:rPr>
                <w:rFonts w:ascii="Times" w:hAnsi="Times"/>
              </w:rPr>
            </w:pPr>
            <w:r w:rsidRPr="008C164C">
              <w:t>Costs</w:t>
            </w:r>
          </w:p>
        </w:tc>
        <w:tc>
          <w:tcPr>
            <w:tcW w:w="131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D1B4AE2" w14:textId="517ED67D" w:rsidR="00564DFA" w:rsidRPr="008C164C" w:rsidRDefault="00851D33" w:rsidP="002F5D8C">
            <w:pPr>
              <w:pStyle w:val="TableText0"/>
              <w:keepLines/>
              <w:jc w:val="center"/>
              <w:rPr>
                <w:bCs w:val="0"/>
              </w:rPr>
            </w:pPr>
            <w:r>
              <w:rPr>
                <w:bCs w:val="0"/>
              </w:rPr>
              <w:t xml:space="preserve"> </w:t>
            </w:r>
            <w:r w:rsidRPr="00851D33">
              <w:rPr>
                <w:bCs w:val="0"/>
                <w:color w:val="000000"/>
                <w:shd w:val="solid" w:color="000000" w:fill="000000"/>
                <w14:textFill>
                  <w14:solidFill>
                    <w14:srgbClr w14:val="000000">
                      <w14:alpha w14:val="100000"/>
                    </w14:srgbClr>
                  </w14:solidFill>
                </w14:textFill>
              </w:rPr>
              <w:t>|</w:t>
            </w:r>
          </w:p>
        </w:tc>
        <w:tc>
          <w:tcPr>
            <w:tcW w:w="125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B147C44" w14:textId="77777777" w:rsidR="00564DFA" w:rsidRPr="008C164C" w:rsidRDefault="00564DFA" w:rsidP="002F5D8C">
            <w:pPr>
              <w:pStyle w:val="TableText0"/>
              <w:keepLines/>
              <w:jc w:val="center"/>
              <w:rPr>
                <w:bCs w:val="0"/>
              </w:rPr>
            </w:pPr>
            <w:r w:rsidRPr="008C164C">
              <w:rPr>
                <w:bCs w:val="0"/>
              </w:rPr>
              <w:t>$223,839</w:t>
            </w:r>
          </w:p>
        </w:tc>
        <w:tc>
          <w:tcPr>
            <w:tcW w:w="860"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BF03770" w14:textId="503EEE28" w:rsidR="00564DFA" w:rsidRPr="008C164C" w:rsidRDefault="00851D33" w:rsidP="002F5D8C">
            <w:pPr>
              <w:pStyle w:val="TableText0"/>
              <w:keepLines/>
              <w:jc w:val="center"/>
              <w:rPr>
                <w:bCs w:val="0"/>
              </w:rPr>
            </w:pPr>
            <w:r>
              <w:rPr>
                <w:bCs w:val="0"/>
              </w:rPr>
              <w:t xml:space="preserve"> </w:t>
            </w:r>
            <w:r w:rsidRPr="00851D33">
              <w:rPr>
                <w:bCs w:val="0"/>
                <w:color w:val="000000"/>
                <w:shd w:val="solid" w:color="000000" w:fill="000000"/>
                <w14:textFill>
                  <w14:solidFill>
                    <w14:srgbClr w14:val="000000">
                      <w14:alpha w14:val="100000"/>
                    </w14:srgbClr>
                  </w14:solidFill>
                </w14:textFill>
              </w:rPr>
              <w:t>|</w:t>
            </w:r>
          </w:p>
        </w:tc>
      </w:tr>
      <w:tr w:rsidR="00564DFA" w:rsidRPr="008C164C" w14:paraId="042F3585" w14:textId="77777777" w:rsidTr="00240629">
        <w:tc>
          <w:tcPr>
            <w:tcW w:w="1577" w:type="pct"/>
            <w:tcBorders>
              <w:top w:val="single" w:sz="4" w:space="0" w:color="auto"/>
              <w:left w:val="single" w:sz="4" w:space="0" w:color="auto"/>
              <w:bottom w:val="single" w:sz="4" w:space="0" w:color="auto"/>
              <w:right w:val="single" w:sz="4" w:space="0" w:color="auto"/>
            </w:tcBorders>
            <w:vAlign w:val="center"/>
            <w:hideMark/>
          </w:tcPr>
          <w:p w14:paraId="197534C1" w14:textId="77777777" w:rsidR="00564DFA" w:rsidRPr="008C164C" w:rsidRDefault="00564DFA" w:rsidP="002F5D8C">
            <w:pPr>
              <w:pStyle w:val="TableText0"/>
              <w:keepLines/>
            </w:pPr>
            <w:r w:rsidRPr="008C164C">
              <w:t>LYG</w:t>
            </w:r>
          </w:p>
        </w:tc>
        <w:tc>
          <w:tcPr>
            <w:tcW w:w="131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75A11C" w14:textId="77777777" w:rsidR="00564DFA" w:rsidRPr="008C164C" w:rsidRDefault="00564DFA" w:rsidP="002F5D8C">
            <w:pPr>
              <w:pStyle w:val="TableText0"/>
              <w:keepLines/>
              <w:jc w:val="center"/>
            </w:pPr>
            <w:r w:rsidRPr="008C164C">
              <w:t>10.68</w:t>
            </w:r>
          </w:p>
        </w:tc>
        <w:tc>
          <w:tcPr>
            <w:tcW w:w="125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B29692" w14:textId="1806216F" w:rsidR="00564DFA" w:rsidRPr="008C164C" w:rsidRDefault="00522D95" w:rsidP="002F5D8C">
            <w:pPr>
              <w:pStyle w:val="TableText0"/>
              <w:keepLines/>
              <w:jc w:val="center"/>
            </w:pPr>
            <w:r w:rsidRPr="008C164C">
              <w:t>8.63</w:t>
            </w:r>
          </w:p>
        </w:tc>
        <w:tc>
          <w:tcPr>
            <w:tcW w:w="860"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D47525B" w14:textId="77777777" w:rsidR="00564DFA" w:rsidRPr="008C164C" w:rsidRDefault="00564DFA" w:rsidP="002F5D8C">
            <w:pPr>
              <w:pStyle w:val="TableText0"/>
              <w:keepLines/>
              <w:jc w:val="center"/>
            </w:pPr>
            <w:r w:rsidRPr="008C164C">
              <w:t>2.05</w:t>
            </w:r>
          </w:p>
        </w:tc>
      </w:tr>
      <w:tr w:rsidR="00564DFA" w:rsidRPr="008C164C" w14:paraId="6ED8DDA3" w14:textId="77777777" w:rsidTr="00240629">
        <w:tc>
          <w:tcPr>
            <w:tcW w:w="1577" w:type="pct"/>
            <w:tcBorders>
              <w:top w:val="single" w:sz="4" w:space="0" w:color="auto"/>
              <w:left w:val="single" w:sz="4" w:space="0" w:color="auto"/>
              <w:bottom w:val="single" w:sz="4" w:space="0" w:color="auto"/>
              <w:right w:val="single" w:sz="4" w:space="0" w:color="auto"/>
            </w:tcBorders>
            <w:vAlign w:val="center"/>
            <w:hideMark/>
          </w:tcPr>
          <w:p w14:paraId="2224D53B" w14:textId="77777777" w:rsidR="00564DFA" w:rsidRPr="008C164C" w:rsidRDefault="00564DFA" w:rsidP="002F5D8C">
            <w:pPr>
              <w:pStyle w:val="TableText0"/>
              <w:keepLines/>
              <w:rPr>
                <w:rFonts w:ascii="Times" w:hAnsi="Times"/>
              </w:rPr>
            </w:pPr>
            <w:r w:rsidRPr="008C164C">
              <w:t>QALYs</w:t>
            </w:r>
          </w:p>
        </w:tc>
        <w:tc>
          <w:tcPr>
            <w:tcW w:w="131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150ED3" w14:textId="77777777" w:rsidR="00564DFA" w:rsidRPr="008C164C" w:rsidRDefault="00564DFA" w:rsidP="002F5D8C">
            <w:pPr>
              <w:pStyle w:val="TableText0"/>
              <w:keepLines/>
              <w:jc w:val="center"/>
              <w:rPr>
                <w:rFonts w:ascii="Times" w:hAnsi="Times"/>
              </w:rPr>
            </w:pPr>
            <w:r w:rsidRPr="008C164C">
              <w:rPr>
                <w:b/>
                <w:bCs w:val="0"/>
              </w:rPr>
              <w:t>9.24</w:t>
            </w:r>
          </w:p>
        </w:tc>
        <w:tc>
          <w:tcPr>
            <w:tcW w:w="125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E69F0E" w14:textId="77777777" w:rsidR="00564DFA" w:rsidRPr="008C164C" w:rsidRDefault="00564DFA" w:rsidP="002F5D8C">
            <w:pPr>
              <w:pStyle w:val="TableText0"/>
              <w:keepLines/>
              <w:jc w:val="center"/>
              <w:rPr>
                <w:rFonts w:ascii="Times" w:hAnsi="Times"/>
              </w:rPr>
            </w:pPr>
            <w:r w:rsidRPr="008C164C">
              <w:rPr>
                <w:b/>
                <w:bCs w:val="0"/>
              </w:rPr>
              <w:t>7.27</w:t>
            </w:r>
          </w:p>
        </w:tc>
        <w:tc>
          <w:tcPr>
            <w:tcW w:w="860"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E708CDD" w14:textId="77777777" w:rsidR="00564DFA" w:rsidRPr="008C164C" w:rsidRDefault="00564DFA" w:rsidP="002F5D8C">
            <w:pPr>
              <w:pStyle w:val="TableText0"/>
              <w:keepLines/>
              <w:jc w:val="center"/>
            </w:pPr>
            <w:r w:rsidRPr="008C164C">
              <w:rPr>
                <w:b/>
                <w:bCs w:val="0"/>
              </w:rPr>
              <w:t>1.97</w:t>
            </w:r>
          </w:p>
        </w:tc>
      </w:tr>
      <w:tr w:rsidR="00564DFA" w:rsidRPr="008C164C" w14:paraId="3BEDDDA1" w14:textId="77777777" w:rsidTr="00240629">
        <w:tc>
          <w:tcPr>
            <w:tcW w:w="4140" w:type="pct"/>
            <w:gridSpan w:val="3"/>
            <w:tcBorders>
              <w:top w:val="single" w:sz="4" w:space="0" w:color="auto"/>
              <w:left w:val="single" w:sz="4" w:space="0" w:color="auto"/>
              <w:bottom w:val="single" w:sz="4" w:space="0" w:color="auto"/>
              <w:right w:val="single" w:sz="4" w:space="0" w:color="auto"/>
            </w:tcBorders>
            <w:vAlign w:val="center"/>
            <w:hideMark/>
          </w:tcPr>
          <w:p w14:paraId="10BBB107" w14:textId="77777777" w:rsidR="00564DFA" w:rsidRPr="008C164C" w:rsidRDefault="00564DFA" w:rsidP="002F5D8C">
            <w:pPr>
              <w:pStyle w:val="TableText0"/>
              <w:keepLines/>
              <w:rPr>
                <w:b/>
              </w:rPr>
            </w:pPr>
            <w:r w:rsidRPr="008C164C">
              <w:rPr>
                <w:b/>
              </w:rPr>
              <w:t>Incremental cost/extra LYG</w:t>
            </w:r>
          </w:p>
        </w:tc>
        <w:tc>
          <w:tcPr>
            <w:tcW w:w="86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8301EF" w14:textId="71805CAE" w:rsidR="00564DFA" w:rsidRPr="008C164C" w:rsidRDefault="00851D33" w:rsidP="002F5D8C">
            <w:pPr>
              <w:pStyle w:val="TableText0"/>
              <w:keepLines/>
              <w:jc w:val="center"/>
              <w:rPr>
                <w:bCs w:val="0"/>
              </w:rPr>
            </w:pPr>
            <w:r>
              <w:rPr>
                <w:bCs w:val="0"/>
              </w:rPr>
              <w:t xml:space="preserve"> </w:t>
            </w:r>
            <w:r w:rsidRPr="00851D33">
              <w:rPr>
                <w:rFonts w:hint="eastAsia"/>
                <w:bCs w:val="0"/>
                <w:color w:val="000000"/>
                <w:w w:val="15"/>
                <w:shd w:val="solid" w:color="000000" w:fill="000000"/>
                <w:fitText w:val="40" w:id="-1032080627"/>
                <w14:textFill>
                  <w14:solidFill>
                    <w14:srgbClr w14:val="000000">
                      <w14:alpha w14:val="100000"/>
                    </w14:srgbClr>
                  </w14:solidFill>
                </w14:textFill>
              </w:rPr>
              <w:t xml:space="preserve">　</w:t>
            </w:r>
            <w:r w:rsidRPr="00851D33">
              <w:rPr>
                <w:bCs w:val="0"/>
                <w:color w:val="000000"/>
                <w:w w:val="15"/>
                <w:shd w:val="solid" w:color="000000" w:fill="000000"/>
                <w:fitText w:val="40" w:id="-1032080627"/>
                <w14:textFill>
                  <w14:solidFill>
                    <w14:srgbClr w14:val="000000">
                      <w14:alpha w14:val="100000"/>
                    </w14:srgbClr>
                  </w14:solidFill>
                </w14:textFill>
              </w:rPr>
              <w:t>|</w:t>
            </w:r>
            <w:r w:rsidRPr="00851D33">
              <w:rPr>
                <w:rFonts w:hint="eastAsia"/>
                <w:bCs w:val="0"/>
                <w:color w:val="000000"/>
                <w:spacing w:val="-25"/>
                <w:w w:val="15"/>
                <w:shd w:val="solid" w:color="000000" w:fill="000000"/>
                <w:fitText w:val="40" w:id="-1032080627"/>
                <w14:textFill>
                  <w14:solidFill>
                    <w14:srgbClr w14:val="000000">
                      <w14:alpha w14:val="100000"/>
                    </w14:srgbClr>
                  </w14:solidFill>
                </w14:textFill>
              </w:rPr>
              <w:t xml:space="preserve">　</w:t>
            </w:r>
            <w:r w:rsidR="00D66751">
              <w:rPr>
                <w:vertAlign w:val="superscript"/>
              </w:rPr>
              <w:t>1</w:t>
            </w:r>
            <w:r w:rsidR="00564DFA" w:rsidRPr="008C164C">
              <w:rPr>
                <w:bCs w:val="0"/>
              </w:rPr>
              <w:t>/LYG</w:t>
            </w:r>
          </w:p>
        </w:tc>
      </w:tr>
      <w:tr w:rsidR="00564DFA" w:rsidRPr="008C164C" w14:paraId="06B2702C" w14:textId="77777777" w:rsidTr="00240629">
        <w:tc>
          <w:tcPr>
            <w:tcW w:w="4140" w:type="pct"/>
            <w:gridSpan w:val="3"/>
            <w:tcBorders>
              <w:top w:val="single" w:sz="4" w:space="0" w:color="auto"/>
              <w:left w:val="single" w:sz="4" w:space="0" w:color="auto"/>
              <w:bottom w:val="single" w:sz="4" w:space="0" w:color="auto"/>
              <w:right w:val="single" w:sz="4" w:space="0" w:color="auto"/>
            </w:tcBorders>
            <w:vAlign w:val="center"/>
            <w:hideMark/>
          </w:tcPr>
          <w:p w14:paraId="2F5C3EFC" w14:textId="77777777" w:rsidR="00564DFA" w:rsidRPr="008C164C" w:rsidRDefault="00564DFA" w:rsidP="002F5D8C">
            <w:pPr>
              <w:pStyle w:val="TableText0"/>
              <w:keepLines/>
              <w:rPr>
                <w:rFonts w:ascii="Times" w:hAnsi="Times"/>
                <w:b/>
              </w:rPr>
            </w:pPr>
            <w:r w:rsidRPr="008C164C">
              <w:rPr>
                <w:b/>
              </w:rPr>
              <w:t>Incremental cost/extra QALY gained</w:t>
            </w:r>
          </w:p>
        </w:tc>
        <w:tc>
          <w:tcPr>
            <w:tcW w:w="86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E906B1" w14:textId="67746011" w:rsidR="00564DFA" w:rsidRPr="008C164C" w:rsidRDefault="00851D33" w:rsidP="002F5D8C">
            <w:pPr>
              <w:pStyle w:val="TableText0"/>
              <w:keepLines/>
              <w:jc w:val="center"/>
              <w:rPr>
                <w:rFonts w:ascii="Times" w:hAnsi="Times"/>
                <w:b/>
              </w:rPr>
            </w:pPr>
            <w:r>
              <w:rPr>
                <w:b/>
              </w:rPr>
              <w:t xml:space="preserve"> </w:t>
            </w:r>
            <w:r w:rsidRPr="00851D33">
              <w:rPr>
                <w:rFonts w:hint="eastAsia"/>
                <w:b/>
                <w:color w:val="000000"/>
                <w:w w:val="31"/>
                <w:shd w:val="solid" w:color="000000" w:fill="000000"/>
                <w:fitText w:val="140" w:id="-1032080626"/>
                <w14:textFill>
                  <w14:solidFill>
                    <w14:srgbClr w14:val="000000">
                      <w14:alpha w14:val="100000"/>
                    </w14:srgbClr>
                  </w14:solidFill>
                </w14:textFill>
              </w:rPr>
              <w:t xml:space="preserve">　</w:t>
            </w:r>
            <w:r w:rsidRPr="00851D33">
              <w:rPr>
                <w:b/>
                <w:color w:val="000000"/>
                <w:w w:val="31"/>
                <w:shd w:val="solid" w:color="000000" w:fill="000000"/>
                <w:fitText w:val="140" w:id="-1032080626"/>
                <w14:textFill>
                  <w14:solidFill>
                    <w14:srgbClr w14:val="000000">
                      <w14:alpha w14:val="100000"/>
                    </w14:srgbClr>
                  </w14:solidFill>
                </w14:textFill>
              </w:rPr>
              <w:t>|</w:t>
            </w:r>
            <w:r w:rsidRPr="00851D33">
              <w:rPr>
                <w:rFonts w:hint="eastAsia"/>
                <w:b/>
                <w:color w:val="000000"/>
                <w:spacing w:val="3"/>
                <w:w w:val="31"/>
                <w:shd w:val="solid" w:color="000000" w:fill="000000"/>
                <w:fitText w:val="140" w:id="-1032080626"/>
                <w14:textFill>
                  <w14:solidFill>
                    <w14:srgbClr w14:val="000000">
                      <w14:alpha w14:val="100000"/>
                    </w14:srgbClr>
                  </w14:solidFill>
                </w14:textFill>
              </w:rPr>
              <w:t xml:space="preserve">　</w:t>
            </w:r>
            <w:r w:rsidR="00D66751">
              <w:rPr>
                <w:vertAlign w:val="superscript"/>
              </w:rPr>
              <w:t>1</w:t>
            </w:r>
            <w:r w:rsidR="00564DFA" w:rsidRPr="008C164C">
              <w:rPr>
                <w:b/>
              </w:rPr>
              <w:t>/QALY</w:t>
            </w:r>
          </w:p>
        </w:tc>
      </w:tr>
    </w:tbl>
    <w:p w14:paraId="0686007C" w14:textId="0E7666F4" w:rsidR="00564DFA" w:rsidRPr="008C164C" w:rsidRDefault="00564DFA" w:rsidP="002F5D8C">
      <w:pPr>
        <w:pStyle w:val="TableText0"/>
        <w:keepLines/>
        <w:rPr>
          <w:sz w:val="18"/>
          <w:szCs w:val="18"/>
        </w:rPr>
      </w:pPr>
      <w:r w:rsidRPr="008C164C">
        <w:rPr>
          <w:sz w:val="18"/>
          <w:szCs w:val="18"/>
        </w:rPr>
        <w:t xml:space="preserve">Blue shaded cells indicate values previously considered by </w:t>
      </w:r>
      <w:r w:rsidR="00995BD2" w:rsidRPr="008C164C">
        <w:rPr>
          <w:sz w:val="18"/>
          <w:szCs w:val="18"/>
        </w:rPr>
        <w:t xml:space="preserve">the </w:t>
      </w:r>
      <w:r w:rsidRPr="008C164C">
        <w:rPr>
          <w:sz w:val="18"/>
          <w:szCs w:val="18"/>
        </w:rPr>
        <w:t xml:space="preserve">PBAC </w:t>
      </w:r>
    </w:p>
    <w:p w14:paraId="5DCD5260" w14:textId="77777777" w:rsidR="00564DFA" w:rsidRPr="008C164C" w:rsidRDefault="00564DFA" w:rsidP="002F5D8C">
      <w:pPr>
        <w:pStyle w:val="FooterTableFigure"/>
        <w:keepNext/>
        <w:keepLines/>
      </w:pPr>
      <w:r w:rsidRPr="008C164C">
        <w:t>Source: Table 3-27, pp178-179 of the November 2022 submission., LEN CEM – Final 6July22.xlsm</w:t>
      </w:r>
    </w:p>
    <w:p w14:paraId="28DE0D59" w14:textId="6FF99FFF" w:rsidR="00564DFA" w:rsidRDefault="00564DFA" w:rsidP="002F5D8C">
      <w:pPr>
        <w:pStyle w:val="FooterTableFigure"/>
        <w:keepNext/>
        <w:keepLines/>
      </w:pPr>
      <w:r w:rsidRPr="008C164C">
        <w:t xml:space="preserve">LEN = </w:t>
      </w:r>
      <w:proofErr w:type="spellStart"/>
      <w:r w:rsidRPr="008C164C">
        <w:t>lenacapavir</w:t>
      </w:r>
      <w:proofErr w:type="spellEnd"/>
      <w:r w:rsidRPr="008C164C">
        <w:t xml:space="preserve">; LYG = life years gained OBR = optimised background regimen; QALY = quality adjusted life year </w:t>
      </w:r>
    </w:p>
    <w:p w14:paraId="567BF3EB" w14:textId="7910A9C9" w:rsidR="00D66751" w:rsidRPr="00D66751" w:rsidRDefault="00D66751" w:rsidP="002F5D8C">
      <w:pPr>
        <w:pStyle w:val="FooterTableFigure"/>
        <w:keepNext/>
        <w:keepLines/>
        <w:rPr>
          <w:i/>
          <w:iCs/>
        </w:rPr>
      </w:pPr>
      <w:r w:rsidRPr="00D66751">
        <w:rPr>
          <w:i/>
          <w:iCs/>
        </w:rPr>
        <w:t>The redacted values correspond to the following ranges:</w:t>
      </w:r>
    </w:p>
    <w:p w14:paraId="0F4E8011" w14:textId="726B0367" w:rsidR="00D66751" w:rsidRPr="00D66751" w:rsidRDefault="00D66751" w:rsidP="002F5D8C">
      <w:pPr>
        <w:pStyle w:val="FooterTableFigure"/>
        <w:keepNext/>
        <w:keepLines/>
        <w:rPr>
          <w:i/>
          <w:iCs/>
        </w:rPr>
      </w:pPr>
      <w:r w:rsidRPr="00D66751">
        <w:rPr>
          <w:i/>
          <w:iCs/>
          <w:vertAlign w:val="superscript"/>
        </w:rPr>
        <w:t>1</w:t>
      </w:r>
      <w:r w:rsidRPr="00D66751">
        <w:rPr>
          <w:i/>
          <w:iCs/>
        </w:rPr>
        <w:t xml:space="preserve"> $75,000 to &lt; $95,000</w:t>
      </w:r>
    </w:p>
    <w:p w14:paraId="42B7F7AB" w14:textId="2E254363" w:rsidR="00D312C8" w:rsidRPr="008C164C" w:rsidRDefault="00D25529" w:rsidP="00D312C8">
      <w:pPr>
        <w:pStyle w:val="3-BodyText"/>
      </w:pPr>
      <w:r w:rsidRPr="008C164C">
        <w:t>T</w:t>
      </w:r>
      <w:r w:rsidR="00D312C8" w:rsidRPr="008C164C">
        <w:t xml:space="preserve">he alternative base case </w:t>
      </w:r>
      <w:r w:rsidRPr="008C164C">
        <w:t xml:space="preserve">ICER </w:t>
      </w:r>
      <w:r w:rsidR="00D312C8" w:rsidRPr="008C164C">
        <w:t>of $</w:t>
      </w:r>
      <w:r w:rsidR="00D66751">
        <w:t>115,000 to &lt; $135,000</w:t>
      </w:r>
      <w:r w:rsidR="00D312C8" w:rsidRPr="008C164C">
        <w:t xml:space="preserve">/QALY represents a 26% increase from the previous submission base case </w:t>
      </w:r>
      <w:r w:rsidRPr="008C164C">
        <w:t xml:space="preserve">ICER </w:t>
      </w:r>
      <w:r w:rsidR="00D312C8" w:rsidRPr="008C164C">
        <w:t>of $</w:t>
      </w:r>
      <w:r w:rsidR="00D66751">
        <w:t>75,000 to &lt; $95,000</w:t>
      </w:r>
      <w:r w:rsidR="00D312C8" w:rsidRPr="008C164C">
        <w:t xml:space="preserve">/QALY, which the PBAC had considered to be </w:t>
      </w:r>
      <w:r w:rsidR="00B7270C" w:rsidRPr="008C164C">
        <w:t>‘</w:t>
      </w:r>
      <w:r w:rsidR="00D312C8" w:rsidRPr="008C164C">
        <w:t>unacceptably high at the proposed price</w:t>
      </w:r>
      <w:r w:rsidR="00B7270C" w:rsidRPr="008C164C">
        <w:t>’</w:t>
      </w:r>
      <w:r w:rsidR="00D312C8" w:rsidRPr="008C164C">
        <w:t xml:space="preserve"> (</w:t>
      </w:r>
      <w:r w:rsidR="00B7270C" w:rsidRPr="008C164C">
        <w:t xml:space="preserve">paragraph 7.8, </w:t>
      </w:r>
      <w:proofErr w:type="spellStart"/>
      <w:r w:rsidR="00B7270C" w:rsidRPr="008C164C">
        <w:t>l</w:t>
      </w:r>
      <w:r w:rsidR="00D312C8" w:rsidRPr="008C164C">
        <w:t>enacapavir</w:t>
      </w:r>
      <w:proofErr w:type="spellEnd"/>
      <w:r w:rsidR="00B7270C" w:rsidRPr="008C164C">
        <w:t xml:space="preserve"> PSD,</w:t>
      </w:r>
      <w:r w:rsidR="00D312C8" w:rsidRPr="008C164C">
        <w:t xml:space="preserve"> November 2022 </w:t>
      </w:r>
      <w:r w:rsidR="00B7270C" w:rsidRPr="008C164C">
        <w:t>PBAC meeting</w:t>
      </w:r>
      <w:r w:rsidR="00D312C8" w:rsidRPr="008C164C">
        <w:t>).</w:t>
      </w:r>
    </w:p>
    <w:p w14:paraId="1BAC1159" w14:textId="1E91FCCD" w:rsidR="00A86E8B" w:rsidRPr="008C164C" w:rsidRDefault="00D23D11" w:rsidP="00BB732D">
      <w:pPr>
        <w:pStyle w:val="3-BodyText"/>
      </w:pPr>
      <w:r w:rsidRPr="008C164C">
        <w:t>The results of sensitivity analyses</w:t>
      </w:r>
      <w:r w:rsidR="00D312C8" w:rsidRPr="008C164C">
        <w:t xml:space="preserve"> </w:t>
      </w:r>
      <w:r w:rsidR="00D4131C">
        <w:t>for</w:t>
      </w:r>
      <w:r w:rsidR="00D4131C" w:rsidRPr="008C164C">
        <w:t xml:space="preserve"> </w:t>
      </w:r>
      <w:r w:rsidR="00D312C8" w:rsidRPr="008C164C">
        <w:t>the alternative base case</w:t>
      </w:r>
      <w:r w:rsidRPr="008C164C">
        <w:t xml:space="preserve"> are summarised </w:t>
      </w:r>
      <w:r w:rsidR="00E16AD8" w:rsidRPr="008C164C">
        <w:t xml:space="preserve">in </w:t>
      </w:r>
      <w:r w:rsidR="00E16AD8" w:rsidRPr="008C164C">
        <w:fldChar w:fldCharType="begin" w:fldLock="1"/>
      </w:r>
      <w:r w:rsidR="00E16AD8" w:rsidRPr="008C164C">
        <w:instrText xml:space="preserve"> REF _Ref104804865 \h </w:instrText>
      </w:r>
      <w:r w:rsidR="00596CCE" w:rsidRPr="008C164C">
        <w:instrText xml:space="preserve"> \* MERGEFORMAT </w:instrText>
      </w:r>
      <w:r w:rsidR="00E16AD8" w:rsidRPr="008C164C">
        <w:fldChar w:fldCharType="separate"/>
      </w:r>
      <w:r w:rsidR="00682506" w:rsidRPr="008C164C">
        <w:t xml:space="preserve">Table </w:t>
      </w:r>
      <w:r w:rsidR="00682506">
        <w:t>16</w:t>
      </w:r>
      <w:r w:rsidR="00E16AD8" w:rsidRPr="008C164C">
        <w:fldChar w:fldCharType="end"/>
      </w:r>
      <w:r w:rsidRPr="008C164C">
        <w:t xml:space="preserve">. </w:t>
      </w:r>
      <w:r w:rsidR="005B4078" w:rsidRPr="008C164C">
        <w:t>Due to unreliable nature of the economic model, these analyses should be interpreted with caution.</w:t>
      </w:r>
    </w:p>
    <w:p w14:paraId="7D0825BF" w14:textId="356CF0A0" w:rsidR="00B47963" w:rsidRPr="008C164C" w:rsidRDefault="00E16AD8" w:rsidP="00EC6148">
      <w:pPr>
        <w:pStyle w:val="TableFigureHeading"/>
        <w:keepLines/>
      </w:pPr>
      <w:bookmarkStart w:id="76" w:name="_Ref104804865"/>
      <w:r w:rsidRPr="008C164C">
        <w:lastRenderedPageBreak/>
        <w:t xml:space="preserve">Table </w:t>
      </w:r>
      <w:r w:rsidR="00B25BFE">
        <w:fldChar w:fldCharType="begin" w:fldLock="1"/>
      </w:r>
      <w:r w:rsidR="00B25BFE">
        <w:instrText xml:space="preserve"> SEQ Table \* ARABIC </w:instrText>
      </w:r>
      <w:r w:rsidR="00B25BFE">
        <w:fldChar w:fldCharType="separate"/>
      </w:r>
      <w:r w:rsidR="00682506">
        <w:rPr>
          <w:noProof/>
        </w:rPr>
        <w:t>16</w:t>
      </w:r>
      <w:r w:rsidR="00B25BFE">
        <w:rPr>
          <w:noProof/>
        </w:rPr>
        <w:fldChar w:fldCharType="end"/>
      </w:r>
      <w:bookmarkEnd w:id="76"/>
      <w:r w:rsidRPr="008C164C">
        <w:t>:</w:t>
      </w:r>
      <w:r w:rsidR="00354F64" w:rsidRPr="008C164C">
        <w:rPr>
          <w:rStyle w:val="CommentReference"/>
          <w:b/>
          <w:szCs w:val="24"/>
        </w:rPr>
        <w:t xml:space="preserve"> </w:t>
      </w:r>
      <w:r w:rsidR="00B47963" w:rsidRPr="008C164C">
        <w:rPr>
          <w:rStyle w:val="CommentReference"/>
          <w:b/>
          <w:szCs w:val="24"/>
        </w:rPr>
        <w:t>Results of sensitivity analyses using alternative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830"/>
        <w:gridCol w:w="2269"/>
        <w:gridCol w:w="1080"/>
        <w:gridCol w:w="979"/>
        <w:gridCol w:w="1062"/>
        <w:gridCol w:w="797"/>
      </w:tblGrid>
      <w:tr w:rsidR="00B47963" w:rsidRPr="008C164C" w14:paraId="3A2A85A6" w14:textId="77777777" w:rsidTr="00EF7A3C">
        <w:trPr>
          <w:trHeight w:val="20"/>
          <w:tblHeader/>
        </w:trPr>
        <w:tc>
          <w:tcPr>
            <w:tcW w:w="1569" w:type="pct"/>
            <w:vAlign w:val="center"/>
          </w:tcPr>
          <w:p w14:paraId="3C9CFA43" w14:textId="77777777" w:rsidR="00B47963" w:rsidRPr="008C164C" w:rsidRDefault="00B47963" w:rsidP="00EC6148">
            <w:pPr>
              <w:pStyle w:val="TableText0"/>
              <w:keepLines/>
              <w:rPr>
                <w:b/>
                <w:bCs w:val="0"/>
              </w:rPr>
            </w:pPr>
            <w:r w:rsidRPr="008C164C">
              <w:rPr>
                <w:b/>
                <w:bCs w:val="0"/>
              </w:rPr>
              <w:t>Parameter (base case value)</w:t>
            </w:r>
          </w:p>
        </w:tc>
        <w:tc>
          <w:tcPr>
            <w:tcW w:w="1258" w:type="pct"/>
            <w:vAlign w:val="center"/>
          </w:tcPr>
          <w:p w14:paraId="6D39C011" w14:textId="77777777" w:rsidR="00B47963" w:rsidRPr="008C164C" w:rsidRDefault="00B47963" w:rsidP="00EC6148">
            <w:pPr>
              <w:pStyle w:val="TableText0"/>
              <w:keepLines/>
              <w:jc w:val="center"/>
              <w:rPr>
                <w:b/>
                <w:bCs w:val="0"/>
              </w:rPr>
            </w:pPr>
            <w:r w:rsidRPr="008C164C">
              <w:rPr>
                <w:b/>
                <w:bCs w:val="0"/>
              </w:rPr>
              <w:t>Sensitivity analysis</w:t>
            </w:r>
          </w:p>
        </w:tc>
        <w:tc>
          <w:tcPr>
            <w:tcW w:w="599" w:type="pct"/>
            <w:vAlign w:val="center"/>
          </w:tcPr>
          <w:p w14:paraId="5B8A434F" w14:textId="77777777" w:rsidR="00B47963" w:rsidRPr="008C164C" w:rsidRDefault="00B47963" w:rsidP="00EC6148">
            <w:pPr>
              <w:pStyle w:val="TableText0"/>
              <w:keepLines/>
              <w:jc w:val="center"/>
              <w:rPr>
                <w:b/>
                <w:bCs w:val="0"/>
              </w:rPr>
            </w:pPr>
            <w:r w:rsidRPr="008C164C">
              <w:rPr>
                <w:b/>
                <w:bCs w:val="0"/>
              </w:rPr>
              <w:t>Incremental cost</w:t>
            </w:r>
          </w:p>
        </w:tc>
        <w:tc>
          <w:tcPr>
            <w:tcW w:w="543" w:type="pct"/>
            <w:vAlign w:val="center"/>
          </w:tcPr>
          <w:p w14:paraId="624526B5" w14:textId="77777777" w:rsidR="00B47963" w:rsidRPr="008C164C" w:rsidRDefault="00B47963" w:rsidP="00EC6148">
            <w:pPr>
              <w:pStyle w:val="TableText0"/>
              <w:keepLines/>
              <w:jc w:val="center"/>
              <w:rPr>
                <w:b/>
                <w:bCs w:val="0"/>
              </w:rPr>
            </w:pPr>
            <w:r w:rsidRPr="008C164C">
              <w:rPr>
                <w:b/>
                <w:bCs w:val="0"/>
              </w:rPr>
              <w:t>Incremental QALY</w:t>
            </w:r>
          </w:p>
        </w:tc>
        <w:tc>
          <w:tcPr>
            <w:tcW w:w="589" w:type="pct"/>
            <w:vAlign w:val="center"/>
          </w:tcPr>
          <w:p w14:paraId="11EAD502" w14:textId="77777777" w:rsidR="00B47963" w:rsidRPr="008C164C" w:rsidRDefault="00B47963" w:rsidP="00EC6148">
            <w:pPr>
              <w:pStyle w:val="TableText0"/>
              <w:keepLines/>
              <w:jc w:val="center"/>
              <w:rPr>
                <w:b/>
                <w:bCs w:val="0"/>
              </w:rPr>
            </w:pPr>
            <w:r w:rsidRPr="008C164C">
              <w:rPr>
                <w:b/>
                <w:bCs w:val="0"/>
              </w:rPr>
              <w:t>ICER</w:t>
            </w:r>
          </w:p>
        </w:tc>
        <w:tc>
          <w:tcPr>
            <w:tcW w:w="442" w:type="pct"/>
            <w:vAlign w:val="center"/>
          </w:tcPr>
          <w:p w14:paraId="78FA6CBD" w14:textId="77777777" w:rsidR="00B47963" w:rsidRPr="008C164C" w:rsidRDefault="00B47963" w:rsidP="00EC6148">
            <w:pPr>
              <w:pStyle w:val="TableText0"/>
              <w:keepLines/>
              <w:jc w:val="center"/>
              <w:rPr>
                <w:b/>
                <w:bCs w:val="0"/>
              </w:rPr>
            </w:pPr>
            <w:r w:rsidRPr="008C164C">
              <w:rPr>
                <w:b/>
                <w:bCs w:val="0"/>
              </w:rPr>
              <w:t>% Change</w:t>
            </w:r>
          </w:p>
        </w:tc>
      </w:tr>
      <w:tr w:rsidR="00B47963" w:rsidRPr="008C164C" w14:paraId="047C02FF" w14:textId="77777777" w:rsidTr="00EF7A3C">
        <w:trPr>
          <w:trHeight w:val="20"/>
        </w:trPr>
        <w:tc>
          <w:tcPr>
            <w:tcW w:w="1569" w:type="pct"/>
            <w:vAlign w:val="center"/>
          </w:tcPr>
          <w:p w14:paraId="0C55F5DE" w14:textId="77777777" w:rsidR="00B47963" w:rsidRPr="008C164C" w:rsidRDefault="00B47963" w:rsidP="00EC6148">
            <w:pPr>
              <w:pStyle w:val="TableText0"/>
              <w:keepLines/>
              <w:rPr>
                <w:b/>
                <w:bCs w:val="0"/>
              </w:rPr>
            </w:pPr>
            <w:r w:rsidRPr="008C164C">
              <w:rPr>
                <w:b/>
                <w:bCs w:val="0"/>
              </w:rPr>
              <w:t>Alternative base case:</w:t>
            </w:r>
          </w:p>
        </w:tc>
        <w:tc>
          <w:tcPr>
            <w:tcW w:w="1258" w:type="pct"/>
            <w:vAlign w:val="center"/>
          </w:tcPr>
          <w:p w14:paraId="58C600D7" w14:textId="77777777" w:rsidR="00B47963" w:rsidRPr="008C164C" w:rsidRDefault="00B47963" w:rsidP="00EC6148">
            <w:pPr>
              <w:pStyle w:val="TableText0"/>
              <w:keepLines/>
              <w:jc w:val="center"/>
              <w:rPr>
                <w:b/>
                <w:bCs w:val="0"/>
              </w:rPr>
            </w:pPr>
          </w:p>
        </w:tc>
        <w:tc>
          <w:tcPr>
            <w:tcW w:w="599" w:type="pct"/>
            <w:vAlign w:val="center"/>
          </w:tcPr>
          <w:p w14:paraId="3F1B24FA" w14:textId="1897D65D" w:rsidR="00B47963" w:rsidRPr="00D66751" w:rsidRDefault="00851D33" w:rsidP="00EC6148">
            <w:pPr>
              <w:pStyle w:val="TableText0"/>
              <w:keepLines/>
              <w:jc w:val="center"/>
              <w:rPr>
                <w:b/>
                <w:bCs w:val="0"/>
                <w:highlight w:val="darkGray"/>
              </w:rPr>
            </w:pPr>
            <w:r>
              <w:rPr>
                <w:b/>
                <w:bCs w:val="0"/>
              </w:rPr>
              <w:t xml:space="preserve"> </w:t>
            </w:r>
            <w:r w:rsidRPr="00851D33">
              <w:rPr>
                <w:rFonts w:hint="eastAsia"/>
                <w:b/>
                <w:bCs w:val="0"/>
                <w:color w:val="000000"/>
                <w:w w:val="22"/>
                <w:shd w:val="solid" w:color="000000" w:fill="000000"/>
                <w:fitText w:val="100" w:id="-1032080625"/>
                <w14:textFill>
                  <w14:solidFill>
                    <w14:srgbClr w14:val="000000">
                      <w14:alpha w14:val="100000"/>
                    </w14:srgbClr>
                  </w14:solidFill>
                </w14:textFill>
              </w:rPr>
              <w:t xml:space="preserve">　</w:t>
            </w:r>
            <w:r w:rsidRPr="00851D33">
              <w:rPr>
                <w:b/>
                <w:bCs w:val="0"/>
                <w:color w:val="000000"/>
                <w:w w:val="22"/>
                <w:shd w:val="solid" w:color="000000" w:fill="000000"/>
                <w:fitText w:val="100" w:id="-1032080625"/>
                <w14:textFill>
                  <w14:solidFill>
                    <w14:srgbClr w14:val="000000">
                      <w14:alpha w14:val="100000"/>
                    </w14:srgbClr>
                  </w14:solidFill>
                </w14:textFill>
              </w:rPr>
              <w:t>|</w:t>
            </w:r>
            <w:r w:rsidRPr="00851D33">
              <w:rPr>
                <w:rFonts w:hint="eastAsia"/>
                <w:b/>
                <w:bCs w:val="0"/>
                <w:color w:val="000000"/>
                <w:spacing w:val="2"/>
                <w:w w:val="22"/>
                <w:shd w:val="solid" w:color="000000" w:fill="000000"/>
                <w:fitText w:val="100" w:id="-1032080625"/>
                <w14:textFill>
                  <w14:solidFill>
                    <w14:srgbClr w14:val="000000">
                      <w14:alpha w14:val="100000"/>
                    </w14:srgbClr>
                  </w14:solidFill>
                </w14:textFill>
              </w:rPr>
              <w:t xml:space="preserve">　</w:t>
            </w:r>
          </w:p>
        </w:tc>
        <w:tc>
          <w:tcPr>
            <w:tcW w:w="543" w:type="pct"/>
            <w:vAlign w:val="center"/>
          </w:tcPr>
          <w:p w14:paraId="0F6661BE" w14:textId="77777777" w:rsidR="00B47963" w:rsidRPr="008C164C" w:rsidRDefault="00B47963" w:rsidP="00EC6148">
            <w:pPr>
              <w:pStyle w:val="TableText0"/>
              <w:keepLines/>
              <w:jc w:val="center"/>
              <w:rPr>
                <w:b/>
                <w:bCs w:val="0"/>
              </w:rPr>
            </w:pPr>
            <w:r w:rsidRPr="008C164C">
              <w:rPr>
                <w:b/>
                <w:bCs w:val="0"/>
              </w:rPr>
              <w:t>1.87</w:t>
            </w:r>
          </w:p>
        </w:tc>
        <w:tc>
          <w:tcPr>
            <w:tcW w:w="589" w:type="pct"/>
            <w:vAlign w:val="center"/>
          </w:tcPr>
          <w:p w14:paraId="65C05E1C" w14:textId="46BA0EBB" w:rsidR="00B47963" w:rsidRPr="00D66751" w:rsidRDefault="00851D33" w:rsidP="00EC6148">
            <w:pPr>
              <w:pStyle w:val="TableText0"/>
              <w:keepLines/>
              <w:jc w:val="center"/>
              <w:rPr>
                <w:b/>
                <w:bCs w:val="0"/>
                <w:highlight w:val="darkGray"/>
              </w:rPr>
            </w:pPr>
            <w:r>
              <w:rPr>
                <w:b/>
                <w:bCs w:val="0"/>
              </w:rPr>
              <w:t xml:space="preserve"> </w:t>
            </w:r>
            <w:r w:rsidRPr="00851D33">
              <w:rPr>
                <w:rFonts w:hint="eastAsia"/>
                <w:b/>
                <w:bCs w:val="0"/>
                <w:color w:val="000000"/>
                <w:w w:val="31"/>
                <w:shd w:val="solid" w:color="000000" w:fill="000000"/>
                <w:fitText w:val="140" w:id="-1032080624"/>
                <w14:textFill>
                  <w14:solidFill>
                    <w14:srgbClr w14:val="000000">
                      <w14:alpha w14:val="100000"/>
                    </w14:srgbClr>
                  </w14:solidFill>
                </w14:textFill>
              </w:rPr>
              <w:t xml:space="preserve">　</w:t>
            </w:r>
            <w:r w:rsidRPr="00851D33">
              <w:rPr>
                <w:b/>
                <w:bCs w:val="0"/>
                <w:color w:val="000000"/>
                <w:w w:val="31"/>
                <w:shd w:val="solid" w:color="000000" w:fill="000000"/>
                <w:fitText w:val="140" w:id="-1032080624"/>
                <w14:textFill>
                  <w14:solidFill>
                    <w14:srgbClr w14:val="000000">
                      <w14:alpha w14:val="100000"/>
                    </w14:srgbClr>
                  </w14:solidFill>
                </w14:textFill>
              </w:rPr>
              <w:t>|</w:t>
            </w:r>
            <w:r w:rsidRPr="00851D33">
              <w:rPr>
                <w:rFonts w:hint="eastAsia"/>
                <w:b/>
                <w:bCs w:val="0"/>
                <w:color w:val="000000"/>
                <w:spacing w:val="3"/>
                <w:w w:val="31"/>
                <w:shd w:val="solid" w:color="000000" w:fill="000000"/>
                <w:fitText w:val="140" w:id="-1032080624"/>
                <w14:textFill>
                  <w14:solidFill>
                    <w14:srgbClr w14:val="000000">
                      <w14:alpha w14:val="100000"/>
                    </w14:srgbClr>
                  </w14:solidFill>
                </w14:textFill>
              </w:rPr>
              <w:t xml:space="preserve">　</w:t>
            </w:r>
            <w:r w:rsidR="00D66751">
              <w:rPr>
                <w:vertAlign w:val="superscript"/>
              </w:rPr>
              <w:t>1</w:t>
            </w:r>
          </w:p>
        </w:tc>
        <w:tc>
          <w:tcPr>
            <w:tcW w:w="442" w:type="pct"/>
            <w:vAlign w:val="center"/>
          </w:tcPr>
          <w:p w14:paraId="1FE738D5" w14:textId="77777777" w:rsidR="00B47963" w:rsidRPr="008C164C" w:rsidRDefault="00B47963" w:rsidP="00EC6148">
            <w:pPr>
              <w:pStyle w:val="TableText0"/>
              <w:keepLines/>
              <w:jc w:val="center"/>
            </w:pPr>
            <w:r w:rsidRPr="008C164C">
              <w:t>-</w:t>
            </w:r>
          </w:p>
        </w:tc>
      </w:tr>
      <w:tr w:rsidR="00EF7A3C" w:rsidRPr="008C164C" w14:paraId="79B46FE9" w14:textId="77777777" w:rsidTr="00EF7A3C">
        <w:trPr>
          <w:trHeight w:val="20"/>
        </w:trPr>
        <w:tc>
          <w:tcPr>
            <w:tcW w:w="1569" w:type="pct"/>
            <w:vMerge w:val="restart"/>
            <w:vAlign w:val="center"/>
          </w:tcPr>
          <w:p w14:paraId="248BAC48" w14:textId="77777777" w:rsidR="00EF7A3C" w:rsidRPr="008C164C" w:rsidRDefault="00EF7A3C" w:rsidP="00EC6148">
            <w:pPr>
              <w:pStyle w:val="TableText0"/>
              <w:keepLines/>
            </w:pPr>
            <w:r w:rsidRPr="008C164C">
              <w:t>Time horizon (44 years)</w:t>
            </w:r>
          </w:p>
        </w:tc>
        <w:tc>
          <w:tcPr>
            <w:tcW w:w="1258" w:type="pct"/>
            <w:vAlign w:val="center"/>
          </w:tcPr>
          <w:p w14:paraId="1D5D101D" w14:textId="1BD20F58" w:rsidR="00EF7A3C" w:rsidRPr="008C164C" w:rsidRDefault="00EF7A3C" w:rsidP="00EC6148">
            <w:pPr>
              <w:pStyle w:val="TableText0"/>
              <w:keepLines/>
              <w:jc w:val="center"/>
            </w:pPr>
            <w:r w:rsidRPr="008C164C">
              <w:t>10 years</w:t>
            </w:r>
          </w:p>
        </w:tc>
        <w:tc>
          <w:tcPr>
            <w:tcW w:w="599" w:type="pct"/>
            <w:vAlign w:val="center"/>
          </w:tcPr>
          <w:p w14:paraId="163FE6BB" w14:textId="17B1591A" w:rsidR="00EF7A3C" w:rsidRPr="00D66751" w:rsidRDefault="00851D33" w:rsidP="00EC6148">
            <w:pPr>
              <w:pStyle w:val="TableText0"/>
              <w:keepLines/>
              <w:jc w:val="center"/>
              <w:rPr>
                <w:highlight w:val="darkGray"/>
              </w:rPr>
            </w:pPr>
            <w:r>
              <w:t xml:space="preserve"> </w:t>
            </w:r>
            <w:r w:rsidRPr="00851D33">
              <w:rPr>
                <w:rFonts w:hint="eastAsia"/>
                <w:color w:val="000000"/>
                <w:w w:val="15"/>
                <w:shd w:val="solid" w:color="000000" w:fill="000000"/>
                <w:fitText w:val="60" w:id="-1032080640"/>
                <w14:textFill>
                  <w14:solidFill>
                    <w14:srgbClr w14:val="000000">
                      <w14:alpha w14:val="100000"/>
                    </w14:srgbClr>
                  </w14:solidFill>
                </w14:textFill>
              </w:rPr>
              <w:t xml:space="preserve">　</w:t>
            </w:r>
            <w:r w:rsidRPr="00851D33">
              <w:rPr>
                <w:color w:val="000000"/>
                <w:w w:val="15"/>
                <w:shd w:val="solid" w:color="000000" w:fill="000000"/>
                <w:fitText w:val="60" w:id="-1032080640"/>
                <w14:textFill>
                  <w14:solidFill>
                    <w14:srgbClr w14:val="000000">
                      <w14:alpha w14:val="100000"/>
                    </w14:srgbClr>
                  </w14:solidFill>
                </w14:textFill>
              </w:rPr>
              <w:t>|</w:t>
            </w:r>
            <w:r w:rsidRPr="00851D33">
              <w:rPr>
                <w:rFonts w:hint="eastAsia"/>
                <w:color w:val="000000"/>
                <w:spacing w:val="-5"/>
                <w:w w:val="15"/>
                <w:shd w:val="solid" w:color="000000" w:fill="000000"/>
                <w:fitText w:val="60" w:id="-1032080640"/>
                <w14:textFill>
                  <w14:solidFill>
                    <w14:srgbClr w14:val="000000">
                      <w14:alpha w14:val="100000"/>
                    </w14:srgbClr>
                  </w14:solidFill>
                </w14:textFill>
              </w:rPr>
              <w:t xml:space="preserve">　</w:t>
            </w:r>
          </w:p>
        </w:tc>
        <w:tc>
          <w:tcPr>
            <w:tcW w:w="543" w:type="pct"/>
            <w:vAlign w:val="center"/>
          </w:tcPr>
          <w:p w14:paraId="2C833E45" w14:textId="05CFF8CC" w:rsidR="00EF7A3C" w:rsidRPr="008C164C" w:rsidRDefault="00EF7A3C" w:rsidP="00EC6148">
            <w:pPr>
              <w:pStyle w:val="TableText0"/>
              <w:keepLines/>
              <w:jc w:val="center"/>
            </w:pPr>
            <w:r w:rsidRPr="008C164C">
              <w:t>0.76</w:t>
            </w:r>
          </w:p>
        </w:tc>
        <w:tc>
          <w:tcPr>
            <w:tcW w:w="589" w:type="pct"/>
            <w:vAlign w:val="center"/>
          </w:tcPr>
          <w:p w14:paraId="41F8A898" w14:textId="5E06AFA7" w:rsidR="00EF7A3C" w:rsidRPr="00D66751" w:rsidRDefault="00851D33" w:rsidP="00EC6148">
            <w:pPr>
              <w:pStyle w:val="TableText0"/>
              <w:keepLines/>
              <w:jc w:val="center"/>
              <w:rPr>
                <w:highlight w:val="darkGray"/>
              </w:rPr>
            </w:pPr>
            <w:r>
              <w:t xml:space="preserve"> </w:t>
            </w:r>
            <w:r w:rsidRPr="00851D33">
              <w:rPr>
                <w:rFonts w:hint="eastAsia"/>
                <w:color w:val="000000"/>
                <w:w w:val="20"/>
                <w:shd w:val="solid" w:color="000000" w:fill="000000"/>
                <w:fitText w:val="90" w:id="-1032080639"/>
                <w14:textFill>
                  <w14:solidFill>
                    <w14:srgbClr w14:val="000000">
                      <w14:alpha w14:val="100000"/>
                    </w14:srgbClr>
                  </w14:solidFill>
                </w14:textFill>
              </w:rPr>
              <w:t xml:space="preserve">　</w:t>
            </w:r>
            <w:r w:rsidRPr="00851D33">
              <w:rPr>
                <w:color w:val="000000"/>
                <w:w w:val="20"/>
                <w:shd w:val="solid" w:color="000000" w:fill="000000"/>
                <w:fitText w:val="90" w:id="-1032080639"/>
                <w14:textFill>
                  <w14:solidFill>
                    <w14:srgbClr w14:val="000000">
                      <w14:alpha w14:val="100000"/>
                    </w14:srgbClr>
                  </w14:solidFill>
                </w14:textFill>
              </w:rPr>
              <w:t>|</w:t>
            </w:r>
            <w:r w:rsidRPr="00851D33">
              <w:rPr>
                <w:rFonts w:hint="eastAsia"/>
                <w:color w:val="000000"/>
                <w:spacing w:val="3"/>
                <w:w w:val="20"/>
                <w:shd w:val="solid" w:color="000000" w:fill="000000"/>
                <w:fitText w:val="90" w:id="-1032080639"/>
                <w14:textFill>
                  <w14:solidFill>
                    <w14:srgbClr w14:val="000000">
                      <w14:alpha w14:val="100000"/>
                    </w14:srgbClr>
                  </w14:solidFill>
                </w14:textFill>
              </w:rPr>
              <w:t xml:space="preserve">　</w:t>
            </w:r>
            <w:r w:rsidR="00D66751">
              <w:rPr>
                <w:vertAlign w:val="superscript"/>
              </w:rPr>
              <w:t>2</w:t>
            </w:r>
          </w:p>
        </w:tc>
        <w:tc>
          <w:tcPr>
            <w:tcW w:w="442" w:type="pct"/>
            <w:vAlign w:val="center"/>
          </w:tcPr>
          <w:p w14:paraId="7B68ACA7" w14:textId="39846EB4" w:rsidR="00EF7A3C" w:rsidRPr="003F783F" w:rsidRDefault="00851D33" w:rsidP="00EC6148">
            <w:pPr>
              <w:pStyle w:val="TableText0"/>
              <w:keepLines/>
              <w:jc w:val="center"/>
              <w:rPr>
                <w:highlight w:val="darkGray"/>
              </w:rPr>
            </w:pPr>
            <w:r>
              <w:t xml:space="preserve"> </w:t>
            </w:r>
            <w:r w:rsidRPr="00851D33">
              <w:rPr>
                <w:color w:val="000000"/>
                <w:spacing w:val="114"/>
                <w:shd w:val="solid" w:color="000000" w:fill="000000"/>
                <w:fitText w:val="200" w:id="-1032080638"/>
                <w14:textFill>
                  <w14:solidFill>
                    <w14:srgbClr w14:val="000000">
                      <w14:alpha w14:val="100000"/>
                    </w14:srgbClr>
                  </w14:solidFill>
                </w14:textFill>
              </w:rPr>
              <w:t>|</w:t>
            </w:r>
            <w:r w:rsidRPr="00851D33">
              <w:rPr>
                <w:color w:val="000000"/>
                <w:spacing w:val="1"/>
                <w:shd w:val="solid" w:color="000000" w:fill="000000"/>
                <w:fitText w:val="200" w:id="-1032080638"/>
                <w14:textFill>
                  <w14:solidFill>
                    <w14:srgbClr w14:val="000000">
                      <w14:alpha w14:val="100000"/>
                    </w14:srgbClr>
                  </w14:solidFill>
                </w14:textFill>
              </w:rPr>
              <w:t>|</w:t>
            </w:r>
          </w:p>
        </w:tc>
      </w:tr>
      <w:tr w:rsidR="00B47963" w:rsidRPr="008C164C" w14:paraId="5B235C2F" w14:textId="77777777" w:rsidTr="00EF7A3C">
        <w:trPr>
          <w:trHeight w:val="20"/>
        </w:trPr>
        <w:tc>
          <w:tcPr>
            <w:tcW w:w="1569" w:type="pct"/>
            <w:vMerge/>
            <w:vAlign w:val="center"/>
          </w:tcPr>
          <w:p w14:paraId="407A4BDC" w14:textId="77777777" w:rsidR="00B47963" w:rsidRPr="008C164C" w:rsidRDefault="00B47963" w:rsidP="00EC6148">
            <w:pPr>
              <w:pStyle w:val="TableText0"/>
              <w:keepLines/>
            </w:pPr>
          </w:p>
        </w:tc>
        <w:tc>
          <w:tcPr>
            <w:tcW w:w="1258" w:type="pct"/>
            <w:vAlign w:val="center"/>
          </w:tcPr>
          <w:p w14:paraId="2EBD066C" w14:textId="77777777" w:rsidR="00B47963" w:rsidRPr="008C164C" w:rsidRDefault="00B47963" w:rsidP="00EC6148">
            <w:pPr>
              <w:pStyle w:val="TableText0"/>
              <w:keepLines/>
              <w:jc w:val="center"/>
            </w:pPr>
            <w:r w:rsidRPr="008C164C">
              <w:t>20 years</w:t>
            </w:r>
          </w:p>
        </w:tc>
        <w:tc>
          <w:tcPr>
            <w:tcW w:w="599" w:type="pct"/>
            <w:vAlign w:val="center"/>
          </w:tcPr>
          <w:p w14:paraId="24AC2C5C" w14:textId="2E72E246" w:rsidR="00B47963" w:rsidRPr="00D66751" w:rsidRDefault="00851D33" w:rsidP="00EC6148">
            <w:pPr>
              <w:pStyle w:val="TableText0"/>
              <w:keepLines/>
              <w:jc w:val="center"/>
              <w:rPr>
                <w:highlight w:val="darkGray"/>
              </w:rPr>
            </w:pPr>
            <w:r>
              <w:t xml:space="preserve"> </w:t>
            </w:r>
            <w:r w:rsidRPr="00851D33">
              <w:rPr>
                <w:rFonts w:hint="eastAsia"/>
                <w:color w:val="000000"/>
                <w:w w:val="15"/>
                <w:shd w:val="solid" w:color="000000" w:fill="000000"/>
                <w:fitText w:val="60" w:id="-1032080637"/>
                <w14:textFill>
                  <w14:solidFill>
                    <w14:srgbClr w14:val="000000">
                      <w14:alpha w14:val="100000"/>
                    </w14:srgbClr>
                  </w14:solidFill>
                </w14:textFill>
              </w:rPr>
              <w:t xml:space="preserve">　</w:t>
            </w:r>
            <w:r w:rsidRPr="00851D33">
              <w:rPr>
                <w:color w:val="000000"/>
                <w:w w:val="15"/>
                <w:shd w:val="solid" w:color="000000" w:fill="000000"/>
                <w:fitText w:val="60" w:id="-1032080637"/>
                <w14:textFill>
                  <w14:solidFill>
                    <w14:srgbClr w14:val="000000">
                      <w14:alpha w14:val="100000"/>
                    </w14:srgbClr>
                  </w14:solidFill>
                </w14:textFill>
              </w:rPr>
              <w:t>|</w:t>
            </w:r>
            <w:r w:rsidRPr="00851D33">
              <w:rPr>
                <w:rFonts w:hint="eastAsia"/>
                <w:color w:val="000000"/>
                <w:spacing w:val="-5"/>
                <w:w w:val="15"/>
                <w:shd w:val="solid" w:color="000000" w:fill="000000"/>
                <w:fitText w:val="60" w:id="-1032080637"/>
                <w14:textFill>
                  <w14:solidFill>
                    <w14:srgbClr w14:val="000000">
                      <w14:alpha w14:val="100000"/>
                    </w14:srgbClr>
                  </w14:solidFill>
                </w14:textFill>
              </w:rPr>
              <w:t xml:space="preserve">　</w:t>
            </w:r>
          </w:p>
        </w:tc>
        <w:tc>
          <w:tcPr>
            <w:tcW w:w="543" w:type="pct"/>
            <w:vAlign w:val="center"/>
          </w:tcPr>
          <w:p w14:paraId="7C2E9810" w14:textId="77777777" w:rsidR="00B47963" w:rsidRPr="008C164C" w:rsidRDefault="00B47963" w:rsidP="00EC6148">
            <w:pPr>
              <w:pStyle w:val="TableText0"/>
              <w:keepLines/>
              <w:jc w:val="center"/>
            </w:pPr>
            <w:r w:rsidRPr="008C164C">
              <w:t>1.48</w:t>
            </w:r>
          </w:p>
        </w:tc>
        <w:tc>
          <w:tcPr>
            <w:tcW w:w="589" w:type="pct"/>
            <w:vAlign w:val="center"/>
          </w:tcPr>
          <w:p w14:paraId="228CAB6E" w14:textId="13FF0E25" w:rsidR="00B47963" w:rsidRPr="00D66751" w:rsidRDefault="00851D33" w:rsidP="00EC6148">
            <w:pPr>
              <w:pStyle w:val="TableText0"/>
              <w:keepLines/>
              <w:jc w:val="center"/>
              <w:rPr>
                <w:highlight w:val="darkGray"/>
              </w:rPr>
            </w:pPr>
            <w:r>
              <w:t xml:space="preserve"> </w:t>
            </w:r>
            <w:r w:rsidRPr="00851D33">
              <w:rPr>
                <w:rFonts w:hint="eastAsia"/>
                <w:color w:val="000000"/>
                <w:w w:val="20"/>
                <w:shd w:val="solid" w:color="000000" w:fill="000000"/>
                <w:fitText w:val="90" w:id="-1032080636"/>
                <w14:textFill>
                  <w14:solidFill>
                    <w14:srgbClr w14:val="000000">
                      <w14:alpha w14:val="100000"/>
                    </w14:srgbClr>
                  </w14:solidFill>
                </w14:textFill>
              </w:rPr>
              <w:t xml:space="preserve">　</w:t>
            </w:r>
            <w:r w:rsidRPr="00851D33">
              <w:rPr>
                <w:color w:val="000000"/>
                <w:w w:val="20"/>
                <w:shd w:val="solid" w:color="000000" w:fill="000000"/>
                <w:fitText w:val="90" w:id="-1032080636"/>
                <w14:textFill>
                  <w14:solidFill>
                    <w14:srgbClr w14:val="000000">
                      <w14:alpha w14:val="100000"/>
                    </w14:srgbClr>
                  </w14:solidFill>
                </w14:textFill>
              </w:rPr>
              <w:t>|</w:t>
            </w:r>
            <w:r w:rsidRPr="00851D33">
              <w:rPr>
                <w:rFonts w:hint="eastAsia"/>
                <w:color w:val="000000"/>
                <w:spacing w:val="3"/>
                <w:w w:val="20"/>
                <w:shd w:val="solid" w:color="000000" w:fill="000000"/>
                <w:fitText w:val="90" w:id="-1032080636"/>
                <w14:textFill>
                  <w14:solidFill>
                    <w14:srgbClr w14:val="000000">
                      <w14:alpha w14:val="100000"/>
                    </w14:srgbClr>
                  </w14:solidFill>
                </w14:textFill>
              </w:rPr>
              <w:t xml:space="preserve">　</w:t>
            </w:r>
            <w:r w:rsidR="00D66751">
              <w:rPr>
                <w:vertAlign w:val="superscript"/>
              </w:rPr>
              <w:t>3</w:t>
            </w:r>
          </w:p>
        </w:tc>
        <w:tc>
          <w:tcPr>
            <w:tcW w:w="442" w:type="pct"/>
            <w:vAlign w:val="center"/>
          </w:tcPr>
          <w:p w14:paraId="09995A21" w14:textId="1B8666DB" w:rsidR="00B47963" w:rsidRPr="003F783F" w:rsidRDefault="00851D33" w:rsidP="00EC6148">
            <w:pPr>
              <w:pStyle w:val="TableText0"/>
              <w:keepLines/>
              <w:jc w:val="center"/>
              <w:rPr>
                <w:highlight w:val="darkGray"/>
              </w:rPr>
            </w:pPr>
            <w:r>
              <w:t xml:space="preserve"> </w:t>
            </w:r>
            <w:r w:rsidRPr="00851D33">
              <w:rPr>
                <w:color w:val="000000"/>
                <w:spacing w:val="114"/>
                <w:shd w:val="solid" w:color="000000" w:fill="000000"/>
                <w:fitText w:val="200" w:id="-1032080635"/>
                <w14:textFill>
                  <w14:solidFill>
                    <w14:srgbClr w14:val="000000">
                      <w14:alpha w14:val="100000"/>
                    </w14:srgbClr>
                  </w14:solidFill>
                </w14:textFill>
              </w:rPr>
              <w:t>|</w:t>
            </w:r>
            <w:r w:rsidRPr="00851D33">
              <w:rPr>
                <w:color w:val="000000"/>
                <w:spacing w:val="1"/>
                <w:shd w:val="solid" w:color="000000" w:fill="000000"/>
                <w:fitText w:val="200" w:id="-1032080635"/>
                <w14:textFill>
                  <w14:solidFill>
                    <w14:srgbClr w14:val="000000">
                      <w14:alpha w14:val="100000"/>
                    </w14:srgbClr>
                  </w14:solidFill>
                </w14:textFill>
              </w:rPr>
              <w:t>|</w:t>
            </w:r>
          </w:p>
        </w:tc>
      </w:tr>
      <w:tr w:rsidR="00B47963" w:rsidRPr="008C164C" w14:paraId="7F2FA152" w14:textId="77777777" w:rsidTr="00EF7A3C">
        <w:trPr>
          <w:trHeight w:val="20"/>
        </w:trPr>
        <w:tc>
          <w:tcPr>
            <w:tcW w:w="1569" w:type="pct"/>
            <w:vMerge w:val="restart"/>
            <w:vAlign w:val="center"/>
          </w:tcPr>
          <w:p w14:paraId="769459C0" w14:textId="77777777" w:rsidR="00B47963" w:rsidRPr="008C164C" w:rsidRDefault="00B47963" w:rsidP="00EC6148">
            <w:pPr>
              <w:pStyle w:val="TableText0"/>
              <w:keepLines/>
            </w:pPr>
            <w:r w:rsidRPr="008C164C">
              <w:t>Discount rate (5%)</w:t>
            </w:r>
          </w:p>
        </w:tc>
        <w:tc>
          <w:tcPr>
            <w:tcW w:w="1258" w:type="pct"/>
            <w:vAlign w:val="center"/>
          </w:tcPr>
          <w:p w14:paraId="3444236C" w14:textId="77777777" w:rsidR="00B47963" w:rsidRPr="008C164C" w:rsidRDefault="00B47963" w:rsidP="00EC6148">
            <w:pPr>
              <w:pStyle w:val="TableText0"/>
              <w:keepLines/>
              <w:jc w:val="center"/>
            </w:pPr>
            <w:r w:rsidRPr="008C164C">
              <w:t>3.5%</w:t>
            </w:r>
          </w:p>
        </w:tc>
        <w:tc>
          <w:tcPr>
            <w:tcW w:w="599" w:type="pct"/>
            <w:vAlign w:val="center"/>
          </w:tcPr>
          <w:p w14:paraId="350FA5B3" w14:textId="3B490428" w:rsidR="00B47963" w:rsidRPr="00D66751" w:rsidRDefault="00851D33" w:rsidP="00EC6148">
            <w:pPr>
              <w:pStyle w:val="TableText0"/>
              <w:keepLines/>
              <w:jc w:val="center"/>
              <w:rPr>
                <w:highlight w:val="darkGray"/>
              </w:rPr>
            </w:pPr>
            <w:r>
              <w:t xml:space="preserve"> </w:t>
            </w:r>
            <w:r w:rsidRPr="00851D33">
              <w:rPr>
                <w:rFonts w:hint="eastAsia"/>
                <w:color w:val="000000"/>
                <w:w w:val="15"/>
                <w:shd w:val="solid" w:color="000000" w:fill="000000"/>
                <w:fitText w:val="60" w:id="-1032080634"/>
                <w14:textFill>
                  <w14:solidFill>
                    <w14:srgbClr w14:val="000000">
                      <w14:alpha w14:val="100000"/>
                    </w14:srgbClr>
                  </w14:solidFill>
                </w14:textFill>
              </w:rPr>
              <w:t xml:space="preserve">　</w:t>
            </w:r>
            <w:r w:rsidRPr="00851D33">
              <w:rPr>
                <w:color w:val="000000"/>
                <w:w w:val="15"/>
                <w:shd w:val="solid" w:color="000000" w:fill="000000"/>
                <w:fitText w:val="60" w:id="-1032080634"/>
                <w14:textFill>
                  <w14:solidFill>
                    <w14:srgbClr w14:val="000000">
                      <w14:alpha w14:val="100000"/>
                    </w14:srgbClr>
                  </w14:solidFill>
                </w14:textFill>
              </w:rPr>
              <w:t>|</w:t>
            </w:r>
            <w:r w:rsidRPr="00851D33">
              <w:rPr>
                <w:rFonts w:hint="eastAsia"/>
                <w:color w:val="000000"/>
                <w:spacing w:val="-5"/>
                <w:w w:val="15"/>
                <w:shd w:val="solid" w:color="000000" w:fill="000000"/>
                <w:fitText w:val="60" w:id="-1032080634"/>
                <w14:textFill>
                  <w14:solidFill>
                    <w14:srgbClr w14:val="000000">
                      <w14:alpha w14:val="100000"/>
                    </w14:srgbClr>
                  </w14:solidFill>
                </w14:textFill>
              </w:rPr>
              <w:t xml:space="preserve">　</w:t>
            </w:r>
          </w:p>
        </w:tc>
        <w:tc>
          <w:tcPr>
            <w:tcW w:w="543" w:type="pct"/>
            <w:vAlign w:val="center"/>
          </w:tcPr>
          <w:p w14:paraId="34549819" w14:textId="77777777" w:rsidR="00B47963" w:rsidRPr="008C164C" w:rsidRDefault="00B47963" w:rsidP="00EC6148">
            <w:pPr>
              <w:pStyle w:val="TableText0"/>
              <w:keepLines/>
              <w:jc w:val="center"/>
            </w:pPr>
            <w:r w:rsidRPr="008C164C">
              <w:t>2.29</w:t>
            </w:r>
          </w:p>
        </w:tc>
        <w:tc>
          <w:tcPr>
            <w:tcW w:w="589" w:type="pct"/>
            <w:vAlign w:val="center"/>
          </w:tcPr>
          <w:p w14:paraId="2C5BC948" w14:textId="118A9BB4" w:rsidR="00B47963" w:rsidRPr="00D66751" w:rsidRDefault="00851D33" w:rsidP="00EC6148">
            <w:pPr>
              <w:pStyle w:val="TableText0"/>
              <w:keepLines/>
              <w:jc w:val="center"/>
              <w:rPr>
                <w:highlight w:val="darkGray"/>
              </w:rPr>
            </w:pPr>
            <w:r>
              <w:t xml:space="preserve"> </w:t>
            </w:r>
            <w:r w:rsidRPr="00851D33">
              <w:rPr>
                <w:rFonts w:hint="eastAsia"/>
                <w:color w:val="000000"/>
                <w:w w:val="20"/>
                <w:shd w:val="solid" w:color="000000" w:fill="000000"/>
                <w:fitText w:val="90" w:id="-1032080633"/>
                <w14:textFill>
                  <w14:solidFill>
                    <w14:srgbClr w14:val="000000">
                      <w14:alpha w14:val="100000"/>
                    </w14:srgbClr>
                  </w14:solidFill>
                </w14:textFill>
              </w:rPr>
              <w:t xml:space="preserve">　</w:t>
            </w:r>
            <w:r w:rsidRPr="00851D33">
              <w:rPr>
                <w:color w:val="000000"/>
                <w:w w:val="20"/>
                <w:shd w:val="solid" w:color="000000" w:fill="000000"/>
                <w:fitText w:val="90" w:id="-1032080633"/>
                <w14:textFill>
                  <w14:solidFill>
                    <w14:srgbClr w14:val="000000">
                      <w14:alpha w14:val="100000"/>
                    </w14:srgbClr>
                  </w14:solidFill>
                </w14:textFill>
              </w:rPr>
              <w:t>|</w:t>
            </w:r>
            <w:r w:rsidRPr="00851D33">
              <w:rPr>
                <w:rFonts w:hint="eastAsia"/>
                <w:color w:val="000000"/>
                <w:spacing w:val="3"/>
                <w:w w:val="20"/>
                <w:shd w:val="solid" w:color="000000" w:fill="000000"/>
                <w:fitText w:val="90" w:id="-1032080633"/>
                <w14:textFill>
                  <w14:solidFill>
                    <w14:srgbClr w14:val="000000">
                      <w14:alpha w14:val="100000"/>
                    </w14:srgbClr>
                  </w14:solidFill>
                </w14:textFill>
              </w:rPr>
              <w:t xml:space="preserve">　</w:t>
            </w:r>
            <w:r w:rsidR="00D66751">
              <w:rPr>
                <w:vertAlign w:val="superscript"/>
              </w:rPr>
              <w:t>1</w:t>
            </w:r>
          </w:p>
        </w:tc>
        <w:tc>
          <w:tcPr>
            <w:tcW w:w="442" w:type="pct"/>
            <w:vAlign w:val="center"/>
          </w:tcPr>
          <w:p w14:paraId="58458C99" w14:textId="138CC670" w:rsidR="00B47963" w:rsidRPr="008C164C" w:rsidRDefault="00B47963" w:rsidP="00EC6148">
            <w:pPr>
              <w:pStyle w:val="TableText0"/>
              <w:keepLines/>
              <w:jc w:val="center"/>
            </w:pPr>
            <w:r w:rsidRPr="008C164C">
              <w:t>-</w:t>
            </w:r>
            <w:r w:rsidR="00851D33">
              <w:t xml:space="preserve"> </w:t>
            </w:r>
            <w:r w:rsidR="00851D33" w:rsidRPr="00851D33">
              <w:rPr>
                <w:color w:val="000000"/>
                <w:spacing w:val="51"/>
                <w:shd w:val="solid" w:color="000000" w:fill="000000"/>
                <w:fitText w:val="230" w:id="-1032080632"/>
                <w14:textFill>
                  <w14:solidFill>
                    <w14:srgbClr w14:val="000000">
                      <w14:alpha w14:val="100000"/>
                    </w14:srgbClr>
                  </w14:solidFill>
                </w14:textFill>
              </w:rPr>
              <w:t>||</w:t>
            </w:r>
            <w:r w:rsidR="00851D33" w:rsidRPr="00851D33">
              <w:rPr>
                <w:color w:val="000000"/>
                <w:spacing w:val="1"/>
                <w:shd w:val="solid" w:color="000000" w:fill="000000"/>
                <w:fitText w:val="230" w:id="-1032080632"/>
                <w14:textFill>
                  <w14:solidFill>
                    <w14:srgbClr w14:val="000000">
                      <w14:alpha w14:val="100000"/>
                    </w14:srgbClr>
                  </w14:solidFill>
                </w14:textFill>
              </w:rPr>
              <w:t>|</w:t>
            </w:r>
          </w:p>
        </w:tc>
      </w:tr>
      <w:tr w:rsidR="00B47963" w:rsidRPr="008C164C" w14:paraId="47A2EF1F" w14:textId="77777777" w:rsidTr="00EF7A3C">
        <w:trPr>
          <w:trHeight w:val="20"/>
        </w:trPr>
        <w:tc>
          <w:tcPr>
            <w:tcW w:w="1569" w:type="pct"/>
            <w:vMerge/>
            <w:vAlign w:val="center"/>
          </w:tcPr>
          <w:p w14:paraId="614CBB87" w14:textId="77777777" w:rsidR="00B47963" w:rsidRPr="008C164C" w:rsidRDefault="00B47963" w:rsidP="00EC6148">
            <w:pPr>
              <w:pStyle w:val="TableText0"/>
              <w:keepLines/>
            </w:pPr>
          </w:p>
        </w:tc>
        <w:tc>
          <w:tcPr>
            <w:tcW w:w="1258" w:type="pct"/>
            <w:vAlign w:val="center"/>
          </w:tcPr>
          <w:p w14:paraId="57C303E2" w14:textId="77777777" w:rsidR="00B47963" w:rsidRPr="008C164C" w:rsidRDefault="00B47963" w:rsidP="00EC6148">
            <w:pPr>
              <w:pStyle w:val="TableText0"/>
              <w:keepLines/>
              <w:jc w:val="center"/>
            </w:pPr>
            <w:r w:rsidRPr="008C164C">
              <w:t>0%</w:t>
            </w:r>
          </w:p>
        </w:tc>
        <w:tc>
          <w:tcPr>
            <w:tcW w:w="599" w:type="pct"/>
            <w:vAlign w:val="center"/>
          </w:tcPr>
          <w:p w14:paraId="6F78C6C5" w14:textId="77FBDBED" w:rsidR="00B47963" w:rsidRPr="00D66751" w:rsidRDefault="00851D33" w:rsidP="00EC6148">
            <w:pPr>
              <w:pStyle w:val="TableText0"/>
              <w:keepLines/>
              <w:jc w:val="center"/>
              <w:rPr>
                <w:highlight w:val="darkGray"/>
              </w:rPr>
            </w:pPr>
            <w:r>
              <w:t xml:space="preserve"> </w:t>
            </w:r>
            <w:r w:rsidRPr="00851D33">
              <w:rPr>
                <w:rFonts w:hint="eastAsia"/>
                <w:color w:val="000000"/>
                <w:w w:val="15"/>
                <w:shd w:val="solid" w:color="000000" w:fill="000000"/>
                <w:fitText w:val="60" w:id="-1032080631"/>
                <w14:textFill>
                  <w14:solidFill>
                    <w14:srgbClr w14:val="000000">
                      <w14:alpha w14:val="100000"/>
                    </w14:srgbClr>
                  </w14:solidFill>
                </w14:textFill>
              </w:rPr>
              <w:t xml:space="preserve">　</w:t>
            </w:r>
            <w:r w:rsidRPr="00851D33">
              <w:rPr>
                <w:color w:val="000000"/>
                <w:w w:val="15"/>
                <w:shd w:val="solid" w:color="000000" w:fill="000000"/>
                <w:fitText w:val="60" w:id="-1032080631"/>
                <w14:textFill>
                  <w14:solidFill>
                    <w14:srgbClr w14:val="000000">
                      <w14:alpha w14:val="100000"/>
                    </w14:srgbClr>
                  </w14:solidFill>
                </w14:textFill>
              </w:rPr>
              <w:t>|</w:t>
            </w:r>
            <w:r w:rsidRPr="00851D33">
              <w:rPr>
                <w:rFonts w:hint="eastAsia"/>
                <w:color w:val="000000"/>
                <w:spacing w:val="-5"/>
                <w:w w:val="15"/>
                <w:shd w:val="solid" w:color="000000" w:fill="000000"/>
                <w:fitText w:val="60" w:id="-1032080631"/>
                <w14:textFill>
                  <w14:solidFill>
                    <w14:srgbClr w14:val="000000">
                      <w14:alpha w14:val="100000"/>
                    </w14:srgbClr>
                  </w14:solidFill>
                </w14:textFill>
              </w:rPr>
              <w:t xml:space="preserve">　</w:t>
            </w:r>
          </w:p>
        </w:tc>
        <w:tc>
          <w:tcPr>
            <w:tcW w:w="543" w:type="pct"/>
            <w:vAlign w:val="center"/>
          </w:tcPr>
          <w:p w14:paraId="076E7353" w14:textId="77777777" w:rsidR="00B47963" w:rsidRPr="008C164C" w:rsidRDefault="00B47963" w:rsidP="00EC6148">
            <w:pPr>
              <w:pStyle w:val="TableText0"/>
              <w:keepLines/>
              <w:jc w:val="center"/>
              <w:rPr>
                <w:bCs w:val="0"/>
                <w:szCs w:val="20"/>
              </w:rPr>
            </w:pPr>
            <w:r w:rsidRPr="008C164C">
              <w:rPr>
                <w:bCs w:val="0"/>
                <w:szCs w:val="20"/>
              </w:rPr>
              <w:t>3.94</w:t>
            </w:r>
          </w:p>
        </w:tc>
        <w:tc>
          <w:tcPr>
            <w:tcW w:w="589" w:type="pct"/>
            <w:vAlign w:val="center"/>
          </w:tcPr>
          <w:p w14:paraId="334ADF17" w14:textId="2CAA69A7" w:rsidR="00B47963" w:rsidRPr="00D66751" w:rsidRDefault="00851D33" w:rsidP="00EC6148">
            <w:pPr>
              <w:pStyle w:val="TableText0"/>
              <w:keepLines/>
              <w:jc w:val="center"/>
              <w:rPr>
                <w:bCs w:val="0"/>
                <w:szCs w:val="20"/>
                <w:highlight w:val="darkGray"/>
              </w:rPr>
            </w:pPr>
            <w:r>
              <w:rPr>
                <w:bCs w:val="0"/>
                <w:szCs w:val="20"/>
              </w:rPr>
              <w:t xml:space="preserve"> </w:t>
            </w:r>
            <w:r w:rsidRPr="00851D33">
              <w:rPr>
                <w:rFonts w:hint="eastAsia"/>
                <w:bCs w:val="0"/>
                <w:color w:val="000000"/>
                <w:w w:val="20"/>
                <w:szCs w:val="20"/>
                <w:shd w:val="solid" w:color="000000" w:fill="000000"/>
                <w:fitText w:val="90" w:id="-1032080630"/>
                <w14:textFill>
                  <w14:solidFill>
                    <w14:srgbClr w14:val="000000">
                      <w14:alpha w14:val="100000"/>
                    </w14:srgbClr>
                  </w14:solidFill>
                </w14:textFill>
              </w:rPr>
              <w:t xml:space="preserve">　</w:t>
            </w:r>
            <w:r w:rsidRPr="00851D33">
              <w:rPr>
                <w:bCs w:val="0"/>
                <w:color w:val="000000"/>
                <w:w w:val="20"/>
                <w:szCs w:val="20"/>
                <w:shd w:val="solid" w:color="000000" w:fill="000000"/>
                <w:fitText w:val="90" w:id="-1032080630"/>
                <w14:textFill>
                  <w14:solidFill>
                    <w14:srgbClr w14:val="000000">
                      <w14:alpha w14:val="100000"/>
                    </w14:srgbClr>
                  </w14:solidFill>
                </w14:textFill>
              </w:rPr>
              <w:t>|</w:t>
            </w:r>
            <w:r w:rsidRPr="00851D33">
              <w:rPr>
                <w:rFonts w:hint="eastAsia"/>
                <w:bCs w:val="0"/>
                <w:color w:val="000000"/>
                <w:spacing w:val="3"/>
                <w:w w:val="20"/>
                <w:szCs w:val="20"/>
                <w:shd w:val="solid" w:color="000000" w:fill="000000"/>
                <w:fitText w:val="90" w:id="-1032080630"/>
                <w14:textFill>
                  <w14:solidFill>
                    <w14:srgbClr w14:val="000000">
                      <w14:alpha w14:val="100000"/>
                    </w14:srgbClr>
                  </w14:solidFill>
                </w14:textFill>
              </w:rPr>
              <w:t xml:space="preserve">　</w:t>
            </w:r>
            <w:r w:rsidR="00D66751">
              <w:rPr>
                <w:vertAlign w:val="superscript"/>
              </w:rPr>
              <w:t>4</w:t>
            </w:r>
          </w:p>
        </w:tc>
        <w:tc>
          <w:tcPr>
            <w:tcW w:w="442" w:type="pct"/>
            <w:vAlign w:val="center"/>
          </w:tcPr>
          <w:p w14:paraId="5A5D4813" w14:textId="5E9992EA" w:rsidR="00B47963" w:rsidRPr="008C164C" w:rsidRDefault="00B47963" w:rsidP="00EC6148">
            <w:pPr>
              <w:pStyle w:val="TableText0"/>
              <w:keepLines/>
              <w:jc w:val="center"/>
            </w:pPr>
            <w:r w:rsidRPr="008C164C">
              <w:t>-</w:t>
            </w:r>
            <w:r w:rsidR="00851D33">
              <w:t xml:space="preserve"> </w:t>
            </w:r>
            <w:r w:rsidR="00851D33" w:rsidRPr="00851D33">
              <w:rPr>
                <w:color w:val="000000"/>
                <w:spacing w:val="51"/>
                <w:shd w:val="solid" w:color="000000" w:fill="000000"/>
                <w:fitText w:val="230" w:id="-1032080629"/>
                <w14:textFill>
                  <w14:solidFill>
                    <w14:srgbClr w14:val="000000">
                      <w14:alpha w14:val="100000"/>
                    </w14:srgbClr>
                  </w14:solidFill>
                </w14:textFill>
              </w:rPr>
              <w:t>||</w:t>
            </w:r>
            <w:r w:rsidR="00851D33" w:rsidRPr="00851D33">
              <w:rPr>
                <w:color w:val="000000"/>
                <w:spacing w:val="1"/>
                <w:shd w:val="solid" w:color="000000" w:fill="000000"/>
                <w:fitText w:val="230" w:id="-1032080629"/>
                <w14:textFill>
                  <w14:solidFill>
                    <w14:srgbClr w14:val="000000">
                      <w14:alpha w14:val="100000"/>
                    </w14:srgbClr>
                  </w14:solidFill>
                </w14:textFill>
              </w:rPr>
              <w:t>|</w:t>
            </w:r>
          </w:p>
        </w:tc>
      </w:tr>
      <w:tr w:rsidR="00A11272" w:rsidRPr="008C164C" w14:paraId="795CB465" w14:textId="77777777" w:rsidTr="00677F1A">
        <w:trPr>
          <w:trHeight w:val="336"/>
        </w:trPr>
        <w:tc>
          <w:tcPr>
            <w:tcW w:w="1569" w:type="pct"/>
            <w:vAlign w:val="center"/>
          </w:tcPr>
          <w:p w14:paraId="691566AC" w14:textId="77777777" w:rsidR="00B47963" w:rsidRPr="008C164C" w:rsidRDefault="00B47963" w:rsidP="00EC6148">
            <w:pPr>
              <w:pStyle w:val="TableText0"/>
              <w:keepLines/>
            </w:pPr>
            <w:r w:rsidRPr="008C164C">
              <w:rPr>
                <w:b/>
                <w:bCs w:val="0"/>
              </w:rPr>
              <w:t>Efficacy sensitivity analyses</w:t>
            </w:r>
          </w:p>
        </w:tc>
        <w:tc>
          <w:tcPr>
            <w:tcW w:w="1258" w:type="pct"/>
            <w:vAlign w:val="center"/>
          </w:tcPr>
          <w:p w14:paraId="7510B7C3" w14:textId="77777777" w:rsidR="00B47963" w:rsidRPr="008C164C" w:rsidRDefault="00B47963" w:rsidP="00EC6148">
            <w:pPr>
              <w:pStyle w:val="TableText0"/>
              <w:keepLines/>
              <w:jc w:val="center"/>
            </w:pPr>
          </w:p>
        </w:tc>
        <w:tc>
          <w:tcPr>
            <w:tcW w:w="599" w:type="pct"/>
            <w:vAlign w:val="center"/>
          </w:tcPr>
          <w:p w14:paraId="1D66A788" w14:textId="77777777" w:rsidR="00B47963" w:rsidRPr="00D66751" w:rsidRDefault="00B47963" w:rsidP="00EC6148">
            <w:pPr>
              <w:pStyle w:val="TableText0"/>
              <w:keepLines/>
              <w:jc w:val="center"/>
              <w:rPr>
                <w:highlight w:val="darkGray"/>
              </w:rPr>
            </w:pPr>
          </w:p>
        </w:tc>
        <w:tc>
          <w:tcPr>
            <w:tcW w:w="543" w:type="pct"/>
            <w:vAlign w:val="center"/>
          </w:tcPr>
          <w:p w14:paraId="0635D145" w14:textId="77777777" w:rsidR="00B47963" w:rsidRPr="008C164C" w:rsidRDefault="00B47963" w:rsidP="00EC6148">
            <w:pPr>
              <w:pStyle w:val="TableText0"/>
              <w:keepLines/>
              <w:jc w:val="center"/>
            </w:pPr>
          </w:p>
        </w:tc>
        <w:tc>
          <w:tcPr>
            <w:tcW w:w="589" w:type="pct"/>
            <w:vAlign w:val="center"/>
          </w:tcPr>
          <w:p w14:paraId="59A9F4C5" w14:textId="77777777" w:rsidR="00B47963" w:rsidRPr="00D66751" w:rsidRDefault="00B47963" w:rsidP="00EC6148">
            <w:pPr>
              <w:pStyle w:val="TableText0"/>
              <w:keepLines/>
              <w:jc w:val="center"/>
              <w:rPr>
                <w:highlight w:val="darkGray"/>
              </w:rPr>
            </w:pPr>
          </w:p>
        </w:tc>
        <w:tc>
          <w:tcPr>
            <w:tcW w:w="442" w:type="pct"/>
            <w:vAlign w:val="bottom"/>
          </w:tcPr>
          <w:p w14:paraId="682005F3" w14:textId="77777777" w:rsidR="00B47963" w:rsidRPr="008C164C" w:rsidRDefault="00B47963" w:rsidP="00EC6148">
            <w:pPr>
              <w:pStyle w:val="TableText0"/>
              <w:keepLines/>
              <w:jc w:val="center"/>
            </w:pPr>
          </w:p>
        </w:tc>
      </w:tr>
      <w:tr w:rsidR="00A11272" w:rsidRPr="008C164C" w14:paraId="31C6C7B0" w14:textId="77777777" w:rsidTr="00EF7A3C">
        <w:trPr>
          <w:trHeight w:val="20"/>
        </w:trPr>
        <w:tc>
          <w:tcPr>
            <w:tcW w:w="1569" w:type="pct"/>
            <w:vMerge w:val="restart"/>
            <w:vAlign w:val="center"/>
          </w:tcPr>
          <w:p w14:paraId="716D11CF" w14:textId="567AF8F7" w:rsidR="00B47963" w:rsidRPr="008C164C" w:rsidRDefault="00B47963" w:rsidP="00EC6148">
            <w:pPr>
              <w:pStyle w:val="TableText0"/>
              <w:keepLines/>
              <w:rPr>
                <w:b/>
                <w:bCs w:val="0"/>
              </w:rPr>
            </w:pPr>
            <w:r w:rsidRPr="008C164C">
              <w:t>OBR, relative risk of viral load at both 50 copies/mL and 200 copies/mL (RR 2.81)</w:t>
            </w:r>
            <w:r w:rsidR="00A77408" w:rsidRPr="008C164C">
              <w:t xml:space="preserve"> (see </w:t>
            </w:r>
            <w:r w:rsidR="00A77408" w:rsidRPr="008C164C">
              <w:rPr>
                <w:b/>
                <w:bCs w:val="0"/>
              </w:rPr>
              <w:fldChar w:fldCharType="begin" w:fldLock="1"/>
            </w:r>
            <w:r w:rsidR="00A77408" w:rsidRPr="008C164C">
              <w:rPr>
                <w:b/>
                <w:bCs w:val="0"/>
              </w:rPr>
              <w:instrText xml:space="preserve"> REF _Ref142589060 \h  \* MERGEFORMAT </w:instrText>
            </w:r>
            <w:r w:rsidR="00A77408" w:rsidRPr="008C164C">
              <w:rPr>
                <w:b/>
                <w:bCs w:val="0"/>
              </w:rPr>
            </w:r>
            <w:r w:rsidR="00A77408" w:rsidRPr="008C164C">
              <w:rPr>
                <w:b/>
                <w:bCs w:val="0"/>
              </w:rPr>
              <w:fldChar w:fldCharType="separate"/>
            </w:r>
            <w:r w:rsidR="00682506" w:rsidRPr="00682506">
              <w:rPr>
                <w:rStyle w:val="CommentReference"/>
                <w:b w:val="0"/>
                <w:bCs w:val="0"/>
                <w:szCs w:val="24"/>
              </w:rPr>
              <w:t>Table 9</w:t>
            </w:r>
            <w:r w:rsidR="00A77408" w:rsidRPr="008C164C">
              <w:rPr>
                <w:b/>
                <w:bCs w:val="0"/>
              </w:rPr>
              <w:fldChar w:fldCharType="end"/>
            </w:r>
            <w:r w:rsidR="00A77408" w:rsidRPr="008C164C">
              <w:t>)</w:t>
            </w:r>
          </w:p>
        </w:tc>
        <w:tc>
          <w:tcPr>
            <w:tcW w:w="1258" w:type="pct"/>
            <w:vAlign w:val="center"/>
          </w:tcPr>
          <w:p w14:paraId="00513388" w14:textId="77777777" w:rsidR="00B47963" w:rsidRPr="008C164C" w:rsidRDefault="00B47963" w:rsidP="00EC6148">
            <w:pPr>
              <w:pStyle w:val="TableText0"/>
              <w:keepLines/>
              <w:jc w:val="center"/>
            </w:pPr>
            <w:r w:rsidRPr="008C164C">
              <w:t>RR=1.587 (based on expert estimate of OBR efficacy)</w:t>
            </w:r>
          </w:p>
        </w:tc>
        <w:tc>
          <w:tcPr>
            <w:tcW w:w="599" w:type="pct"/>
            <w:vAlign w:val="center"/>
          </w:tcPr>
          <w:p w14:paraId="4632894D" w14:textId="1B9C6CAC" w:rsidR="00B47963" w:rsidRPr="00D66751" w:rsidRDefault="00851D33" w:rsidP="00EC6148">
            <w:pPr>
              <w:pStyle w:val="TableText0"/>
              <w:keepLines/>
              <w:jc w:val="center"/>
              <w:rPr>
                <w:highlight w:val="darkGray"/>
              </w:rPr>
            </w:pPr>
            <w:r>
              <w:t xml:space="preserve"> </w:t>
            </w:r>
            <w:r w:rsidRPr="00851D33">
              <w:rPr>
                <w:rFonts w:hint="eastAsia"/>
                <w:color w:val="000000"/>
                <w:w w:val="15"/>
                <w:shd w:val="solid" w:color="000000" w:fill="000000"/>
                <w:fitText w:val="60" w:id="-1032080628"/>
                <w14:textFill>
                  <w14:solidFill>
                    <w14:srgbClr w14:val="000000">
                      <w14:alpha w14:val="100000"/>
                    </w14:srgbClr>
                  </w14:solidFill>
                </w14:textFill>
              </w:rPr>
              <w:t xml:space="preserve">　</w:t>
            </w:r>
            <w:r w:rsidRPr="00851D33">
              <w:rPr>
                <w:color w:val="000000"/>
                <w:w w:val="15"/>
                <w:shd w:val="solid" w:color="000000" w:fill="000000"/>
                <w:fitText w:val="60" w:id="-1032080628"/>
                <w14:textFill>
                  <w14:solidFill>
                    <w14:srgbClr w14:val="000000">
                      <w14:alpha w14:val="100000"/>
                    </w14:srgbClr>
                  </w14:solidFill>
                </w14:textFill>
              </w:rPr>
              <w:t>|</w:t>
            </w:r>
            <w:r w:rsidRPr="00851D33">
              <w:rPr>
                <w:rFonts w:hint="eastAsia"/>
                <w:color w:val="000000"/>
                <w:spacing w:val="-5"/>
                <w:w w:val="15"/>
                <w:shd w:val="solid" w:color="000000" w:fill="000000"/>
                <w:fitText w:val="60" w:id="-1032080628"/>
                <w14:textFill>
                  <w14:solidFill>
                    <w14:srgbClr w14:val="000000">
                      <w14:alpha w14:val="100000"/>
                    </w14:srgbClr>
                  </w14:solidFill>
                </w14:textFill>
              </w:rPr>
              <w:t xml:space="preserve">　</w:t>
            </w:r>
          </w:p>
        </w:tc>
        <w:tc>
          <w:tcPr>
            <w:tcW w:w="543" w:type="pct"/>
            <w:vAlign w:val="center"/>
          </w:tcPr>
          <w:p w14:paraId="1BCA1EDA" w14:textId="77777777" w:rsidR="00B47963" w:rsidRPr="008C164C" w:rsidRDefault="00B47963" w:rsidP="00EC6148">
            <w:pPr>
              <w:pStyle w:val="TableText0"/>
              <w:keepLines/>
              <w:jc w:val="center"/>
            </w:pPr>
            <w:r w:rsidRPr="008C164C">
              <w:t>0.80</w:t>
            </w:r>
          </w:p>
        </w:tc>
        <w:tc>
          <w:tcPr>
            <w:tcW w:w="589" w:type="pct"/>
            <w:vAlign w:val="center"/>
          </w:tcPr>
          <w:p w14:paraId="340E44D2" w14:textId="7A25BBF6" w:rsidR="00B47963" w:rsidRPr="00D66751" w:rsidRDefault="00851D33" w:rsidP="00EC6148">
            <w:pPr>
              <w:pStyle w:val="TableText0"/>
              <w:keepLines/>
              <w:jc w:val="center"/>
              <w:rPr>
                <w:highlight w:val="darkGray"/>
              </w:rPr>
            </w:pPr>
            <w:r>
              <w:t xml:space="preserve"> </w:t>
            </w:r>
            <w:r w:rsidRPr="00851D33">
              <w:rPr>
                <w:rFonts w:hint="eastAsia"/>
                <w:color w:val="000000"/>
                <w:w w:val="20"/>
                <w:shd w:val="solid" w:color="000000" w:fill="000000"/>
                <w:fitText w:val="90" w:id="-1032080627"/>
                <w14:textFill>
                  <w14:solidFill>
                    <w14:srgbClr w14:val="000000">
                      <w14:alpha w14:val="100000"/>
                    </w14:srgbClr>
                  </w14:solidFill>
                </w14:textFill>
              </w:rPr>
              <w:t xml:space="preserve">　</w:t>
            </w:r>
            <w:r w:rsidRPr="00851D33">
              <w:rPr>
                <w:color w:val="000000"/>
                <w:w w:val="20"/>
                <w:shd w:val="solid" w:color="000000" w:fill="000000"/>
                <w:fitText w:val="90" w:id="-1032080627"/>
                <w14:textFill>
                  <w14:solidFill>
                    <w14:srgbClr w14:val="000000">
                      <w14:alpha w14:val="100000"/>
                    </w14:srgbClr>
                  </w14:solidFill>
                </w14:textFill>
              </w:rPr>
              <w:t>|</w:t>
            </w:r>
            <w:r w:rsidRPr="00851D33">
              <w:rPr>
                <w:rFonts w:hint="eastAsia"/>
                <w:color w:val="000000"/>
                <w:spacing w:val="3"/>
                <w:w w:val="20"/>
                <w:shd w:val="solid" w:color="000000" w:fill="000000"/>
                <w:fitText w:val="90" w:id="-1032080627"/>
                <w14:textFill>
                  <w14:solidFill>
                    <w14:srgbClr w14:val="000000">
                      <w14:alpha w14:val="100000"/>
                    </w14:srgbClr>
                  </w14:solidFill>
                </w14:textFill>
              </w:rPr>
              <w:t xml:space="preserve">　</w:t>
            </w:r>
            <w:r w:rsidR="00D66751">
              <w:rPr>
                <w:vertAlign w:val="superscript"/>
              </w:rPr>
              <w:t>5</w:t>
            </w:r>
          </w:p>
        </w:tc>
        <w:tc>
          <w:tcPr>
            <w:tcW w:w="442" w:type="pct"/>
            <w:vAlign w:val="center"/>
          </w:tcPr>
          <w:p w14:paraId="22730BE6" w14:textId="3325BC0F" w:rsidR="00B47963" w:rsidRPr="003F783F" w:rsidRDefault="00851D33" w:rsidP="00EC6148">
            <w:pPr>
              <w:pStyle w:val="TableText0"/>
              <w:keepLines/>
              <w:jc w:val="center"/>
              <w:rPr>
                <w:highlight w:val="darkGray"/>
              </w:rPr>
            </w:pPr>
            <w:r>
              <w:t xml:space="preserve"> </w:t>
            </w:r>
            <w:r w:rsidRPr="00851D33">
              <w:rPr>
                <w:color w:val="000000"/>
                <w:spacing w:val="114"/>
                <w:shd w:val="solid" w:color="000000" w:fill="000000"/>
                <w:fitText w:val="200" w:id="-1032080626"/>
                <w14:textFill>
                  <w14:solidFill>
                    <w14:srgbClr w14:val="000000">
                      <w14:alpha w14:val="100000"/>
                    </w14:srgbClr>
                  </w14:solidFill>
                </w14:textFill>
              </w:rPr>
              <w:t>|</w:t>
            </w:r>
            <w:r w:rsidRPr="00851D33">
              <w:rPr>
                <w:color w:val="000000"/>
                <w:spacing w:val="1"/>
                <w:shd w:val="solid" w:color="000000" w:fill="000000"/>
                <w:fitText w:val="200" w:id="-1032080626"/>
                <w14:textFill>
                  <w14:solidFill>
                    <w14:srgbClr w14:val="000000">
                      <w14:alpha w14:val="100000"/>
                    </w14:srgbClr>
                  </w14:solidFill>
                </w14:textFill>
              </w:rPr>
              <w:t>|</w:t>
            </w:r>
          </w:p>
        </w:tc>
      </w:tr>
      <w:tr w:rsidR="00A11272" w:rsidRPr="008C164C" w14:paraId="4A60AF10" w14:textId="77777777" w:rsidTr="00EF7A3C">
        <w:trPr>
          <w:trHeight w:val="20"/>
        </w:trPr>
        <w:tc>
          <w:tcPr>
            <w:tcW w:w="1569" w:type="pct"/>
            <w:vMerge/>
            <w:vAlign w:val="center"/>
          </w:tcPr>
          <w:p w14:paraId="3077935E" w14:textId="77777777" w:rsidR="00B47963" w:rsidRPr="008C164C" w:rsidRDefault="00B47963" w:rsidP="00EC6148">
            <w:pPr>
              <w:pStyle w:val="TableText0"/>
              <w:keepLines/>
            </w:pPr>
          </w:p>
        </w:tc>
        <w:tc>
          <w:tcPr>
            <w:tcW w:w="1258" w:type="pct"/>
            <w:vAlign w:val="center"/>
          </w:tcPr>
          <w:p w14:paraId="765D41DB" w14:textId="77777777" w:rsidR="00B47963" w:rsidRPr="008C164C" w:rsidRDefault="00B47963" w:rsidP="00EC6148">
            <w:pPr>
              <w:pStyle w:val="TableText0"/>
              <w:keepLines/>
              <w:jc w:val="center"/>
            </w:pPr>
            <w:r w:rsidRPr="008C164C">
              <w:t>RR=1.271 based on clinical expert estimate of 2</w:t>
            </w:r>
            <w:r w:rsidRPr="008C164C">
              <w:rPr>
                <w:vertAlign w:val="superscript"/>
              </w:rPr>
              <w:t>nd</w:t>
            </w:r>
            <w:r w:rsidRPr="008C164C">
              <w:t xml:space="preserve"> gen INSTI efficacy</w:t>
            </w:r>
          </w:p>
        </w:tc>
        <w:tc>
          <w:tcPr>
            <w:tcW w:w="599" w:type="pct"/>
            <w:vAlign w:val="center"/>
          </w:tcPr>
          <w:p w14:paraId="72B45E0D" w14:textId="17C273B0" w:rsidR="00B47963" w:rsidRPr="00D66751" w:rsidRDefault="00851D33" w:rsidP="00EC6148">
            <w:pPr>
              <w:pStyle w:val="TableText0"/>
              <w:keepLines/>
              <w:jc w:val="center"/>
              <w:rPr>
                <w:highlight w:val="darkGray"/>
              </w:rPr>
            </w:pPr>
            <w:r>
              <w:t xml:space="preserve"> </w:t>
            </w:r>
            <w:r w:rsidRPr="00851D33">
              <w:rPr>
                <w:rFonts w:hint="eastAsia"/>
                <w:color w:val="000000"/>
                <w:w w:val="15"/>
                <w:shd w:val="solid" w:color="000000" w:fill="000000"/>
                <w:fitText w:val="60" w:id="-1032080625"/>
                <w14:textFill>
                  <w14:solidFill>
                    <w14:srgbClr w14:val="000000">
                      <w14:alpha w14:val="100000"/>
                    </w14:srgbClr>
                  </w14:solidFill>
                </w14:textFill>
              </w:rPr>
              <w:t xml:space="preserve">　</w:t>
            </w:r>
            <w:r w:rsidRPr="00851D33">
              <w:rPr>
                <w:color w:val="000000"/>
                <w:w w:val="15"/>
                <w:shd w:val="solid" w:color="000000" w:fill="000000"/>
                <w:fitText w:val="60" w:id="-1032080625"/>
                <w14:textFill>
                  <w14:solidFill>
                    <w14:srgbClr w14:val="000000">
                      <w14:alpha w14:val="100000"/>
                    </w14:srgbClr>
                  </w14:solidFill>
                </w14:textFill>
              </w:rPr>
              <w:t>|</w:t>
            </w:r>
            <w:r w:rsidRPr="00851D33">
              <w:rPr>
                <w:rFonts w:hint="eastAsia"/>
                <w:color w:val="000000"/>
                <w:spacing w:val="-5"/>
                <w:w w:val="15"/>
                <w:shd w:val="solid" w:color="000000" w:fill="000000"/>
                <w:fitText w:val="60" w:id="-1032080625"/>
                <w14:textFill>
                  <w14:solidFill>
                    <w14:srgbClr w14:val="000000">
                      <w14:alpha w14:val="100000"/>
                    </w14:srgbClr>
                  </w14:solidFill>
                </w14:textFill>
              </w:rPr>
              <w:t xml:space="preserve">　</w:t>
            </w:r>
          </w:p>
        </w:tc>
        <w:tc>
          <w:tcPr>
            <w:tcW w:w="543" w:type="pct"/>
            <w:vAlign w:val="center"/>
          </w:tcPr>
          <w:p w14:paraId="0C88FD5B" w14:textId="77777777" w:rsidR="00B47963" w:rsidRPr="008C164C" w:rsidRDefault="00B47963" w:rsidP="00EC6148">
            <w:pPr>
              <w:pStyle w:val="TableText0"/>
              <w:keepLines/>
              <w:jc w:val="center"/>
            </w:pPr>
            <w:r w:rsidRPr="008C164C">
              <w:t>0.40</w:t>
            </w:r>
          </w:p>
        </w:tc>
        <w:tc>
          <w:tcPr>
            <w:tcW w:w="589" w:type="pct"/>
            <w:vAlign w:val="center"/>
          </w:tcPr>
          <w:p w14:paraId="7E6C3D6F" w14:textId="3CAA94AB" w:rsidR="00B47963" w:rsidRPr="00D66751" w:rsidRDefault="00851D33" w:rsidP="00EC6148">
            <w:pPr>
              <w:pStyle w:val="TableText0"/>
              <w:keepLines/>
              <w:jc w:val="center"/>
              <w:rPr>
                <w:highlight w:val="darkGray"/>
              </w:rPr>
            </w:pPr>
            <w:r>
              <w:t xml:space="preserve"> </w:t>
            </w:r>
            <w:r w:rsidRPr="00851D33">
              <w:rPr>
                <w:rFonts w:hint="eastAsia"/>
                <w:color w:val="000000"/>
                <w:w w:val="20"/>
                <w:shd w:val="solid" w:color="000000" w:fill="000000"/>
                <w:fitText w:val="90" w:id="-1032080624"/>
                <w14:textFill>
                  <w14:solidFill>
                    <w14:srgbClr w14:val="000000">
                      <w14:alpha w14:val="100000"/>
                    </w14:srgbClr>
                  </w14:solidFill>
                </w14:textFill>
              </w:rPr>
              <w:t xml:space="preserve">　</w:t>
            </w:r>
            <w:r w:rsidRPr="00851D33">
              <w:rPr>
                <w:color w:val="000000"/>
                <w:w w:val="20"/>
                <w:shd w:val="solid" w:color="000000" w:fill="000000"/>
                <w:fitText w:val="90" w:id="-1032080624"/>
                <w14:textFill>
                  <w14:solidFill>
                    <w14:srgbClr w14:val="000000">
                      <w14:alpha w14:val="100000"/>
                    </w14:srgbClr>
                  </w14:solidFill>
                </w14:textFill>
              </w:rPr>
              <w:t>|</w:t>
            </w:r>
            <w:r w:rsidRPr="00851D33">
              <w:rPr>
                <w:rFonts w:hint="eastAsia"/>
                <w:color w:val="000000"/>
                <w:spacing w:val="3"/>
                <w:w w:val="20"/>
                <w:shd w:val="solid" w:color="000000" w:fill="000000"/>
                <w:fitText w:val="90" w:id="-1032080624"/>
                <w14:textFill>
                  <w14:solidFill>
                    <w14:srgbClr w14:val="000000">
                      <w14:alpha w14:val="100000"/>
                    </w14:srgbClr>
                  </w14:solidFill>
                </w14:textFill>
              </w:rPr>
              <w:t xml:space="preserve">　</w:t>
            </w:r>
            <w:r w:rsidR="00D66751">
              <w:rPr>
                <w:vertAlign w:val="superscript"/>
              </w:rPr>
              <w:t>6</w:t>
            </w:r>
          </w:p>
        </w:tc>
        <w:tc>
          <w:tcPr>
            <w:tcW w:w="442" w:type="pct"/>
            <w:vAlign w:val="center"/>
          </w:tcPr>
          <w:p w14:paraId="197DC011" w14:textId="62CB9ADA" w:rsidR="00B47963" w:rsidRPr="003F783F" w:rsidRDefault="00851D33" w:rsidP="00EC6148">
            <w:pPr>
              <w:pStyle w:val="TableText0"/>
              <w:keepLines/>
              <w:jc w:val="center"/>
              <w:rPr>
                <w:highlight w:val="darkGray"/>
              </w:rPr>
            </w:pPr>
            <w:r>
              <w:t xml:space="preserve"> </w:t>
            </w:r>
            <w:r w:rsidRPr="00851D33">
              <w:rPr>
                <w:color w:val="000000"/>
                <w:spacing w:val="114"/>
                <w:shd w:val="solid" w:color="000000" w:fill="000000"/>
                <w:fitText w:val="200" w:id="-1032080640"/>
                <w14:textFill>
                  <w14:solidFill>
                    <w14:srgbClr w14:val="000000">
                      <w14:alpha w14:val="100000"/>
                    </w14:srgbClr>
                  </w14:solidFill>
                </w14:textFill>
              </w:rPr>
              <w:t>|</w:t>
            </w:r>
            <w:r w:rsidRPr="00851D33">
              <w:rPr>
                <w:color w:val="000000"/>
                <w:spacing w:val="1"/>
                <w:shd w:val="solid" w:color="000000" w:fill="000000"/>
                <w:fitText w:val="200" w:id="-1032080640"/>
                <w14:textFill>
                  <w14:solidFill>
                    <w14:srgbClr w14:val="000000">
                      <w14:alpha w14:val="100000"/>
                    </w14:srgbClr>
                  </w14:solidFill>
                </w14:textFill>
              </w:rPr>
              <w:t>|</w:t>
            </w:r>
          </w:p>
        </w:tc>
      </w:tr>
      <w:tr w:rsidR="00A11272" w:rsidRPr="008C164C" w14:paraId="4ACAC9FB" w14:textId="77777777" w:rsidTr="00EF7A3C">
        <w:trPr>
          <w:trHeight w:val="20"/>
        </w:trPr>
        <w:tc>
          <w:tcPr>
            <w:tcW w:w="1569" w:type="pct"/>
            <w:vMerge/>
            <w:vAlign w:val="center"/>
          </w:tcPr>
          <w:p w14:paraId="4D857B57" w14:textId="77777777" w:rsidR="00B47963" w:rsidRPr="008C164C" w:rsidRDefault="00B47963" w:rsidP="00EC6148">
            <w:pPr>
              <w:pStyle w:val="TableText0"/>
              <w:keepLines/>
            </w:pPr>
          </w:p>
        </w:tc>
        <w:tc>
          <w:tcPr>
            <w:tcW w:w="1258" w:type="pct"/>
            <w:vAlign w:val="center"/>
          </w:tcPr>
          <w:p w14:paraId="14D991FF" w14:textId="77777777" w:rsidR="00B47963" w:rsidRPr="008C164C" w:rsidRDefault="00B47963" w:rsidP="00EC6148">
            <w:pPr>
              <w:pStyle w:val="TableText0"/>
              <w:keepLines/>
              <w:jc w:val="center"/>
            </w:pPr>
            <w:r w:rsidRPr="008C164C">
              <w:t>RR = 2.218 (unadjusted trial weights)</w:t>
            </w:r>
          </w:p>
        </w:tc>
        <w:tc>
          <w:tcPr>
            <w:tcW w:w="599" w:type="pct"/>
            <w:vAlign w:val="center"/>
          </w:tcPr>
          <w:p w14:paraId="79C2B1DC" w14:textId="77A38BD6" w:rsidR="00B47963" w:rsidRPr="00D66751" w:rsidRDefault="00851D33" w:rsidP="00EC6148">
            <w:pPr>
              <w:pStyle w:val="TableText0"/>
              <w:keepLines/>
              <w:jc w:val="center"/>
              <w:rPr>
                <w:highlight w:val="darkGray"/>
              </w:rPr>
            </w:pPr>
            <w:r>
              <w:t xml:space="preserve"> </w:t>
            </w:r>
            <w:r w:rsidRPr="00851D33">
              <w:rPr>
                <w:rFonts w:hint="eastAsia"/>
                <w:color w:val="000000"/>
                <w:w w:val="15"/>
                <w:shd w:val="solid" w:color="000000" w:fill="000000"/>
                <w:fitText w:val="60" w:id="-1032080639"/>
                <w14:textFill>
                  <w14:solidFill>
                    <w14:srgbClr w14:val="000000">
                      <w14:alpha w14:val="100000"/>
                    </w14:srgbClr>
                  </w14:solidFill>
                </w14:textFill>
              </w:rPr>
              <w:t xml:space="preserve">　</w:t>
            </w:r>
            <w:r w:rsidRPr="00851D33">
              <w:rPr>
                <w:color w:val="000000"/>
                <w:w w:val="15"/>
                <w:shd w:val="solid" w:color="000000" w:fill="000000"/>
                <w:fitText w:val="60" w:id="-1032080639"/>
                <w14:textFill>
                  <w14:solidFill>
                    <w14:srgbClr w14:val="000000">
                      <w14:alpha w14:val="100000"/>
                    </w14:srgbClr>
                  </w14:solidFill>
                </w14:textFill>
              </w:rPr>
              <w:t>|</w:t>
            </w:r>
            <w:r w:rsidRPr="00851D33">
              <w:rPr>
                <w:rFonts w:hint="eastAsia"/>
                <w:color w:val="000000"/>
                <w:spacing w:val="-5"/>
                <w:w w:val="15"/>
                <w:shd w:val="solid" w:color="000000" w:fill="000000"/>
                <w:fitText w:val="60" w:id="-1032080639"/>
                <w14:textFill>
                  <w14:solidFill>
                    <w14:srgbClr w14:val="000000">
                      <w14:alpha w14:val="100000"/>
                    </w14:srgbClr>
                  </w14:solidFill>
                </w14:textFill>
              </w:rPr>
              <w:t xml:space="preserve">　</w:t>
            </w:r>
          </w:p>
        </w:tc>
        <w:tc>
          <w:tcPr>
            <w:tcW w:w="543" w:type="pct"/>
            <w:vAlign w:val="center"/>
          </w:tcPr>
          <w:p w14:paraId="3D2E370A" w14:textId="77777777" w:rsidR="00B47963" w:rsidRPr="008C164C" w:rsidRDefault="00B47963" w:rsidP="00EC6148">
            <w:pPr>
              <w:pStyle w:val="TableText0"/>
              <w:keepLines/>
              <w:jc w:val="center"/>
            </w:pPr>
            <w:r w:rsidRPr="008C164C">
              <w:t>1.41</w:t>
            </w:r>
          </w:p>
        </w:tc>
        <w:tc>
          <w:tcPr>
            <w:tcW w:w="589" w:type="pct"/>
            <w:vAlign w:val="center"/>
          </w:tcPr>
          <w:p w14:paraId="310246B0" w14:textId="3502E34D" w:rsidR="00B47963" w:rsidRPr="00D66751" w:rsidRDefault="00851D33" w:rsidP="00EC6148">
            <w:pPr>
              <w:pStyle w:val="TableText0"/>
              <w:keepLines/>
              <w:jc w:val="center"/>
              <w:rPr>
                <w:highlight w:val="darkGray"/>
              </w:rPr>
            </w:pPr>
            <w:r>
              <w:t xml:space="preserve"> </w:t>
            </w:r>
            <w:r w:rsidRPr="00851D33">
              <w:rPr>
                <w:rFonts w:hint="eastAsia"/>
                <w:color w:val="000000"/>
                <w:w w:val="20"/>
                <w:shd w:val="solid" w:color="000000" w:fill="000000"/>
                <w:fitText w:val="90" w:id="-1032080638"/>
                <w14:textFill>
                  <w14:solidFill>
                    <w14:srgbClr w14:val="000000">
                      <w14:alpha w14:val="100000"/>
                    </w14:srgbClr>
                  </w14:solidFill>
                </w14:textFill>
              </w:rPr>
              <w:t xml:space="preserve">　</w:t>
            </w:r>
            <w:r w:rsidRPr="00851D33">
              <w:rPr>
                <w:color w:val="000000"/>
                <w:w w:val="20"/>
                <w:shd w:val="solid" w:color="000000" w:fill="000000"/>
                <w:fitText w:val="90" w:id="-1032080638"/>
                <w14:textFill>
                  <w14:solidFill>
                    <w14:srgbClr w14:val="000000">
                      <w14:alpha w14:val="100000"/>
                    </w14:srgbClr>
                  </w14:solidFill>
                </w14:textFill>
              </w:rPr>
              <w:t>|</w:t>
            </w:r>
            <w:r w:rsidRPr="00851D33">
              <w:rPr>
                <w:rFonts w:hint="eastAsia"/>
                <w:color w:val="000000"/>
                <w:spacing w:val="3"/>
                <w:w w:val="20"/>
                <w:shd w:val="solid" w:color="000000" w:fill="000000"/>
                <w:fitText w:val="90" w:id="-1032080638"/>
                <w14:textFill>
                  <w14:solidFill>
                    <w14:srgbClr w14:val="000000">
                      <w14:alpha w14:val="100000"/>
                    </w14:srgbClr>
                  </w14:solidFill>
                </w14:textFill>
              </w:rPr>
              <w:t xml:space="preserve">　</w:t>
            </w:r>
            <w:r w:rsidR="00D66751">
              <w:rPr>
                <w:vertAlign w:val="superscript"/>
              </w:rPr>
              <w:t>3</w:t>
            </w:r>
          </w:p>
        </w:tc>
        <w:tc>
          <w:tcPr>
            <w:tcW w:w="442" w:type="pct"/>
            <w:vAlign w:val="center"/>
          </w:tcPr>
          <w:p w14:paraId="3F5E8F6D" w14:textId="4793D93D" w:rsidR="00B47963" w:rsidRPr="003F783F" w:rsidRDefault="00851D33" w:rsidP="00EC6148">
            <w:pPr>
              <w:pStyle w:val="TableText0"/>
              <w:keepLines/>
              <w:jc w:val="center"/>
              <w:rPr>
                <w:highlight w:val="darkGray"/>
              </w:rPr>
            </w:pPr>
            <w:r>
              <w:t xml:space="preserve"> </w:t>
            </w:r>
            <w:r w:rsidRPr="00851D33">
              <w:rPr>
                <w:color w:val="000000"/>
                <w:spacing w:val="114"/>
                <w:shd w:val="solid" w:color="000000" w:fill="000000"/>
                <w:fitText w:val="200" w:id="-1032080637"/>
                <w14:textFill>
                  <w14:solidFill>
                    <w14:srgbClr w14:val="000000">
                      <w14:alpha w14:val="100000"/>
                    </w14:srgbClr>
                  </w14:solidFill>
                </w14:textFill>
              </w:rPr>
              <w:t>|</w:t>
            </w:r>
            <w:r w:rsidRPr="00851D33">
              <w:rPr>
                <w:color w:val="000000"/>
                <w:spacing w:val="1"/>
                <w:shd w:val="solid" w:color="000000" w:fill="000000"/>
                <w:fitText w:val="200" w:id="-1032080637"/>
                <w14:textFill>
                  <w14:solidFill>
                    <w14:srgbClr w14:val="000000">
                      <w14:alpha w14:val="100000"/>
                    </w14:srgbClr>
                  </w14:solidFill>
                </w14:textFill>
              </w:rPr>
              <w:t>|</w:t>
            </w:r>
          </w:p>
        </w:tc>
      </w:tr>
      <w:tr w:rsidR="00A11272" w:rsidRPr="008C164C" w14:paraId="3891A485" w14:textId="77777777" w:rsidTr="00EF7A3C">
        <w:trPr>
          <w:trHeight w:val="20"/>
        </w:trPr>
        <w:tc>
          <w:tcPr>
            <w:tcW w:w="1569" w:type="pct"/>
            <w:vMerge/>
            <w:vAlign w:val="center"/>
          </w:tcPr>
          <w:p w14:paraId="0A18C4A8" w14:textId="77777777" w:rsidR="00B47963" w:rsidRPr="008C164C" w:rsidRDefault="00B47963" w:rsidP="00EC6148">
            <w:pPr>
              <w:pStyle w:val="TableText0"/>
              <w:keepLines/>
            </w:pPr>
          </w:p>
        </w:tc>
        <w:tc>
          <w:tcPr>
            <w:tcW w:w="1258" w:type="pct"/>
            <w:vAlign w:val="center"/>
          </w:tcPr>
          <w:p w14:paraId="733D2896" w14:textId="77777777" w:rsidR="00B47963" w:rsidRPr="008C164C" w:rsidRDefault="00B47963" w:rsidP="00EC6148">
            <w:pPr>
              <w:pStyle w:val="TableText0"/>
              <w:keepLines/>
              <w:jc w:val="center"/>
            </w:pPr>
            <w:r w:rsidRPr="008C164C">
              <w:t>RR = 2.460</w:t>
            </w:r>
          </w:p>
          <w:p w14:paraId="0C4AEE3E" w14:textId="77777777" w:rsidR="00B47963" w:rsidRPr="008C164C" w:rsidRDefault="00B47963" w:rsidP="00EC6148">
            <w:pPr>
              <w:pStyle w:val="TableText0"/>
              <w:keepLines/>
              <w:jc w:val="center"/>
            </w:pPr>
            <w:r w:rsidRPr="008C164C">
              <w:t>(fixed effects model)</w:t>
            </w:r>
          </w:p>
        </w:tc>
        <w:tc>
          <w:tcPr>
            <w:tcW w:w="599" w:type="pct"/>
            <w:vAlign w:val="center"/>
          </w:tcPr>
          <w:p w14:paraId="31A27BCB" w14:textId="107678B4" w:rsidR="00B47963" w:rsidRPr="00D66751" w:rsidRDefault="00851D33" w:rsidP="00EC6148">
            <w:pPr>
              <w:pStyle w:val="TableText0"/>
              <w:keepLines/>
              <w:jc w:val="center"/>
              <w:rPr>
                <w:highlight w:val="darkGray"/>
              </w:rPr>
            </w:pPr>
            <w:r>
              <w:t xml:space="preserve"> </w:t>
            </w:r>
            <w:r w:rsidRPr="00851D33">
              <w:rPr>
                <w:rFonts w:hint="eastAsia"/>
                <w:color w:val="000000"/>
                <w:w w:val="15"/>
                <w:shd w:val="solid" w:color="000000" w:fill="000000"/>
                <w:fitText w:val="60" w:id="-1032080636"/>
                <w14:textFill>
                  <w14:solidFill>
                    <w14:srgbClr w14:val="000000">
                      <w14:alpha w14:val="100000"/>
                    </w14:srgbClr>
                  </w14:solidFill>
                </w14:textFill>
              </w:rPr>
              <w:t xml:space="preserve">　</w:t>
            </w:r>
            <w:r w:rsidRPr="00851D33">
              <w:rPr>
                <w:color w:val="000000"/>
                <w:w w:val="15"/>
                <w:shd w:val="solid" w:color="000000" w:fill="000000"/>
                <w:fitText w:val="60" w:id="-1032080636"/>
                <w14:textFill>
                  <w14:solidFill>
                    <w14:srgbClr w14:val="000000">
                      <w14:alpha w14:val="100000"/>
                    </w14:srgbClr>
                  </w14:solidFill>
                </w14:textFill>
              </w:rPr>
              <w:t>|</w:t>
            </w:r>
            <w:r w:rsidRPr="00851D33">
              <w:rPr>
                <w:rFonts w:hint="eastAsia"/>
                <w:color w:val="000000"/>
                <w:spacing w:val="-5"/>
                <w:w w:val="15"/>
                <w:shd w:val="solid" w:color="000000" w:fill="000000"/>
                <w:fitText w:val="60" w:id="-1032080636"/>
                <w14:textFill>
                  <w14:solidFill>
                    <w14:srgbClr w14:val="000000">
                      <w14:alpha w14:val="100000"/>
                    </w14:srgbClr>
                  </w14:solidFill>
                </w14:textFill>
              </w:rPr>
              <w:t xml:space="preserve">　</w:t>
            </w:r>
          </w:p>
        </w:tc>
        <w:tc>
          <w:tcPr>
            <w:tcW w:w="543" w:type="pct"/>
            <w:vAlign w:val="center"/>
          </w:tcPr>
          <w:p w14:paraId="4173E839" w14:textId="77777777" w:rsidR="00B47963" w:rsidRPr="008C164C" w:rsidRDefault="00B47963" w:rsidP="00EC6148">
            <w:pPr>
              <w:pStyle w:val="TableText0"/>
              <w:keepLines/>
              <w:jc w:val="center"/>
            </w:pPr>
            <w:r w:rsidRPr="008C164C">
              <w:t>1.61</w:t>
            </w:r>
          </w:p>
        </w:tc>
        <w:tc>
          <w:tcPr>
            <w:tcW w:w="589" w:type="pct"/>
            <w:vAlign w:val="center"/>
          </w:tcPr>
          <w:p w14:paraId="16A0A581" w14:textId="0FFBB27A" w:rsidR="00B47963" w:rsidRPr="00D66751" w:rsidRDefault="00851D33" w:rsidP="00EC6148">
            <w:pPr>
              <w:pStyle w:val="TableText0"/>
              <w:keepLines/>
              <w:jc w:val="center"/>
              <w:rPr>
                <w:highlight w:val="darkGray"/>
              </w:rPr>
            </w:pPr>
            <w:r>
              <w:t xml:space="preserve"> </w:t>
            </w:r>
            <w:r w:rsidRPr="00851D33">
              <w:rPr>
                <w:rFonts w:hint="eastAsia"/>
                <w:color w:val="000000"/>
                <w:w w:val="20"/>
                <w:shd w:val="solid" w:color="000000" w:fill="000000"/>
                <w:fitText w:val="90" w:id="-1032080635"/>
                <w14:textFill>
                  <w14:solidFill>
                    <w14:srgbClr w14:val="000000">
                      <w14:alpha w14:val="100000"/>
                    </w14:srgbClr>
                  </w14:solidFill>
                </w14:textFill>
              </w:rPr>
              <w:t xml:space="preserve">　</w:t>
            </w:r>
            <w:r w:rsidRPr="00851D33">
              <w:rPr>
                <w:color w:val="000000"/>
                <w:w w:val="20"/>
                <w:shd w:val="solid" w:color="000000" w:fill="000000"/>
                <w:fitText w:val="90" w:id="-1032080635"/>
                <w14:textFill>
                  <w14:solidFill>
                    <w14:srgbClr w14:val="000000">
                      <w14:alpha w14:val="100000"/>
                    </w14:srgbClr>
                  </w14:solidFill>
                </w14:textFill>
              </w:rPr>
              <w:t>|</w:t>
            </w:r>
            <w:r w:rsidRPr="00851D33">
              <w:rPr>
                <w:rFonts w:hint="eastAsia"/>
                <w:color w:val="000000"/>
                <w:spacing w:val="3"/>
                <w:w w:val="20"/>
                <w:shd w:val="solid" w:color="000000" w:fill="000000"/>
                <w:fitText w:val="90" w:id="-1032080635"/>
                <w14:textFill>
                  <w14:solidFill>
                    <w14:srgbClr w14:val="000000">
                      <w14:alpha w14:val="100000"/>
                    </w14:srgbClr>
                  </w14:solidFill>
                </w14:textFill>
              </w:rPr>
              <w:t xml:space="preserve">　</w:t>
            </w:r>
            <w:r w:rsidR="00D66751">
              <w:rPr>
                <w:vertAlign w:val="superscript"/>
              </w:rPr>
              <w:t>1</w:t>
            </w:r>
          </w:p>
        </w:tc>
        <w:tc>
          <w:tcPr>
            <w:tcW w:w="442" w:type="pct"/>
            <w:vAlign w:val="center"/>
          </w:tcPr>
          <w:p w14:paraId="2BFA14B0" w14:textId="06B79C8F" w:rsidR="00B47963" w:rsidRPr="003F783F" w:rsidRDefault="00851D33" w:rsidP="00EC6148">
            <w:pPr>
              <w:pStyle w:val="TableText0"/>
              <w:keepLines/>
              <w:jc w:val="center"/>
              <w:rPr>
                <w:highlight w:val="darkGray"/>
              </w:rPr>
            </w:pPr>
            <w:r>
              <w:t xml:space="preserve"> </w:t>
            </w:r>
            <w:r w:rsidRPr="00851D33">
              <w:rPr>
                <w:color w:val="000000"/>
                <w:spacing w:val="114"/>
                <w:shd w:val="solid" w:color="000000" w:fill="000000"/>
                <w:fitText w:val="200" w:id="-1032080634"/>
                <w14:textFill>
                  <w14:solidFill>
                    <w14:srgbClr w14:val="000000">
                      <w14:alpha w14:val="100000"/>
                    </w14:srgbClr>
                  </w14:solidFill>
                </w14:textFill>
              </w:rPr>
              <w:t>|</w:t>
            </w:r>
            <w:r w:rsidRPr="00851D33">
              <w:rPr>
                <w:color w:val="000000"/>
                <w:spacing w:val="1"/>
                <w:shd w:val="solid" w:color="000000" w:fill="000000"/>
                <w:fitText w:val="200" w:id="-1032080634"/>
                <w14:textFill>
                  <w14:solidFill>
                    <w14:srgbClr w14:val="000000">
                      <w14:alpha w14:val="100000"/>
                    </w14:srgbClr>
                  </w14:solidFill>
                </w14:textFill>
              </w:rPr>
              <w:t>|</w:t>
            </w:r>
          </w:p>
        </w:tc>
      </w:tr>
    </w:tbl>
    <w:p w14:paraId="5F7C8746" w14:textId="77777777" w:rsidR="00B47963" w:rsidRPr="008C164C" w:rsidRDefault="00B47963" w:rsidP="00EC6148">
      <w:pPr>
        <w:pStyle w:val="FooterTableFigure"/>
        <w:keepNext/>
        <w:keepLines/>
      </w:pPr>
      <w:r w:rsidRPr="008C164C">
        <w:t>Source: Attached economic model Excel worksheet</w:t>
      </w:r>
    </w:p>
    <w:p w14:paraId="4B871E1D" w14:textId="2FCBB5F5" w:rsidR="00E962FC" w:rsidRDefault="00B47963" w:rsidP="00E962FC">
      <w:pPr>
        <w:pStyle w:val="FooterTableFigure"/>
        <w:keepNext/>
        <w:keepLines/>
      </w:pPr>
      <w:r w:rsidRPr="008C164C">
        <w:t xml:space="preserve">ICER = incremental cost-effectiveness ratio; LEN = </w:t>
      </w:r>
      <w:proofErr w:type="spellStart"/>
      <w:r w:rsidRPr="008C164C">
        <w:t>lenacapavir</w:t>
      </w:r>
      <w:proofErr w:type="spellEnd"/>
      <w:r w:rsidRPr="008C164C">
        <w:t xml:space="preserve">; mL = millilitre OBR = optimised </w:t>
      </w:r>
      <w:r w:rsidR="00E962FC" w:rsidRPr="008C164C">
        <w:t xml:space="preserve">background regimen; </w:t>
      </w:r>
      <w:r w:rsidRPr="008C164C">
        <w:t>QALY = Quality-adjusted life year; RR = relative risk</w:t>
      </w:r>
      <w:r w:rsidR="00E962FC" w:rsidRPr="008C164C">
        <w:t xml:space="preserve"> </w:t>
      </w:r>
    </w:p>
    <w:p w14:paraId="35104029" w14:textId="6072F7F1" w:rsidR="00D66751" w:rsidRPr="00D66751" w:rsidRDefault="00D66751" w:rsidP="00E962FC">
      <w:pPr>
        <w:pStyle w:val="FooterTableFigure"/>
        <w:keepNext/>
        <w:keepLines/>
        <w:rPr>
          <w:i/>
          <w:iCs/>
        </w:rPr>
      </w:pPr>
      <w:r w:rsidRPr="00D66751">
        <w:rPr>
          <w:i/>
          <w:iCs/>
        </w:rPr>
        <w:t>The redacted values correspond to the following ranges:</w:t>
      </w:r>
    </w:p>
    <w:p w14:paraId="359ECD84" w14:textId="66A67C3B" w:rsidR="00D66751" w:rsidRPr="00D66751" w:rsidRDefault="00D66751" w:rsidP="00E962FC">
      <w:pPr>
        <w:pStyle w:val="FooterTableFigure"/>
        <w:keepNext/>
        <w:keepLines/>
        <w:rPr>
          <w:i/>
          <w:iCs/>
        </w:rPr>
      </w:pPr>
      <w:r w:rsidRPr="00D66751">
        <w:rPr>
          <w:i/>
          <w:iCs/>
          <w:vertAlign w:val="superscript"/>
        </w:rPr>
        <w:t>1</w:t>
      </w:r>
      <w:r w:rsidRPr="00D66751">
        <w:rPr>
          <w:i/>
          <w:iCs/>
        </w:rPr>
        <w:t xml:space="preserve"> $115,000 to &lt; $135,000</w:t>
      </w:r>
    </w:p>
    <w:p w14:paraId="1BF8C644" w14:textId="7A3FED9E" w:rsidR="00D66751" w:rsidRPr="00D66751" w:rsidRDefault="00D66751" w:rsidP="00E962FC">
      <w:pPr>
        <w:pStyle w:val="FooterTableFigure"/>
        <w:keepNext/>
        <w:keepLines/>
        <w:rPr>
          <w:i/>
          <w:iCs/>
        </w:rPr>
      </w:pPr>
      <w:r w:rsidRPr="00D66751">
        <w:rPr>
          <w:i/>
          <w:iCs/>
          <w:vertAlign w:val="superscript"/>
        </w:rPr>
        <w:t>2</w:t>
      </w:r>
      <w:r w:rsidRPr="00D66751">
        <w:rPr>
          <w:i/>
          <w:iCs/>
        </w:rPr>
        <w:t xml:space="preserve"> $255,000 to &lt; $355,000</w:t>
      </w:r>
    </w:p>
    <w:p w14:paraId="018BBFB6" w14:textId="5A6132E2" w:rsidR="00D66751" w:rsidRPr="00D66751" w:rsidRDefault="00D66751" w:rsidP="00E962FC">
      <w:pPr>
        <w:pStyle w:val="FooterTableFigure"/>
        <w:keepNext/>
        <w:keepLines/>
        <w:rPr>
          <w:i/>
          <w:iCs/>
        </w:rPr>
      </w:pPr>
      <w:r w:rsidRPr="00D66751">
        <w:rPr>
          <w:i/>
          <w:iCs/>
          <w:vertAlign w:val="superscript"/>
        </w:rPr>
        <w:t>3</w:t>
      </w:r>
      <w:r w:rsidRPr="00D66751">
        <w:rPr>
          <w:i/>
          <w:iCs/>
        </w:rPr>
        <w:t xml:space="preserve"> $135,000 to &lt; $155,000</w:t>
      </w:r>
    </w:p>
    <w:p w14:paraId="5DE9F86B" w14:textId="227B8BA3" w:rsidR="00D66751" w:rsidRPr="00D66751" w:rsidRDefault="00D66751" w:rsidP="00E962FC">
      <w:pPr>
        <w:pStyle w:val="FooterTableFigure"/>
        <w:keepNext/>
        <w:keepLines/>
        <w:rPr>
          <w:i/>
          <w:iCs/>
        </w:rPr>
      </w:pPr>
      <w:r w:rsidRPr="00D66751">
        <w:rPr>
          <w:i/>
          <w:iCs/>
          <w:vertAlign w:val="superscript"/>
        </w:rPr>
        <w:t>4</w:t>
      </w:r>
      <w:r w:rsidRPr="00D66751">
        <w:rPr>
          <w:i/>
          <w:iCs/>
        </w:rPr>
        <w:t xml:space="preserve"> $75,000 to &lt; $95,000</w:t>
      </w:r>
    </w:p>
    <w:p w14:paraId="78A8AD1A" w14:textId="75B2CCA8" w:rsidR="00D66751" w:rsidRPr="00D66751" w:rsidRDefault="00D66751" w:rsidP="00E962FC">
      <w:pPr>
        <w:pStyle w:val="FooterTableFigure"/>
        <w:keepNext/>
        <w:keepLines/>
        <w:rPr>
          <w:i/>
          <w:iCs/>
        </w:rPr>
      </w:pPr>
      <w:r w:rsidRPr="00D66751">
        <w:rPr>
          <w:i/>
          <w:iCs/>
          <w:vertAlign w:val="superscript"/>
        </w:rPr>
        <w:t>5</w:t>
      </w:r>
      <w:r w:rsidRPr="00D66751">
        <w:rPr>
          <w:i/>
          <w:iCs/>
        </w:rPr>
        <w:t xml:space="preserve"> $155,000 to &lt; $255,000</w:t>
      </w:r>
    </w:p>
    <w:p w14:paraId="676236E0" w14:textId="4D72CF02" w:rsidR="00D66751" w:rsidRPr="00D66751" w:rsidRDefault="00D66751" w:rsidP="00E962FC">
      <w:pPr>
        <w:pStyle w:val="FooterTableFigure"/>
        <w:keepNext/>
        <w:keepLines/>
        <w:rPr>
          <w:i/>
          <w:iCs/>
        </w:rPr>
      </w:pPr>
      <w:r w:rsidRPr="00D66751">
        <w:rPr>
          <w:i/>
          <w:iCs/>
          <w:vertAlign w:val="superscript"/>
        </w:rPr>
        <w:t>6</w:t>
      </w:r>
      <w:r w:rsidRPr="00D66751">
        <w:rPr>
          <w:i/>
          <w:iCs/>
        </w:rPr>
        <w:t xml:space="preserve"> $455,000 to &lt; $555,000</w:t>
      </w:r>
    </w:p>
    <w:p w14:paraId="186D2337" w14:textId="77777777" w:rsidR="005B4078" w:rsidRPr="008C164C" w:rsidRDefault="005B4078" w:rsidP="005B4078">
      <w:pPr>
        <w:pStyle w:val="3-BodyText"/>
      </w:pPr>
      <w:bookmarkStart w:id="77" w:name="_Ref148011504"/>
      <w:r w:rsidRPr="008C164C">
        <w:t>With regards to specific issues raised in the evaluation, the PSCR stated that:</w:t>
      </w:r>
      <w:bookmarkEnd w:id="77"/>
      <w:r w:rsidRPr="008C164C">
        <w:t xml:space="preserve"> </w:t>
      </w:r>
    </w:p>
    <w:p w14:paraId="2DECC59B" w14:textId="77777777" w:rsidR="005B4078" w:rsidRPr="008C164C" w:rsidRDefault="005B4078" w:rsidP="00FF255E">
      <w:pPr>
        <w:pStyle w:val="3-BodyText"/>
        <w:numPr>
          <w:ilvl w:val="0"/>
          <w:numId w:val="18"/>
        </w:numPr>
        <w:ind w:left="1134"/>
      </w:pPr>
      <w:r w:rsidRPr="008C164C">
        <w:t xml:space="preserve">The negative (or greater than 100%) transition probabilities observed result directly from the variability of the observed data with the week 26 and 52 results being slightly lower than those 4 weeks earlier, or later and argued such real-world data variability is not unexpected because clinical response varies over time and therefore does not impact the face validity of the model. </w:t>
      </w:r>
    </w:p>
    <w:p w14:paraId="14E6ECEA" w14:textId="4065E092" w:rsidR="0092200F" w:rsidRPr="008C164C" w:rsidRDefault="0092200F" w:rsidP="00FF255E">
      <w:pPr>
        <w:pStyle w:val="3-BodyText"/>
        <w:numPr>
          <w:ilvl w:val="0"/>
          <w:numId w:val="18"/>
        </w:numPr>
        <w:ind w:left="1134"/>
      </w:pPr>
      <w:r w:rsidRPr="008C164C">
        <w:t xml:space="preserve">The PSCR argued the sensitivity analyses using implausible response rates was not relevant or informative. </w:t>
      </w:r>
    </w:p>
    <w:p w14:paraId="08499F10" w14:textId="6696E948" w:rsidR="00D62EF0" w:rsidRDefault="005B4078" w:rsidP="00FF255E">
      <w:pPr>
        <w:pStyle w:val="3-BodyText"/>
        <w:numPr>
          <w:ilvl w:val="0"/>
          <w:numId w:val="18"/>
        </w:numPr>
        <w:ind w:left="1134"/>
      </w:pPr>
      <w:r w:rsidRPr="008C164C">
        <w:t>A formulaic error was identified in the viral load transitions worksheet, which when amended accounts for instances where suppression occurs beyond the first cycle, which reduces the base case ICER to $</w:t>
      </w:r>
      <w:r w:rsidR="00D66751">
        <w:t xml:space="preserve">75,000 to &lt; $95,000 </w:t>
      </w:r>
      <w:r w:rsidRPr="008C164C">
        <w:t xml:space="preserve">per QALY. </w:t>
      </w:r>
    </w:p>
    <w:p w14:paraId="264D1935" w14:textId="68FCDFD8" w:rsidR="005B4078" w:rsidRPr="008C164C" w:rsidRDefault="00D62EF0" w:rsidP="00D62EF0">
      <w:pPr>
        <w:pStyle w:val="3-BodyText"/>
        <w:numPr>
          <w:ilvl w:val="0"/>
          <w:numId w:val="0"/>
        </w:numPr>
        <w:ind w:left="774"/>
      </w:pPr>
      <w:r>
        <w:t xml:space="preserve">The </w:t>
      </w:r>
      <w:r w:rsidRPr="008C164C">
        <w:t xml:space="preserve">formulaic </w:t>
      </w:r>
      <w:r>
        <w:t>error corrected viral load transitions based on clinical trial data, and did not affect the alternat</w:t>
      </w:r>
      <w:r w:rsidR="000F23B9">
        <w:t>ive</w:t>
      </w:r>
      <w:r>
        <w:t xml:space="preserve"> base case presented in the evaluation, which applied </w:t>
      </w:r>
      <w:r w:rsidR="00927184">
        <w:t>modelled data</w:t>
      </w:r>
      <w:r>
        <w:t xml:space="preserve"> from the initiation of the model.</w:t>
      </w:r>
    </w:p>
    <w:p w14:paraId="29DDEB80" w14:textId="5684E76E" w:rsidR="005B4078" w:rsidRPr="008C164C" w:rsidRDefault="005B4078" w:rsidP="005B4078">
      <w:pPr>
        <w:pStyle w:val="3-BodyText"/>
      </w:pPr>
      <w:bookmarkStart w:id="78" w:name="_Ref148016013"/>
      <w:r w:rsidRPr="008C164C">
        <w:t>The ESC considered the economic model presented in the resubmission was unreliable for decision-making. In providing this advice, the ESC considered that there were a number of key issues that resulted in the model producing counter-intuitive and often unrealistic and impossible inputs and outcomes, resulting in the model lacking both face validity and technical operability. The issues include:</w:t>
      </w:r>
      <w:bookmarkEnd w:id="78"/>
      <w:r w:rsidRPr="008C164C">
        <w:t xml:space="preserve"> </w:t>
      </w:r>
    </w:p>
    <w:p w14:paraId="41A053DC" w14:textId="46805176" w:rsidR="005B4078" w:rsidRPr="008C164C" w:rsidRDefault="005B4078" w:rsidP="00FF255E">
      <w:pPr>
        <w:pStyle w:val="ListParagraph"/>
        <w:numPr>
          <w:ilvl w:val="0"/>
          <w:numId w:val="8"/>
        </w:numPr>
        <w:ind w:left="1134" w:hanging="425"/>
      </w:pPr>
      <w:r w:rsidRPr="008C164C">
        <w:lastRenderedPageBreak/>
        <w:t xml:space="preserve">The use of observed data from the CAPELLA trial up to week 104. Whilst acknowledging it is generally preferable to use observed data when available, the ESC noted this input change resulted in transition probabilities to the &lt; 50 copies/mL state of over 100%, as well as to the </w:t>
      </w:r>
      <w:r w:rsidRPr="008C164C">
        <w:rPr>
          <w:rFonts w:cstheme="minorHAnsi"/>
        </w:rPr>
        <w:t xml:space="preserve">≥ </w:t>
      </w:r>
      <w:r w:rsidRPr="008C164C">
        <w:t>200 copies/mL state of less than 0%, for both the LEN + OBR and OBR alone arms at certain time points (paragraph</w:t>
      </w:r>
      <w:r w:rsidR="00A759D6" w:rsidRPr="008C164C">
        <w:t xml:space="preserve"> </w:t>
      </w:r>
      <w:r w:rsidR="00A759D6" w:rsidRPr="008C164C">
        <w:fldChar w:fldCharType="begin" w:fldLock="1"/>
      </w:r>
      <w:r w:rsidR="00A759D6" w:rsidRPr="008C164C">
        <w:instrText xml:space="preserve"> REF _Ref148011180 \r \h </w:instrText>
      </w:r>
      <w:r w:rsidR="00483F2D" w:rsidRPr="008C164C">
        <w:instrText xml:space="preserve"> \* MERGEFORMAT </w:instrText>
      </w:r>
      <w:r w:rsidR="00A759D6" w:rsidRPr="008C164C">
        <w:fldChar w:fldCharType="separate"/>
      </w:r>
      <w:r w:rsidR="00682506">
        <w:t>6.74</w:t>
      </w:r>
      <w:r w:rsidR="00A759D6" w:rsidRPr="008C164C">
        <w:fldChar w:fldCharType="end"/>
      </w:r>
      <w:r w:rsidRPr="008C164C">
        <w:t xml:space="preserve">). The ESC did not accept the argument in the PSCR that this does not impact the face validity of the model (paragraph </w:t>
      </w:r>
      <w:r w:rsidRPr="008C164C">
        <w:rPr>
          <w:highlight w:val="yellow"/>
        </w:rPr>
        <w:fldChar w:fldCharType="begin" w:fldLock="1"/>
      </w:r>
      <w:r w:rsidRPr="008C164C">
        <w:instrText xml:space="preserve"> REF _Ref148011504 \r \h </w:instrText>
      </w:r>
      <w:r w:rsidR="00483F2D" w:rsidRPr="008C164C">
        <w:rPr>
          <w:highlight w:val="yellow"/>
        </w:rPr>
        <w:instrText xml:space="preserve"> \* MERGEFORMAT </w:instrText>
      </w:r>
      <w:r w:rsidRPr="008C164C">
        <w:rPr>
          <w:highlight w:val="yellow"/>
        </w:rPr>
      </w:r>
      <w:r w:rsidRPr="008C164C">
        <w:rPr>
          <w:highlight w:val="yellow"/>
        </w:rPr>
        <w:fldChar w:fldCharType="separate"/>
      </w:r>
      <w:r w:rsidR="00682506">
        <w:t>6.88</w:t>
      </w:r>
      <w:r w:rsidRPr="008C164C">
        <w:rPr>
          <w:highlight w:val="yellow"/>
        </w:rPr>
        <w:fldChar w:fldCharType="end"/>
      </w:r>
      <w:r w:rsidRPr="008C164C">
        <w:t>) and considered the fact that the use of observed data out to week 104 in the model led to mathematically impossible transition probabilities indicated the model lacks reliable technical operability</w:t>
      </w:r>
      <w:r w:rsidR="00501922" w:rsidRPr="008C164C">
        <w:t xml:space="preserve"> and validity</w:t>
      </w:r>
      <w:r w:rsidRPr="008C164C">
        <w:t>.</w:t>
      </w:r>
    </w:p>
    <w:p w14:paraId="3EBDE7E7" w14:textId="389C31AE" w:rsidR="005B4078" w:rsidRPr="008C164C" w:rsidRDefault="005B4078" w:rsidP="00FF255E">
      <w:pPr>
        <w:pStyle w:val="ListParagraph"/>
        <w:numPr>
          <w:ilvl w:val="0"/>
          <w:numId w:val="8"/>
        </w:numPr>
        <w:ind w:left="1134" w:hanging="425"/>
      </w:pPr>
      <w:r w:rsidRPr="008C164C">
        <w:t>The ESC also considered a decrease in the incremental benefit of LEN + OBR over OBR alone (RR = 2.8 versus 3.8 in the November 2022 submission</w:t>
      </w:r>
      <w:r w:rsidRPr="008C164C">
        <w:rPr>
          <w:rStyle w:val="FootnoteReference"/>
        </w:rPr>
        <w:footnoteReference w:id="2"/>
      </w:r>
      <w:r w:rsidRPr="008C164C">
        <w:t>) leading to an increase to the incremental QALYs gain (3.09 versus 1.97 QALYs gained in the November 2022 submission) and a reduced base case ICER ($</w:t>
      </w:r>
      <w:r w:rsidR="00D66751">
        <w:t>75,000 to &lt; $95,000</w:t>
      </w:r>
      <w:r w:rsidRPr="008C164C">
        <w:t xml:space="preserve"> per QALY versus $</w:t>
      </w:r>
      <w:r w:rsidR="00D66751">
        <w:t>75,000 to &lt; $95,000</w:t>
      </w:r>
      <w:r w:rsidRPr="008C164C">
        <w:t xml:space="preserve"> per QALY in the November 2022 submission) compared with the November 2022 submission was inconsistent</w:t>
      </w:r>
      <w:r w:rsidR="008A3B81" w:rsidRPr="008C164C">
        <w:t xml:space="preserve"> with the lower treatment effect</w:t>
      </w:r>
      <w:r w:rsidRPr="008C164C">
        <w:t>. The ESC considered that given there was a</w:t>
      </w:r>
      <w:r w:rsidRPr="008C164C">
        <w:rPr>
          <w:bCs/>
        </w:rPr>
        <w:t xml:space="preserve"> substantially greater decrease in incremental benefit (27% lower) relative to the price decrease (around </w:t>
      </w:r>
      <w:r w:rsidR="00851D33">
        <w:rPr>
          <w:bCs/>
        </w:rPr>
        <w:t xml:space="preserve"> </w:t>
      </w:r>
      <w:r w:rsidR="00851D33" w:rsidRPr="005D5F06">
        <w:rPr>
          <w:bCs/>
          <w:color w:val="000000"/>
          <w:w w:val="15"/>
          <w:shd w:val="solid" w:color="000000" w:fill="000000"/>
          <w:fitText w:val="-20" w:id="-1032080633"/>
          <w14:textFill>
            <w14:solidFill>
              <w14:srgbClr w14:val="000000">
                <w14:alpha w14:val="100000"/>
              </w14:srgbClr>
            </w14:solidFill>
          </w14:textFill>
        </w:rPr>
        <w:t xml:space="preserve">|  </w:t>
      </w:r>
      <w:r w:rsidR="00851D33" w:rsidRPr="005D5F06">
        <w:rPr>
          <w:bCs/>
          <w:color w:val="000000"/>
          <w:spacing w:val="-69"/>
          <w:w w:val="15"/>
          <w:shd w:val="solid" w:color="000000" w:fill="000000"/>
          <w:fitText w:val="-20" w:id="-1032080633"/>
          <w14:textFill>
            <w14:solidFill>
              <w14:srgbClr w14:val="000000">
                <w14:alpha w14:val="100000"/>
              </w14:srgbClr>
            </w14:solidFill>
          </w14:textFill>
        </w:rPr>
        <w:t>|</w:t>
      </w:r>
      <w:r w:rsidRPr="008C164C">
        <w:rPr>
          <w:bCs/>
        </w:rPr>
        <w:t xml:space="preserve">% lower), a higher ICER </w:t>
      </w:r>
      <w:r w:rsidR="008A3B81" w:rsidRPr="008C164C">
        <w:rPr>
          <w:bCs/>
        </w:rPr>
        <w:t xml:space="preserve">(with reduced QALYs gained) </w:t>
      </w:r>
      <w:r w:rsidRPr="008C164C">
        <w:rPr>
          <w:bCs/>
        </w:rPr>
        <w:t>compared to the previous submission was expected (</w:t>
      </w:r>
      <w:r w:rsidRPr="008C164C">
        <w:t xml:space="preserve">paragraph </w:t>
      </w:r>
      <w:r w:rsidRPr="008C164C">
        <w:fldChar w:fldCharType="begin" w:fldLock="1"/>
      </w:r>
      <w:r w:rsidRPr="008C164C">
        <w:instrText xml:space="preserve"> REF _Ref142866640 \r \h  \* MERGEFORMAT </w:instrText>
      </w:r>
      <w:r w:rsidRPr="008C164C">
        <w:fldChar w:fldCharType="separate"/>
      </w:r>
      <w:r w:rsidR="00682506">
        <w:t>6.73</w:t>
      </w:r>
      <w:r w:rsidRPr="008C164C">
        <w:fldChar w:fldCharType="end"/>
      </w:r>
      <w:r w:rsidRPr="008C164C">
        <w:t>).</w:t>
      </w:r>
    </w:p>
    <w:p w14:paraId="16765F9D" w14:textId="5C6D85B9" w:rsidR="005B4078" w:rsidRPr="008C164C" w:rsidRDefault="005B4078" w:rsidP="00FF255E">
      <w:pPr>
        <w:pStyle w:val="ListParagraph"/>
        <w:numPr>
          <w:ilvl w:val="0"/>
          <w:numId w:val="8"/>
        </w:numPr>
        <w:ind w:left="1134" w:hanging="425"/>
      </w:pPr>
      <w:r w:rsidRPr="008C164C">
        <w:t xml:space="preserve">Changes in the LEN + OBR virologic response in the model also led to disproportionate changes to OBR alone inputs, which led to additional unexpected and unreliable model behaviour, exemplified by how the model behaves in cycle 1, where an improvement in LEN + OBR efficacy led to an increase to the ICER (also discussed in paragraph </w:t>
      </w:r>
      <w:r w:rsidRPr="008C164C">
        <w:fldChar w:fldCharType="begin" w:fldLock="1"/>
      </w:r>
      <w:r w:rsidRPr="008C164C">
        <w:instrText xml:space="preserve"> REF _Ref147235906 \r \h  \* MERGEFORMAT </w:instrText>
      </w:r>
      <w:r w:rsidRPr="008C164C">
        <w:fldChar w:fldCharType="separate"/>
      </w:r>
      <w:r w:rsidR="00682506">
        <w:t>6.71</w:t>
      </w:r>
      <w:r w:rsidRPr="008C164C">
        <w:fldChar w:fldCharType="end"/>
      </w:r>
      <w:r w:rsidRPr="008C164C">
        <w:t>).</w:t>
      </w:r>
    </w:p>
    <w:p w14:paraId="563EC394" w14:textId="3CA0936D" w:rsidR="005B4078" w:rsidRPr="008C164C" w:rsidRDefault="005B4078" w:rsidP="00FF255E">
      <w:pPr>
        <w:pStyle w:val="ListParagraph"/>
        <w:numPr>
          <w:ilvl w:val="0"/>
          <w:numId w:val="8"/>
        </w:numPr>
        <w:ind w:left="1134" w:hanging="425"/>
      </w:pPr>
      <w:r w:rsidRPr="008C164C">
        <w:t xml:space="preserve">While the full Cohort 1 and 2 data from CAPELLA was used to inform the model and LEN effectiveness estimates, the ESC remained concerned the limited amount of patient data (n=72, compared to 24 in the November 2022 submission) was inadequate to inform a 16 health state economic model. </w:t>
      </w:r>
      <w:r w:rsidR="0025519A" w:rsidRPr="008C164C">
        <w:t xml:space="preserve">The Pre-PBAC Response argued that all available data was used to inform the </w:t>
      </w:r>
      <w:r w:rsidR="001421FF" w:rsidRPr="008C164C">
        <w:t xml:space="preserve">economic </w:t>
      </w:r>
      <w:r w:rsidR="0025519A" w:rsidRPr="008C164C">
        <w:t>model, including updates out to 2 years of LEN trial data.</w:t>
      </w:r>
    </w:p>
    <w:p w14:paraId="088EEF20" w14:textId="774490F7" w:rsidR="0025519A" w:rsidRPr="008C164C" w:rsidRDefault="0025519A" w:rsidP="007A71A9">
      <w:pPr>
        <w:pStyle w:val="3-BodyText"/>
      </w:pPr>
      <w:bookmarkStart w:id="79" w:name="_Ref148022859"/>
      <w:r w:rsidRPr="008C164C">
        <w:t xml:space="preserve">The Pre-PBAC Response argued the changes to the model made in the resubmission were reasonable and consistent with the previously expressed views of the PBAC and with the PBAC Guidelines, particularly the change to use data from the CAPELLA trial out to week 104. </w:t>
      </w:r>
    </w:p>
    <w:p w14:paraId="165F5665" w14:textId="0674D627" w:rsidR="006A43D9" w:rsidRPr="008C164C" w:rsidRDefault="00C25D9C" w:rsidP="00732C82">
      <w:pPr>
        <w:pStyle w:val="4-SubsectionHeading"/>
      </w:pPr>
      <w:bookmarkStart w:id="80" w:name="_Toc22897646"/>
      <w:bookmarkStart w:id="81" w:name="_Toc145485265"/>
      <w:bookmarkEnd w:id="79"/>
      <w:r w:rsidRPr="008C164C">
        <w:lastRenderedPageBreak/>
        <w:t>Drug cost/patient</w:t>
      </w:r>
      <w:bookmarkEnd w:id="80"/>
      <w:r w:rsidR="00DF3490" w:rsidRPr="008C164C">
        <w:t>/year</w:t>
      </w:r>
      <w:bookmarkStart w:id="82" w:name="_Ref104805102"/>
      <w:bookmarkEnd w:id="81"/>
    </w:p>
    <w:p w14:paraId="4BB0D6C5" w14:textId="36EB3B14" w:rsidR="009870B9" w:rsidRPr="008C164C" w:rsidRDefault="00E16AD8" w:rsidP="009870B9">
      <w:pPr>
        <w:pStyle w:val="Caption"/>
        <w:rPr>
          <w:rStyle w:val="CommentReference"/>
          <w:b/>
          <w:szCs w:val="18"/>
        </w:rPr>
      </w:pPr>
      <w:r w:rsidRPr="008C164C">
        <w:t xml:space="preserve">Table </w:t>
      </w:r>
      <w:r w:rsidR="00B25BFE">
        <w:fldChar w:fldCharType="begin" w:fldLock="1"/>
      </w:r>
      <w:r w:rsidR="00B25BFE">
        <w:instrText xml:space="preserve"> SEQ Table \* ARABIC </w:instrText>
      </w:r>
      <w:r w:rsidR="00B25BFE">
        <w:fldChar w:fldCharType="separate"/>
      </w:r>
      <w:r w:rsidR="00682506">
        <w:rPr>
          <w:noProof/>
        </w:rPr>
        <w:t>17</w:t>
      </w:r>
      <w:r w:rsidR="00B25BFE">
        <w:rPr>
          <w:noProof/>
        </w:rPr>
        <w:fldChar w:fldCharType="end"/>
      </w:r>
      <w:bookmarkEnd w:id="82"/>
      <w:r w:rsidRPr="008C164C">
        <w:t>:</w:t>
      </w:r>
      <w:r w:rsidR="00732C82" w:rsidRPr="008C164C">
        <w:t xml:space="preserve"> </w:t>
      </w:r>
      <w:r w:rsidR="009870B9" w:rsidRPr="008C164C">
        <w:rPr>
          <w:rStyle w:val="CommentReference"/>
          <w:b/>
          <w:szCs w:val="24"/>
        </w:rPr>
        <w:t xml:space="preserve">Drug cost per patient for </w:t>
      </w:r>
      <w:r w:rsidR="004A6C4D">
        <w:rPr>
          <w:rStyle w:val="CommentReference"/>
          <w:b/>
          <w:szCs w:val="24"/>
        </w:rPr>
        <w:t>LEN</w:t>
      </w:r>
      <w:r w:rsidR="004A6C4D" w:rsidRPr="008C164C">
        <w:rPr>
          <w:rStyle w:val="CommentReference"/>
          <w:b/>
          <w:szCs w:val="24"/>
        </w:rPr>
        <w:t xml:space="preserve"> </w:t>
      </w:r>
      <w:r w:rsidR="009870B9" w:rsidRPr="008C164C">
        <w:rPr>
          <w:rStyle w:val="CommentReference"/>
          <w:b/>
          <w:szCs w:val="24"/>
        </w:rPr>
        <w:t>and OBR.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1275"/>
        <w:gridCol w:w="994"/>
        <w:gridCol w:w="1275"/>
        <w:gridCol w:w="1417"/>
        <w:gridCol w:w="1367"/>
      </w:tblGrid>
      <w:tr w:rsidR="009870B9" w:rsidRPr="008C164C" w14:paraId="6E6A6AB9" w14:textId="77777777" w:rsidTr="00910793">
        <w:trPr>
          <w:cantSplit/>
          <w:tblHeader/>
          <w:jc w:val="center"/>
        </w:trPr>
        <w:tc>
          <w:tcPr>
            <w:tcW w:w="1491" w:type="pct"/>
            <w:vMerge w:val="restart"/>
            <w:shd w:val="clear" w:color="auto" w:fill="auto"/>
            <w:vAlign w:val="center"/>
          </w:tcPr>
          <w:p w14:paraId="5A2C311C" w14:textId="77777777" w:rsidR="009870B9" w:rsidRPr="008C164C" w:rsidRDefault="009870B9" w:rsidP="00240629">
            <w:pPr>
              <w:pStyle w:val="In-tableHeading"/>
              <w:keepLines/>
              <w:jc w:val="center"/>
              <w:rPr>
                <w:lang w:val="en-AU"/>
              </w:rPr>
            </w:pPr>
          </w:p>
        </w:tc>
        <w:tc>
          <w:tcPr>
            <w:tcW w:w="1258" w:type="pct"/>
            <w:gridSpan w:val="2"/>
            <w:vAlign w:val="center"/>
          </w:tcPr>
          <w:p w14:paraId="6C64EE70" w14:textId="77777777" w:rsidR="009870B9" w:rsidRPr="008C164C" w:rsidRDefault="009870B9" w:rsidP="00240629">
            <w:pPr>
              <w:pStyle w:val="In-tableHeading"/>
              <w:keepLines/>
              <w:jc w:val="center"/>
              <w:rPr>
                <w:lang w:val="en-AU"/>
              </w:rPr>
            </w:pPr>
            <w:r w:rsidRPr="008C164C">
              <w:rPr>
                <w:lang w:val="en-AU"/>
              </w:rPr>
              <w:t>Clinical evidence</w:t>
            </w:r>
          </w:p>
        </w:tc>
        <w:tc>
          <w:tcPr>
            <w:tcW w:w="1493" w:type="pct"/>
            <w:gridSpan w:val="2"/>
            <w:shd w:val="clear" w:color="auto" w:fill="auto"/>
            <w:vAlign w:val="center"/>
          </w:tcPr>
          <w:p w14:paraId="771C34C5" w14:textId="77777777" w:rsidR="009870B9" w:rsidRPr="008C164C" w:rsidRDefault="009870B9" w:rsidP="00240629">
            <w:pPr>
              <w:pStyle w:val="In-tableHeading"/>
              <w:keepLines/>
              <w:jc w:val="center"/>
              <w:rPr>
                <w:lang w:val="en-AU"/>
              </w:rPr>
            </w:pPr>
            <w:r w:rsidRPr="008C164C">
              <w:rPr>
                <w:lang w:val="en-AU"/>
              </w:rPr>
              <w:t>Economics</w:t>
            </w:r>
          </w:p>
        </w:tc>
        <w:tc>
          <w:tcPr>
            <w:tcW w:w="758" w:type="pct"/>
            <w:vAlign w:val="center"/>
          </w:tcPr>
          <w:p w14:paraId="102173F6" w14:textId="361B0616" w:rsidR="009870B9" w:rsidRPr="008C164C" w:rsidRDefault="009870B9" w:rsidP="00240629">
            <w:pPr>
              <w:pStyle w:val="In-tableHeading"/>
              <w:keepLines/>
              <w:jc w:val="center"/>
              <w:rPr>
                <w:vertAlign w:val="superscript"/>
                <w:lang w:val="en-AU"/>
              </w:rPr>
            </w:pPr>
            <w:r w:rsidRPr="008C164C">
              <w:rPr>
                <w:lang w:val="en-AU"/>
              </w:rPr>
              <w:t>Financial estimates</w:t>
            </w:r>
            <w:r w:rsidR="000929A1" w:rsidRPr="008C164C">
              <w:rPr>
                <w:lang w:val="en-AU"/>
              </w:rPr>
              <w:t xml:space="preserve"> </w:t>
            </w:r>
            <w:r w:rsidRPr="008C164C">
              <w:rPr>
                <w:vertAlign w:val="superscript"/>
                <w:lang w:val="en-AU"/>
              </w:rPr>
              <w:t>a</w:t>
            </w:r>
          </w:p>
        </w:tc>
      </w:tr>
      <w:tr w:rsidR="009870B9" w:rsidRPr="008C164C" w14:paraId="31FFC890" w14:textId="77777777" w:rsidTr="00910793">
        <w:trPr>
          <w:cantSplit/>
          <w:tblHeader/>
          <w:jc w:val="center"/>
        </w:trPr>
        <w:tc>
          <w:tcPr>
            <w:tcW w:w="1491" w:type="pct"/>
            <w:vMerge/>
            <w:tcBorders>
              <w:bottom w:val="single" w:sz="4" w:space="0" w:color="auto"/>
            </w:tcBorders>
            <w:shd w:val="clear" w:color="auto" w:fill="auto"/>
            <w:vAlign w:val="center"/>
          </w:tcPr>
          <w:p w14:paraId="038D2A8E" w14:textId="77777777" w:rsidR="009870B9" w:rsidRPr="008C164C" w:rsidRDefault="009870B9" w:rsidP="00240629">
            <w:pPr>
              <w:pStyle w:val="In-tableHeading"/>
              <w:keepLines/>
              <w:jc w:val="center"/>
              <w:rPr>
                <w:lang w:val="en-AU"/>
              </w:rPr>
            </w:pPr>
          </w:p>
        </w:tc>
        <w:tc>
          <w:tcPr>
            <w:tcW w:w="707" w:type="pct"/>
            <w:tcBorders>
              <w:bottom w:val="single" w:sz="4" w:space="0" w:color="auto"/>
            </w:tcBorders>
            <w:vAlign w:val="center"/>
          </w:tcPr>
          <w:p w14:paraId="59A63A10" w14:textId="7A01DA32" w:rsidR="009870B9" w:rsidRPr="008C164C" w:rsidRDefault="004A6C4D" w:rsidP="00240629">
            <w:pPr>
              <w:pStyle w:val="In-tableHeading"/>
              <w:keepLines/>
              <w:jc w:val="center"/>
              <w:rPr>
                <w:lang w:val="en-AU"/>
              </w:rPr>
            </w:pPr>
            <w:r>
              <w:rPr>
                <w:lang w:val="en-AU"/>
              </w:rPr>
              <w:t>LEN</w:t>
            </w:r>
            <w:r w:rsidRPr="008C164C">
              <w:rPr>
                <w:lang w:val="en-AU"/>
              </w:rPr>
              <w:t xml:space="preserve"> </w:t>
            </w:r>
            <w:r w:rsidR="009870B9" w:rsidRPr="008C164C">
              <w:rPr>
                <w:lang w:val="en-AU"/>
              </w:rPr>
              <w:t>+ OBR</w:t>
            </w:r>
          </w:p>
        </w:tc>
        <w:tc>
          <w:tcPr>
            <w:tcW w:w="551" w:type="pct"/>
            <w:tcBorders>
              <w:bottom w:val="single" w:sz="4" w:space="0" w:color="auto"/>
            </w:tcBorders>
            <w:vAlign w:val="center"/>
          </w:tcPr>
          <w:p w14:paraId="590E65A8" w14:textId="77777777" w:rsidR="009870B9" w:rsidRPr="008C164C" w:rsidRDefault="009870B9" w:rsidP="00240629">
            <w:pPr>
              <w:pStyle w:val="In-tableHeading"/>
              <w:keepLines/>
              <w:jc w:val="center"/>
              <w:rPr>
                <w:lang w:val="en-AU"/>
              </w:rPr>
            </w:pPr>
            <w:r w:rsidRPr="008C164C">
              <w:rPr>
                <w:lang w:val="en-AU"/>
              </w:rPr>
              <w:t xml:space="preserve">OBR </w:t>
            </w:r>
          </w:p>
        </w:tc>
        <w:tc>
          <w:tcPr>
            <w:tcW w:w="707" w:type="pct"/>
            <w:tcBorders>
              <w:bottom w:val="single" w:sz="4" w:space="0" w:color="auto"/>
            </w:tcBorders>
            <w:shd w:val="clear" w:color="auto" w:fill="auto"/>
            <w:vAlign w:val="center"/>
          </w:tcPr>
          <w:p w14:paraId="185EC2D0" w14:textId="341CA7D3" w:rsidR="009870B9" w:rsidRPr="008C164C" w:rsidRDefault="004A6C4D" w:rsidP="00240629">
            <w:pPr>
              <w:pStyle w:val="In-tableHeading"/>
              <w:keepLines/>
              <w:jc w:val="center"/>
              <w:rPr>
                <w:lang w:val="en-AU"/>
              </w:rPr>
            </w:pPr>
            <w:r>
              <w:rPr>
                <w:lang w:val="en-AU"/>
              </w:rPr>
              <w:t>LEN</w:t>
            </w:r>
            <w:r w:rsidRPr="008C164C">
              <w:rPr>
                <w:lang w:val="en-AU"/>
              </w:rPr>
              <w:t xml:space="preserve"> </w:t>
            </w:r>
            <w:r w:rsidR="009870B9" w:rsidRPr="008C164C">
              <w:rPr>
                <w:lang w:val="en-AU"/>
              </w:rPr>
              <w:t>+ OBR</w:t>
            </w:r>
          </w:p>
        </w:tc>
        <w:tc>
          <w:tcPr>
            <w:tcW w:w="786" w:type="pct"/>
            <w:tcBorders>
              <w:bottom w:val="single" w:sz="4" w:space="0" w:color="auto"/>
            </w:tcBorders>
            <w:shd w:val="clear" w:color="auto" w:fill="auto"/>
            <w:vAlign w:val="center"/>
          </w:tcPr>
          <w:p w14:paraId="066464CE" w14:textId="77777777" w:rsidR="009870B9" w:rsidRPr="008C164C" w:rsidRDefault="009870B9" w:rsidP="00240629">
            <w:pPr>
              <w:pStyle w:val="In-tableHeading"/>
              <w:keepLines/>
              <w:jc w:val="center"/>
              <w:rPr>
                <w:lang w:val="en-AU"/>
              </w:rPr>
            </w:pPr>
            <w:r w:rsidRPr="008C164C">
              <w:rPr>
                <w:lang w:val="en-AU"/>
              </w:rPr>
              <w:t xml:space="preserve">OBR </w:t>
            </w:r>
          </w:p>
        </w:tc>
        <w:tc>
          <w:tcPr>
            <w:tcW w:w="758" w:type="pct"/>
            <w:tcBorders>
              <w:bottom w:val="single" w:sz="4" w:space="0" w:color="auto"/>
            </w:tcBorders>
            <w:vAlign w:val="center"/>
          </w:tcPr>
          <w:p w14:paraId="547BF200" w14:textId="4A5F26A3" w:rsidR="009870B9" w:rsidRPr="008C164C" w:rsidRDefault="004A6C4D" w:rsidP="00240629">
            <w:pPr>
              <w:pStyle w:val="In-tableHeading"/>
              <w:keepLines/>
              <w:jc w:val="center"/>
              <w:rPr>
                <w:lang w:val="en-AU"/>
              </w:rPr>
            </w:pPr>
            <w:r>
              <w:rPr>
                <w:lang w:val="en-AU"/>
              </w:rPr>
              <w:t>LEN</w:t>
            </w:r>
          </w:p>
        </w:tc>
      </w:tr>
      <w:tr w:rsidR="009870B9" w:rsidRPr="008C164C" w14:paraId="1142F922" w14:textId="77777777" w:rsidTr="00910793">
        <w:trPr>
          <w:cantSplit/>
          <w:tblHeader/>
          <w:jc w:val="center"/>
        </w:trPr>
        <w:tc>
          <w:tcPr>
            <w:tcW w:w="1491" w:type="pct"/>
            <w:tcBorders>
              <w:right w:val="nil"/>
            </w:tcBorders>
            <w:shd w:val="clear" w:color="auto" w:fill="auto"/>
            <w:vAlign w:val="center"/>
          </w:tcPr>
          <w:p w14:paraId="3CBDF8A1" w14:textId="77777777" w:rsidR="009870B9" w:rsidRPr="008C164C" w:rsidRDefault="009870B9" w:rsidP="00240629">
            <w:pPr>
              <w:pStyle w:val="In-tableHeading"/>
              <w:keepLines/>
              <w:rPr>
                <w:lang w:val="en-AU"/>
              </w:rPr>
            </w:pPr>
            <w:r w:rsidRPr="008C164C">
              <w:rPr>
                <w:lang w:val="en-AU"/>
              </w:rPr>
              <w:t>Initiation</w:t>
            </w:r>
          </w:p>
        </w:tc>
        <w:tc>
          <w:tcPr>
            <w:tcW w:w="707" w:type="pct"/>
            <w:tcBorders>
              <w:left w:val="nil"/>
              <w:right w:val="nil"/>
            </w:tcBorders>
          </w:tcPr>
          <w:p w14:paraId="5EF81ACB" w14:textId="77777777" w:rsidR="009870B9" w:rsidRPr="008C164C" w:rsidRDefault="009870B9" w:rsidP="00240629">
            <w:pPr>
              <w:pStyle w:val="In-tableHeading"/>
              <w:keepLines/>
              <w:jc w:val="center"/>
              <w:rPr>
                <w:lang w:val="en-AU"/>
              </w:rPr>
            </w:pPr>
          </w:p>
        </w:tc>
        <w:tc>
          <w:tcPr>
            <w:tcW w:w="551" w:type="pct"/>
            <w:tcBorders>
              <w:left w:val="nil"/>
              <w:right w:val="nil"/>
            </w:tcBorders>
          </w:tcPr>
          <w:p w14:paraId="6F28C392" w14:textId="77777777" w:rsidR="009870B9" w:rsidRPr="008C164C" w:rsidRDefault="009870B9" w:rsidP="00240629">
            <w:pPr>
              <w:pStyle w:val="In-tableHeading"/>
              <w:keepLines/>
              <w:jc w:val="center"/>
              <w:rPr>
                <w:lang w:val="en-AU"/>
              </w:rPr>
            </w:pPr>
          </w:p>
        </w:tc>
        <w:tc>
          <w:tcPr>
            <w:tcW w:w="707" w:type="pct"/>
            <w:tcBorders>
              <w:left w:val="nil"/>
              <w:right w:val="nil"/>
            </w:tcBorders>
            <w:shd w:val="clear" w:color="auto" w:fill="auto"/>
            <w:vAlign w:val="center"/>
          </w:tcPr>
          <w:p w14:paraId="09E3B27A" w14:textId="77777777" w:rsidR="009870B9" w:rsidRPr="008C164C" w:rsidRDefault="009870B9" w:rsidP="00240629">
            <w:pPr>
              <w:pStyle w:val="In-tableHeading"/>
              <w:keepLines/>
              <w:jc w:val="center"/>
              <w:rPr>
                <w:lang w:val="en-AU"/>
              </w:rPr>
            </w:pPr>
          </w:p>
        </w:tc>
        <w:tc>
          <w:tcPr>
            <w:tcW w:w="786" w:type="pct"/>
            <w:tcBorders>
              <w:left w:val="nil"/>
              <w:right w:val="nil"/>
            </w:tcBorders>
            <w:shd w:val="clear" w:color="auto" w:fill="auto"/>
            <w:vAlign w:val="center"/>
          </w:tcPr>
          <w:p w14:paraId="7F429E4D" w14:textId="77777777" w:rsidR="009870B9" w:rsidRPr="008C164C" w:rsidRDefault="009870B9" w:rsidP="00240629">
            <w:pPr>
              <w:pStyle w:val="In-tableHeading"/>
              <w:keepLines/>
              <w:jc w:val="center"/>
              <w:rPr>
                <w:lang w:val="en-AU"/>
              </w:rPr>
            </w:pPr>
          </w:p>
        </w:tc>
        <w:tc>
          <w:tcPr>
            <w:tcW w:w="758" w:type="pct"/>
            <w:tcBorders>
              <w:left w:val="nil"/>
            </w:tcBorders>
          </w:tcPr>
          <w:p w14:paraId="39BFE1B7" w14:textId="77777777" w:rsidR="009870B9" w:rsidRPr="008C164C" w:rsidRDefault="009870B9" w:rsidP="00240629">
            <w:pPr>
              <w:pStyle w:val="In-tableHeading"/>
              <w:keepLines/>
              <w:jc w:val="center"/>
              <w:rPr>
                <w:lang w:val="en-AU"/>
              </w:rPr>
            </w:pPr>
          </w:p>
        </w:tc>
      </w:tr>
      <w:tr w:rsidR="00510CC8" w:rsidRPr="008C164C" w14:paraId="5D27A355" w14:textId="77777777" w:rsidTr="00910793">
        <w:trPr>
          <w:cantSplit/>
          <w:jc w:val="center"/>
        </w:trPr>
        <w:tc>
          <w:tcPr>
            <w:tcW w:w="1491" w:type="pct"/>
            <w:tcBorders>
              <w:bottom w:val="single" w:sz="4" w:space="0" w:color="auto"/>
            </w:tcBorders>
            <w:shd w:val="clear" w:color="auto" w:fill="auto"/>
            <w:vAlign w:val="center"/>
          </w:tcPr>
          <w:p w14:paraId="515C440C" w14:textId="7059E4D8" w:rsidR="00510CC8" w:rsidRPr="008C164C" w:rsidRDefault="00510CC8" w:rsidP="00510CC8">
            <w:pPr>
              <w:pStyle w:val="TableText0"/>
              <w:keepLines/>
            </w:pPr>
            <w:r w:rsidRPr="008C164C">
              <w:t>600mg orally day 1 and 2</w:t>
            </w:r>
            <w:r w:rsidR="00D66751">
              <w:t xml:space="preserve"> ($)</w:t>
            </w:r>
          </w:p>
        </w:tc>
        <w:tc>
          <w:tcPr>
            <w:tcW w:w="707" w:type="pct"/>
            <w:tcBorders>
              <w:bottom w:val="single" w:sz="4" w:space="0" w:color="auto"/>
            </w:tcBorders>
            <w:vAlign w:val="center"/>
          </w:tcPr>
          <w:p w14:paraId="5BAB7120" w14:textId="17974DA2" w:rsidR="00510CC8" w:rsidRPr="008C164C" w:rsidRDefault="00851D33" w:rsidP="00910793">
            <w:pPr>
              <w:pStyle w:val="TableText0"/>
              <w:keepLines/>
              <w:jc w:val="center"/>
              <w:rPr>
                <w:vertAlign w:val="superscript"/>
              </w:rPr>
            </w:pPr>
            <w:r>
              <w:t xml:space="preserve"> </w:t>
            </w:r>
            <w:r w:rsidRPr="00851D33">
              <w:rPr>
                <w:color w:val="000000"/>
                <w:shd w:val="solid" w:color="000000" w:fill="000000"/>
                <w14:textFill>
                  <w14:solidFill>
                    <w14:srgbClr w14:val="000000">
                      <w14:alpha w14:val="100000"/>
                    </w14:srgbClr>
                  </w14:solidFill>
                </w14:textFill>
              </w:rPr>
              <w:t>|</w:t>
            </w:r>
          </w:p>
        </w:tc>
        <w:tc>
          <w:tcPr>
            <w:tcW w:w="551" w:type="pct"/>
            <w:tcBorders>
              <w:bottom w:val="single" w:sz="4" w:space="0" w:color="auto"/>
            </w:tcBorders>
            <w:vAlign w:val="center"/>
          </w:tcPr>
          <w:p w14:paraId="5B1FC0A0" w14:textId="77777777" w:rsidR="00510CC8" w:rsidRPr="008C164C" w:rsidRDefault="00510CC8" w:rsidP="00910793">
            <w:pPr>
              <w:pStyle w:val="TableText0"/>
              <w:keepLines/>
              <w:jc w:val="center"/>
            </w:pPr>
            <w:r w:rsidRPr="008C164C">
              <w:t>-</w:t>
            </w:r>
          </w:p>
        </w:tc>
        <w:tc>
          <w:tcPr>
            <w:tcW w:w="707" w:type="pct"/>
            <w:tcBorders>
              <w:bottom w:val="single" w:sz="4" w:space="0" w:color="auto"/>
            </w:tcBorders>
            <w:shd w:val="clear" w:color="auto" w:fill="auto"/>
            <w:vAlign w:val="center"/>
          </w:tcPr>
          <w:p w14:paraId="6C2D9875" w14:textId="0D2C17B6" w:rsidR="00510CC8" w:rsidRPr="008C164C" w:rsidRDefault="00851D33" w:rsidP="00910793">
            <w:pPr>
              <w:pStyle w:val="TableText0"/>
              <w:keepLines/>
              <w:jc w:val="center"/>
            </w:pPr>
            <w:r>
              <w:t xml:space="preserve"> </w:t>
            </w:r>
            <w:r w:rsidRPr="00851D33">
              <w:rPr>
                <w:color w:val="000000"/>
                <w:shd w:val="solid" w:color="000000" w:fill="000000"/>
                <w14:textFill>
                  <w14:solidFill>
                    <w14:srgbClr w14:val="000000">
                      <w14:alpha w14:val="100000"/>
                    </w14:srgbClr>
                  </w14:solidFill>
                </w14:textFill>
              </w:rPr>
              <w:t>|</w:t>
            </w:r>
          </w:p>
        </w:tc>
        <w:tc>
          <w:tcPr>
            <w:tcW w:w="786" w:type="pct"/>
            <w:tcBorders>
              <w:bottom w:val="single" w:sz="4" w:space="0" w:color="auto"/>
            </w:tcBorders>
            <w:shd w:val="clear" w:color="auto" w:fill="auto"/>
            <w:vAlign w:val="center"/>
          </w:tcPr>
          <w:p w14:paraId="2C3EB4A5" w14:textId="77777777" w:rsidR="00510CC8" w:rsidRPr="008C164C" w:rsidRDefault="00510CC8" w:rsidP="00910793">
            <w:pPr>
              <w:pStyle w:val="TableText0"/>
              <w:keepLines/>
              <w:jc w:val="center"/>
            </w:pPr>
            <w:r w:rsidRPr="008C164C">
              <w:t>-</w:t>
            </w:r>
          </w:p>
        </w:tc>
        <w:tc>
          <w:tcPr>
            <w:tcW w:w="758" w:type="pct"/>
            <w:tcBorders>
              <w:bottom w:val="single" w:sz="4" w:space="0" w:color="auto"/>
            </w:tcBorders>
            <w:vAlign w:val="center"/>
          </w:tcPr>
          <w:p w14:paraId="7CA4E665" w14:textId="2C437023" w:rsidR="00510CC8" w:rsidRPr="008C164C" w:rsidRDefault="00851D33" w:rsidP="00910793">
            <w:pPr>
              <w:pStyle w:val="TableText0"/>
              <w:keepLines/>
              <w:jc w:val="center"/>
            </w:pPr>
            <w:r>
              <w:t xml:space="preserve"> </w:t>
            </w:r>
            <w:r w:rsidRPr="00851D33">
              <w:rPr>
                <w:color w:val="000000"/>
                <w:shd w:val="solid" w:color="000000" w:fill="000000"/>
                <w14:textFill>
                  <w14:solidFill>
                    <w14:srgbClr w14:val="000000">
                      <w14:alpha w14:val="100000"/>
                    </w14:srgbClr>
                  </w14:solidFill>
                </w14:textFill>
              </w:rPr>
              <w:t>|</w:t>
            </w:r>
            <w:r w:rsidR="00B55449">
              <w:rPr>
                <w:vertAlign w:val="superscript"/>
              </w:rPr>
              <w:t>1</w:t>
            </w:r>
          </w:p>
        </w:tc>
      </w:tr>
      <w:tr w:rsidR="00510CC8" w:rsidRPr="008C164C" w14:paraId="415C9891" w14:textId="77777777" w:rsidTr="00910793">
        <w:trPr>
          <w:cantSplit/>
          <w:jc w:val="center"/>
        </w:trPr>
        <w:tc>
          <w:tcPr>
            <w:tcW w:w="1491" w:type="pct"/>
            <w:tcBorders>
              <w:right w:val="nil"/>
            </w:tcBorders>
            <w:shd w:val="clear" w:color="auto" w:fill="auto"/>
            <w:vAlign w:val="center"/>
          </w:tcPr>
          <w:p w14:paraId="54B1CA6C" w14:textId="77777777" w:rsidR="00510CC8" w:rsidRPr="008C164C" w:rsidRDefault="00510CC8" w:rsidP="00510CC8">
            <w:pPr>
              <w:pStyle w:val="TableText0"/>
              <w:keepLines/>
              <w:rPr>
                <w:b/>
                <w:bCs w:val="0"/>
              </w:rPr>
            </w:pPr>
            <w:r w:rsidRPr="008C164C">
              <w:rPr>
                <w:b/>
                <w:bCs w:val="0"/>
              </w:rPr>
              <w:t>Maintenance</w:t>
            </w:r>
          </w:p>
        </w:tc>
        <w:tc>
          <w:tcPr>
            <w:tcW w:w="707" w:type="pct"/>
            <w:tcBorders>
              <w:left w:val="nil"/>
              <w:right w:val="nil"/>
            </w:tcBorders>
            <w:vAlign w:val="center"/>
          </w:tcPr>
          <w:p w14:paraId="43AF6335" w14:textId="77777777" w:rsidR="00510CC8" w:rsidRPr="008C164C" w:rsidRDefault="00510CC8" w:rsidP="00910793">
            <w:pPr>
              <w:pStyle w:val="TableText0"/>
              <w:keepLines/>
              <w:jc w:val="center"/>
            </w:pPr>
          </w:p>
        </w:tc>
        <w:tc>
          <w:tcPr>
            <w:tcW w:w="551" w:type="pct"/>
            <w:tcBorders>
              <w:left w:val="nil"/>
              <w:right w:val="nil"/>
            </w:tcBorders>
            <w:vAlign w:val="center"/>
          </w:tcPr>
          <w:p w14:paraId="3A7DB727" w14:textId="77777777" w:rsidR="00510CC8" w:rsidRPr="008C164C" w:rsidRDefault="00510CC8" w:rsidP="00910793">
            <w:pPr>
              <w:pStyle w:val="TableText0"/>
              <w:keepLines/>
              <w:jc w:val="center"/>
            </w:pPr>
          </w:p>
        </w:tc>
        <w:tc>
          <w:tcPr>
            <w:tcW w:w="707" w:type="pct"/>
            <w:tcBorders>
              <w:left w:val="nil"/>
              <w:right w:val="nil"/>
            </w:tcBorders>
            <w:shd w:val="clear" w:color="auto" w:fill="auto"/>
            <w:vAlign w:val="center"/>
          </w:tcPr>
          <w:p w14:paraId="03E83747" w14:textId="77777777" w:rsidR="00510CC8" w:rsidRPr="008C164C" w:rsidRDefault="00510CC8" w:rsidP="00910793">
            <w:pPr>
              <w:pStyle w:val="TableText0"/>
              <w:keepLines/>
              <w:jc w:val="center"/>
            </w:pPr>
          </w:p>
        </w:tc>
        <w:tc>
          <w:tcPr>
            <w:tcW w:w="786" w:type="pct"/>
            <w:tcBorders>
              <w:left w:val="nil"/>
              <w:right w:val="nil"/>
            </w:tcBorders>
            <w:shd w:val="clear" w:color="auto" w:fill="auto"/>
            <w:vAlign w:val="center"/>
          </w:tcPr>
          <w:p w14:paraId="7E9D45AD" w14:textId="77777777" w:rsidR="00510CC8" w:rsidRPr="008C164C" w:rsidRDefault="00510CC8" w:rsidP="00910793">
            <w:pPr>
              <w:pStyle w:val="TableText0"/>
              <w:keepLines/>
              <w:jc w:val="center"/>
            </w:pPr>
          </w:p>
        </w:tc>
        <w:tc>
          <w:tcPr>
            <w:tcW w:w="758" w:type="pct"/>
            <w:tcBorders>
              <w:left w:val="nil"/>
            </w:tcBorders>
            <w:vAlign w:val="center"/>
          </w:tcPr>
          <w:p w14:paraId="72870876" w14:textId="77777777" w:rsidR="00510CC8" w:rsidRPr="008C164C" w:rsidRDefault="00510CC8" w:rsidP="00910793">
            <w:pPr>
              <w:pStyle w:val="TableText0"/>
              <w:keepLines/>
              <w:jc w:val="center"/>
            </w:pPr>
          </w:p>
        </w:tc>
      </w:tr>
      <w:tr w:rsidR="00510CC8" w:rsidRPr="008C164C" w14:paraId="0C756281" w14:textId="77777777" w:rsidTr="00910793">
        <w:trPr>
          <w:cantSplit/>
          <w:jc w:val="center"/>
        </w:trPr>
        <w:tc>
          <w:tcPr>
            <w:tcW w:w="1491" w:type="pct"/>
            <w:shd w:val="clear" w:color="auto" w:fill="auto"/>
            <w:vAlign w:val="center"/>
          </w:tcPr>
          <w:p w14:paraId="1855DCB4" w14:textId="40844E64" w:rsidR="00510CC8" w:rsidRPr="008C164C" w:rsidRDefault="00510CC8" w:rsidP="00510CC8">
            <w:pPr>
              <w:pStyle w:val="TableText0"/>
              <w:keepLines/>
            </w:pPr>
            <w:r w:rsidRPr="008C164C">
              <w:t>Cost/ injection</w:t>
            </w:r>
            <w:r w:rsidR="00D66751">
              <w:t xml:space="preserve"> ($)</w:t>
            </w:r>
          </w:p>
        </w:tc>
        <w:tc>
          <w:tcPr>
            <w:tcW w:w="707" w:type="pct"/>
            <w:vAlign w:val="center"/>
          </w:tcPr>
          <w:p w14:paraId="310099B1" w14:textId="2EE25A1C" w:rsidR="00510CC8" w:rsidRPr="008C164C" w:rsidRDefault="00851D33" w:rsidP="00910793">
            <w:pPr>
              <w:pStyle w:val="TableText0"/>
              <w:keepLines/>
              <w:jc w:val="center"/>
            </w:pPr>
            <w:r>
              <w:t xml:space="preserve"> </w:t>
            </w:r>
            <w:r w:rsidRPr="00851D33">
              <w:rPr>
                <w:color w:val="000000"/>
                <w:shd w:val="solid" w:color="000000" w:fill="000000"/>
                <w14:textFill>
                  <w14:solidFill>
                    <w14:srgbClr w14:val="000000">
                      <w14:alpha w14:val="100000"/>
                    </w14:srgbClr>
                  </w14:solidFill>
                </w14:textFill>
              </w:rPr>
              <w:t>|</w:t>
            </w:r>
          </w:p>
        </w:tc>
        <w:tc>
          <w:tcPr>
            <w:tcW w:w="551" w:type="pct"/>
            <w:vAlign w:val="center"/>
          </w:tcPr>
          <w:p w14:paraId="7F14ECE5" w14:textId="77777777" w:rsidR="00510CC8" w:rsidRPr="008C164C" w:rsidRDefault="00510CC8" w:rsidP="00910793">
            <w:pPr>
              <w:pStyle w:val="TableText0"/>
              <w:keepLines/>
              <w:jc w:val="center"/>
            </w:pPr>
            <w:r w:rsidRPr="008C164C">
              <w:t>-</w:t>
            </w:r>
          </w:p>
        </w:tc>
        <w:tc>
          <w:tcPr>
            <w:tcW w:w="707" w:type="pct"/>
            <w:shd w:val="clear" w:color="auto" w:fill="auto"/>
            <w:vAlign w:val="center"/>
          </w:tcPr>
          <w:p w14:paraId="60D105F9" w14:textId="63B56F54" w:rsidR="00510CC8" w:rsidRPr="008C164C" w:rsidRDefault="00851D33" w:rsidP="00910793">
            <w:pPr>
              <w:pStyle w:val="TableText0"/>
              <w:keepLines/>
              <w:jc w:val="center"/>
            </w:pPr>
            <w:r>
              <w:t xml:space="preserve"> </w:t>
            </w:r>
            <w:r w:rsidRPr="00851D33">
              <w:rPr>
                <w:color w:val="000000"/>
                <w:shd w:val="solid" w:color="000000" w:fill="000000"/>
                <w14:textFill>
                  <w14:solidFill>
                    <w14:srgbClr w14:val="000000">
                      <w14:alpha w14:val="100000"/>
                    </w14:srgbClr>
                  </w14:solidFill>
                </w14:textFill>
              </w:rPr>
              <w:t>|</w:t>
            </w:r>
          </w:p>
        </w:tc>
        <w:tc>
          <w:tcPr>
            <w:tcW w:w="786" w:type="pct"/>
            <w:shd w:val="clear" w:color="auto" w:fill="auto"/>
            <w:vAlign w:val="center"/>
          </w:tcPr>
          <w:p w14:paraId="4DDF1A2A" w14:textId="77777777" w:rsidR="00510CC8" w:rsidRPr="008C164C" w:rsidRDefault="00510CC8" w:rsidP="00910793">
            <w:pPr>
              <w:pStyle w:val="TableText0"/>
              <w:keepLines/>
              <w:jc w:val="center"/>
            </w:pPr>
            <w:r w:rsidRPr="008C164C">
              <w:t>-</w:t>
            </w:r>
          </w:p>
        </w:tc>
        <w:tc>
          <w:tcPr>
            <w:tcW w:w="758" w:type="pct"/>
            <w:vAlign w:val="center"/>
          </w:tcPr>
          <w:p w14:paraId="02FBAF01" w14:textId="11E29829" w:rsidR="00510CC8" w:rsidRPr="008C164C" w:rsidRDefault="00851D33" w:rsidP="00910793">
            <w:pPr>
              <w:pStyle w:val="TableText0"/>
              <w:keepLines/>
              <w:jc w:val="center"/>
            </w:pPr>
            <w:r>
              <w:t xml:space="preserve"> </w:t>
            </w:r>
            <w:r w:rsidRPr="00851D33">
              <w:rPr>
                <w:color w:val="000000"/>
                <w:shd w:val="solid" w:color="000000" w:fill="000000"/>
                <w14:textFill>
                  <w14:solidFill>
                    <w14:srgbClr w14:val="000000">
                      <w14:alpha w14:val="100000"/>
                    </w14:srgbClr>
                  </w14:solidFill>
                </w14:textFill>
              </w:rPr>
              <w:t>|</w:t>
            </w:r>
            <w:r w:rsidR="00B55449">
              <w:rPr>
                <w:vertAlign w:val="superscript"/>
              </w:rPr>
              <w:t>2</w:t>
            </w:r>
          </w:p>
        </w:tc>
      </w:tr>
      <w:tr w:rsidR="00510CC8" w:rsidRPr="008C164C" w14:paraId="48F8A363" w14:textId="77777777" w:rsidTr="00910793">
        <w:trPr>
          <w:cantSplit/>
          <w:jc w:val="center"/>
        </w:trPr>
        <w:tc>
          <w:tcPr>
            <w:tcW w:w="1491" w:type="pct"/>
            <w:shd w:val="clear" w:color="auto" w:fill="auto"/>
            <w:vAlign w:val="center"/>
          </w:tcPr>
          <w:p w14:paraId="0E5097A1" w14:textId="4BB93123" w:rsidR="00510CC8" w:rsidRPr="008C164C" w:rsidRDefault="00510CC8" w:rsidP="00510CC8">
            <w:pPr>
              <w:pStyle w:val="TableText0"/>
              <w:keepLines/>
            </w:pPr>
            <w:r w:rsidRPr="008C164C">
              <w:t>Number of injections</w:t>
            </w:r>
            <w:r w:rsidR="008C164C">
              <w:t xml:space="preserve"> </w:t>
            </w:r>
            <w:r w:rsidRPr="008C164C">
              <w:t>/ year</w:t>
            </w:r>
          </w:p>
        </w:tc>
        <w:tc>
          <w:tcPr>
            <w:tcW w:w="707" w:type="pct"/>
            <w:vAlign w:val="center"/>
          </w:tcPr>
          <w:p w14:paraId="44D5BEC4" w14:textId="53F3673B" w:rsidR="00510CC8" w:rsidRPr="008C164C" w:rsidRDefault="00510CC8" w:rsidP="00910793">
            <w:pPr>
              <w:pStyle w:val="TableText0"/>
              <w:keepLines/>
              <w:jc w:val="center"/>
            </w:pPr>
            <w:r w:rsidRPr="008C164C">
              <w:t>2</w:t>
            </w:r>
          </w:p>
        </w:tc>
        <w:tc>
          <w:tcPr>
            <w:tcW w:w="551" w:type="pct"/>
            <w:vAlign w:val="center"/>
          </w:tcPr>
          <w:p w14:paraId="57043424" w14:textId="77777777" w:rsidR="00510CC8" w:rsidRPr="008C164C" w:rsidRDefault="00510CC8" w:rsidP="00910793">
            <w:pPr>
              <w:pStyle w:val="TableText0"/>
              <w:keepLines/>
              <w:jc w:val="center"/>
            </w:pPr>
            <w:r w:rsidRPr="008C164C">
              <w:t>-</w:t>
            </w:r>
          </w:p>
        </w:tc>
        <w:tc>
          <w:tcPr>
            <w:tcW w:w="707" w:type="pct"/>
            <w:shd w:val="clear" w:color="auto" w:fill="auto"/>
            <w:vAlign w:val="center"/>
          </w:tcPr>
          <w:p w14:paraId="57511D72" w14:textId="01D0B2E6" w:rsidR="00510CC8" w:rsidRPr="008C164C" w:rsidRDefault="00510CC8" w:rsidP="00910793">
            <w:pPr>
              <w:pStyle w:val="TableText0"/>
              <w:keepLines/>
              <w:jc w:val="center"/>
            </w:pPr>
            <w:r w:rsidRPr="008C164C">
              <w:t>2</w:t>
            </w:r>
          </w:p>
        </w:tc>
        <w:tc>
          <w:tcPr>
            <w:tcW w:w="786" w:type="pct"/>
            <w:shd w:val="clear" w:color="auto" w:fill="auto"/>
            <w:vAlign w:val="center"/>
          </w:tcPr>
          <w:p w14:paraId="5DE38C7B" w14:textId="77777777" w:rsidR="00510CC8" w:rsidRPr="008C164C" w:rsidRDefault="00510CC8" w:rsidP="00910793">
            <w:pPr>
              <w:pStyle w:val="TableText0"/>
              <w:keepLines/>
              <w:jc w:val="center"/>
            </w:pPr>
            <w:r w:rsidRPr="008C164C">
              <w:t>-</w:t>
            </w:r>
          </w:p>
        </w:tc>
        <w:tc>
          <w:tcPr>
            <w:tcW w:w="758" w:type="pct"/>
            <w:vAlign w:val="center"/>
          </w:tcPr>
          <w:p w14:paraId="7D91445D" w14:textId="77777777" w:rsidR="00510CC8" w:rsidRPr="008C164C" w:rsidRDefault="00510CC8" w:rsidP="00910793">
            <w:pPr>
              <w:pStyle w:val="TableText0"/>
              <w:keepLines/>
              <w:jc w:val="center"/>
            </w:pPr>
            <w:r w:rsidRPr="008C164C">
              <w:t>2</w:t>
            </w:r>
          </w:p>
        </w:tc>
      </w:tr>
      <w:tr w:rsidR="00510CC8" w:rsidRPr="008C164C" w14:paraId="37080D15" w14:textId="77777777" w:rsidTr="00910793">
        <w:trPr>
          <w:cantSplit/>
          <w:jc w:val="center"/>
        </w:trPr>
        <w:tc>
          <w:tcPr>
            <w:tcW w:w="1491" w:type="pct"/>
            <w:shd w:val="clear" w:color="auto" w:fill="auto"/>
            <w:vAlign w:val="center"/>
          </w:tcPr>
          <w:p w14:paraId="05A0F3B2" w14:textId="72D39DD9" w:rsidR="00510CC8" w:rsidRPr="008C164C" w:rsidRDefault="00510CC8" w:rsidP="00510CC8">
            <w:pPr>
              <w:pStyle w:val="TableText0"/>
              <w:keepLines/>
            </w:pPr>
            <w:proofErr w:type="spellStart"/>
            <w:r w:rsidRPr="008C164C">
              <w:t>Lenacapavir</w:t>
            </w:r>
            <w:proofErr w:type="spellEnd"/>
            <w:r w:rsidRPr="008C164C">
              <w:t xml:space="preserve"> costs/ year</w:t>
            </w:r>
            <w:r w:rsidR="00D66751">
              <w:t xml:space="preserve"> ($)</w:t>
            </w:r>
          </w:p>
        </w:tc>
        <w:tc>
          <w:tcPr>
            <w:tcW w:w="707" w:type="pct"/>
            <w:vAlign w:val="center"/>
          </w:tcPr>
          <w:p w14:paraId="0AB1A844" w14:textId="7C372D1C" w:rsidR="00510CC8" w:rsidRPr="008C164C" w:rsidRDefault="00851D33" w:rsidP="00910793">
            <w:pPr>
              <w:pStyle w:val="TableText0"/>
              <w:keepLines/>
              <w:jc w:val="center"/>
            </w:pPr>
            <w:r>
              <w:t xml:space="preserve"> </w:t>
            </w:r>
            <w:r w:rsidRPr="00851D33">
              <w:rPr>
                <w:color w:val="000000"/>
                <w:shd w:val="solid" w:color="000000" w:fill="000000"/>
                <w14:textFill>
                  <w14:solidFill>
                    <w14:srgbClr w14:val="000000">
                      <w14:alpha w14:val="100000"/>
                    </w14:srgbClr>
                  </w14:solidFill>
                </w14:textFill>
              </w:rPr>
              <w:t>|</w:t>
            </w:r>
          </w:p>
        </w:tc>
        <w:tc>
          <w:tcPr>
            <w:tcW w:w="551" w:type="pct"/>
            <w:vAlign w:val="center"/>
          </w:tcPr>
          <w:p w14:paraId="5C90FFCF" w14:textId="77777777" w:rsidR="00510CC8" w:rsidRPr="008C164C" w:rsidRDefault="00510CC8" w:rsidP="00910793">
            <w:pPr>
              <w:pStyle w:val="TableText0"/>
              <w:keepLines/>
              <w:jc w:val="center"/>
            </w:pPr>
            <w:r w:rsidRPr="008C164C">
              <w:t>-</w:t>
            </w:r>
          </w:p>
        </w:tc>
        <w:tc>
          <w:tcPr>
            <w:tcW w:w="707" w:type="pct"/>
            <w:shd w:val="clear" w:color="auto" w:fill="auto"/>
            <w:vAlign w:val="center"/>
          </w:tcPr>
          <w:p w14:paraId="41B29080" w14:textId="61CB06F4" w:rsidR="00510CC8" w:rsidRPr="00B55449" w:rsidRDefault="00851D33" w:rsidP="00910793">
            <w:pPr>
              <w:pStyle w:val="TableText0"/>
              <w:keepLines/>
              <w:jc w:val="center"/>
              <w:rPr>
                <w:highlight w:val="darkGray"/>
              </w:rPr>
            </w:pPr>
            <w:r>
              <w:t xml:space="preserve"> </w:t>
            </w:r>
            <w:r w:rsidRPr="00851D33">
              <w:rPr>
                <w:color w:val="000000"/>
                <w:shd w:val="solid" w:color="000000" w:fill="000000"/>
                <w14:textFill>
                  <w14:solidFill>
                    <w14:srgbClr w14:val="000000">
                      <w14:alpha w14:val="100000"/>
                    </w14:srgbClr>
                  </w14:solidFill>
                </w14:textFill>
              </w:rPr>
              <w:t>|</w:t>
            </w:r>
          </w:p>
        </w:tc>
        <w:tc>
          <w:tcPr>
            <w:tcW w:w="786" w:type="pct"/>
            <w:shd w:val="clear" w:color="auto" w:fill="auto"/>
            <w:vAlign w:val="center"/>
          </w:tcPr>
          <w:p w14:paraId="7A5E5257" w14:textId="77777777" w:rsidR="00510CC8" w:rsidRPr="008C164C" w:rsidRDefault="00510CC8" w:rsidP="00910793">
            <w:pPr>
              <w:pStyle w:val="TableText0"/>
              <w:keepLines/>
              <w:jc w:val="center"/>
            </w:pPr>
            <w:r w:rsidRPr="008C164C">
              <w:t>-</w:t>
            </w:r>
          </w:p>
        </w:tc>
        <w:tc>
          <w:tcPr>
            <w:tcW w:w="758" w:type="pct"/>
            <w:vAlign w:val="center"/>
          </w:tcPr>
          <w:p w14:paraId="0F89DDA0" w14:textId="3C0FCB36" w:rsidR="00510CC8" w:rsidRPr="008C164C" w:rsidRDefault="00851D33" w:rsidP="00910793">
            <w:pPr>
              <w:pStyle w:val="TableText0"/>
              <w:keepLines/>
              <w:jc w:val="center"/>
            </w:pPr>
            <w:r>
              <w:t xml:space="preserve"> </w:t>
            </w:r>
            <w:r w:rsidRPr="00851D33">
              <w:rPr>
                <w:color w:val="000000"/>
                <w:shd w:val="solid" w:color="000000" w:fill="000000"/>
                <w14:textFill>
                  <w14:solidFill>
                    <w14:srgbClr w14:val="000000">
                      <w14:alpha w14:val="100000"/>
                    </w14:srgbClr>
                  </w14:solidFill>
                </w14:textFill>
              </w:rPr>
              <w:t>|</w:t>
            </w:r>
            <w:r w:rsidR="00B55449">
              <w:rPr>
                <w:vertAlign w:val="superscript"/>
              </w:rPr>
              <w:t>3</w:t>
            </w:r>
          </w:p>
        </w:tc>
      </w:tr>
      <w:tr w:rsidR="00510CC8" w:rsidRPr="008C164C" w14:paraId="2E55FCDD" w14:textId="77777777" w:rsidTr="00910793">
        <w:trPr>
          <w:cantSplit/>
          <w:jc w:val="center"/>
        </w:trPr>
        <w:tc>
          <w:tcPr>
            <w:tcW w:w="1491" w:type="pct"/>
            <w:shd w:val="clear" w:color="auto" w:fill="auto"/>
            <w:vAlign w:val="center"/>
          </w:tcPr>
          <w:p w14:paraId="4AEA9CD2" w14:textId="747003A2" w:rsidR="00510CC8" w:rsidRPr="00D66751" w:rsidRDefault="00510CC8" w:rsidP="00510CC8">
            <w:pPr>
              <w:pStyle w:val="TableText0"/>
              <w:keepLines/>
            </w:pPr>
            <w:r w:rsidRPr="008C164C">
              <w:t>OBR cost/ 3 months</w:t>
            </w:r>
            <w:r w:rsidR="00613818" w:rsidRPr="008C164C">
              <w:t xml:space="preserve"> </w:t>
            </w:r>
            <w:r w:rsidRPr="008C164C">
              <w:rPr>
                <w:vertAlign w:val="superscript"/>
              </w:rPr>
              <w:t>b</w:t>
            </w:r>
            <w:r w:rsidR="00D66751">
              <w:rPr>
                <w:vertAlign w:val="superscript"/>
              </w:rPr>
              <w:t xml:space="preserve"> </w:t>
            </w:r>
            <w:r w:rsidR="00D66751">
              <w:t>($)</w:t>
            </w:r>
          </w:p>
        </w:tc>
        <w:tc>
          <w:tcPr>
            <w:tcW w:w="707" w:type="pct"/>
            <w:vAlign w:val="center"/>
          </w:tcPr>
          <w:p w14:paraId="258EF4FD" w14:textId="57620527" w:rsidR="00510CC8" w:rsidRPr="00D66751" w:rsidRDefault="00510CC8" w:rsidP="00910793">
            <w:pPr>
              <w:pStyle w:val="TableText0"/>
              <w:keepLines/>
              <w:jc w:val="center"/>
              <w:rPr>
                <w:highlight w:val="darkGray"/>
              </w:rPr>
            </w:pPr>
            <w:r w:rsidRPr="00B55449">
              <w:t>$4,177.96</w:t>
            </w:r>
          </w:p>
        </w:tc>
        <w:tc>
          <w:tcPr>
            <w:tcW w:w="551" w:type="pct"/>
            <w:vAlign w:val="center"/>
          </w:tcPr>
          <w:p w14:paraId="7859596F" w14:textId="4C3137C0" w:rsidR="00510CC8" w:rsidRPr="008C164C" w:rsidRDefault="0040741D" w:rsidP="00910793">
            <w:pPr>
              <w:pStyle w:val="TableText0"/>
              <w:keepLines/>
              <w:jc w:val="center"/>
            </w:pPr>
            <w:r w:rsidRPr="008C164C">
              <w:t>$4,177.96</w:t>
            </w:r>
          </w:p>
        </w:tc>
        <w:tc>
          <w:tcPr>
            <w:tcW w:w="707" w:type="pct"/>
            <w:shd w:val="clear" w:color="auto" w:fill="auto"/>
            <w:vAlign w:val="center"/>
          </w:tcPr>
          <w:p w14:paraId="16C8FB20" w14:textId="1F99031A" w:rsidR="00510CC8" w:rsidRPr="00B55449" w:rsidRDefault="00510CC8" w:rsidP="00910793">
            <w:pPr>
              <w:pStyle w:val="TableText0"/>
              <w:keepLines/>
              <w:jc w:val="center"/>
            </w:pPr>
            <w:r w:rsidRPr="00B55449">
              <w:t>$4,177.96</w:t>
            </w:r>
          </w:p>
        </w:tc>
        <w:tc>
          <w:tcPr>
            <w:tcW w:w="786" w:type="pct"/>
            <w:shd w:val="clear" w:color="auto" w:fill="auto"/>
            <w:vAlign w:val="center"/>
          </w:tcPr>
          <w:p w14:paraId="3756C195" w14:textId="7D2250BA" w:rsidR="00510CC8" w:rsidRPr="008C164C" w:rsidRDefault="00510CC8" w:rsidP="00910793">
            <w:pPr>
              <w:pStyle w:val="TableText0"/>
              <w:keepLines/>
              <w:jc w:val="center"/>
            </w:pPr>
            <w:r w:rsidRPr="008C164C">
              <w:t>$4,177.96</w:t>
            </w:r>
          </w:p>
        </w:tc>
        <w:tc>
          <w:tcPr>
            <w:tcW w:w="758" w:type="pct"/>
            <w:vAlign w:val="center"/>
          </w:tcPr>
          <w:p w14:paraId="164D4B7F" w14:textId="4658DCE3" w:rsidR="00510CC8" w:rsidRPr="008C164C" w:rsidRDefault="00510CC8" w:rsidP="00910793">
            <w:pPr>
              <w:pStyle w:val="TableText0"/>
              <w:keepLines/>
              <w:jc w:val="center"/>
              <w:rPr>
                <w:vertAlign w:val="superscript"/>
              </w:rPr>
            </w:pPr>
            <w:r w:rsidRPr="008C164C">
              <w:t xml:space="preserve">Not </w:t>
            </w:r>
            <w:r w:rsidR="00EC4F8B" w:rsidRPr="008C164C">
              <w:t>explicitly estimat</w:t>
            </w:r>
            <w:r w:rsidRPr="008C164C">
              <w:t>ed</w:t>
            </w:r>
            <w:r w:rsidR="00A466DF" w:rsidRPr="008C164C">
              <w:t xml:space="preserve"> </w:t>
            </w:r>
            <w:r w:rsidR="00A466DF" w:rsidRPr="008C164C">
              <w:rPr>
                <w:vertAlign w:val="superscript"/>
              </w:rPr>
              <w:t>c</w:t>
            </w:r>
          </w:p>
        </w:tc>
      </w:tr>
      <w:tr w:rsidR="00510CC8" w:rsidRPr="008C164C" w14:paraId="6EAA72FA" w14:textId="77777777" w:rsidTr="00910793">
        <w:trPr>
          <w:cantSplit/>
          <w:jc w:val="center"/>
        </w:trPr>
        <w:tc>
          <w:tcPr>
            <w:tcW w:w="1491" w:type="pct"/>
            <w:shd w:val="clear" w:color="auto" w:fill="auto"/>
            <w:vAlign w:val="center"/>
          </w:tcPr>
          <w:p w14:paraId="33D266D4" w14:textId="2DCE141A" w:rsidR="00510CC8" w:rsidRPr="008C164C" w:rsidRDefault="00510CC8" w:rsidP="00510CC8">
            <w:pPr>
              <w:pStyle w:val="TableText0"/>
              <w:keepLines/>
            </w:pPr>
            <w:r w:rsidRPr="008C164C">
              <w:t>OBR costs/ year</w:t>
            </w:r>
            <w:r w:rsidR="00D66751">
              <w:t xml:space="preserve"> ($)</w:t>
            </w:r>
          </w:p>
        </w:tc>
        <w:tc>
          <w:tcPr>
            <w:tcW w:w="707" w:type="pct"/>
            <w:vAlign w:val="center"/>
          </w:tcPr>
          <w:p w14:paraId="29BFA3DD" w14:textId="6B2FDDCD" w:rsidR="00510CC8" w:rsidRPr="00D66751" w:rsidRDefault="00510CC8" w:rsidP="00910793">
            <w:pPr>
              <w:pStyle w:val="TableText0"/>
              <w:keepLines/>
              <w:jc w:val="center"/>
              <w:rPr>
                <w:highlight w:val="darkGray"/>
              </w:rPr>
            </w:pPr>
            <w:r w:rsidRPr="00B55449">
              <w:t>$16,711.85</w:t>
            </w:r>
          </w:p>
        </w:tc>
        <w:tc>
          <w:tcPr>
            <w:tcW w:w="551" w:type="pct"/>
            <w:vAlign w:val="center"/>
          </w:tcPr>
          <w:p w14:paraId="37FE2EC0" w14:textId="5F3F56DC" w:rsidR="00510CC8" w:rsidRPr="008C164C" w:rsidRDefault="00B92BD0" w:rsidP="00910793">
            <w:pPr>
              <w:pStyle w:val="TableText0"/>
              <w:keepLines/>
              <w:jc w:val="center"/>
            </w:pPr>
            <w:r w:rsidRPr="008C164C">
              <w:t>$16,711.85</w:t>
            </w:r>
          </w:p>
        </w:tc>
        <w:tc>
          <w:tcPr>
            <w:tcW w:w="707" w:type="pct"/>
            <w:shd w:val="clear" w:color="auto" w:fill="auto"/>
            <w:vAlign w:val="center"/>
          </w:tcPr>
          <w:p w14:paraId="2D5450F2" w14:textId="6C74C7A2" w:rsidR="00510CC8" w:rsidRPr="00B55449" w:rsidRDefault="00510CC8" w:rsidP="00910793">
            <w:pPr>
              <w:pStyle w:val="TableText0"/>
              <w:keepLines/>
              <w:jc w:val="center"/>
            </w:pPr>
            <w:bookmarkStart w:id="83" w:name="_Hlk151544520"/>
            <w:r w:rsidRPr="00B55449">
              <w:t>$16,711.85</w:t>
            </w:r>
            <w:bookmarkEnd w:id="83"/>
          </w:p>
        </w:tc>
        <w:tc>
          <w:tcPr>
            <w:tcW w:w="786" w:type="pct"/>
            <w:shd w:val="clear" w:color="auto" w:fill="auto"/>
            <w:vAlign w:val="center"/>
          </w:tcPr>
          <w:p w14:paraId="16B21B8C" w14:textId="4F12D131" w:rsidR="00510CC8" w:rsidRPr="008C164C" w:rsidRDefault="00510CC8" w:rsidP="00910793">
            <w:pPr>
              <w:pStyle w:val="TableText0"/>
              <w:keepLines/>
              <w:jc w:val="center"/>
            </w:pPr>
            <w:r w:rsidRPr="008C164C">
              <w:t>$16,711.85</w:t>
            </w:r>
          </w:p>
        </w:tc>
        <w:tc>
          <w:tcPr>
            <w:tcW w:w="758" w:type="pct"/>
            <w:vAlign w:val="center"/>
          </w:tcPr>
          <w:p w14:paraId="49D79636" w14:textId="77777777" w:rsidR="00510CC8" w:rsidRPr="008C164C" w:rsidRDefault="00510CC8" w:rsidP="00910793">
            <w:pPr>
              <w:pStyle w:val="TableText0"/>
              <w:keepLines/>
              <w:jc w:val="center"/>
            </w:pPr>
          </w:p>
        </w:tc>
      </w:tr>
      <w:tr w:rsidR="00510CC8" w:rsidRPr="008C164C" w14:paraId="0E176F4D" w14:textId="77777777" w:rsidTr="00910793">
        <w:trPr>
          <w:cantSplit/>
          <w:jc w:val="center"/>
        </w:trPr>
        <w:tc>
          <w:tcPr>
            <w:tcW w:w="1491" w:type="pct"/>
            <w:shd w:val="clear" w:color="auto" w:fill="auto"/>
            <w:vAlign w:val="center"/>
          </w:tcPr>
          <w:p w14:paraId="1C09C71A" w14:textId="5CCA62AD" w:rsidR="00510CC8" w:rsidRPr="008C164C" w:rsidRDefault="00510CC8" w:rsidP="00510CC8">
            <w:pPr>
              <w:pStyle w:val="TableText0"/>
              <w:keepLines/>
              <w:rPr>
                <w:b/>
                <w:bCs w:val="0"/>
              </w:rPr>
            </w:pPr>
            <w:r w:rsidRPr="008C164C">
              <w:rPr>
                <w:b/>
                <w:bCs w:val="0"/>
              </w:rPr>
              <w:t>Cost/patient/year (maintenance)</w:t>
            </w:r>
            <w:r w:rsidR="00D66751">
              <w:rPr>
                <w:b/>
                <w:bCs w:val="0"/>
              </w:rPr>
              <w:t xml:space="preserve"> ($)</w:t>
            </w:r>
          </w:p>
        </w:tc>
        <w:tc>
          <w:tcPr>
            <w:tcW w:w="707" w:type="pct"/>
            <w:vAlign w:val="center"/>
          </w:tcPr>
          <w:p w14:paraId="3E27E1AC" w14:textId="4C795201" w:rsidR="00510CC8" w:rsidRPr="00D66751" w:rsidRDefault="00851D33" w:rsidP="00910793">
            <w:pPr>
              <w:pStyle w:val="TableText0"/>
              <w:keepLines/>
              <w:jc w:val="center"/>
              <w:rPr>
                <w:b/>
                <w:bCs w:val="0"/>
                <w:highlight w:val="darkGray"/>
              </w:rPr>
            </w:pPr>
            <w:r>
              <w:rPr>
                <w:b/>
                <w:bCs w:val="0"/>
              </w:rPr>
              <w:t xml:space="preserve"> </w:t>
            </w:r>
            <w:r w:rsidRPr="00B25BFE">
              <w:rPr>
                <w:rFonts w:hint="eastAsia"/>
                <w:b/>
                <w:bCs w:val="0"/>
                <w:color w:val="000000"/>
                <w:w w:val="15"/>
                <w:shd w:val="solid" w:color="000000" w:fill="000000"/>
                <w:fitText w:val="10" w:id="-1032080384"/>
                <w14:textFill>
                  <w14:solidFill>
                    <w14:srgbClr w14:val="000000">
                      <w14:alpha w14:val="100000"/>
                    </w14:srgbClr>
                  </w14:solidFill>
                </w14:textFill>
              </w:rPr>
              <w:t xml:space="preserve">　</w:t>
            </w:r>
            <w:r w:rsidRPr="00B25BFE">
              <w:rPr>
                <w:b/>
                <w:bCs w:val="0"/>
                <w:color w:val="000000"/>
                <w:w w:val="15"/>
                <w:shd w:val="solid" w:color="000000" w:fill="000000"/>
                <w:fitText w:val="10" w:id="-1032080384"/>
                <w14:textFill>
                  <w14:solidFill>
                    <w14:srgbClr w14:val="000000">
                      <w14:alpha w14:val="100000"/>
                    </w14:srgbClr>
                  </w14:solidFill>
                </w14:textFill>
              </w:rPr>
              <w:t>|</w:t>
            </w:r>
            <w:r w:rsidRPr="00B25BFE">
              <w:rPr>
                <w:rFonts w:hint="eastAsia"/>
                <w:b/>
                <w:bCs w:val="0"/>
                <w:color w:val="000000"/>
                <w:spacing w:val="-56"/>
                <w:w w:val="15"/>
                <w:shd w:val="solid" w:color="000000" w:fill="000000"/>
                <w:fitText w:val="10" w:id="-1032080384"/>
                <w14:textFill>
                  <w14:solidFill>
                    <w14:srgbClr w14:val="000000">
                      <w14:alpha w14:val="100000"/>
                    </w14:srgbClr>
                  </w14:solidFill>
                </w14:textFill>
              </w:rPr>
              <w:t xml:space="preserve">　</w:t>
            </w:r>
          </w:p>
        </w:tc>
        <w:tc>
          <w:tcPr>
            <w:tcW w:w="551" w:type="pct"/>
            <w:vAlign w:val="center"/>
          </w:tcPr>
          <w:p w14:paraId="1B096A4A" w14:textId="20BB4615" w:rsidR="00510CC8" w:rsidRPr="008C164C" w:rsidRDefault="00510CC8" w:rsidP="00910793">
            <w:pPr>
              <w:pStyle w:val="TableText0"/>
              <w:keepLines/>
              <w:jc w:val="center"/>
              <w:rPr>
                <w:b/>
                <w:bCs w:val="0"/>
              </w:rPr>
            </w:pPr>
            <w:r w:rsidRPr="008C164C">
              <w:rPr>
                <w:b/>
                <w:bCs w:val="0"/>
              </w:rPr>
              <w:t>$16,711.85</w:t>
            </w:r>
          </w:p>
        </w:tc>
        <w:tc>
          <w:tcPr>
            <w:tcW w:w="707" w:type="pct"/>
            <w:shd w:val="clear" w:color="auto" w:fill="auto"/>
            <w:vAlign w:val="center"/>
          </w:tcPr>
          <w:p w14:paraId="533F5473" w14:textId="72A2C70E" w:rsidR="00510CC8" w:rsidRPr="008C164C" w:rsidRDefault="00851D33" w:rsidP="00910793">
            <w:pPr>
              <w:pStyle w:val="TableText0"/>
              <w:keepLines/>
              <w:jc w:val="center"/>
              <w:rPr>
                <w:b/>
                <w:bCs w:val="0"/>
              </w:rPr>
            </w:pPr>
            <w:r>
              <w:rPr>
                <w:b/>
                <w:bCs w:val="0"/>
              </w:rPr>
              <w:t xml:space="preserve"> </w:t>
            </w:r>
            <w:r w:rsidRPr="00B25BFE">
              <w:rPr>
                <w:rFonts w:hint="eastAsia"/>
                <w:b/>
                <w:bCs w:val="0"/>
                <w:color w:val="000000"/>
                <w:w w:val="15"/>
                <w:shd w:val="solid" w:color="000000" w:fill="000000"/>
                <w:fitText w:val="10" w:id="-1032080383"/>
                <w14:textFill>
                  <w14:solidFill>
                    <w14:srgbClr w14:val="000000">
                      <w14:alpha w14:val="100000"/>
                    </w14:srgbClr>
                  </w14:solidFill>
                </w14:textFill>
              </w:rPr>
              <w:t xml:space="preserve">　</w:t>
            </w:r>
            <w:r w:rsidRPr="00B25BFE">
              <w:rPr>
                <w:b/>
                <w:bCs w:val="0"/>
                <w:color w:val="000000"/>
                <w:w w:val="15"/>
                <w:shd w:val="solid" w:color="000000" w:fill="000000"/>
                <w:fitText w:val="10" w:id="-1032080383"/>
                <w14:textFill>
                  <w14:solidFill>
                    <w14:srgbClr w14:val="000000">
                      <w14:alpha w14:val="100000"/>
                    </w14:srgbClr>
                  </w14:solidFill>
                </w14:textFill>
              </w:rPr>
              <w:t>|</w:t>
            </w:r>
            <w:r w:rsidRPr="00B25BFE">
              <w:rPr>
                <w:rFonts w:hint="eastAsia"/>
                <w:b/>
                <w:bCs w:val="0"/>
                <w:color w:val="000000"/>
                <w:spacing w:val="-56"/>
                <w:w w:val="15"/>
                <w:shd w:val="solid" w:color="000000" w:fill="000000"/>
                <w:fitText w:val="10" w:id="-1032080383"/>
                <w14:textFill>
                  <w14:solidFill>
                    <w14:srgbClr w14:val="000000">
                      <w14:alpha w14:val="100000"/>
                    </w14:srgbClr>
                  </w14:solidFill>
                </w14:textFill>
              </w:rPr>
              <w:t xml:space="preserve">　</w:t>
            </w:r>
          </w:p>
        </w:tc>
        <w:tc>
          <w:tcPr>
            <w:tcW w:w="786" w:type="pct"/>
            <w:shd w:val="clear" w:color="auto" w:fill="auto"/>
            <w:vAlign w:val="center"/>
          </w:tcPr>
          <w:p w14:paraId="3F97A920" w14:textId="5D46C38C" w:rsidR="00510CC8" w:rsidRPr="008C164C" w:rsidRDefault="00510CC8" w:rsidP="00910793">
            <w:pPr>
              <w:pStyle w:val="TableText0"/>
              <w:keepLines/>
              <w:jc w:val="center"/>
              <w:rPr>
                <w:b/>
                <w:bCs w:val="0"/>
              </w:rPr>
            </w:pPr>
            <w:r w:rsidRPr="008C164C">
              <w:rPr>
                <w:b/>
                <w:bCs w:val="0"/>
              </w:rPr>
              <w:t>$16,711.85</w:t>
            </w:r>
          </w:p>
        </w:tc>
        <w:tc>
          <w:tcPr>
            <w:tcW w:w="758" w:type="pct"/>
            <w:vAlign w:val="center"/>
          </w:tcPr>
          <w:p w14:paraId="3840194D" w14:textId="48B9D2DA" w:rsidR="00510CC8" w:rsidRPr="008C164C" w:rsidRDefault="00510CC8" w:rsidP="00910793">
            <w:pPr>
              <w:pStyle w:val="TableText0"/>
              <w:keepLines/>
              <w:jc w:val="center"/>
              <w:rPr>
                <w:b/>
                <w:bCs w:val="0"/>
                <w:vertAlign w:val="superscript"/>
              </w:rPr>
            </w:pPr>
            <w:r w:rsidRPr="008C164C">
              <w:rPr>
                <w:b/>
                <w:bCs w:val="0"/>
              </w:rPr>
              <w:t xml:space="preserve">- </w:t>
            </w:r>
            <w:r w:rsidRPr="008C164C">
              <w:rPr>
                <w:b/>
                <w:bCs w:val="0"/>
                <w:vertAlign w:val="superscript"/>
              </w:rPr>
              <w:t>c</w:t>
            </w:r>
          </w:p>
        </w:tc>
      </w:tr>
    </w:tbl>
    <w:p w14:paraId="341585A9" w14:textId="77777777" w:rsidR="009870B9" w:rsidRPr="008C164C" w:rsidRDefault="009870B9" w:rsidP="009870B9">
      <w:pPr>
        <w:pStyle w:val="FooterTableFigure"/>
        <w:keepNext/>
        <w:keepLines/>
      </w:pPr>
      <w:r w:rsidRPr="008C164C">
        <w:t xml:space="preserve">Source: ‘Drug Acquisition costs’ worksheet of attached economic model. </w:t>
      </w:r>
    </w:p>
    <w:p w14:paraId="4B4EC8A6" w14:textId="57258417" w:rsidR="009870B9" w:rsidRPr="008C164C" w:rsidRDefault="009870B9" w:rsidP="009870B9">
      <w:pPr>
        <w:pStyle w:val="FooterTableFigure"/>
        <w:keepNext/>
        <w:keepLines/>
      </w:pPr>
      <w:r w:rsidRPr="008C164C">
        <w:t xml:space="preserve">OBR = optimised background regimen </w:t>
      </w:r>
    </w:p>
    <w:p w14:paraId="55495805" w14:textId="3932DDF6" w:rsidR="00BF68A6" w:rsidRPr="008C164C" w:rsidRDefault="009367B7" w:rsidP="009870B9">
      <w:pPr>
        <w:pStyle w:val="FooterTableFigure"/>
        <w:keepNext/>
        <w:keepLines/>
      </w:pPr>
      <w:proofErr w:type="spellStart"/>
      <w:r w:rsidRPr="00B55449">
        <w:rPr>
          <w:vertAlign w:val="superscript"/>
        </w:rPr>
        <w:t>a</w:t>
      </w:r>
      <w:proofErr w:type="spellEnd"/>
      <w:r w:rsidRPr="008C164C">
        <w:t xml:space="preserve"> The resubmission has included costs of additional OBR due to longer expected time alive (and thus treated with OBR). </w:t>
      </w:r>
      <w:r w:rsidR="000E393F" w:rsidRPr="008C164C">
        <w:t>T</w:t>
      </w:r>
      <w:r w:rsidRPr="008C164C">
        <w:t xml:space="preserve">his is based on the estimated cost </w:t>
      </w:r>
      <w:r w:rsidRPr="00B55449">
        <w:t>of $16,711.85 of</w:t>
      </w:r>
      <w:r w:rsidRPr="008C164C">
        <w:t xml:space="preserve"> OBR estimated in the economic section. However, this does not apply to costing of OBR costs in all patients in the financial estimates and only applies to a segment of an any individual patients total time on OBR treatment. </w:t>
      </w:r>
      <w:r w:rsidR="000929A1" w:rsidRPr="008C164C">
        <w:t>Consequently</w:t>
      </w:r>
      <w:r w:rsidRPr="008C164C">
        <w:t>, this has not been included in the comparison table.</w:t>
      </w:r>
    </w:p>
    <w:p w14:paraId="28745C73" w14:textId="7E153A07" w:rsidR="009870B9" w:rsidRPr="008C164C" w:rsidRDefault="00613818" w:rsidP="009870B9">
      <w:pPr>
        <w:pStyle w:val="FooterTableFigure"/>
        <w:keepNext/>
        <w:keepLines/>
      </w:pPr>
      <w:r w:rsidRPr="00B55449">
        <w:rPr>
          <w:vertAlign w:val="superscript"/>
        </w:rPr>
        <w:t>b</w:t>
      </w:r>
      <w:r w:rsidR="009870B9" w:rsidRPr="008C164C">
        <w:t xml:space="preserve"> OBR costs are a weighted average of 3-month costs of individual components based on use in the CAPELLA trial with an adjustment to remove non-PBS-listed regimens. </w:t>
      </w:r>
    </w:p>
    <w:p w14:paraId="130B80F2" w14:textId="06A233E0" w:rsidR="009870B9" w:rsidRDefault="00613818" w:rsidP="009870B9">
      <w:pPr>
        <w:pStyle w:val="FooterTableFigure"/>
        <w:keepNext/>
        <w:keepLines/>
      </w:pPr>
      <w:r w:rsidRPr="00B55449">
        <w:rPr>
          <w:vertAlign w:val="superscript"/>
        </w:rPr>
        <w:t>c</w:t>
      </w:r>
      <w:r w:rsidR="009870B9" w:rsidRPr="008C164C">
        <w:t xml:space="preserve"> Not estimable as OBR costs were not </w:t>
      </w:r>
      <w:r w:rsidR="00EC4F8B" w:rsidRPr="008C164C">
        <w:t>explicitly estimated</w:t>
      </w:r>
      <w:r w:rsidR="009870B9" w:rsidRPr="008C164C">
        <w:t xml:space="preserve"> in financial estimates</w:t>
      </w:r>
      <w:r w:rsidR="000E1FEE" w:rsidRPr="008C164C">
        <w:t xml:space="preserve"> and only estimated incremental OBR costs were presented</w:t>
      </w:r>
    </w:p>
    <w:p w14:paraId="17ACD093" w14:textId="0AC6982A" w:rsidR="00B55449" w:rsidRPr="00B55449" w:rsidRDefault="00B55449" w:rsidP="009870B9">
      <w:pPr>
        <w:pStyle w:val="FooterTableFigure"/>
        <w:keepNext/>
        <w:keepLines/>
        <w:rPr>
          <w:i/>
          <w:iCs/>
        </w:rPr>
      </w:pPr>
      <w:r w:rsidRPr="00B55449">
        <w:rPr>
          <w:i/>
          <w:iCs/>
        </w:rPr>
        <w:t>The redacted values correspond to the following ranges:</w:t>
      </w:r>
    </w:p>
    <w:p w14:paraId="7FC83E86" w14:textId="6E5146FB" w:rsidR="00B55449" w:rsidRPr="00B55449" w:rsidRDefault="00B55449" w:rsidP="009870B9">
      <w:pPr>
        <w:pStyle w:val="FooterTableFigure"/>
        <w:keepNext/>
        <w:keepLines/>
        <w:rPr>
          <w:i/>
          <w:iCs/>
        </w:rPr>
      </w:pPr>
      <w:r w:rsidRPr="00B55449">
        <w:rPr>
          <w:i/>
          <w:iCs/>
          <w:vertAlign w:val="superscript"/>
        </w:rPr>
        <w:t>1</w:t>
      </w:r>
      <w:r w:rsidRPr="00B55449">
        <w:rPr>
          <w:i/>
          <w:iCs/>
        </w:rPr>
        <w:t xml:space="preserve"> $0 to &lt; $10 million </w:t>
      </w:r>
    </w:p>
    <w:p w14:paraId="3F1D0099" w14:textId="3EE910CA" w:rsidR="00B55449" w:rsidRPr="00B55449" w:rsidRDefault="00B55449" w:rsidP="009870B9">
      <w:pPr>
        <w:pStyle w:val="FooterTableFigure"/>
        <w:keepNext/>
        <w:keepLines/>
        <w:rPr>
          <w:i/>
          <w:iCs/>
        </w:rPr>
      </w:pPr>
      <w:r w:rsidRPr="00B55449">
        <w:rPr>
          <w:i/>
          <w:iCs/>
          <w:vertAlign w:val="superscript"/>
        </w:rPr>
        <w:t>2</w:t>
      </w:r>
      <w:r w:rsidRPr="00B55449">
        <w:rPr>
          <w:i/>
          <w:iCs/>
        </w:rPr>
        <w:t xml:space="preserve"> $20 million to &lt; $30 million</w:t>
      </w:r>
    </w:p>
    <w:p w14:paraId="0E35FCCA" w14:textId="00FB5E81" w:rsidR="00B55449" w:rsidRPr="00B55449" w:rsidRDefault="00B55449" w:rsidP="009870B9">
      <w:pPr>
        <w:pStyle w:val="FooterTableFigure"/>
        <w:keepNext/>
        <w:keepLines/>
        <w:rPr>
          <w:i/>
          <w:iCs/>
        </w:rPr>
      </w:pPr>
      <w:r w:rsidRPr="00B55449">
        <w:rPr>
          <w:i/>
          <w:iCs/>
          <w:vertAlign w:val="superscript"/>
        </w:rPr>
        <w:t>3</w:t>
      </w:r>
      <w:r w:rsidRPr="00B55449">
        <w:rPr>
          <w:i/>
          <w:iCs/>
        </w:rPr>
        <w:t xml:space="preserve"> $40 million to &lt; $50 million</w:t>
      </w:r>
    </w:p>
    <w:p w14:paraId="2B4E0A84" w14:textId="763B4F94" w:rsidR="00D65F95" w:rsidRPr="008C164C" w:rsidRDefault="00510CC8" w:rsidP="00D65F95">
      <w:pPr>
        <w:pStyle w:val="3-BodyText"/>
        <w:rPr>
          <w:snapToGrid/>
        </w:rPr>
      </w:pPr>
      <w:bookmarkStart w:id="84" w:name="_Hlk107307804"/>
      <w:r w:rsidRPr="008C164C">
        <w:rPr>
          <w:snapToGrid/>
          <w:color w:val="000000" w:themeColor="text1"/>
        </w:rPr>
        <w:t xml:space="preserve">The total cost of </w:t>
      </w:r>
      <w:r w:rsidR="00244743" w:rsidRPr="008C164C">
        <w:rPr>
          <w:snapToGrid/>
          <w:color w:val="000000" w:themeColor="text1"/>
        </w:rPr>
        <w:t xml:space="preserve">LEN </w:t>
      </w:r>
      <w:r w:rsidRPr="008C164C">
        <w:rPr>
          <w:snapToGrid/>
          <w:color w:val="000000" w:themeColor="text1"/>
        </w:rPr>
        <w:t>+ OBR for one year of maintenance treatment was $</w:t>
      </w:r>
      <w:r w:rsidR="00851D33">
        <w:rPr>
          <w:snapToGrid/>
          <w:color w:val="000000" w:themeColor="text1"/>
        </w:rPr>
        <w:t xml:space="preserve"> </w:t>
      </w:r>
      <w:r w:rsidR="00851D33" w:rsidRPr="00851D33">
        <w:rPr>
          <w:snapToGrid/>
          <w:color w:val="000000" w:themeColor="text1"/>
          <w:w w:val="60"/>
          <w:shd w:val="solid" w:color="000000" w:fill="000000"/>
          <w:fitText w:val="470" w:id="-1032080382"/>
          <w14:textFill>
            <w14:solidFill>
              <w14:schemeClr w14:val="tx1">
                <w14:alpha w14:val="100000"/>
              </w14:schemeClr>
            </w14:solidFill>
          </w14:textFill>
        </w:rPr>
        <w:t>|||  ||</w:t>
      </w:r>
      <w:r w:rsidR="00851D33" w:rsidRPr="00851D33">
        <w:rPr>
          <w:snapToGrid/>
          <w:color w:val="000000" w:themeColor="text1"/>
          <w:spacing w:val="6"/>
          <w:w w:val="60"/>
          <w:shd w:val="solid" w:color="000000" w:fill="000000"/>
          <w:fitText w:val="470" w:id="-1032080382"/>
          <w14:textFill>
            <w14:solidFill>
              <w14:schemeClr w14:val="tx1">
                <w14:alpha w14:val="100000"/>
              </w14:schemeClr>
            </w14:solidFill>
          </w14:textFill>
        </w:rPr>
        <w:t>|</w:t>
      </w:r>
      <w:r w:rsidRPr="008C164C">
        <w:rPr>
          <w:snapToGrid/>
          <w:color w:val="000000" w:themeColor="text1"/>
        </w:rPr>
        <w:t xml:space="preserve"> based on an effective </w:t>
      </w:r>
      <w:r w:rsidR="008C164C" w:rsidRPr="008C164C">
        <w:rPr>
          <w:snapToGrid/>
          <w:color w:val="000000" w:themeColor="text1"/>
        </w:rPr>
        <w:t>DPMQ</w:t>
      </w:r>
      <w:r w:rsidRPr="008C164C">
        <w:rPr>
          <w:snapToGrid/>
          <w:color w:val="000000" w:themeColor="text1"/>
        </w:rPr>
        <w:t xml:space="preserve"> of </w:t>
      </w:r>
      <w:r w:rsidRPr="008C164C">
        <w:t>$</w:t>
      </w:r>
      <w:r w:rsidR="00851D33">
        <w:t xml:space="preserve"> </w:t>
      </w:r>
      <w:r w:rsidR="00851D33" w:rsidRPr="005D5F06">
        <w:rPr>
          <w:color w:val="000000"/>
          <w:w w:val="15"/>
          <w:shd w:val="solid" w:color="000000" w:fill="000000"/>
          <w:fitText w:val="-20" w:id="-1032080381"/>
          <w14:textFill>
            <w14:solidFill>
              <w14:srgbClr w14:val="000000">
                <w14:alpha w14:val="100000"/>
              </w14:srgbClr>
            </w14:solidFill>
          </w14:textFill>
        </w:rPr>
        <w:t xml:space="preserve">|  </w:t>
      </w:r>
      <w:r w:rsidR="00851D33" w:rsidRPr="005D5F06">
        <w:rPr>
          <w:color w:val="000000"/>
          <w:spacing w:val="-69"/>
          <w:w w:val="15"/>
          <w:shd w:val="solid" w:color="000000" w:fill="000000"/>
          <w:fitText w:val="-20" w:id="-1032080381"/>
          <w14:textFill>
            <w14:solidFill>
              <w14:srgbClr w14:val="000000">
                <w14:alpha w14:val="100000"/>
              </w14:srgbClr>
            </w14:solidFill>
          </w14:textFill>
        </w:rPr>
        <w:t>|</w:t>
      </w:r>
      <w:r w:rsidRPr="008C164C">
        <w:t xml:space="preserve"> </w:t>
      </w:r>
      <w:r w:rsidRPr="008C164C">
        <w:rPr>
          <w:snapToGrid/>
          <w:color w:val="000000" w:themeColor="text1"/>
        </w:rPr>
        <w:t xml:space="preserve">for </w:t>
      </w:r>
      <w:r w:rsidR="00556635" w:rsidRPr="008C164C">
        <w:rPr>
          <w:snapToGrid/>
          <w:color w:val="000000" w:themeColor="text1"/>
        </w:rPr>
        <w:t xml:space="preserve">LEN </w:t>
      </w:r>
      <w:r w:rsidRPr="008C164C">
        <w:rPr>
          <w:snapToGrid/>
          <w:color w:val="000000" w:themeColor="text1"/>
        </w:rPr>
        <w:t>and two injections per year (requested effective AEMP of $</w:t>
      </w:r>
      <w:r w:rsidR="00851D33">
        <w:rPr>
          <w:snapToGrid/>
          <w:color w:val="000000" w:themeColor="text1"/>
        </w:rPr>
        <w:t xml:space="preserve"> </w:t>
      </w:r>
      <w:r w:rsidR="00851D33" w:rsidRPr="005D5F06">
        <w:rPr>
          <w:snapToGrid/>
          <w:color w:val="000000" w:themeColor="text1"/>
          <w:w w:val="15"/>
          <w:shd w:val="solid" w:color="000000" w:fill="000000"/>
          <w:fitText w:val="-20" w:id="-1032080380"/>
          <w14:textFill>
            <w14:solidFill>
              <w14:schemeClr w14:val="tx1">
                <w14:alpha w14:val="100000"/>
              </w14:schemeClr>
            </w14:solidFill>
          </w14:textFill>
        </w:rPr>
        <w:t xml:space="preserve">|  </w:t>
      </w:r>
      <w:r w:rsidR="00851D33" w:rsidRPr="005D5F06">
        <w:rPr>
          <w:snapToGrid/>
          <w:color w:val="000000" w:themeColor="text1"/>
          <w:spacing w:val="-69"/>
          <w:w w:val="15"/>
          <w:shd w:val="solid" w:color="000000" w:fill="000000"/>
          <w:fitText w:val="-20" w:id="-1032080380"/>
          <w14:textFill>
            <w14:solidFill>
              <w14:schemeClr w14:val="tx1">
                <w14:alpha w14:val="100000"/>
              </w14:schemeClr>
            </w14:solidFill>
          </w14:textFill>
        </w:rPr>
        <w:t>|</w:t>
      </w:r>
      <w:r w:rsidRPr="008C164C">
        <w:rPr>
          <w:snapToGrid/>
          <w:color w:val="000000" w:themeColor="text1"/>
        </w:rPr>
        <w:t xml:space="preserve"> per injection set and a maximum quantity of 2), and total one-year costs of OBR of $16,71</w:t>
      </w:r>
      <w:r w:rsidR="004A25F4">
        <w:rPr>
          <w:snapToGrid/>
          <w:color w:val="000000" w:themeColor="text1"/>
        </w:rPr>
        <w:t>2</w:t>
      </w:r>
      <w:r w:rsidRPr="008C164C">
        <w:rPr>
          <w:snapToGrid/>
          <w:color w:val="000000" w:themeColor="text1"/>
        </w:rPr>
        <w:t xml:space="preserve"> based on a </w:t>
      </w:r>
      <w:r w:rsidRPr="008C164C">
        <w:rPr>
          <w:snapToGrid/>
        </w:rPr>
        <w:t xml:space="preserve">weighted basket of OBR costs based on CAPELLA OBR use. This compared to a cost of </w:t>
      </w:r>
      <w:r w:rsidR="00D65F95" w:rsidRPr="008C164C">
        <w:rPr>
          <w:snapToGrid/>
        </w:rPr>
        <w:t>$16,71</w:t>
      </w:r>
      <w:r w:rsidR="004A25F4">
        <w:rPr>
          <w:snapToGrid/>
        </w:rPr>
        <w:t>2</w:t>
      </w:r>
      <w:r w:rsidR="00D65F95" w:rsidRPr="008C164C">
        <w:rPr>
          <w:snapToGrid/>
        </w:rPr>
        <w:t xml:space="preserve"> </w:t>
      </w:r>
      <w:r w:rsidRPr="008C164C">
        <w:rPr>
          <w:snapToGrid/>
        </w:rPr>
        <w:t>for OBR</w:t>
      </w:r>
      <w:r w:rsidR="004A25F4">
        <w:rPr>
          <w:snapToGrid/>
        </w:rPr>
        <w:t xml:space="preserve"> alone</w:t>
      </w:r>
      <w:r w:rsidRPr="008C164C">
        <w:rPr>
          <w:snapToGrid/>
        </w:rPr>
        <w:t xml:space="preserve">. </w:t>
      </w:r>
    </w:p>
    <w:p w14:paraId="6DC793CE" w14:textId="5B529E97" w:rsidR="00510CC8" w:rsidRPr="008C164C" w:rsidRDefault="00D65F95" w:rsidP="00D65F95">
      <w:pPr>
        <w:pStyle w:val="3-BodyText"/>
        <w:rPr>
          <w:snapToGrid/>
        </w:rPr>
      </w:pPr>
      <w:r w:rsidRPr="008C164C">
        <w:rPr>
          <w:snapToGrid/>
          <w:color w:val="000000" w:themeColor="text1"/>
        </w:rPr>
        <w:t xml:space="preserve">These estimates differed from the previous submission, which estimated a total cost of </w:t>
      </w:r>
      <w:r w:rsidR="004A25F4">
        <w:rPr>
          <w:snapToGrid/>
          <w:color w:val="000000" w:themeColor="text1"/>
        </w:rPr>
        <w:t>LEN</w:t>
      </w:r>
      <w:r w:rsidR="004A25F4" w:rsidRPr="008C164C">
        <w:rPr>
          <w:snapToGrid/>
          <w:color w:val="000000" w:themeColor="text1"/>
        </w:rPr>
        <w:t xml:space="preserve"> </w:t>
      </w:r>
      <w:r w:rsidRPr="008C164C">
        <w:rPr>
          <w:snapToGrid/>
          <w:color w:val="000000" w:themeColor="text1"/>
        </w:rPr>
        <w:t>+ OBR for one year of maintenance treatment as $</w:t>
      </w:r>
      <w:r w:rsidR="00851D33">
        <w:rPr>
          <w:snapToGrid/>
          <w:color w:val="000000" w:themeColor="text1"/>
        </w:rPr>
        <w:t xml:space="preserve"> </w:t>
      </w:r>
      <w:r w:rsidR="00851D33" w:rsidRPr="005D5F06">
        <w:rPr>
          <w:snapToGrid/>
          <w:color w:val="000000" w:themeColor="text1"/>
          <w:w w:val="15"/>
          <w:shd w:val="solid" w:color="000000" w:fill="000000"/>
          <w:fitText w:val="-20" w:id="-1032080379"/>
          <w14:textFill>
            <w14:solidFill>
              <w14:schemeClr w14:val="tx1">
                <w14:alpha w14:val="100000"/>
              </w14:schemeClr>
            </w14:solidFill>
          </w14:textFill>
        </w:rPr>
        <w:t xml:space="preserve">|  </w:t>
      </w:r>
      <w:r w:rsidR="00851D33" w:rsidRPr="005D5F06">
        <w:rPr>
          <w:snapToGrid/>
          <w:color w:val="000000" w:themeColor="text1"/>
          <w:spacing w:val="-69"/>
          <w:w w:val="15"/>
          <w:shd w:val="solid" w:color="000000" w:fill="000000"/>
          <w:fitText w:val="-20" w:id="-1032080379"/>
          <w14:textFill>
            <w14:solidFill>
              <w14:schemeClr w14:val="tx1">
                <w14:alpha w14:val="100000"/>
              </w14:schemeClr>
            </w14:solidFill>
          </w14:textFill>
        </w:rPr>
        <w:t>|</w:t>
      </w:r>
      <w:r w:rsidRPr="008C164C">
        <w:rPr>
          <w:snapToGrid/>
          <w:color w:val="000000" w:themeColor="text1"/>
        </w:rPr>
        <w:t xml:space="preserve"> based on an effective </w:t>
      </w:r>
      <w:r w:rsidR="008C164C" w:rsidRPr="008C164C">
        <w:rPr>
          <w:snapToGrid/>
          <w:color w:val="000000" w:themeColor="text1"/>
        </w:rPr>
        <w:t>DPMQ</w:t>
      </w:r>
      <w:r w:rsidRPr="008C164C">
        <w:rPr>
          <w:snapToGrid/>
          <w:color w:val="000000" w:themeColor="text1"/>
        </w:rPr>
        <w:t xml:space="preserve"> of $</w:t>
      </w:r>
      <w:r w:rsidR="00851D33">
        <w:rPr>
          <w:snapToGrid/>
          <w:color w:val="000000" w:themeColor="text1"/>
        </w:rPr>
        <w:t xml:space="preserve"> </w:t>
      </w:r>
      <w:r w:rsidR="00851D33" w:rsidRPr="005D5F06">
        <w:rPr>
          <w:snapToGrid/>
          <w:color w:val="000000" w:themeColor="text1"/>
          <w:w w:val="15"/>
          <w:shd w:val="solid" w:color="000000" w:fill="000000"/>
          <w:fitText w:val="-20" w:id="-1032080378"/>
          <w14:textFill>
            <w14:solidFill>
              <w14:schemeClr w14:val="tx1">
                <w14:alpha w14:val="100000"/>
              </w14:schemeClr>
            </w14:solidFill>
          </w14:textFill>
        </w:rPr>
        <w:t xml:space="preserve">|  </w:t>
      </w:r>
      <w:r w:rsidR="00851D33" w:rsidRPr="005D5F06">
        <w:rPr>
          <w:snapToGrid/>
          <w:color w:val="000000" w:themeColor="text1"/>
          <w:spacing w:val="-69"/>
          <w:w w:val="15"/>
          <w:shd w:val="solid" w:color="000000" w:fill="000000"/>
          <w:fitText w:val="-20" w:id="-1032080378"/>
          <w14:textFill>
            <w14:solidFill>
              <w14:schemeClr w14:val="tx1">
                <w14:alpha w14:val="100000"/>
              </w14:schemeClr>
            </w14:solidFill>
          </w14:textFill>
        </w:rPr>
        <w:t>|</w:t>
      </w:r>
      <w:r w:rsidRPr="008C164C">
        <w:rPr>
          <w:snapToGrid/>
          <w:color w:val="000000" w:themeColor="text1"/>
        </w:rPr>
        <w:t xml:space="preserve"> for </w:t>
      </w:r>
      <w:r w:rsidR="004A25F4">
        <w:rPr>
          <w:snapToGrid/>
          <w:color w:val="000000" w:themeColor="text1"/>
        </w:rPr>
        <w:t>LEN</w:t>
      </w:r>
      <w:r w:rsidR="004A25F4" w:rsidRPr="008C164C">
        <w:rPr>
          <w:snapToGrid/>
          <w:color w:val="000000" w:themeColor="text1"/>
        </w:rPr>
        <w:t xml:space="preserve"> </w:t>
      </w:r>
      <w:r w:rsidRPr="008C164C">
        <w:rPr>
          <w:snapToGrid/>
          <w:color w:val="000000" w:themeColor="text1"/>
        </w:rPr>
        <w:t>and two injections per year, and total one-year costs of OBR of $18,6</w:t>
      </w:r>
      <w:r w:rsidR="004A25F4">
        <w:rPr>
          <w:snapToGrid/>
          <w:color w:val="000000" w:themeColor="text1"/>
        </w:rPr>
        <w:t>70</w:t>
      </w:r>
      <w:r w:rsidRPr="008C164C">
        <w:rPr>
          <w:snapToGrid/>
          <w:color w:val="000000" w:themeColor="text1"/>
        </w:rPr>
        <w:t xml:space="preserve"> based on a weighted basket of OBR costs based on CAPELLA OBR use. This compared to a cost of $18,6</w:t>
      </w:r>
      <w:r w:rsidR="004A25F4">
        <w:rPr>
          <w:snapToGrid/>
          <w:color w:val="000000" w:themeColor="text1"/>
        </w:rPr>
        <w:t>70</w:t>
      </w:r>
      <w:r w:rsidRPr="008C164C">
        <w:rPr>
          <w:snapToGrid/>
          <w:color w:val="000000" w:themeColor="text1"/>
        </w:rPr>
        <w:t xml:space="preserve"> for OBR</w:t>
      </w:r>
      <w:r w:rsidR="004A25F4">
        <w:rPr>
          <w:snapToGrid/>
          <w:color w:val="000000" w:themeColor="text1"/>
        </w:rPr>
        <w:t xml:space="preserve"> alone</w:t>
      </w:r>
      <w:r w:rsidRPr="008C164C">
        <w:rPr>
          <w:snapToGrid/>
          <w:color w:val="000000" w:themeColor="text1"/>
        </w:rPr>
        <w:t xml:space="preserve">. </w:t>
      </w:r>
    </w:p>
    <w:p w14:paraId="3CB58EC9" w14:textId="467ADCF9" w:rsidR="00D65F95" w:rsidRPr="008C164C" w:rsidRDefault="002A3F03" w:rsidP="00D65F95">
      <w:pPr>
        <w:pStyle w:val="3-BodyText"/>
        <w:rPr>
          <w:snapToGrid/>
        </w:rPr>
      </w:pPr>
      <w:r w:rsidRPr="008C164C">
        <w:rPr>
          <w:snapToGrid/>
          <w:color w:val="000000" w:themeColor="text1"/>
        </w:rPr>
        <w:t xml:space="preserve">As discussed in paragraph </w:t>
      </w:r>
      <w:r w:rsidRPr="008C164C">
        <w:rPr>
          <w:snapToGrid/>
          <w:color w:val="000000" w:themeColor="text1"/>
        </w:rPr>
        <w:fldChar w:fldCharType="begin" w:fldLock="1"/>
      </w:r>
      <w:r w:rsidRPr="008C164C">
        <w:rPr>
          <w:snapToGrid/>
          <w:color w:val="000000" w:themeColor="text1"/>
        </w:rPr>
        <w:instrText xml:space="preserve"> REF _Ref142864555 \r \h </w:instrText>
      </w:r>
      <w:r w:rsidR="00596CCE" w:rsidRPr="008C164C">
        <w:rPr>
          <w:snapToGrid/>
          <w:color w:val="000000" w:themeColor="text1"/>
        </w:rPr>
        <w:instrText xml:space="preserve"> \* MERGEFORMAT </w:instrText>
      </w:r>
      <w:r w:rsidRPr="008C164C">
        <w:rPr>
          <w:snapToGrid/>
          <w:color w:val="000000" w:themeColor="text1"/>
        </w:rPr>
      </w:r>
      <w:r w:rsidRPr="008C164C">
        <w:rPr>
          <w:snapToGrid/>
          <w:color w:val="000000" w:themeColor="text1"/>
        </w:rPr>
        <w:fldChar w:fldCharType="separate"/>
      </w:r>
      <w:r w:rsidR="00682506">
        <w:rPr>
          <w:snapToGrid/>
          <w:color w:val="000000" w:themeColor="text1"/>
        </w:rPr>
        <w:t>3.3</w:t>
      </w:r>
      <w:r w:rsidRPr="008C164C">
        <w:rPr>
          <w:snapToGrid/>
          <w:color w:val="000000" w:themeColor="text1"/>
        </w:rPr>
        <w:fldChar w:fldCharType="end"/>
      </w:r>
      <w:r w:rsidRPr="008C164C">
        <w:rPr>
          <w:snapToGrid/>
          <w:color w:val="000000" w:themeColor="text1"/>
        </w:rPr>
        <w:t>, t</w:t>
      </w:r>
      <w:r w:rsidR="00EF24A1" w:rsidRPr="008C164C">
        <w:rPr>
          <w:snapToGrid/>
          <w:color w:val="000000" w:themeColor="text1"/>
        </w:rPr>
        <w:t>he cost per tablet was updated in the resubmission, such that the total cost per course of oral tablets in the resubmission ($</w:t>
      </w:r>
      <w:r w:rsidR="00851D33">
        <w:rPr>
          <w:snapToGrid/>
          <w:color w:val="000000" w:themeColor="text1"/>
        </w:rPr>
        <w:t xml:space="preserve"> </w:t>
      </w:r>
      <w:r w:rsidR="00851D33" w:rsidRPr="005D5F06">
        <w:rPr>
          <w:snapToGrid/>
          <w:color w:val="000000" w:themeColor="text1"/>
          <w:w w:val="15"/>
          <w:shd w:val="solid" w:color="000000" w:fill="000000"/>
          <w:fitText w:val="-20" w:id="-1032080377"/>
          <w14:textFill>
            <w14:solidFill>
              <w14:schemeClr w14:val="tx1">
                <w14:alpha w14:val="100000"/>
              </w14:schemeClr>
            </w14:solidFill>
          </w14:textFill>
        </w:rPr>
        <w:t xml:space="preserve">|  </w:t>
      </w:r>
      <w:r w:rsidR="00851D33" w:rsidRPr="005D5F06">
        <w:rPr>
          <w:snapToGrid/>
          <w:color w:val="000000" w:themeColor="text1"/>
          <w:spacing w:val="-69"/>
          <w:w w:val="15"/>
          <w:shd w:val="solid" w:color="000000" w:fill="000000"/>
          <w:fitText w:val="-20" w:id="-1032080377"/>
          <w14:textFill>
            <w14:solidFill>
              <w14:schemeClr w14:val="tx1">
                <w14:alpha w14:val="100000"/>
              </w14:schemeClr>
            </w14:solidFill>
          </w14:textFill>
        </w:rPr>
        <w:t>|</w:t>
      </w:r>
      <w:r w:rsidR="00EF24A1" w:rsidRPr="008C164C">
        <w:rPr>
          <w:snapToGrid/>
          <w:color w:val="000000" w:themeColor="text1"/>
        </w:rPr>
        <w:t xml:space="preserve"> for five tablets) </w:t>
      </w:r>
      <w:r w:rsidR="00D83ABD" w:rsidRPr="008C164C">
        <w:rPr>
          <w:snapToGrid/>
          <w:color w:val="000000" w:themeColor="text1"/>
        </w:rPr>
        <w:t>was less than the cost per course of oral tablets in the previous submission ($</w:t>
      </w:r>
      <w:r w:rsidR="00851D33">
        <w:rPr>
          <w:snapToGrid/>
          <w:color w:val="000000" w:themeColor="text1"/>
        </w:rPr>
        <w:t xml:space="preserve"> </w:t>
      </w:r>
      <w:r w:rsidR="00851D33" w:rsidRPr="005D5F06">
        <w:rPr>
          <w:snapToGrid/>
          <w:color w:val="000000" w:themeColor="text1"/>
          <w:w w:val="15"/>
          <w:shd w:val="solid" w:color="000000" w:fill="000000"/>
          <w:fitText w:val="-20" w:id="-1032080376"/>
          <w14:textFill>
            <w14:solidFill>
              <w14:schemeClr w14:val="tx1">
                <w14:alpha w14:val="100000"/>
              </w14:schemeClr>
            </w14:solidFill>
          </w14:textFill>
        </w:rPr>
        <w:t xml:space="preserve">|  </w:t>
      </w:r>
      <w:r w:rsidR="00851D33" w:rsidRPr="005D5F06">
        <w:rPr>
          <w:snapToGrid/>
          <w:color w:val="000000" w:themeColor="text1"/>
          <w:spacing w:val="-69"/>
          <w:w w:val="15"/>
          <w:shd w:val="solid" w:color="000000" w:fill="000000"/>
          <w:fitText w:val="-20" w:id="-1032080376"/>
          <w14:textFill>
            <w14:solidFill>
              <w14:schemeClr w14:val="tx1">
                <w14:alpha w14:val="100000"/>
              </w14:schemeClr>
            </w14:solidFill>
          </w14:textFill>
        </w:rPr>
        <w:t>|</w:t>
      </w:r>
      <w:r w:rsidR="00D83ABD" w:rsidRPr="008C164C">
        <w:rPr>
          <w:snapToGrid/>
          <w:color w:val="000000" w:themeColor="text1"/>
        </w:rPr>
        <w:t xml:space="preserve"> for four tablets)</w:t>
      </w:r>
      <w:r w:rsidRPr="008C164C">
        <w:rPr>
          <w:snapToGrid/>
          <w:color w:val="000000" w:themeColor="text1"/>
        </w:rPr>
        <w:t xml:space="preserve">. </w:t>
      </w:r>
    </w:p>
    <w:p w14:paraId="6F50F8DE" w14:textId="7E6F6FC1" w:rsidR="00D65F95" w:rsidRPr="008C164C" w:rsidRDefault="00D65F95" w:rsidP="00D65F95">
      <w:pPr>
        <w:pStyle w:val="3-BodyText"/>
        <w:rPr>
          <w:snapToGrid/>
        </w:rPr>
      </w:pPr>
      <w:r w:rsidRPr="008C164C">
        <w:rPr>
          <w:snapToGrid/>
          <w:color w:val="000000" w:themeColor="text1"/>
        </w:rPr>
        <w:t xml:space="preserve">The resubmission </w:t>
      </w:r>
      <w:r w:rsidR="009367B7" w:rsidRPr="008C164C">
        <w:rPr>
          <w:snapToGrid/>
          <w:color w:val="000000" w:themeColor="text1"/>
        </w:rPr>
        <w:t xml:space="preserve">included costs of additional OBR </w:t>
      </w:r>
      <w:r w:rsidR="00BB45CF" w:rsidRPr="008C164C">
        <w:rPr>
          <w:snapToGrid/>
          <w:color w:val="000000" w:themeColor="text1"/>
        </w:rPr>
        <w:t xml:space="preserve">in patients treated with LEN </w:t>
      </w:r>
      <w:r w:rsidR="009367B7" w:rsidRPr="008C164C">
        <w:rPr>
          <w:snapToGrid/>
          <w:color w:val="000000" w:themeColor="text1"/>
        </w:rPr>
        <w:t xml:space="preserve">due to longer expected time alive. </w:t>
      </w:r>
      <w:r w:rsidR="00BB45CF" w:rsidRPr="008C164C">
        <w:rPr>
          <w:snapToGrid/>
          <w:color w:val="000000" w:themeColor="text1"/>
        </w:rPr>
        <w:t>However</w:t>
      </w:r>
      <w:r w:rsidR="00966BA9" w:rsidRPr="008C164C">
        <w:rPr>
          <w:snapToGrid/>
          <w:color w:val="000000" w:themeColor="text1"/>
        </w:rPr>
        <w:t>,</w:t>
      </w:r>
      <w:r w:rsidR="00BB45CF" w:rsidRPr="008C164C">
        <w:rPr>
          <w:snapToGrid/>
          <w:color w:val="000000" w:themeColor="text1"/>
        </w:rPr>
        <w:t xml:space="preserve"> t</w:t>
      </w:r>
      <w:r w:rsidR="009367B7" w:rsidRPr="008C164C">
        <w:rPr>
          <w:snapToGrid/>
          <w:color w:val="000000" w:themeColor="text1"/>
        </w:rPr>
        <w:t xml:space="preserve">his </w:t>
      </w:r>
      <w:r w:rsidR="00BB45CF" w:rsidRPr="008C164C">
        <w:rPr>
          <w:snapToGrid/>
          <w:color w:val="000000" w:themeColor="text1"/>
        </w:rPr>
        <w:t>was estimat</w:t>
      </w:r>
      <w:r w:rsidR="003B5780" w:rsidRPr="008C164C">
        <w:rPr>
          <w:snapToGrid/>
          <w:color w:val="000000" w:themeColor="text1"/>
        </w:rPr>
        <w:t>ed</w:t>
      </w:r>
      <w:r w:rsidR="00BB45CF" w:rsidRPr="008C164C">
        <w:rPr>
          <w:snapToGrid/>
          <w:color w:val="000000" w:themeColor="text1"/>
        </w:rPr>
        <w:t xml:space="preserve"> by applying </w:t>
      </w:r>
      <w:r w:rsidR="00D861F0" w:rsidRPr="008C164C">
        <w:rPr>
          <w:snapToGrid/>
          <w:color w:val="000000" w:themeColor="text1"/>
        </w:rPr>
        <w:t xml:space="preserve">an assumed 22% longer life expectancy and </w:t>
      </w:r>
      <w:r w:rsidR="009367B7" w:rsidRPr="008C164C">
        <w:rPr>
          <w:snapToGrid/>
          <w:color w:val="000000" w:themeColor="text1"/>
        </w:rPr>
        <w:t>based on the estimated cost of $16,71</w:t>
      </w:r>
      <w:r w:rsidR="004A25F4">
        <w:rPr>
          <w:snapToGrid/>
          <w:color w:val="000000" w:themeColor="text1"/>
        </w:rPr>
        <w:t>2</w:t>
      </w:r>
      <w:r w:rsidR="00B55449">
        <w:rPr>
          <w:snapToGrid/>
          <w:color w:val="000000" w:themeColor="text1"/>
        </w:rPr>
        <w:t xml:space="preserve"> </w:t>
      </w:r>
      <w:r w:rsidR="009367B7" w:rsidRPr="008C164C">
        <w:rPr>
          <w:snapToGrid/>
          <w:color w:val="000000" w:themeColor="text1"/>
        </w:rPr>
        <w:t>of OBR estimated in the economic section</w:t>
      </w:r>
      <w:r w:rsidR="00D861F0" w:rsidRPr="008C164C">
        <w:rPr>
          <w:snapToGrid/>
          <w:color w:val="000000" w:themeColor="text1"/>
        </w:rPr>
        <w:t xml:space="preserve"> rather than explicitly modelling the cost from OBR use per patient</w:t>
      </w:r>
      <w:r w:rsidR="009367B7" w:rsidRPr="008C164C">
        <w:rPr>
          <w:snapToGrid/>
          <w:color w:val="000000" w:themeColor="text1"/>
        </w:rPr>
        <w:t xml:space="preserve">. </w:t>
      </w:r>
      <w:r w:rsidR="00BB45CF" w:rsidRPr="008C164C">
        <w:rPr>
          <w:snapToGrid/>
          <w:color w:val="000000" w:themeColor="text1"/>
        </w:rPr>
        <w:t>Consequently</w:t>
      </w:r>
      <w:r w:rsidR="009367B7" w:rsidRPr="008C164C">
        <w:rPr>
          <w:snapToGrid/>
          <w:color w:val="000000" w:themeColor="text1"/>
        </w:rPr>
        <w:t xml:space="preserve">, this has not been included in the comparison table. </w:t>
      </w:r>
    </w:p>
    <w:p w14:paraId="268768EF" w14:textId="6236ABCE" w:rsidR="00B60939" w:rsidRPr="008C164C" w:rsidRDefault="00B60939" w:rsidP="002B05A1">
      <w:pPr>
        <w:pStyle w:val="4-SubsectionHeading"/>
      </w:pPr>
      <w:bookmarkStart w:id="85" w:name="_Toc22897647"/>
      <w:bookmarkStart w:id="86" w:name="_Toc145485266"/>
      <w:bookmarkEnd w:id="84"/>
      <w:r w:rsidRPr="008C164C">
        <w:lastRenderedPageBreak/>
        <w:t>Estimated PBS usage &amp; financial implications</w:t>
      </w:r>
      <w:bookmarkEnd w:id="85"/>
      <w:bookmarkEnd w:id="86"/>
    </w:p>
    <w:p w14:paraId="45989D56" w14:textId="008F56C8" w:rsidR="009367B7" w:rsidRPr="008C164C" w:rsidRDefault="009367B7" w:rsidP="009367B7">
      <w:pPr>
        <w:pStyle w:val="3-BodyText"/>
      </w:pPr>
      <w:r w:rsidRPr="008C164C">
        <w:t>This submission w</w:t>
      </w:r>
      <w:r w:rsidR="008C164C">
        <w:t>as</w:t>
      </w:r>
      <w:r w:rsidRPr="008C164C">
        <w:t xml:space="preserve"> </w:t>
      </w:r>
      <w:r w:rsidR="006D1ED1">
        <w:t>not</w:t>
      </w:r>
      <w:r w:rsidR="006D1ED1" w:rsidRPr="008C164C">
        <w:t xml:space="preserve"> </w:t>
      </w:r>
      <w:r w:rsidRPr="008C164C">
        <w:t>considered by DUSC. As in the previous submission, the resubmission took an epidemiological approach to estimating use.</w:t>
      </w:r>
    </w:p>
    <w:p w14:paraId="7C6FE2D9" w14:textId="395D0D9F" w:rsidR="009367B7" w:rsidRPr="008C164C" w:rsidRDefault="009367B7" w:rsidP="009367B7">
      <w:pPr>
        <w:pStyle w:val="3-BodyText"/>
      </w:pPr>
      <w:r w:rsidRPr="008C164C">
        <w:rPr>
          <w:color w:val="000000" w:themeColor="text1"/>
        </w:rPr>
        <w:fldChar w:fldCharType="begin" w:fldLock="1"/>
      </w:r>
      <w:r w:rsidRPr="008C164C">
        <w:rPr>
          <w:color w:val="000000" w:themeColor="text1"/>
        </w:rPr>
        <w:instrText xml:space="preserve"> REF _Ref104805262 \h  \* MERGEFORMAT </w:instrText>
      </w:r>
      <w:r w:rsidRPr="008C164C">
        <w:rPr>
          <w:color w:val="000000" w:themeColor="text1"/>
        </w:rPr>
      </w:r>
      <w:r w:rsidRPr="008C164C">
        <w:rPr>
          <w:color w:val="000000" w:themeColor="text1"/>
        </w:rPr>
        <w:fldChar w:fldCharType="separate"/>
      </w:r>
      <w:r w:rsidR="00682506" w:rsidRPr="00682506">
        <w:rPr>
          <w:color w:val="000000" w:themeColor="text1"/>
        </w:rPr>
        <w:t>Table 18</w:t>
      </w:r>
      <w:r w:rsidRPr="008C164C">
        <w:rPr>
          <w:color w:val="000000" w:themeColor="text1"/>
        </w:rPr>
        <w:fldChar w:fldCharType="end"/>
      </w:r>
      <w:r w:rsidRPr="008C164C">
        <w:rPr>
          <w:color w:val="000000" w:themeColor="text1"/>
        </w:rPr>
        <w:t xml:space="preserve"> presents </w:t>
      </w:r>
      <w:r w:rsidRPr="008C164C">
        <w:t xml:space="preserve">a comparison of the data sources in the previous submission and the resubmission. </w:t>
      </w:r>
    </w:p>
    <w:p w14:paraId="6B5E91D8" w14:textId="3F91D3E8" w:rsidR="009367B7" w:rsidRPr="008C164C" w:rsidRDefault="009367B7" w:rsidP="009367B7">
      <w:pPr>
        <w:pStyle w:val="TableFigureHeading"/>
        <w:rPr>
          <w:rStyle w:val="CommentReference"/>
          <w:b/>
          <w:szCs w:val="24"/>
        </w:rPr>
      </w:pPr>
      <w:bookmarkStart w:id="87" w:name="_Ref104805262"/>
      <w:r w:rsidRPr="008C164C">
        <w:t xml:space="preserve">Table </w:t>
      </w:r>
      <w:r w:rsidR="00B25BFE">
        <w:fldChar w:fldCharType="begin" w:fldLock="1"/>
      </w:r>
      <w:r w:rsidR="00B25BFE">
        <w:instrText xml:space="preserve"> SEQ Table \* ARABIC </w:instrText>
      </w:r>
      <w:r w:rsidR="00B25BFE">
        <w:fldChar w:fldCharType="separate"/>
      </w:r>
      <w:r w:rsidR="00682506">
        <w:rPr>
          <w:noProof/>
        </w:rPr>
        <w:t>18</w:t>
      </w:r>
      <w:r w:rsidR="00B25BFE">
        <w:rPr>
          <w:noProof/>
        </w:rPr>
        <w:fldChar w:fldCharType="end"/>
      </w:r>
      <w:bookmarkEnd w:id="87"/>
      <w:r w:rsidRPr="008C164C">
        <w:t xml:space="preserve">: </w:t>
      </w:r>
      <w:r w:rsidRPr="008C164C">
        <w:rPr>
          <w:rStyle w:val="CommentReference"/>
          <w:b/>
          <w:szCs w:val="24"/>
        </w:rPr>
        <w:t>Data sources and parameter values applied in the utilisation and financial estimates</w:t>
      </w:r>
    </w:p>
    <w:tbl>
      <w:tblPr>
        <w:tblStyle w:val="TableGrid"/>
        <w:tblW w:w="8784" w:type="dxa"/>
        <w:tblLook w:val="04A0" w:firstRow="1" w:lastRow="0" w:firstColumn="1" w:lastColumn="0" w:noHBand="0" w:noVBand="1"/>
      </w:tblPr>
      <w:tblGrid>
        <w:gridCol w:w="2013"/>
        <w:gridCol w:w="1421"/>
        <w:gridCol w:w="1689"/>
        <w:gridCol w:w="1688"/>
        <w:gridCol w:w="1973"/>
      </w:tblGrid>
      <w:tr w:rsidR="009367B7" w:rsidRPr="008C164C" w14:paraId="0929FB94" w14:textId="77777777" w:rsidTr="00383632">
        <w:trPr>
          <w:trHeight w:val="20"/>
        </w:trPr>
        <w:tc>
          <w:tcPr>
            <w:tcW w:w="1967" w:type="dxa"/>
            <w:vMerge w:val="restart"/>
            <w:vAlign w:val="center"/>
          </w:tcPr>
          <w:p w14:paraId="260E04C8" w14:textId="2059D77B" w:rsidR="009367B7" w:rsidRPr="008C164C" w:rsidRDefault="009367B7" w:rsidP="00240629">
            <w:pPr>
              <w:pStyle w:val="TableText0"/>
              <w:rPr>
                <w:b/>
                <w:bCs w:val="0"/>
              </w:rPr>
            </w:pPr>
            <w:r w:rsidRPr="008C164C">
              <w:rPr>
                <w:b/>
                <w:bCs w:val="0"/>
              </w:rPr>
              <w:t>Parameter</w:t>
            </w:r>
            <w:r w:rsidR="00365F75" w:rsidRPr="008C164C">
              <w:rPr>
                <w:b/>
                <w:bCs w:val="0"/>
              </w:rPr>
              <w:t>/</w:t>
            </w:r>
            <w:r w:rsidRPr="008C164C">
              <w:rPr>
                <w:b/>
                <w:bCs w:val="0"/>
              </w:rPr>
              <w:t>Assumption</w:t>
            </w:r>
          </w:p>
        </w:tc>
        <w:tc>
          <w:tcPr>
            <w:tcW w:w="3131" w:type="dxa"/>
            <w:gridSpan w:val="2"/>
            <w:vAlign w:val="center"/>
          </w:tcPr>
          <w:p w14:paraId="02DA2322" w14:textId="77777777" w:rsidR="009367B7" w:rsidRPr="008C164C" w:rsidRDefault="009367B7" w:rsidP="00240629">
            <w:pPr>
              <w:pStyle w:val="TableText0"/>
              <w:jc w:val="center"/>
              <w:rPr>
                <w:b/>
                <w:bCs w:val="0"/>
              </w:rPr>
            </w:pPr>
            <w:r w:rsidRPr="008C164C">
              <w:rPr>
                <w:b/>
                <w:bCs w:val="0"/>
              </w:rPr>
              <w:t>Previous Submission</w:t>
            </w:r>
          </w:p>
          <w:p w14:paraId="058284DB" w14:textId="77777777" w:rsidR="009367B7" w:rsidRPr="008C164C" w:rsidRDefault="009367B7" w:rsidP="00240629">
            <w:pPr>
              <w:pStyle w:val="TableText0"/>
              <w:jc w:val="center"/>
              <w:rPr>
                <w:b/>
                <w:bCs w:val="0"/>
              </w:rPr>
            </w:pPr>
            <w:r w:rsidRPr="008C164C">
              <w:rPr>
                <w:b/>
                <w:bCs w:val="0"/>
              </w:rPr>
              <w:t>(November 2022)</w:t>
            </w:r>
          </w:p>
        </w:tc>
        <w:tc>
          <w:tcPr>
            <w:tcW w:w="3686" w:type="dxa"/>
            <w:gridSpan w:val="2"/>
            <w:vAlign w:val="center"/>
          </w:tcPr>
          <w:p w14:paraId="7B2F6D32" w14:textId="77777777" w:rsidR="009367B7" w:rsidRPr="008C164C" w:rsidRDefault="009367B7" w:rsidP="00240629">
            <w:pPr>
              <w:pStyle w:val="TableText0"/>
              <w:jc w:val="center"/>
              <w:rPr>
                <w:b/>
                <w:bCs w:val="0"/>
              </w:rPr>
            </w:pPr>
            <w:r w:rsidRPr="008C164C">
              <w:rPr>
                <w:b/>
                <w:bCs w:val="0"/>
              </w:rPr>
              <w:t>Current Submission</w:t>
            </w:r>
          </w:p>
          <w:p w14:paraId="657D0B5E" w14:textId="77777777" w:rsidR="009367B7" w:rsidRPr="008C164C" w:rsidRDefault="009367B7" w:rsidP="00240629">
            <w:pPr>
              <w:pStyle w:val="TableText0"/>
              <w:jc w:val="center"/>
              <w:rPr>
                <w:b/>
                <w:bCs w:val="0"/>
              </w:rPr>
            </w:pPr>
            <w:r w:rsidRPr="008C164C">
              <w:rPr>
                <w:b/>
                <w:bCs w:val="0"/>
              </w:rPr>
              <w:t>(November 2023)</w:t>
            </w:r>
          </w:p>
        </w:tc>
      </w:tr>
      <w:tr w:rsidR="009367B7" w:rsidRPr="008C164C" w14:paraId="2E2808E7" w14:textId="77777777" w:rsidTr="00383632">
        <w:trPr>
          <w:trHeight w:val="20"/>
        </w:trPr>
        <w:tc>
          <w:tcPr>
            <w:tcW w:w="1967" w:type="dxa"/>
            <w:vMerge/>
            <w:vAlign w:val="center"/>
          </w:tcPr>
          <w:p w14:paraId="2AA51BDB" w14:textId="77777777" w:rsidR="009367B7" w:rsidRPr="008C164C" w:rsidRDefault="009367B7" w:rsidP="00240629">
            <w:pPr>
              <w:pStyle w:val="TableText0"/>
              <w:rPr>
                <w:b/>
                <w:bCs w:val="0"/>
              </w:rPr>
            </w:pPr>
          </w:p>
        </w:tc>
        <w:tc>
          <w:tcPr>
            <w:tcW w:w="1430" w:type="dxa"/>
            <w:vAlign w:val="center"/>
          </w:tcPr>
          <w:p w14:paraId="1B2A7827" w14:textId="77777777" w:rsidR="009367B7" w:rsidRPr="008C164C" w:rsidRDefault="009367B7" w:rsidP="00240629">
            <w:pPr>
              <w:pStyle w:val="TableText0"/>
              <w:jc w:val="center"/>
              <w:rPr>
                <w:b/>
                <w:bCs w:val="0"/>
              </w:rPr>
            </w:pPr>
            <w:r w:rsidRPr="008C164C">
              <w:rPr>
                <w:b/>
                <w:bCs w:val="0"/>
              </w:rPr>
              <w:t>Estimate</w:t>
            </w:r>
          </w:p>
        </w:tc>
        <w:tc>
          <w:tcPr>
            <w:tcW w:w="1701" w:type="dxa"/>
            <w:vAlign w:val="center"/>
          </w:tcPr>
          <w:p w14:paraId="4750309B" w14:textId="77777777" w:rsidR="009367B7" w:rsidRPr="008C164C" w:rsidRDefault="009367B7" w:rsidP="00240629">
            <w:pPr>
              <w:pStyle w:val="TableText0"/>
              <w:jc w:val="center"/>
              <w:rPr>
                <w:b/>
                <w:bCs w:val="0"/>
              </w:rPr>
            </w:pPr>
            <w:r w:rsidRPr="008C164C">
              <w:rPr>
                <w:b/>
                <w:bCs w:val="0"/>
              </w:rPr>
              <w:t>Source</w:t>
            </w:r>
          </w:p>
        </w:tc>
        <w:tc>
          <w:tcPr>
            <w:tcW w:w="1701" w:type="dxa"/>
            <w:vAlign w:val="center"/>
          </w:tcPr>
          <w:p w14:paraId="6A658C3D" w14:textId="77777777" w:rsidR="009367B7" w:rsidRPr="008C164C" w:rsidRDefault="009367B7" w:rsidP="00240629">
            <w:pPr>
              <w:pStyle w:val="TableText0"/>
              <w:jc w:val="center"/>
              <w:rPr>
                <w:b/>
                <w:bCs w:val="0"/>
              </w:rPr>
            </w:pPr>
            <w:r w:rsidRPr="008C164C">
              <w:rPr>
                <w:b/>
                <w:bCs w:val="0"/>
              </w:rPr>
              <w:t>Estimate</w:t>
            </w:r>
          </w:p>
        </w:tc>
        <w:tc>
          <w:tcPr>
            <w:tcW w:w="1985" w:type="dxa"/>
            <w:vAlign w:val="center"/>
          </w:tcPr>
          <w:p w14:paraId="54C1E982" w14:textId="77777777" w:rsidR="009367B7" w:rsidRPr="008C164C" w:rsidRDefault="009367B7" w:rsidP="00240629">
            <w:pPr>
              <w:pStyle w:val="TableText0"/>
              <w:jc w:val="center"/>
              <w:rPr>
                <w:b/>
                <w:bCs w:val="0"/>
              </w:rPr>
            </w:pPr>
            <w:r w:rsidRPr="008C164C">
              <w:rPr>
                <w:b/>
                <w:bCs w:val="0"/>
              </w:rPr>
              <w:t>Source</w:t>
            </w:r>
          </w:p>
        </w:tc>
      </w:tr>
      <w:tr w:rsidR="009367B7" w:rsidRPr="008C164C" w14:paraId="51CCC25C" w14:textId="77777777" w:rsidTr="00383632">
        <w:trPr>
          <w:trHeight w:val="20"/>
        </w:trPr>
        <w:tc>
          <w:tcPr>
            <w:tcW w:w="1967" w:type="dxa"/>
            <w:vAlign w:val="center"/>
          </w:tcPr>
          <w:p w14:paraId="50EA563E" w14:textId="77777777" w:rsidR="009367B7" w:rsidRPr="008C164C" w:rsidRDefault="009367B7" w:rsidP="00240629">
            <w:pPr>
              <w:pStyle w:val="TableText0"/>
            </w:pPr>
            <w:r w:rsidRPr="008C164C">
              <w:t>Prevalence number of HIV Patients</w:t>
            </w:r>
          </w:p>
        </w:tc>
        <w:tc>
          <w:tcPr>
            <w:tcW w:w="1430" w:type="dxa"/>
            <w:shd w:val="clear" w:color="auto" w:fill="C6D9F1" w:themeFill="text2" w:themeFillTint="33"/>
            <w:vAlign w:val="center"/>
          </w:tcPr>
          <w:p w14:paraId="48FB5793" w14:textId="77777777" w:rsidR="009367B7" w:rsidRPr="008C164C" w:rsidRDefault="009367B7" w:rsidP="00240629">
            <w:pPr>
              <w:pStyle w:val="TableText0"/>
              <w:jc w:val="center"/>
            </w:pPr>
            <w:r w:rsidRPr="008C164C">
              <w:t>32,000</w:t>
            </w:r>
          </w:p>
        </w:tc>
        <w:tc>
          <w:tcPr>
            <w:tcW w:w="1701" w:type="dxa"/>
            <w:shd w:val="clear" w:color="auto" w:fill="C6D9F1" w:themeFill="text2" w:themeFillTint="33"/>
            <w:vAlign w:val="center"/>
          </w:tcPr>
          <w:p w14:paraId="6D5B6E14" w14:textId="7A8A78F8" w:rsidR="009367B7" w:rsidRPr="008C164C" w:rsidRDefault="003820CC" w:rsidP="00240629">
            <w:pPr>
              <w:pStyle w:val="TableText0"/>
              <w:jc w:val="center"/>
            </w:pPr>
            <w:r w:rsidRPr="008C164C">
              <w:t>Kirby Institute (</w:t>
            </w:r>
            <w:r w:rsidR="009367B7" w:rsidRPr="008C164C">
              <w:t>King</w:t>
            </w:r>
            <w:r w:rsidRPr="008C164C">
              <w:t>,</w:t>
            </w:r>
            <w:r w:rsidR="009367B7" w:rsidRPr="008C164C">
              <w:t xml:space="preserve"> 2021</w:t>
            </w:r>
            <w:r w:rsidRPr="008C164C">
              <w:t>)</w:t>
            </w:r>
          </w:p>
        </w:tc>
        <w:tc>
          <w:tcPr>
            <w:tcW w:w="1701" w:type="dxa"/>
            <w:shd w:val="clear" w:color="auto" w:fill="auto"/>
            <w:vAlign w:val="center"/>
          </w:tcPr>
          <w:p w14:paraId="679AE0A3" w14:textId="77777777" w:rsidR="009367B7" w:rsidRPr="008C164C" w:rsidRDefault="009367B7" w:rsidP="00240629">
            <w:pPr>
              <w:pStyle w:val="TableText0"/>
              <w:jc w:val="center"/>
            </w:pPr>
            <w:r w:rsidRPr="008C164C">
              <w:t>30,000</w:t>
            </w:r>
          </w:p>
        </w:tc>
        <w:tc>
          <w:tcPr>
            <w:tcW w:w="1985" w:type="dxa"/>
            <w:shd w:val="clear" w:color="auto" w:fill="auto"/>
            <w:vAlign w:val="center"/>
          </w:tcPr>
          <w:p w14:paraId="6CE5F05D" w14:textId="77777777" w:rsidR="003820CC" w:rsidRPr="008C164C" w:rsidRDefault="003820CC" w:rsidP="00240629">
            <w:pPr>
              <w:pStyle w:val="TableText0"/>
              <w:jc w:val="center"/>
            </w:pPr>
            <w:r w:rsidRPr="008C164C">
              <w:t xml:space="preserve">Kirby Institute </w:t>
            </w:r>
          </w:p>
          <w:p w14:paraId="3BA8B24B" w14:textId="7FCD76DD" w:rsidR="009367B7" w:rsidRPr="008C164C" w:rsidRDefault="003820CC" w:rsidP="00240629">
            <w:pPr>
              <w:pStyle w:val="TableText0"/>
              <w:jc w:val="center"/>
            </w:pPr>
            <w:r w:rsidRPr="008C164C">
              <w:t>(King, 2021)</w:t>
            </w:r>
          </w:p>
        </w:tc>
      </w:tr>
      <w:tr w:rsidR="009367B7" w:rsidRPr="008C164C" w14:paraId="0A828619" w14:textId="77777777" w:rsidTr="00383632">
        <w:trPr>
          <w:trHeight w:val="20"/>
        </w:trPr>
        <w:tc>
          <w:tcPr>
            <w:tcW w:w="1967" w:type="dxa"/>
            <w:vAlign w:val="center"/>
          </w:tcPr>
          <w:p w14:paraId="37491877" w14:textId="08560961" w:rsidR="009367B7" w:rsidRPr="008C164C" w:rsidRDefault="003820CC" w:rsidP="00240629">
            <w:pPr>
              <w:pStyle w:val="TableText0"/>
            </w:pPr>
            <w:r w:rsidRPr="008C164C">
              <w:t xml:space="preserve">Percentage </w:t>
            </w:r>
            <w:r w:rsidR="009367B7" w:rsidRPr="008C164C">
              <w:t>in care</w:t>
            </w:r>
          </w:p>
        </w:tc>
        <w:tc>
          <w:tcPr>
            <w:tcW w:w="1430" w:type="dxa"/>
            <w:shd w:val="clear" w:color="auto" w:fill="C6D9F1" w:themeFill="text2" w:themeFillTint="33"/>
            <w:vAlign w:val="center"/>
          </w:tcPr>
          <w:p w14:paraId="0A3C6D4B" w14:textId="77777777" w:rsidR="009367B7" w:rsidRPr="008C164C" w:rsidRDefault="009367B7" w:rsidP="00240629">
            <w:pPr>
              <w:pStyle w:val="TableText0"/>
              <w:jc w:val="center"/>
            </w:pPr>
            <w:r w:rsidRPr="008C164C">
              <w:t>96%</w:t>
            </w:r>
          </w:p>
        </w:tc>
        <w:tc>
          <w:tcPr>
            <w:tcW w:w="1701" w:type="dxa"/>
            <w:vMerge w:val="restart"/>
            <w:shd w:val="clear" w:color="auto" w:fill="C6D9F1" w:themeFill="text2" w:themeFillTint="33"/>
            <w:vAlign w:val="center"/>
          </w:tcPr>
          <w:p w14:paraId="2816553E" w14:textId="77777777" w:rsidR="003820CC" w:rsidRPr="008C164C" w:rsidRDefault="003820CC" w:rsidP="00240629">
            <w:pPr>
              <w:pStyle w:val="TableText0"/>
              <w:jc w:val="center"/>
            </w:pPr>
            <w:r w:rsidRPr="008C164C">
              <w:t xml:space="preserve">Kirby Institute </w:t>
            </w:r>
          </w:p>
          <w:p w14:paraId="4B39847A" w14:textId="47BFE739" w:rsidR="009367B7" w:rsidRPr="008C164C" w:rsidRDefault="003820CC" w:rsidP="00240629">
            <w:pPr>
              <w:pStyle w:val="TableText0"/>
              <w:jc w:val="center"/>
            </w:pPr>
            <w:r w:rsidRPr="008C164C">
              <w:t>(</w:t>
            </w:r>
            <w:r w:rsidR="009367B7" w:rsidRPr="008C164C">
              <w:t>King</w:t>
            </w:r>
            <w:r w:rsidRPr="008C164C">
              <w:t>,</w:t>
            </w:r>
            <w:r w:rsidR="009367B7" w:rsidRPr="008C164C">
              <w:t xml:space="preserve"> 2021</w:t>
            </w:r>
            <w:r w:rsidRPr="008C164C">
              <w:t>)</w:t>
            </w:r>
          </w:p>
        </w:tc>
        <w:tc>
          <w:tcPr>
            <w:tcW w:w="1701" w:type="dxa"/>
            <w:vAlign w:val="center"/>
          </w:tcPr>
          <w:p w14:paraId="789C18EE" w14:textId="77777777" w:rsidR="009367B7" w:rsidRPr="008C164C" w:rsidRDefault="009367B7" w:rsidP="00240629">
            <w:pPr>
              <w:pStyle w:val="TableText0"/>
              <w:jc w:val="center"/>
            </w:pPr>
            <w:r w:rsidRPr="008C164C">
              <w:t>91%</w:t>
            </w:r>
          </w:p>
        </w:tc>
        <w:tc>
          <w:tcPr>
            <w:tcW w:w="1985" w:type="dxa"/>
            <w:vMerge w:val="restart"/>
            <w:vAlign w:val="center"/>
          </w:tcPr>
          <w:p w14:paraId="3012D04C" w14:textId="77777777" w:rsidR="003820CC" w:rsidRPr="008C164C" w:rsidRDefault="003820CC" w:rsidP="00240629">
            <w:pPr>
              <w:pStyle w:val="TableText0"/>
              <w:jc w:val="center"/>
            </w:pPr>
            <w:r w:rsidRPr="008C164C">
              <w:t xml:space="preserve">Kirby Institute </w:t>
            </w:r>
          </w:p>
          <w:p w14:paraId="17754FC9" w14:textId="12C5ED1C" w:rsidR="009367B7" w:rsidRPr="008C164C" w:rsidRDefault="003820CC" w:rsidP="00240629">
            <w:pPr>
              <w:pStyle w:val="TableText0"/>
              <w:jc w:val="center"/>
            </w:pPr>
            <w:r w:rsidRPr="008C164C">
              <w:t>(King, 2021)</w:t>
            </w:r>
          </w:p>
        </w:tc>
      </w:tr>
      <w:tr w:rsidR="009367B7" w:rsidRPr="008C164C" w14:paraId="26AA42E3" w14:textId="77777777" w:rsidTr="00383632">
        <w:trPr>
          <w:trHeight w:val="20"/>
        </w:trPr>
        <w:tc>
          <w:tcPr>
            <w:tcW w:w="1967" w:type="dxa"/>
            <w:vAlign w:val="center"/>
          </w:tcPr>
          <w:p w14:paraId="4C5F29C6" w14:textId="4E260D8F" w:rsidR="009367B7" w:rsidRPr="008C164C" w:rsidRDefault="003820CC" w:rsidP="00240629">
            <w:pPr>
              <w:pStyle w:val="TableText0"/>
            </w:pPr>
            <w:r w:rsidRPr="008C164C">
              <w:t xml:space="preserve">Percentage </w:t>
            </w:r>
            <w:r w:rsidR="009367B7" w:rsidRPr="008C164C">
              <w:t>on ART</w:t>
            </w:r>
          </w:p>
        </w:tc>
        <w:tc>
          <w:tcPr>
            <w:tcW w:w="1430" w:type="dxa"/>
            <w:shd w:val="clear" w:color="auto" w:fill="C6D9F1" w:themeFill="text2" w:themeFillTint="33"/>
            <w:vAlign w:val="center"/>
          </w:tcPr>
          <w:p w14:paraId="79D26FB6" w14:textId="77777777" w:rsidR="009367B7" w:rsidRPr="008C164C" w:rsidRDefault="009367B7" w:rsidP="00240629">
            <w:pPr>
              <w:pStyle w:val="TableText0"/>
              <w:jc w:val="center"/>
            </w:pPr>
            <w:r w:rsidRPr="008C164C">
              <w:t>91%</w:t>
            </w:r>
          </w:p>
        </w:tc>
        <w:tc>
          <w:tcPr>
            <w:tcW w:w="1701" w:type="dxa"/>
            <w:vMerge/>
            <w:shd w:val="clear" w:color="auto" w:fill="C6D9F1" w:themeFill="text2" w:themeFillTint="33"/>
            <w:vAlign w:val="center"/>
          </w:tcPr>
          <w:p w14:paraId="191490B5" w14:textId="77777777" w:rsidR="009367B7" w:rsidRPr="008C164C" w:rsidRDefault="009367B7" w:rsidP="00240629">
            <w:pPr>
              <w:pStyle w:val="TableText0"/>
              <w:jc w:val="center"/>
            </w:pPr>
          </w:p>
        </w:tc>
        <w:tc>
          <w:tcPr>
            <w:tcW w:w="1701" w:type="dxa"/>
            <w:vAlign w:val="center"/>
          </w:tcPr>
          <w:p w14:paraId="45001F55" w14:textId="77777777" w:rsidR="009367B7" w:rsidRPr="008C164C" w:rsidRDefault="009367B7" w:rsidP="00240629">
            <w:pPr>
              <w:pStyle w:val="TableText0"/>
              <w:jc w:val="center"/>
            </w:pPr>
            <w:r w:rsidRPr="008C164C">
              <w:t>91%</w:t>
            </w:r>
          </w:p>
        </w:tc>
        <w:tc>
          <w:tcPr>
            <w:tcW w:w="1985" w:type="dxa"/>
            <w:vMerge/>
            <w:vAlign w:val="center"/>
          </w:tcPr>
          <w:p w14:paraId="30BEE6D5" w14:textId="77777777" w:rsidR="009367B7" w:rsidRPr="008C164C" w:rsidRDefault="009367B7" w:rsidP="00240629">
            <w:pPr>
              <w:pStyle w:val="TableText0"/>
              <w:jc w:val="center"/>
            </w:pPr>
          </w:p>
        </w:tc>
      </w:tr>
      <w:tr w:rsidR="009367B7" w:rsidRPr="008C164C" w14:paraId="65CB573E" w14:textId="77777777" w:rsidTr="00383632">
        <w:trPr>
          <w:trHeight w:val="20"/>
        </w:trPr>
        <w:tc>
          <w:tcPr>
            <w:tcW w:w="1967" w:type="dxa"/>
            <w:vAlign w:val="center"/>
          </w:tcPr>
          <w:p w14:paraId="6CD4B935" w14:textId="688FCEBC" w:rsidR="009367B7" w:rsidRPr="008C164C" w:rsidRDefault="003820CC" w:rsidP="00240629">
            <w:pPr>
              <w:pStyle w:val="TableText0"/>
            </w:pPr>
            <w:r w:rsidRPr="008C164C">
              <w:t xml:space="preserve">Percentage that are </w:t>
            </w:r>
            <w:proofErr w:type="spellStart"/>
            <w:r w:rsidR="009367B7" w:rsidRPr="008C164C">
              <w:t>hMDR</w:t>
            </w:r>
            <w:proofErr w:type="spellEnd"/>
          </w:p>
        </w:tc>
        <w:tc>
          <w:tcPr>
            <w:tcW w:w="1430" w:type="dxa"/>
            <w:shd w:val="clear" w:color="auto" w:fill="C6D9F1" w:themeFill="text2" w:themeFillTint="33"/>
            <w:vAlign w:val="center"/>
          </w:tcPr>
          <w:p w14:paraId="37D20FAE" w14:textId="77777777" w:rsidR="009367B7" w:rsidRPr="008C164C" w:rsidRDefault="009367B7" w:rsidP="00240629">
            <w:pPr>
              <w:pStyle w:val="TableText0"/>
              <w:jc w:val="center"/>
            </w:pPr>
            <w:r w:rsidRPr="008C164C">
              <w:t>0.84%</w:t>
            </w:r>
          </w:p>
        </w:tc>
        <w:tc>
          <w:tcPr>
            <w:tcW w:w="1701" w:type="dxa"/>
            <w:shd w:val="clear" w:color="auto" w:fill="C6D9F1" w:themeFill="text2" w:themeFillTint="33"/>
            <w:vAlign w:val="center"/>
          </w:tcPr>
          <w:p w14:paraId="10B04F92" w14:textId="3ED2B6B9" w:rsidR="009367B7" w:rsidRPr="008C164C" w:rsidRDefault="009367B7" w:rsidP="00240629">
            <w:pPr>
              <w:pStyle w:val="TableText0"/>
              <w:jc w:val="center"/>
            </w:pPr>
            <w:proofErr w:type="spellStart"/>
            <w:r w:rsidRPr="008C164C">
              <w:t>Bajema</w:t>
            </w:r>
            <w:proofErr w:type="spellEnd"/>
            <w:r w:rsidRPr="008C164C">
              <w:t xml:space="preserve"> 2020</w:t>
            </w:r>
          </w:p>
        </w:tc>
        <w:tc>
          <w:tcPr>
            <w:tcW w:w="1701" w:type="dxa"/>
            <w:vAlign w:val="center"/>
          </w:tcPr>
          <w:p w14:paraId="56E940D8" w14:textId="77777777" w:rsidR="009367B7" w:rsidRPr="008C164C" w:rsidRDefault="009367B7" w:rsidP="00240629">
            <w:pPr>
              <w:pStyle w:val="TableText0"/>
              <w:jc w:val="center"/>
            </w:pPr>
            <w:r w:rsidRPr="008C164C">
              <w:t>0.84%</w:t>
            </w:r>
          </w:p>
        </w:tc>
        <w:tc>
          <w:tcPr>
            <w:tcW w:w="1985" w:type="dxa"/>
            <w:vAlign w:val="center"/>
          </w:tcPr>
          <w:p w14:paraId="4D699022" w14:textId="77777777" w:rsidR="009367B7" w:rsidRPr="008C164C" w:rsidRDefault="009367B7" w:rsidP="00240629">
            <w:pPr>
              <w:pStyle w:val="TableText0"/>
              <w:jc w:val="center"/>
            </w:pPr>
            <w:proofErr w:type="spellStart"/>
            <w:r w:rsidRPr="008C164C">
              <w:t>Bajema</w:t>
            </w:r>
            <w:proofErr w:type="spellEnd"/>
            <w:r w:rsidRPr="008C164C">
              <w:t xml:space="preserve"> 2020</w:t>
            </w:r>
          </w:p>
        </w:tc>
      </w:tr>
      <w:tr w:rsidR="009367B7" w:rsidRPr="008C164C" w14:paraId="4BB03A6F" w14:textId="77777777" w:rsidTr="00383632">
        <w:trPr>
          <w:trHeight w:val="20"/>
        </w:trPr>
        <w:tc>
          <w:tcPr>
            <w:tcW w:w="1967" w:type="dxa"/>
            <w:vAlign w:val="center"/>
          </w:tcPr>
          <w:p w14:paraId="44DEDF22" w14:textId="77777777" w:rsidR="009367B7" w:rsidRPr="008C164C" w:rsidRDefault="009367B7" w:rsidP="00240629">
            <w:pPr>
              <w:pStyle w:val="TableText0"/>
            </w:pPr>
            <w:r w:rsidRPr="008C164C">
              <w:t>Overall eligibility rate</w:t>
            </w:r>
          </w:p>
        </w:tc>
        <w:tc>
          <w:tcPr>
            <w:tcW w:w="1430" w:type="dxa"/>
            <w:shd w:val="clear" w:color="auto" w:fill="C6D9F1" w:themeFill="text2" w:themeFillTint="33"/>
            <w:vAlign w:val="center"/>
          </w:tcPr>
          <w:p w14:paraId="3522EDA0" w14:textId="77777777" w:rsidR="009367B7" w:rsidRPr="008C164C" w:rsidRDefault="009367B7" w:rsidP="00240629">
            <w:pPr>
              <w:pStyle w:val="TableText0"/>
              <w:jc w:val="center"/>
            </w:pPr>
            <w:r w:rsidRPr="008C164C">
              <w:t>0.73%</w:t>
            </w:r>
          </w:p>
        </w:tc>
        <w:tc>
          <w:tcPr>
            <w:tcW w:w="1701" w:type="dxa"/>
            <w:shd w:val="clear" w:color="auto" w:fill="C6D9F1" w:themeFill="text2" w:themeFillTint="33"/>
            <w:vAlign w:val="center"/>
          </w:tcPr>
          <w:p w14:paraId="1802D78A" w14:textId="42387029" w:rsidR="009367B7" w:rsidRPr="008C164C" w:rsidRDefault="009367B7" w:rsidP="00240629">
            <w:pPr>
              <w:pStyle w:val="TableText0"/>
              <w:jc w:val="center"/>
            </w:pPr>
            <w:r w:rsidRPr="008C164C">
              <w:t>Calculated (0.96</w:t>
            </w:r>
            <w:r w:rsidR="0042529C">
              <w:t xml:space="preserve"> </w:t>
            </w:r>
            <w:r w:rsidRPr="008C164C">
              <w:t>x</w:t>
            </w:r>
            <w:r w:rsidR="0042529C">
              <w:t xml:space="preserve"> </w:t>
            </w:r>
            <w:r w:rsidRPr="008C164C">
              <w:t>0.91</w:t>
            </w:r>
            <w:r w:rsidR="0042529C">
              <w:t xml:space="preserve"> </w:t>
            </w:r>
            <w:r w:rsidRPr="008C164C">
              <w:t>x</w:t>
            </w:r>
            <w:r w:rsidR="0042529C">
              <w:t xml:space="preserve"> </w:t>
            </w:r>
            <w:r w:rsidRPr="008C164C">
              <w:t>0.0084)</w:t>
            </w:r>
          </w:p>
        </w:tc>
        <w:tc>
          <w:tcPr>
            <w:tcW w:w="1701" w:type="dxa"/>
            <w:vAlign w:val="center"/>
          </w:tcPr>
          <w:p w14:paraId="40137664" w14:textId="77777777" w:rsidR="009367B7" w:rsidRPr="008C164C" w:rsidRDefault="009367B7" w:rsidP="00240629">
            <w:pPr>
              <w:pStyle w:val="TableText0"/>
              <w:jc w:val="center"/>
            </w:pPr>
            <w:r w:rsidRPr="008C164C">
              <w:t>0.70%</w:t>
            </w:r>
          </w:p>
        </w:tc>
        <w:tc>
          <w:tcPr>
            <w:tcW w:w="1985" w:type="dxa"/>
            <w:vAlign w:val="center"/>
          </w:tcPr>
          <w:p w14:paraId="45B1A914" w14:textId="77777777" w:rsidR="009367B7" w:rsidRPr="008C164C" w:rsidRDefault="009367B7" w:rsidP="00240629">
            <w:pPr>
              <w:pStyle w:val="TableText0"/>
              <w:jc w:val="center"/>
            </w:pPr>
            <w:r w:rsidRPr="008C164C">
              <w:t>Calculated (0.91 x 0.91 x 0.0084)</w:t>
            </w:r>
          </w:p>
        </w:tc>
      </w:tr>
      <w:tr w:rsidR="009367B7" w:rsidRPr="008C164C" w14:paraId="7B8D4150" w14:textId="77777777" w:rsidTr="00383632">
        <w:trPr>
          <w:trHeight w:val="20"/>
        </w:trPr>
        <w:tc>
          <w:tcPr>
            <w:tcW w:w="1967" w:type="dxa"/>
            <w:vAlign w:val="center"/>
          </w:tcPr>
          <w:p w14:paraId="42BE89D1" w14:textId="24F8F495" w:rsidR="009367B7" w:rsidRPr="008C164C" w:rsidRDefault="009367B7" w:rsidP="00240629">
            <w:pPr>
              <w:pStyle w:val="TableText0"/>
            </w:pPr>
            <w:r w:rsidRPr="008C164C">
              <w:t>P</w:t>
            </w:r>
            <w:r w:rsidR="003820CC" w:rsidRPr="008C164C">
              <w:t>ercentage of p</w:t>
            </w:r>
            <w:r w:rsidRPr="008C164C">
              <w:t>atients electing treatment (</w:t>
            </w:r>
            <w:r w:rsidR="003820CC" w:rsidRPr="008C164C">
              <w:t>Years 1-6</w:t>
            </w:r>
            <w:r w:rsidRPr="008C164C">
              <w:t>)</w:t>
            </w:r>
          </w:p>
        </w:tc>
        <w:tc>
          <w:tcPr>
            <w:tcW w:w="1430" w:type="dxa"/>
            <w:shd w:val="clear" w:color="auto" w:fill="C6D9F1" w:themeFill="text2" w:themeFillTint="33"/>
            <w:vAlign w:val="center"/>
          </w:tcPr>
          <w:p w14:paraId="22B9FA6F" w14:textId="7AC816CF" w:rsidR="009367B7" w:rsidRPr="008C164C" w:rsidRDefault="00851D33" w:rsidP="00240629">
            <w:pPr>
              <w:pStyle w:val="TableText0"/>
              <w:jc w:val="center"/>
            </w:pPr>
            <w:r>
              <w:t xml:space="preserve"> </w:t>
            </w:r>
            <w:r w:rsidRPr="00851D33">
              <w:rPr>
                <w:rFonts w:hint="eastAsia"/>
                <w:color w:val="000000"/>
                <w:w w:val="15"/>
                <w:shd w:val="solid" w:color="000000" w:fill="000000"/>
                <w:fitText w:val="60" w:id="-1032080375"/>
                <w14:textFill>
                  <w14:solidFill>
                    <w14:srgbClr w14:val="000000">
                      <w14:alpha w14:val="100000"/>
                    </w14:srgbClr>
                  </w14:solidFill>
                </w14:textFill>
              </w:rPr>
              <w:t xml:space="preserve">　</w:t>
            </w:r>
            <w:r w:rsidRPr="00851D33">
              <w:rPr>
                <w:color w:val="000000"/>
                <w:w w:val="15"/>
                <w:shd w:val="solid" w:color="000000" w:fill="000000"/>
                <w:fitText w:val="60" w:id="-1032080375"/>
                <w14:textFill>
                  <w14:solidFill>
                    <w14:srgbClr w14:val="000000">
                      <w14:alpha w14:val="100000"/>
                    </w14:srgbClr>
                  </w14:solidFill>
                </w14:textFill>
              </w:rPr>
              <w:t>|</w:t>
            </w:r>
            <w:r w:rsidRPr="00851D33">
              <w:rPr>
                <w:rFonts w:hint="eastAsia"/>
                <w:color w:val="000000"/>
                <w:spacing w:val="-5"/>
                <w:w w:val="15"/>
                <w:shd w:val="solid" w:color="000000" w:fill="000000"/>
                <w:fitText w:val="60" w:id="-1032080375"/>
                <w14:textFill>
                  <w14:solidFill>
                    <w14:srgbClr w14:val="000000">
                      <w14:alpha w14:val="100000"/>
                    </w14:srgbClr>
                  </w14:solidFill>
                </w14:textFill>
              </w:rPr>
              <w:t xml:space="preserve">　</w:t>
            </w:r>
            <w:r w:rsidR="009367B7" w:rsidRPr="008C164C">
              <w:t xml:space="preserve">%, </w:t>
            </w:r>
            <w:r>
              <w:t xml:space="preserve"> </w:t>
            </w:r>
            <w:r w:rsidRPr="00851D33">
              <w:rPr>
                <w:color w:val="000000"/>
                <w:spacing w:val="154"/>
                <w:shd w:val="solid" w:color="000000" w:fill="000000"/>
                <w:fitText w:val="240" w:id="-1032080374"/>
                <w14:textFill>
                  <w14:solidFill>
                    <w14:srgbClr w14:val="000000">
                      <w14:alpha w14:val="100000"/>
                    </w14:srgbClr>
                  </w14:solidFill>
                </w14:textFill>
              </w:rPr>
              <w:t>|</w:t>
            </w:r>
            <w:r w:rsidRPr="00851D33">
              <w:rPr>
                <w:color w:val="000000"/>
                <w:spacing w:val="1"/>
                <w:shd w:val="solid" w:color="000000" w:fill="000000"/>
                <w:fitText w:val="240" w:id="-1032080374"/>
                <w14:textFill>
                  <w14:solidFill>
                    <w14:srgbClr w14:val="000000">
                      <w14:alpha w14:val="100000"/>
                    </w14:srgbClr>
                  </w14:solidFill>
                </w14:textFill>
              </w:rPr>
              <w:t>|</w:t>
            </w:r>
            <w:r w:rsidR="009367B7" w:rsidRPr="008C164C">
              <w:t xml:space="preserve">%, </w:t>
            </w:r>
            <w:r>
              <w:t xml:space="preserve"> </w:t>
            </w:r>
            <w:r w:rsidRPr="00851D33">
              <w:rPr>
                <w:rFonts w:hint="eastAsia"/>
                <w:color w:val="000000"/>
                <w:w w:val="15"/>
                <w:shd w:val="solid" w:color="000000" w:fill="000000"/>
                <w:fitText w:val="40" w:id="-1032080373"/>
                <w14:textFill>
                  <w14:solidFill>
                    <w14:srgbClr w14:val="000000">
                      <w14:alpha w14:val="100000"/>
                    </w14:srgbClr>
                  </w14:solidFill>
                </w14:textFill>
              </w:rPr>
              <w:t xml:space="preserve">　</w:t>
            </w:r>
            <w:r w:rsidRPr="00851D33">
              <w:rPr>
                <w:color w:val="000000"/>
                <w:w w:val="15"/>
                <w:shd w:val="solid" w:color="000000" w:fill="000000"/>
                <w:fitText w:val="40" w:id="-1032080373"/>
                <w14:textFill>
                  <w14:solidFill>
                    <w14:srgbClr w14:val="000000">
                      <w14:alpha w14:val="100000"/>
                    </w14:srgbClr>
                  </w14:solidFill>
                </w14:textFill>
              </w:rPr>
              <w:t>|</w:t>
            </w:r>
            <w:r w:rsidRPr="00851D33">
              <w:rPr>
                <w:rFonts w:hint="eastAsia"/>
                <w:color w:val="000000"/>
                <w:spacing w:val="-25"/>
                <w:w w:val="15"/>
                <w:shd w:val="solid" w:color="000000" w:fill="000000"/>
                <w:fitText w:val="40" w:id="-1032080373"/>
                <w14:textFill>
                  <w14:solidFill>
                    <w14:srgbClr w14:val="000000">
                      <w14:alpha w14:val="100000"/>
                    </w14:srgbClr>
                  </w14:solidFill>
                </w14:textFill>
              </w:rPr>
              <w:t xml:space="preserve">　</w:t>
            </w:r>
            <w:r w:rsidR="009367B7" w:rsidRPr="008C164C">
              <w:t xml:space="preserve">%, </w:t>
            </w:r>
            <w:r>
              <w:t xml:space="preserve"> </w:t>
            </w:r>
            <w:r w:rsidRPr="00851D33">
              <w:rPr>
                <w:rFonts w:hint="eastAsia"/>
                <w:color w:val="000000"/>
                <w:w w:val="15"/>
                <w:shd w:val="solid" w:color="000000" w:fill="000000"/>
                <w:fitText w:val="40" w:id="-1032080372"/>
                <w14:textFill>
                  <w14:solidFill>
                    <w14:srgbClr w14:val="000000">
                      <w14:alpha w14:val="100000"/>
                    </w14:srgbClr>
                  </w14:solidFill>
                </w14:textFill>
              </w:rPr>
              <w:t xml:space="preserve">　</w:t>
            </w:r>
            <w:r w:rsidRPr="00851D33">
              <w:rPr>
                <w:color w:val="000000"/>
                <w:w w:val="15"/>
                <w:shd w:val="solid" w:color="000000" w:fill="000000"/>
                <w:fitText w:val="40" w:id="-1032080372"/>
                <w14:textFill>
                  <w14:solidFill>
                    <w14:srgbClr w14:val="000000">
                      <w14:alpha w14:val="100000"/>
                    </w14:srgbClr>
                  </w14:solidFill>
                </w14:textFill>
              </w:rPr>
              <w:t>|</w:t>
            </w:r>
            <w:r w:rsidRPr="00851D33">
              <w:rPr>
                <w:rFonts w:hint="eastAsia"/>
                <w:color w:val="000000"/>
                <w:spacing w:val="-25"/>
                <w:w w:val="15"/>
                <w:shd w:val="solid" w:color="000000" w:fill="000000"/>
                <w:fitText w:val="40" w:id="-1032080372"/>
                <w14:textFill>
                  <w14:solidFill>
                    <w14:srgbClr w14:val="000000">
                      <w14:alpha w14:val="100000"/>
                    </w14:srgbClr>
                  </w14:solidFill>
                </w14:textFill>
              </w:rPr>
              <w:t xml:space="preserve">　</w:t>
            </w:r>
            <w:r w:rsidR="009367B7" w:rsidRPr="008C164C">
              <w:t xml:space="preserve">%, </w:t>
            </w:r>
            <w:r>
              <w:t xml:space="preserve"> </w:t>
            </w:r>
            <w:r w:rsidRPr="00851D33">
              <w:rPr>
                <w:color w:val="000000"/>
                <w:spacing w:val="114"/>
                <w:shd w:val="solid" w:color="000000" w:fill="000000"/>
                <w:fitText w:val="200" w:id="-1032080371"/>
                <w14:textFill>
                  <w14:solidFill>
                    <w14:srgbClr w14:val="000000">
                      <w14:alpha w14:val="100000"/>
                    </w14:srgbClr>
                  </w14:solidFill>
                </w14:textFill>
              </w:rPr>
              <w:t>|</w:t>
            </w:r>
            <w:r w:rsidRPr="00851D33">
              <w:rPr>
                <w:color w:val="000000"/>
                <w:spacing w:val="1"/>
                <w:shd w:val="solid" w:color="000000" w:fill="000000"/>
                <w:fitText w:val="200" w:id="-1032080371"/>
                <w14:textFill>
                  <w14:solidFill>
                    <w14:srgbClr w14:val="000000">
                      <w14:alpha w14:val="100000"/>
                    </w14:srgbClr>
                  </w14:solidFill>
                </w14:textFill>
              </w:rPr>
              <w:t>|</w:t>
            </w:r>
            <w:r w:rsidR="009367B7" w:rsidRPr="008C164C">
              <w:t xml:space="preserve">%, </w:t>
            </w:r>
            <w:r>
              <w:t xml:space="preserve"> </w:t>
            </w:r>
            <w:r w:rsidRPr="00B25BFE">
              <w:rPr>
                <w:rFonts w:hint="eastAsia"/>
                <w:color w:val="000000"/>
                <w:w w:val="15"/>
                <w:shd w:val="solid" w:color="000000" w:fill="000000"/>
                <w:fitText w:val="20" w:id="-1032080370"/>
                <w14:textFill>
                  <w14:solidFill>
                    <w14:srgbClr w14:val="000000">
                      <w14:alpha w14:val="100000"/>
                    </w14:srgbClr>
                  </w14:solidFill>
                </w14:textFill>
              </w:rPr>
              <w:t xml:space="preserve">　</w:t>
            </w:r>
            <w:r w:rsidRPr="00B25BFE">
              <w:rPr>
                <w:color w:val="000000"/>
                <w:w w:val="15"/>
                <w:shd w:val="solid" w:color="000000" w:fill="000000"/>
                <w:fitText w:val="20" w:id="-1032080370"/>
                <w14:textFill>
                  <w14:solidFill>
                    <w14:srgbClr w14:val="000000">
                      <w14:alpha w14:val="100000"/>
                    </w14:srgbClr>
                  </w14:solidFill>
                </w14:textFill>
              </w:rPr>
              <w:t>|</w:t>
            </w:r>
            <w:r w:rsidRPr="00B25BFE">
              <w:rPr>
                <w:rFonts w:hint="eastAsia"/>
                <w:color w:val="000000"/>
                <w:spacing w:val="-46"/>
                <w:w w:val="15"/>
                <w:shd w:val="solid" w:color="000000" w:fill="000000"/>
                <w:fitText w:val="20" w:id="-1032080370"/>
                <w14:textFill>
                  <w14:solidFill>
                    <w14:srgbClr w14:val="000000">
                      <w14:alpha w14:val="100000"/>
                    </w14:srgbClr>
                  </w14:solidFill>
                </w14:textFill>
              </w:rPr>
              <w:t xml:space="preserve">　</w:t>
            </w:r>
            <w:r w:rsidR="009367B7" w:rsidRPr="008C164C">
              <w:t>%</w:t>
            </w:r>
          </w:p>
        </w:tc>
        <w:tc>
          <w:tcPr>
            <w:tcW w:w="1701" w:type="dxa"/>
            <w:shd w:val="clear" w:color="auto" w:fill="C6D9F1" w:themeFill="text2" w:themeFillTint="33"/>
            <w:vAlign w:val="center"/>
          </w:tcPr>
          <w:p w14:paraId="53C93031" w14:textId="77777777" w:rsidR="009367B7" w:rsidRPr="008C164C" w:rsidRDefault="009367B7" w:rsidP="00240629">
            <w:pPr>
              <w:pStyle w:val="TableText0"/>
              <w:jc w:val="center"/>
            </w:pPr>
            <w:r w:rsidRPr="008C164C">
              <w:t>Sponsor estimate</w:t>
            </w:r>
          </w:p>
        </w:tc>
        <w:tc>
          <w:tcPr>
            <w:tcW w:w="1701" w:type="dxa"/>
            <w:vAlign w:val="center"/>
          </w:tcPr>
          <w:p w14:paraId="684AA6A8" w14:textId="3B472B9A" w:rsidR="009367B7" w:rsidRPr="008C164C" w:rsidRDefault="00851D33" w:rsidP="00240629">
            <w:pPr>
              <w:pStyle w:val="TableText0"/>
              <w:jc w:val="center"/>
            </w:pPr>
            <w:r>
              <w:t xml:space="preserve"> </w:t>
            </w:r>
            <w:r w:rsidRPr="00851D33">
              <w:rPr>
                <w:color w:val="000000"/>
                <w:spacing w:val="204"/>
                <w:shd w:val="solid" w:color="000000" w:fill="000000"/>
                <w:fitText w:val="290" w:id="-1032080369"/>
                <w14:textFill>
                  <w14:solidFill>
                    <w14:srgbClr w14:val="000000">
                      <w14:alpha w14:val="100000"/>
                    </w14:srgbClr>
                  </w14:solidFill>
                </w14:textFill>
              </w:rPr>
              <w:t>|</w:t>
            </w:r>
            <w:r w:rsidRPr="00851D33">
              <w:rPr>
                <w:color w:val="000000"/>
                <w:spacing w:val="1"/>
                <w:shd w:val="solid" w:color="000000" w:fill="000000"/>
                <w:fitText w:val="290" w:id="-1032080369"/>
                <w14:textFill>
                  <w14:solidFill>
                    <w14:srgbClr w14:val="000000">
                      <w14:alpha w14:val="100000"/>
                    </w14:srgbClr>
                  </w14:solidFill>
                </w14:textFill>
              </w:rPr>
              <w:t>|</w:t>
            </w:r>
            <w:r w:rsidR="009367B7" w:rsidRPr="008C164C">
              <w:t xml:space="preserve">%, </w:t>
            </w:r>
            <w:r>
              <w:t xml:space="preserve"> </w:t>
            </w:r>
            <w:r w:rsidRPr="00851D33">
              <w:rPr>
                <w:color w:val="000000"/>
                <w:spacing w:val="46"/>
                <w:shd w:val="solid" w:color="000000" w:fill="000000"/>
                <w:fitText w:val="220" w:id="-1032080368"/>
                <w14:textFill>
                  <w14:solidFill>
                    <w14:srgbClr w14:val="000000">
                      <w14:alpha w14:val="100000"/>
                    </w14:srgbClr>
                  </w14:solidFill>
                </w14:textFill>
              </w:rPr>
              <w:t>||</w:t>
            </w:r>
            <w:r w:rsidRPr="00851D33">
              <w:rPr>
                <w:color w:val="000000"/>
                <w:spacing w:val="1"/>
                <w:shd w:val="solid" w:color="000000" w:fill="000000"/>
                <w:fitText w:val="220" w:id="-1032080368"/>
                <w14:textFill>
                  <w14:solidFill>
                    <w14:srgbClr w14:val="000000">
                      <w14:alpha w14:val="100000"/>
                    </w14:srgbClr>
                  </w14:solidFill>
                </w14:textFill>
              </w:rPr>
              <w:t>|</w:t>
            </w:r>
            <w:r w:rsidR="009367B7" w:rsidRPr="008C164C">
              <w:t xml:space="preserve">%, </w:t>
            </w:r>
            <w:r>
              <w:t xml:space="preserve"> </w:t>
            </w:r>
            <w:r w:rsidRPr="00851D33">
              <w:rPr>
                <w:color w:val="000000"/>
                <w:spacing w:val="184"/>
                <w:shd w:val="solid" w:color="000000" w:fill="000000"/>
                <w:fitText w:val="270" w:id="-1032080384"/>
                <w14:textFill>
                  <w14:solidFill>
                    <w14:srgbClr w14:val="000000">
                      <w14:alpha w14:val="100000"/>
                    </w14:srgbClr>
                  </w14:solidFill>
                </w14:textFill>
              </w:rPr>
              <w:t>|</w:t>
            </w:r>
            <w:r w:rsidRPr="00851D33">
              <w:rPr>
                <w:color w:val="000000"/>
                <w:spacing w:val="1"/>
                <w:shd w:val="solid" w:color="000000" w:fill="000000"/>
                <w:fitText w:val="270" w:id="-1032080384"/>
                <w14:textFill>
                  <w14:solidFill>
                    <w14:srgbClr w14:val="000000">
                      <w14:alpha w14:val="100000"/>
                    </w14:srgbClr>
                  </w14:solidFill>
                </w14:textFill>
              </w:rPr>
              <w:t>|</w:t>
            </w:r>
            <w:r w:rsidR="009367B7" w:rsidRPr="008C164C">
              <w:t xml:space="preserve">%, </w:t>
            </w:r>
            <w:r>
              <w:t xml:space="preserve"> </w:t>
            </w:r>
            <w:r w:rsidRPr="00851D33">
              <w:rPr>
                <w:color w:val="000000"/>
                <w:spacing w:val="94"/>
                <w:shd w:val="solid" w:color="000000" w:fill="000000"/>
                <w:fitText w:val="180" w:id="-1032080383"/>
                <w14:textFill>
                  <w14:solidFill>
                    <w14:srgbClr w14:val="000000">
                      <w14:alpha w14:val="100000"/>
                    </w14:srgbClr>
                  </w14:solidFill>
                </w14:textFill>
              </w:rPr>
              <w:t>|</w:t>
            </w:r>
            <w:r w:rsidRPr="00851D33">
              <w:rPr>
                <w:color w:val="000000"/>
                <w:spacing w:val="1"/>
                <w:shd w:val="solid" w:color="000000" w:fill="000000"/>
                <w:fitText w:val="180" w:id="-1032080383"/>
                <w14:textFill>
                  <w14:solidFill>
                    <w14:srgbClr w14:val="000000">
                      <w14:alpha w14:val="100000"/>
                    </w14:srgbClr>
                  </w14:solidFill>
                </w14:textFill>
              </w:rPr>
              <w:t>|</w:t>
            </w:r>
            <w:r w:rsidR="009367B7" w:rsidRPr="008C164C">
              <w:t xml:space="preserve">%, </w:t>
            </w:r>
            <w:r>
              <w:t xml:space="preserve"> </w:t>
            </w:r>
            <w:r w:rsidRPr="00851D33">
              <w:rPr>
                <w:color w:val="000000"/>
                <w:spacing w:val="164"/>
                <w:shd w:val="solid" w:color="000000" w:fill="000000"/>
                <w:fitText w:val="250" w:id="-1032080382"/>
                <w14:textFill>
                  <w14:solidFill>
                    <w14:srgbClr w14:val="000000">
                      <w14:alpha w14:val="100000"/>
                    </w14:srgbClr>
                  </w14:solidFill>
                </w14:textFill>
              </w:rPr>
              <w:t>|</w:t>
            </w:r>
            <w:r w:rsidRPr="00851D33">
              <w:rPr>
                <w:color w:val="000000"/>
                <w:spacing w:val="1"/>
                <w:shd w:val="solid" w:color="000000" w:fill="000000"/>
                <w:fitText w:val="250" w:id="-1032080382"/>
                <w14:textFill>
                  <w14:solidFill>
                    <w14:srgbClr w14:val="000000">
                      <w14:alpha w14:val="100000"/>
                    </w14:srgbClr>
                  </w14:solidFill>
                </w14:textFill>
              </w:rPr>
              <w:t>|</w:t>
            </w:r>
            <w:r w:rsidR="009367B7" w:rsidRPr="008C164C">
              <w:t xml:space="preserve">%, </w:t>
            </w:r>
            <w:r>
              <w:t xml:space="preserve"> </w:t>
            </w:r>
            <w:r w:rsidRPr="00851D33">
              <w:rPr>
                <w:color w:val="000000"/>
                <w:shd w:val="solid" w:color="000000" w:fill="000000"/>
                <w14:textFill>
                  <w14:solidFill>
                    <w14:srgbClr w14:val="000000">
                      <w14:alpha w14:val="100000"/>
                    </w14:srgbClr>
                  </w14:solidFill>
                </w14:textFill>
              </w:rPr>
              <w:t>|</w:t>
            </w:r>
            <w:r w:rsidR="009367B7" w:rsidRPr="008C164C">
              <w:t>%</w:t>
            </w:r>
          </w:p>
        </w:tc>
        <w:tc>
          <w:tcPr>
            <w:tcW w:w="1985" w:type="dxa"/>
            <w:vAlign w:val="center"/>
          </w:tcPr>
          <w:p w14:paraId="12E87997" w14:textId="55017548" w:rsidR="009367B7" w:rsidRPr="008C164C" w:rsidRDefault="00383632" w:rsidP="00240629">
            <w:pPr>
              <w:pStyle w:val="TableText0"/>
              <w:jc w:val="center"/>
            </w:pPr>
            <w:r w:rsidRPr="008C164C">
              <w:t>Sponsor estimate</w:t>
            </w:r>
          </w:p>
        </w:tc>
      </w:tr>
      <w:tr w:rsidR="009367B7" w:rsidRPr="008C164C" w14:paraId="63E4827B" w14:textId="77777777" w:rsidTr="00383632">
        <w:trPr>
          <w:trHeight w:val="20"/>
        </w:trPr>
        <w:tc>
          <w:tcPr>
            <w:tcW w:w="1967" w:type="dxa"/>
            <w:vAlign w:val="center"/>
          </w:tcPr>
          <w:p w14:paraId="750F8163" w14:textId="60F56CAC" w:rsidR="009367B7" w:rsidRPr="008C164C" w:rsidRDefault="009367B7" w:rsidP="00240629">
            <w:pPr>
              <w:pStyle w:val="TableText0"/>
            </w:pPr>
            <w:r w:rsidRPr="008C164C">
              <w:t xml:space="preserve">Total Number of </w:t>
            </w:r>
            <w:proofErr w:type="spellStart"/>
            <w:r w:rsidRPr="008C164C">
              <w:t>hMDR</w:t>
            </w:r>
            <w:proofErr w:type="spellEnd"/>
            <w:r w:rsidRPr="008C164C">
              <w:t xml:space="preserve"> PLWH to be treated with LEN </w:t>
            </w:r>
            <w:r w:rsidR="00A41981" w:rsidRPr="008C164C">
              <w:t>by year 6</w:t>
            </w:r>
          </w:p>
        </w:tc>
        <w:tc>
          <w:tcPr>
            <w:tcW w:w="1430" w:type="dxa"/>
            <w:shd w:val="clear" w:color="auto" w:fill="C6D9F1" w:themeFill="text2" w:themeFillTint="33"/>
            <w:vAlign w:val="center"/>
          </w:tcPr>
          <w:p w14:paraId="6EE39F62" w14:textId="54F58FAD" w:rsidR="009367B7" w:rsidRPr="00E178C4" w:rsidRDefault="00851D33" w:rsidP="00240629">
            <w:pPr>
              <w:pStyle w:val="TableText0"/>
              <w:jc w:val="center"/>
              <w:rPr>
                <w:vertAlign w:val="superscript"/>
              </w:rPr>
            </w:pPr>
            <w:r>
              <w:t xml:space="preserve"> </w:t>
            </w:r>
            <w:r w:rsidRPr="00851D33">
              <w:rPr>
                <w:color w:val="000000"/>
                <w:shd w:val="solid" w:color="000000" w:fill="000000"/>
                <w14:textFill>
                  <w14:solidFill>
                    <w14:srgbClr w14:val="000000">
                      <w14:alpha w14:val="100000"/>
                    </w14:srgbClr>
                  </w14:solidFill>
                </w14:textFill>
              </w:rPr>
              <w:t>|</w:t>
            </w:r>
            <w:r w:rsidR="00E178C4">
              <w:rPr>
                <w:vertAlign w:val="superscript"/>
              </w:rPr>
              <w:t>1</w:t>
            </w:r>
          </w:p>
        </w:tc>
        <w:tc>
          <w:tcPr>
            <w:tcW w:w="1701" w:type="dxa"/>
            <w:shd w:val="clear" w:color="auto" w:fill="C6D9F1" w:themeFill="text2" w:themeFillTint="33"/>
            <w:vAlign w:val="center"/>
          </w:tcPr>
          <w:p w14:paraId="2D666C83" w14:textId="38B6C1F8" w:rsidR="009367B7" w:rsidRPr="008C164C" w:rsidRDefault="006A31BD" w:rsidP="00240629">
            <w:pPr>
              <w:pStyle w:val="TableText0"/>
              <w:jc w:val="center"/>
            </w:pPr>
            <w:r w:rsidRPr="008C164C">
              <w:t>C</w:t>
            </w:r>
            <w:r w:rsidR="009367B7" w:rsidRPr="008C164C">
              <w:t>alculated</w:t>
            </w:r>
          </w:p>
        </w:tc>
        <w:tc>
          <w:tcPr>
            <w:tcW w:w="1701" w:type="dxa"/>
            <w:vAlign w:val="center"/>
          </w:tcPr>
          <w:p w14:paraId="4D5DA572" w14:textId="7CC93209" w:rsidR="009367B7" w:rsidRPr="00E178C4" w:rsidRDefault="00851D33" w:rsidP="00240629">
            <w:pPr>
              <w:pStyle w:val="TableText0"/>
              <w:jc w:val="center"/>
            </w:pPr>
            <w:r>
              <w:t xml:space="preserve"> </w:t>
            </w:r>
            <w:r w:rsidRPr="00851D33">
              <w:rPr>
                <w:color w:val="000000"/>
                <w:shd w:val="solid" w:color="000000" w:fill="000000"/>
                <w14:textFill>
                  <w14:solidFill>
                    <w14:srgbClr w14:val="000000">
                      <w14:alpha w14:val="100000"/>
                    </w14:srgbClr>
                  </w14:solidFill>
                </w14:textFill>
              </w:rPr>
              <w:t>|</w:t>
            </w:r>
            <w:r w:rsidR="00E178C4">
              <w:rPr>
                <w:vertAlign w:val="superscript"/>
              </w:rPr>
              <w:t>1</w:t>
            </w:r>
          </w:p>
        </w:tc>
        <w:tc>
          <w:tcPr>
            <w:tcW w:w="1985" w:type="dxa"/>
            <w:vAlign w:val="center"/>
          </w:tcPr>
          <w:p w14:paraId="1CA0E7AC" w14:textId="77777777" w:rsidR="009367B7" w:rsidRPr="008C164C" w:rsidRDefault="009367B7" w:rsidP="00240629">
            <w:pPr>
              <w:pStyle w:val="TableText0"/>
              <w:jc w:val="center"/>
            </w:pPr>
            <w:r w:rsidRPr="008C164C">
              <w:t>Calculated</w:t>
            </w:r>
          </w:p>
        </w:tc>
      </w:tr>
      <w:tr w:rsidR="009367B7" w:rsidRPr="008C164C" w14:paraId="68E6811F" w14:textId="77777777" w:rsidTr="00383632">
        <w:trPr>
          <w:trHeight w:val="20"/>
        </w:trPr>
        <w:tc>
          <w:tcPr>
            <w:tcW w:w="1967" w:type="dxa"/>
            <w:vAlign w:val="center"/>
          </w:tcPr>
          <w:p w14:paraId="506E9015" w14:textId="2D3DA2A3" w:rsidR="009367B7" w:rsidRPr="008C164C" w:rsidRDefault="006A31BD" w:rsidP="00240629">
            <w:pPr>
              <w:pStyle w:val="TableText0"/>
            </w:pPr>
            <w:r w:rsidRPr="008C164C">
              <w:t>Effective p</w:t>
            </w:r>
            <w:r w:rsidR="009367B7" w:rsidRPr="008C164C">
              <w:t>rice</w:t>
            </w:r>
            <w:r w:rsidRPr="008C164C">
              <w:t xml:space="preserve"> (AEMP)</w:t>
            </w:r>
            <w:r w:rsidR="009367B7" w:rsidRPr="008C164C">
              <w:t xml:space="preserve"> per oral tablet</w:t>
            </w:r>
          </w:p>
        </w:tc>
        <w:tc>
          <w:tcPr>
            <w:tcW w:w="1430" w:type="dxa"/>
            <w:shd w:val="clear" w:color="auto" w:fill="C6D9F1" w:themeFill="text2" w:themeFillTint="33"/>
            <w:vAlign w:val="center"/>
          </w:tcPr>
          <w:p w14:paraId="3C9A68F2" w14:textId="0972E11F" w:rsidR="009367B7" w:rsidRPr="008C164C" w:rsidRDefault="009367B7" w:rsidP="00240629">
            <w:pPr>
              <w:pStyle w:val="TableText0"/>
              <w:jc w:val="center"/>
            </w:pPr>
            <w:r w:rsidRPr="008C164C">
              <w:t>$</w:t>
            </w:r>
            <w:r w:rsidR="00851D33">
              <w:t xml:space="preserve"> </w:t>
            </w:r>
            <w:r w:rsidR="00851D33" w:rsidRPr="00B25BFE">
              <w:rPr>
                <w:rFonts w:hint="eastAsia"/>
                <w:color w:val="000000"/>
                <w:w w:val="15"/>
                <w:shd w:val="solid" w:color="000000" w:fill="000000"/>
                <w:fitText w:val="10" w:id="-1032080381"/>
                <w14:textFill>
                  <w14:solidFill>
                    <w14:srgbClr w14:val="000000">
                      <w14:alpha w14:val="100000"/>
                    </w14:srgbClr>
                  </w14:solidFill>
                </w14:textFill>
              </w:rPr>
              <w:t xml:space="preserve">　</w:t>
            </w:r>
            <w:r w:rsidR="00851D33" w:rsidRPr="00B25BFE">
              <w:rPr>
                <w:color w:val="000000"/>
                <w:w w:val="15"/>
                <w:shd w:val="solid" w:color="000000" w:fill="000000"/>
                <w:fitText w:val="10" w:id="-1032080381"/>
                <w14:textFill>
                  <w14:solidFill>
                    <w14:srgbClr w14:val="000000">
                      <w14:alpha w14:val="100000"/>
                    </w14:srgbClr>
                  </w14:solidFill>
                </w14:textFill>
              </w:rPr>
              <w:t>|</w:t>
            </w:r>
            <w:r w:rsidR="00851D33" w:rsidRPr="00B25BFE">
              <w:rPr>
                <w:rFonts w:hint="eastAsia"/>
                <w:color w:val="000000"/>
                <w:spacing w:val="-56"/>
                <w:w w:val="15"/>
                <w:shd w:val="solid" w:color="000000" w:fill="000000"/>
                <w:fitText w:val="10" w:id="-1032080381"/>
                <w14:textFill>
                  <w14:solidFill>
                    <w14:srgbClr w14:val="000000">
                      <w14:alpha w14:val="100000"/>
                    </w14:srgbClr>
                  </w14:solidFill>
                </w14:textFill>
              </w:rPr>
              <w:t xml:space="preserve">　</w:t>
            </w:r>
          </w:p>
        </w:tc>
        <w:tc>
          <w:tcPr>
            <w:tcW w:w="1701" w:type="dxa"/>
            <w:shd w:val="clear" w:color="auto" w:fill="C6D9F1" w:themeFill="text2" w:themeFillTint="33"/>
            <w:vAlign w:val="center"/>
          </w:tcPr>
          <w:p w14:paraId="0AB8D44C" w14:textId="5330A64A" w:rsidR="009367B7" w:rsidRPr="008C164C" w:rsidRDefault="009367B7" w:rsidP="00240629">
            <w:pPr>
              <w:pStyle w:val="TableText0"/>
              <w:jc w:val="center"/>
            </w:pPr>
            <w:r w:rsidRPr="008C164C">
              <w:t>Sponsor</w:t>
            </w:r>
            <w:r w:rsidR="003820CC" w:rsidRPr="008C164C">
              <w:t xml:space="preserve"> </w:t>
            </w:r>
          </w:p>
        </w:tc>
        <w:tc>
          <w:tcPr>
            <w:tcW w:w="1701" w:type="dxa"/>
            <w:vAlign w:val="center"/>
          </w:tcPr>
          <w:p w14:paraId="6FB52CEA" w14:textId="2E3C43C2" w:rsidR="009367B7" w:rsidRPr="008C164C" w:rsidRDefault="009367B7" w:rsidP="00240629">
            <w:pPr>
              <w:pStyle w:val="TableText0"/>
              <w:jc w:val="center"/>
            </w:pPr>
            <w:r w:rsidRPr="008C164C">
              <w:t>$</w:t>
            </w:r>
            <w:r w:rsidR="00851D33">
              <w:t xml:space="preserve"> </w:t>
            </w:r>
            <w:r w:rsidR="00851D33" w:rsidRPr="00851D33">
              <w:rPr>
                <w:color w:val="000000"/>
                <w:shd w:val="solid" w:color="000000" w:fill="000000"/>
                <w14:textFill>
                  <w14:solidFill>
                    <w14:srgbClr w14:val="000000">
                      <w14:alpha w14:val="100000"/>
                    </w14:srgbClr>
                  </w14:solidFill>
                </w14:textFill>
              </w:rPr>
              <w:t>|</w:t>
            </w:r>
          </w:p>
        </w:tc>
        <w:tc>
          <w:tcPr>
            <w:tcW w:w="1985" w:type="dxa"/>
            <w:vAlign w:val="center"/>
          </w:tcPr>
          <w:p w14:paraId="14890DE3" w14:textId="77777777" w:rsidR="009367B7" w:rsidRPr="008C164C" w:rsidRDefault="009367B7" w:rsidP="00240629">
            <w:pPr>
              <w:pStyle w:val="TableText0"/>
              <w:jc w:val="center"/>
            </w:pPr>
            <w:r w:rsidRPr="008C164C">
              <w:t>Sponsor</w:t>
            </w:r>
          </w:p>
        </w:tc>
      </w:tr>
      <w:tr w:rsidR="009367B7" w:rsidRPr="008C164C" w14:paraId="3C1B5159" w14:textId="77777777" w:rsidTr="00383632">
        <w:trPr>
          <w:trHeight w:val="20"/>
        </w:trPr>
        <w:tc>
          <w:tcPr>
            <w:tcW w:w="1967" w:type="dxa"/>
            <w:vAlign w:val="center"/>
          </w:tcPr>
          <w:p w14:paraId="6DF48349" w14:textId="38313F9C" w:rsidR="009367B7" w:rsidRPr="008C164C" w:rsidRDefault="006A31BD" w:rsidP="00240629">
            <w:pPr>
              <w:pStyle w:val="TableText0"/>
            </w:pPr>
            <w:r w:rsidRPr="008C164C">
              <w:t>Effective p</w:t>
            </w:r>
            <w:r w:rsidR="009367B7" w:rsidRPr="008C164C">
              <w:t xml:space="preserve">rice </w:t>
            </w:r>
            <w:r w:rsidRPr="008C164C">
              <w:t xml:space="preserve">(AEMP) </w:t>
            </w:r>
            <w:r w:rsidR="009367B7" w:rsidRPr="008C164C">
              <w:t>per injection</w:t>
            </w:r>
          </w:p>
        </w:tc>
        <w:tc>
          <w:tcPr>
            <w:tcW w:w="1430" w:type="dxa"/>
            <w:shd w:val="clear" w:color="auto" w:fill="C6D9F1" w:themeFill="text2" w:themeFillTint="33"/>
            <w:vAlign w:val="center"/>
          </w:tcPr>
          <w:p w14:paraId="585D7F7B" w14:textId="2B51CC13" w:rsidR="009367B7" w:rsidRPr="008C164C" w:rsidRDefault="009367B7" w:rsidP="00240629">
            <w:pPr>
              <w:pStyle w:val="TableText0"/>
              <w:jc w:val="center"/>
            </w:pPr>
            <w:r w:rsidRPr="008C164C">
              <w:t>$</w:t>
            </w:r>
            <w:r w:rsidR="00851D33">
              <w:t xml:space="preserve"> </w:t>
            </w:r>
            <w:r w:rsidR="00851D33" w:rsidRPr="00B25BFE">
              <w:rPr>
                <w:rFonts w:hint="eastAsia"/>
                <w:color w:val="000000"/>
                <w:w w:val="15"/>
                <w:shd w:val="solid" w:color="000000" w:fill="000000"/>
                <w:fitText w:val="10" w:id="-1032080380"/>
                <w14:textFill>
                  <w14:solidFill>
                    <w14:srgbClr w14:val="000000">
                      <w14:alpha w14:val="100000"/>
                    </w14:srgbClr>
                  </w14:solidFill>
                </w14:textFill>
              </w:rPr>
              <w:t xml:space="preserve">　</w:t>
            </w:r>
            <w:r w:rsidR="00851D33" w:rsidRPr="00B25BFE">
              <w:rPr>
                <w:color w:val="000000"/>
                <w:w w:val="15"/>
                <w:shd w:val="solid" w:color="000000" w:fill="000000"/>
                <w:fitText w:val="10" w:id="-1032080380"/>
                <w14:textFill>
                  <w14:solidFill>
                    <w14:srgbClr w14:val="000000">
                      <w14:alpha w14:val="100000"/>
                    </w14:srgbClr>
                  </w14:solidFill>
                </w14:textFill>
              </w:rPr>
              <w:t>|</w:t>
            </w:r>
            <w:r w:rsidR="00851D33" w:rsidRPr="00B25BFE">
              <w:rPr>
                <w:rFonts w:hint="eastAsia"/>
                <w:color w:val="000000"/>
                <w:spacing w:val="-56"/>
                <w:w w:val="15"/>
                <w:shd w:val="solid" w:color="000000" w:fill="000000"/>
                <w:fitText w:val="10" w:id="-1032080380"/>
                <w14:textFill>
                  <w14:solidFill>
                    <w14:srgbClr w14:val="000000">
                      <w14:alpha w14:val="100000"/>
                    </w14:srgbClr>
                  </w14:solidFill>
                </w14:textFill>
              </w:rPr>
              <w:t xml:space="preserve">　</w:t>
            </w:r>
          </w:p>
        </w:tc>
        <w:tc>
          <w:tcPr>
            <w:tcW w:w="1701" w:type="dxa"/>
            <w:shd w:val="clear" w:color="auto" w:fill="C6D9F1" w:themeFill="text2" w:themeFillTint="33"/>
            <w:vAlign w:val="center"/>
          </w:tcPr>
          <w:p w14:paraId="15F0642F" w14:textId="04439910" w:rsidR="009367B7" w:rsidRPr="008C164C" w:rsidRDefault="009367B7" w:rsidP="00240629">
            <w:pPr>
              <w:pStyle w:val="TableText0"/>
              <w:jc w:val="center"/>
            </w:pPr>
            <w:r w:rsidRPr="008C164C">
              <w:t>Sponsor</w:t>
            </w:r>
            <w:r w:rsidR="003820CC" w:rsidRPr="008C164C">
              <w:t xml:space="preserve"> </w:t>
            </w:r>
          </w:p>
        </w:tc>
        <w:tc>
          <w:tcPr>
            <w:tcW w:w="1701" w:type="dxa"/>
            <w:vAlign w:val="center"/>
          </w:tcPr>
          <w:p w14:paraId="42401207" w14:textId="0726F845" w:rsidR="009367B7" w:rsidRPr="008C164C" w:rsidRDefault="009367B7" w:rsidP="00240629">
            <w:pPr>
              <w:pStyle w:val="TableText0"/>
              <w:jc w:val="center"/>
            </w:pPr>
            <w:r w:rsidRPr="008C164C">
              <w:t>$</w:t>
            </w:r>
            <w:r w:rsidR="00851D33">
              <w:t xml:space="preserve"> </w:t>
            </w:r>
            <w:r w:rsidR="00851D33" w:rsidRPr="00851D33">
              <w:rPr>
                <w:color w:val="000000"/>
                <w:shd w:val="solid" w:color="000000" w:fill="000000"/>
                <w14:textFill>
                  <w14:solidFill>
                    <w14:srgbClr w14:val="000000">
                      <w14:alpha w14:val="100000"/>
                    </w14:srgbClr>
                  </w14:solidFill>
                </w14:textFill>
              </w:rPr>
              <w:t>|</w:t>
            </w:r>
          </w:p>
        </w:tc>
        <w:tc>
          <w:tcPr>
            <w:tcW w:w="1985" w:type="dxa"/>
            <w:vAlign w:val="center"/>
          </w:tcPr>
          <w:p w14:paraId="2F005DCD" w14:textId="77777777" w:rsidR="009367B7" w:rsidRPr="008C164C" w:rsidRDefault="009367B7" w:rsidP="00240629">
            <w:pPr>
              <w:pStyle w:val="TableText0"/>
              <w:jc w:val="center"/>
            </w:pPr>
            <w:r w:rsidRPr="008C164C">
              <w:t>Sponsor</w:t>
            </w:r>
          </w:p>
        </w:tc>
      </w:tr>
      <w:tr w:rsidR="009367B7" w:rsidRPr="008C164C" w14:paraId="5CF02F82" w14:textId="77777777" w:rsidTr="00383632">
        <w:trPr>
          <w:trHeight w:val="20"/>
        </w:trPr>
        <w:tc>
          <w:tcPr>
            <w:tcW w:w="1967" w:type="dxa"/>
            <w:vAlign w:val="center"/>
          </w:tcPr>
          <w:p w14:paraId="7F0C8EEE" w14:textId="77777777" w:rsidR="009367B7" w:rsidRPr="008C164C" w:rsidRDefault="009367B7" w:rsidP="00240629">
            <w:pPr>
              <w:pStyle w:val="TableText0"/>
            </w:pPr>
            <w:r w:rsidRPr="008C164C">
              <w:t>Dosing</w:t>
            </w:r>
          </w:p>
        </w:tc>
        <w:tc>
          <w:tcPr>
            <w:tcW w:w="1430" w:type="dxa"/>
            <w:shd w:val="clear" w:color="auto" w:fill="C6D9F1" w:themeFill="text2" w:themeFillTint="33"/>
            <w:vAlign w:val="center"/>
          </w:tcPr>
          <w:p w14:paraId="1FD44B3B" w14:textId="544972A4" w:rsidR="009367B7" w:rsidRPr="008C164C" w:rsidRDefault="009367B7" w:rsidP="00240629">
            <w:pPr>
              <w:pStyle w:val="TableText0"/>
              <w:jc w:val="center"/>
            </w:pPr>
            <w:r w:rsidRPr="008C164C">
              <w:t>4 tablets initially</w:t>
            </w:r>
            <w:r w:rsidR="00C0258E" w:rsidRPr="008C164C">
              <w:t xml:space="preserve"> (days 1-2)</w:t>
            </w:r>
            <w:r w:rsidRPr="008C164C">
              <w:t>,</w:t>
            </w:r>
          </w:p>
          <w:p w14:paraId="2E56D932" w14:textId="77777777" w:rsidR="009367B7" w:rsidRPr="008C164C" w:rsidRDefault="009367B7" w:rsidP="00240629">
            <w:pPr>
              <w:pStyle w:val="TableText0"/>
              <w:jc w:val="center"/>
            </w:pPr>
            <w:r w:rsidRPr="008C164C">
              <w:t>1 injection every 6 months.</w:t>
            </w:r>
          </w:p>
        </w:tc>
        <w:tc>
          <w:tcPr>
            <w:tcW w:w="1701" w:type="dxa"/>
            <w:shd w:val="clear" w:color="auto" w:fill="C6D9F1" w:themeFill="text2" w:themeFillTint="33"/>
            <w:vAlign w:val="center"/>
          </w:tcPr>
          <w:p w14:paraId="5CFD7B82" w14:textId="53717493" w:rsidR="009367B7" w:rsidRPr="008C164C" w:rsidRDefault="009367B7" w:rsidP="00383632">
            <w:pPr>
              <w:pStyle w:val="TableText0"/>
              <w:jc w:val="center"/>
            </w:pPr>
            <w:r w:rsidRPr="008C164C">
              <w:t>Draft PI</w:t>
            </w:r>
          </w:p>
        </w:tc>
        <w:tc>
          <w:tcPr>
            <w:tcW w:w="1701" w:type="dxa"/>
            <w:vAlign w:val="center"/>
          </w:tcPr>
          <w:p w14:paraId="03781E85" w14:textId="505A810A" w:rsidR="009367B7" w:rsidRPr="008C164C" w:rsidRDefault="009367B7" w:rsidP="00240629">
            <w:pPr>
              <w:pStyle w:val="TableText0"/>
              <w:jc w:val="center"/>
            </w:pPr>
            <w:r w:rsidRPr="008C164C">
              <w:t>5 tablets initially</w:t>
            </w:r>
            <w:r w:rsidR="00C0258E" w:rsidRPr="008C164C">
              <w:t xml:space="preserve"> (days 1-8)</w:t>
            </w:r>
            <w:r w:rsidRPr="008C164C">
              <w:t>,</w:t>
            </w:r>
          </w:p>
          <w:p w14:paraId="32378432" w14:textId="77777777" w:rsidR="009367B7" w:rsidRPr="008C164C" w:rsidRDefault="009367B7" w:rsidP="00240629">
            <w:pPr>
              <w:pStyle w:val="TableText0"/>
              <w:jc w:val="center"/>
            </w:pPr>
            <w:r w:rsidRPr="008C164C">
              <w:t>1 injection every 6 months.</w:t>
            </w:r>
          </w:p>
        </w:tc>
        <w:tc>
          <w:tcPr>
            <w:tcW w:w="1985" w:type="dxa"/>
            <w:vAlign w:val="center"/>
          </w:tcPr>
          <w:p w14:paraId="16D74EA1" w14:textId="77777777" w:rsidR="009367B7" w:rsidRPr="008C164C" w:rsidRDefault="009367B7" w:rsidP="00240629">
            <w:pPr>
              <w:pStyle w:val="TableText0"/>
              <w:jc w:val="center"/>
            </w:pPr>
            <w:r w:rsidRPr="008C164C">
              <w:t>TGA PI</w:t>
            </w:r>
          </w:p>
        </w:tc>
      </w:tr>
      <w:tr w:rsidR="009367B7" w:rsidRPr="008C164C" w14:paraId="16B25CCD" w14:textId="77777777" w:rsidTr="00383632">
        <w:trPr>
          <w:trHeight w:val="20"/>
        </w:trPr>
        <w:tc>
          <w:tcPr>
            <w:tcW w:w="1967" w:type="dxa"/>
            <w:vAlign w:val="center"/>
          </w:tcPr>
          <w:p w14:paraId="055B70D6" w14:textId="77777777" w:rsidR="009367B7" w:rsidRPr="008C164C" w:rsidRDefault="009367B7" w:rsidP="00240629">
            <w:pPr>
              <w:pStyle w:val="TableText0"/>
            </w:pPr>
            <w:r w:rsidRPr="008C164C">
              <w:t>Co-pay</w:t>
            </w:r>
          </w:p>
        </w:tc>
        <w:tc>
          <w:tcPr>
            <w:tcW w:w="1430" w:type="dxa"/>
            <w:shd w:val="clear" w:color="auto" w:fill="C6D9F1" w:themeFill="text2" w:themeFillTint="33"/>
            <w:vAlign w:val="center"/>
          </w:tcPr>
          <w:p w14:paraId="200476B8" w14:textId="77777777" w:rsidR="009367B7" w:rsidRPr="008C164C" w:rsidRDefault="009367B7" w:rsidP="00240629">
            <w:pPr>
              <w:pStyle w:val="TableText0"/>
              <w:jc w:val="center"/>
            </w:pPr>
            <w:r w:rsidRPr="008C164C">
              <w:t>$15.72</w:t>
            </w:r>
          </w:p>
        </w:tc>
        <w:tc>
          <w:tcPr>
            <w:tcW w:w="1701" w:type="dxa"/>
            <w:shd w:val="clear" w:color="auto" w:fill="C6D9F1" w:themeFill="text2" w:themeFillTint="33"/>
            <w:vAlign w:val="center"/>
          </w:tcPr>
          <w:p w14:paraId="664B346D" w14:textId="77777777" w:rsidR="009367B7" w:rsidRPr="008C164C" w:rsidRDefault="009367B7" w:rsidP="00240629">
            <w:pPr>
              <w:pStyle w:val="TableText0"/>
              <w:jc w:val="center"/>
            </w:pPr>
            <w:r w:rsidRPr="008C164C">
              <w:t>Derived from darunavir 600mg (2021)</w:t>
            </w:r>
          </w:p>
        </w:tc>
        <w:tc>
          <w:tcPr>
            <w:tcW w:w="1701" w:type="dxa"/>
            <w:vAlign w:val="center"/>
          </w:tcPr>
          <w:p w14:paraId="6E2733A7" w14:textId="77777777" w:rsidR="009367B7" w:rsidRPr="008C164C" w:rsidRDefault="009367B7" w:rsidP="00240629">
            <w:pPr>
              <w:pStyle w:val="TableText0"/>
              <w:jc w:val="center"/>
            </w:pPr>
            <w:r w:rsidRPr="008C164C">
              <w:t>$12.05</w:t>
            </w:r>
          </w:p>
        </w:tc>
        <w:tc>
          <w:tcPr>
            <w:tcW w:w="1985" w:type="dxa"/>
            <w:vAlign w:val="center"/>
          </w:tcPr>
          <w:p w14:paraId="70F589BF" w14:textId="77777777" w:rsidR="009367B7" w:rsidRPr="008C164C" w:rsidRDefault="009367B7" w:rsidP="00240629">
            <w:pPr>
              <w:pStyle w:val="TableText0"/>
              <w:jc w:val="center"/>
            </w:pPr>
            <w:r w:rsidRPr="008C164C">
              <w:t>Derived from darunavir 600mg (2022)</w:t>
            </w:r>
          </w:p>
        </w:tc>
      </w:tr>
      <w:tr w:rsidR="009367B7" w:rsidRPr="008C164C" w14:paraId="3364BDD6" w14:textId="77777777" w:rsidTr="00383632">
        <w:trPr>
          <w:trHeight w:val="20"/>
        </w:trPr>
        <w:tc>
          <w:tcPr>
            <w:tcW w:w="1967" w:type="dxa"/>
            <w:vAlign w:val="center"/>
          </w:tcPr>
          <w:p w14:paraId="539ED40D" w14:textId="77777777" w:rsidR="009367B7" w:rsidRPr="008C164C" w:rsidRDefault="009367B7" w:rsidP="00240629">
            <w:pPr>
              <w:pStyle w:val="TableText0"/>
            </w:pPr>
            <w:r w:rsidRPr="008C164C">
              <w:t>MBS increased use (#116)</w:t>
            </w:r>
          </w:p>
        </w:tc>
        <w:tc>
          <w:tcPr>
            <w:tcW w:w="1430" w:type="dxa"/>
            <w:shd w:val="clear" w:color="auto" w:fill="C6D9F1" w:themeFill="text2" w:themeFillTint="33"/>
            <w:vAlign w:val="center"/>
          </w:tcPr>
          <w:p w14:paraId="0F39DDAD" w14:textId="77777777" w:rsidR="009367B7" w:rsidRPr="008C164C" w:rsidRDefault="009367B7" w:rsidP="00240629">
            <w:pPr>
              <w:pStyle w:val="TableText0"/>
              <w:jc w:val="center"/>
            </w:pPr>
            <w:r w:rsidRPr="008C164C">
              <w:t>NI</w:t>
            </w:r>
          </w:p>
        </w:tc>
        <w:tc>
          <w:tcPr>
            <w:tcW w:w="1701" w:type="dxa"/>
            <w:shd w:val="clear" w:color="auto" w:fill="C6D9F1" w:themeFill="text2" w:themeFillTint="33"/>
            <w:vAlign w:val="center"/>
          </w:tcPr>
          <w:p w14:paraId="39F9FF5A" w14:textId="77777777" w:rsidR="009367B7" w:rsidRPr="008C164C" w:rsidRDefault="009367B7" w:rsidP="00240629">
            <w:pPr>
              <w:pStyle w:val="TableText0"/>
              <w:jc w:val="center"/>
            </w:pPr>
            <w:r w:rsidRPr="008C164C">
              <w:t>-</w:t>
            </w:r>
          </w:p>
        </w:tc>
        <w:tc>
          <w:tcPr>
            <w:tcW w:w="1701" w:type="dxa"/>
            <w:vAlign w:val="center"/>
          </w:tcPr>
          <w:p w14:paraId="46C600CD" w14:textId="77777777" w:rsidR="009367B7" w:rsidRPr="008C164C" w:rsidRDefault="009367B7" w:rsidP="00240629">
            <w:pPr>
              <w:pStyle w:val="TableText0"/>
              <w:jc w:val="center"/>
            </w:pPr>
            <w:r w:rsidRPr="008C164C">
              <w:t>$81.05</w:t>
            </w:r>
          </w:p>
        </w:tc>
        <w:tc>
          <w:tcPr>
            <w:tcW w:w="1985" w:type="dxa"/>
            <w:vAlign w:val="center"/>
          </w:tcPr>
          <w:p w14:paraId="3519A1E6" w14:textId="2E4E933E" w:rsidR="009367B7" w:rsidRPr="008C164C" w:rsidRDefault="009367B7" w:rsidP="00240629">
            <w:pPr>
              <w:pStyle w:val="TableText0"/>
              <w:jc w:val="center"/>
            </w:pPr>
            <w:r w:rsidRPr="008C164C">
              <w:t xml:space="preserve">Table 16, LEN PBAC </w:t>
            </w:r>
            <w:r w:rsidR="00AF4BBB">
              <w:t>PSD</w:t>
            </w:r>
            <w:r w:rsidR="00AF4BBB" w:rsidRPr="008C164C">
              <w:t xml:space="preserve"> </w:t>
            </w:r>
            <w:r w:rsidRPr="008C164C">
              <w:t>Nov. 2022</w:t>
            </w:r>
          </w:p>
        </w:tc>
      </w:tr>
      <w:tr w:rsidR="009367B7" w:rsidRPr="008C164C" w14:paraId="0DEC5DFA" w14:textId="77777777" w:rsidTr="00383632">
        <w:trPr>
          <w:trHeight w:val="20"/>
        </w:trPr>
        <w:tc>
          <w:tcPr>
            <w:tcW w:w="1967" w:type="dxa"/>
            <w:vAlign w:val="center"/>
          </w:tcPr>
          <w:p w14:paraId="3AD386F2" w14:textId="77777777" w:rsidR="009367B7" w:rsidRPr="008C164C" w:rsidRDefault="009367B7" w:rsidP="00240629">
            <w:pPr>
              <w:pStyle w:val="TableText0"/>
            </w:pPr>
            <w:r w:rsidRPr="008C164C">
              <w:t>Increased use in OBR due to greater life expectancy</w:t>
            </w:r>
          </w:p>
        </w:tc>
        <w:tc>
          <w:tcPr>
            <w:tcW w:w="1430" w:type="dxa"/>
            <w:shd w:val="clear" w:color="auto" w:fill="C6D9F1" w:themeFill="text2" w:themeFillTint="33"/>
            <w:vAlign w:val="center"/>
          </w:tcPr>
          <w:p w14:paraId="5FECC156" w14:textId="77777777" w:rsidR="009367B7" w:rsidRPr="008C164C" w:rsidRDefault="009367B7" w:rsidP="00240629">
            <w:pPr>
              <w:pStyle w:val="TableText0"/>
              <w:jc w:val="center"/>
            </w:pPr>
            <w:r w:rsidRPr="008C164C">
              <w:t>NI</w:t>
            </w:r>
          </w:p>
        </w:tc>
        <w:tc>
          <w:tcPr>
            <w:tcW w:w="1701" w:type="dxa"/>
            <w:shd w:val="clear" w:color="auto" w:fill="C6D9F1" w:themeFill="text2" w:themeFillTint="33"/>
            <w:vAlign w:val="center"/>
          </w:tcPr>
          <w:p w14:paraId="18C1EEC4" w14:textId="77777777" w:rsidR="009367B7" w:rsidRPr="008C164C" w:rsidRDefault="009367B7" w:rsidP="00240629">
            <w:pPr>
              <w:pStyle w:val="TableText0"/>
              <w:jc w:val="center"/>
            </w:pPr>
            <w:r w:rsidRPr="008C164C">
              <w:t>-</w:t>
            </w:r>
          </w:p>
        </w:tc>
        <w:tc>
          <w:tcPr>
            <w:tcW w:w="1701" w:type="dxa"/>
            <w:vAlign w:val="center"/>
          </w:tcPr>
          <w:p w14:paraId="62F1859B" w14:textId="265E48A7" w:rsidR="009367B7" w:rsidRPr="008C164C" w:rsidRDefault="009367B7" w:rsidP="00240629">
            <w:pPr>
              <w:pStyle w:val="TableText0"/>
              <w:jc w:val="center"/>
            </w:pPr>
            <w:r w:rsidRPr="008C164C">
              <w:t>$16,712 p.a. for up to an additional 22.6% of patients assumed to still be alive at 6 years</w:t>
            </w:r>
            <w:r w:rsidR="00893517" w:rsidRPr="008C164C">
              <w:t>, with an average of 14% annually</w:t>
            </w:r>
            <w:r w:rsidRPr="008C164C">
              <w:t>.</w:t>
            </w:r>
          </w:p>
        </w:tc>
        <w:tc>
          <w:tcPr>
            <w:tcW w:w="1985" w:type="dxa"/>
            <w:vAlign w:val="center"/>
          </w:tcPr>
          <w:p w14:paraId="669F722F" w14:textId="77777777" w:rsidR="009367B7" w:rsidRPr="008C164C" w:rsidRDefault="009367B7" w:rsidP="00240629">
            <w:pPr>
              <w:pStyle w:val="TableText0"/>
              <w:jc w:val="center"/>
            </w:pPr>
            <w:r w:rsidRPr="008C164C">
              <w:t>Likely overestimated due to the modelling issues in the economic evaluation.</w:t>
            </w:r>
          </w:p>
        </w:tc>
      </w:tr>
    </w:tbl>
    <w:p w14:paraId="3FDDFEAF" w14:textId="00341503" w:rsidR="009367B7" w:rsidRPr="008C164C" w:rsidRDefault="009367B7" w:rsidP="009367B7">
      <w:pPr>
        <w:pStyle w:val="TableText0"/>
        <w:rPr>
          <w:sz w:val="18"/>
          <w:szCs w:val="18"/>
        </w:rPr>
      </w:pPr>
      <w:r w:rsidRPr="008C164C">
        <w:rPr>
          <w:sz w:val="18"/>
          <w:szCs w:val="18"/>
        </w:rPr>
        <w:t xml:space="preserve">Blue shaded cells indicate values previously considered by </w:t>
      </w:r>
      <w:r w:rsidR="00995BD2" w:rsidRPr="008C164C">
        <w:rPr>
          <w:sz w:val="18"/>
          <w:szCs w:val="18"/>
        </w:rPr>
        <w:t xml:space="preserve">the </w:t>
      </w:r>
      <w:r w:rsidRPr="008C164C">
        <w:rPr>
          <w:sz w:val="18"/>
          <w:szCs w:val="18"/>
        </w:rPr>
        <w:t xml:space="preserve">PBAC </w:t>
      </w:r>
    </w:p>
    <w:p w14:paraId="428068A0" w14:textId="77777777" w:rsidR="009367B7" w:rsidRPr="008C164C" w:rsidRDefault="009367B7" w:rsidP="009367B7">
      <w:pPr>
        <w:pStyle w:val="FooterTableFigure"/>
      </w:pPr>
      <w:r w:rsidRPr="008C164C">
        <w:t>Source: Table 4-1, p171 of the resubmission</w:t>
      </w:r>
    </w:p>
    <w:p w14:paraId="533A8EED" w14:textId="77777777" w:rsidR="009367B7" w:rsidRDefault="009367B7" w:rsidP="009367B7">
      <w:pPr>
        <w:pStyle w:val="FooterTableFigure"/>
      </w:pPr>
      <w:r w:rsidRPr="008C164C">
        <w:t xml:space="preserve">ART = antiretroviral; HIV = human immune deficiency virus; </w:t>
      </w:r>
      <w:proofErr w:type="spellStart"/>
      <w:r w:rsidRPr="008C164C">
        <w:t>hMDR</w:t>
      </w:r>
      <w:proofErr w:type="spellEnd"/>
      <w:r w:rsidRPr="008C164C">
        <w:t xml:space="preserve"> = highly multidrug resistant; LEN = </w:t>
      </w:r>
      <w:proofErr w:type="spellStart"/>
      <w:r w:rsidRPr="008C164C">
        <w:t>lenacapavir</w:t>
      </w:r>
      <w:proofErr w:type="spellEnd"/>
      <w:r w:rsidRPr="008C164C">
        <w:t>; MBS = Medicare Benefits Schedule; NI = not included; OBR = optimised background regimen; PI = product information; PLWH = people living with HIV; TGA = Therapeutic Goods Administration</w:t>
      </w:r>
    </w:p>
    <w:p w14:paraId="4153754D" w14:textId="77777777" w:rsidR="001B6858" w:rsidRPr="00AF4BBB" w:rsidRDefault="001B6858" w:rsidP="001B6858">
      <w:pPr>
        <w:pStyle w:val="FooterTableFigure"/>
        <w:spacing w:after="0"/>
        <w:contextualSpacing w:val="0"/>
        <w:rPr>
          <w:i/>
          <w:iCs/>
        </w:rPr>
      </w:pPr>
      <w:r w:rsidRPr="00AF4BBB">
        <w:rPr>
          <w:i/>
          <w:iCs/>
        </w:rPr>
        <w:t>The redacted values correspond to the following ranges:</w:t>
      </w:r>
    </w:p>
    <w:p w14:paraId="7E9A6B17" w14:textId="70D179E5" w:rsidR="001B6858" w:rsidRPr="001B6858" w:rsidRDefault="001B6858" w:rsidP="001B6858">
      <w:pPr>
        <w:pStyle w:val="FooterTableFigure"/>
        <w:contextualSpacing w:val="0"/>
        <w:rPr>
          <w:i/>
          <w:iCs/>
        </w:rPr>
      </w:pPr>
      <w:r w:rsidRPr="00AF4BBB">
        <w:rPr>
          <w:i/>
          <w:iCs/>
          <w:vertAlign w:val="superscript"/>
        </w:rPr>
        <w:t>1</w:t>
      </w:r>
      <w:r w:rsidRPr="00AF4BBB">
        <w:rPr>
          <w:i/>
          <w:iCs/>
        </w:rPr>
        <w:t xml:space="preserve"> </w:t>
      </w:r>
      <w:bookmarkStart w:id="88" w:name="_Hlk158707852"/>
      <w:r w:rsidRPr="00AF4BBB">
        <w:rPr>
          <w:i/>
          <w:iCs/>
        </w:rPr>
        <w:t>&lt; 500</w:t>
      </w:r>
      <w:bookmarkEnd w:id="88"/>
    </w:p>
    <w:p w14:paraId="2E4EEAF7" w14:textId="1600E112" w:rsidR="006A488E" w:rsidRPr="008C164C" w:rsidRDefault="006A488E" w:rsidP="00240629">
      <w:pPr>
        <w:pStyle w:val="3-BodyText"/>
      </w:pPr>
      <w:r w:rsidRPr="008C164C">
        <w:lastRenderedPageBreak/>
        <w:t>The PBAC and DUSC previously determined that using the literature derived estimate of 0.84% of PLWH</w:t>
      </w:r>
      <w:r w:rsidR="00670376" w:rsidRPr="008C164C">
        <w:t xml:space="preserve"> </w:t>
      </w:r>
      <w:r w:rsidRPr="008C164C">
        <w:t xml:space="preserve">being </w:t>
      </w:r>
      <w:proofErr w:type="spellStart"/>
      <w:r w:rsidRPr="008C164C">
        <w:t>hMDR</w:t>
      </w:r>
      <w:proofErr w:type="spellEnd"/>
      <w:r w:rsidRPr="008C164C">
        <w:t xml:space="preserve"> </w:t>
      </w:r>
      <w:r w:rsidR="00670376" w:rsidRPr="008C164C">
        <w:t>sourced from</w:t>
      </w:r>
      <w:r w:rsidR="00C2673E" w:rsidRPr="008C164C">
        <w:t xml:space="preserve"> an analysis by the Kirby Institute</w:t>
      </w:r>
      <w:r w:rsidR="00670376" w:rsidRPr="008C164C">
        <w:t xml:space="preserve"> </w:t>
      </w:r>
      <w:r w:rsidR="00C2673E" w:rsidRPr="008C164C">
        <w:t>(</w:t>
      </w:r>
      <w:proofErr w:type="spellStart"/>
      <w:r w:rsidR="00670376" w:rsidRPr="008C164C">
        <w:t>Bajema</w:t>
      </w:r>
      <w:proofErr w:type="spellEnd"/>
      <w:r w:rsidR="00670376" w:rsidRPr="008C164C">
        <w:t xml:space="preserve"> 2020</w:t>
      </w:r>
      <w:r w:rsidR="00C2673E" w:rsidRPr="008C164C">
        <w:t>)</w:t>
      </w:r>
      <w:r w:rsidR="00670376" w:rsidRPr="008C164C">
        <w:t xml:space="preserve"> </w:t>
      </w:r>
      <w:r w:rsidRPr="008C164C">
        <w:t xml:space="preserve">was likely to be reasonable. </w:t>
      </w:r>
      <w:r w:rsidR="00173A3A" w:rsidRPr="008C164C">
        <w:t xml:space="preserve">However, the PBAC considered the uptake in practice was highly uncertain, as it was unclear how many </w:t>
      </w:r>
      <w:proofErr w:type="spellStart"/>
      <w:r w:rsidR="00173A3A" w:rsidRPr="008C164C">
        <w:t>hMDR</w:t>
      </w:r>
      <w:proofErr w:type="spellEnd"/>
      <w:r w:rsidR="00173A3A" w:rsidRPr="008C164C">
        <w:t xml:space="preserve"> patients are realising a clinical benefit on their current regimen, (i.e., even if not fully virologically suppressed, but have stable viral load and/or CD4 cell counts) and whether patients and prescribers in this group would seek to switch patients to a </w:t>
      </w:r>
      <w:r w:rsidR="006D1ED1">
        <w:t>LEN</w:t>
      </w:r>
      <w:r w:rsidR="006D1ED1" w:rsidRPr="008C164C">
        <w:t xml:space="preserve"> </w:t>
      </w:r>
      <w:r w:rsidR="00173A3A" w:rsidRPr="008C164C">
        <w:t xml:space="preserve">based regimen (paragraph  7.9, </w:t>
      </w:r>
      <w:proofErr w:type="spellStart"/>
      <w:r w:rsidR="00173A3A" w:rsidRPr="008C164C">
        <w:t>lenacapavir</w:t>
      </w:r>
      <w:proofErr w:type="spellEnd"/>
      <w:r w:rsidR="00173A3A" w:rsidRPr="008C164C">
        <w:t xml:space="preserve"> PSD, Nov 2022 PBAC meeting). </w:t>
      </w:r>
      <w:r w:rsidRPr="008C164C">
        <w:t>The</w:t>
      </w:r>
      <w:r w:rsidR="003F39C3" w:rsidRPr="008C164C">
        <w:t xml:space="preserve"> previous </w:t>
      </w:r>
      <w:r w:rsidR="00E70F81" w:rsidRPr="008C164C">
        <w:t xml:space="preserve">evaluation </w:t>
      </w:r>
      <w:r w:rsidRPr="008C164C">
        <w:t>noted that even small differences in this input could have a substantial impact on financial estimates</w:t>
      </w:r>
      <w:r w:rsidR="00173A3A" w:rsidRPr="008C164C">
        <w:t xml:space="preserve"> (paragraph 6.102, </w:t>
      </w:r>
      <w:proofErr w:type="spellStart"/>
      <w:r w:rsidR="00173A3A" w:rsidRPr="008C164C">
        <w:t>lenacapavir</w:t>
      </w:r>
      <w:proofErr w:type="spellEnd"/>
      <w:r w:rsidR="00173A3A" w:rsidRPr="008C164C">
        <w:t xml:space="preserve"> PSD, Nov 2022 PBAC meeting)</w:t>
      </w:r>
      <w:r w:rsidRPr="008C164C">
        <w:t>.</w:t>
      </w:r>
    </w:p>
    <w:p w14:paraId="245DDA3C" w14:textId="77674161" w:rsidR="006A488E" w:rsidRPr="008C164C" w:rsidRDefault="006A488E" w:rsidP="006A488E">
      <w:pPr>
        <w:pStyle w:val="3-BodyText"/>
      </w:pPr>
      <w:r w:rsidRPr="008C164C">
        <w:t xml:space="preserve">The resubmission stated that </w:t>
      </w:r>
      <w:r w:rsidR="009F1D0C" w:rsidRPr="008C164C">
        <w:t xml:space="preserve">an </w:t>
      </w:r>
      <w:r w:rsidRPr="008C164C">
        <w:t>Australian survey of clinical experts confirmed that 0.84% was a reasonable estimate</w:t>
      </w:r>
      <w:r w:rsidR="00256AC7" w:rsidRPr="008C164C">
        <w:t xml:space="preserve"> and further stated</w:t>
      </w:r>
      <w:r w:rsidRPr="008C164C">
        <w:t xml:space="preserve"> the survey of </w:t>
      </w:r>
      <w:r w:rsidR="00CA2B7D" w:rsidRPr="008C164C">
        <w:t xml:space="preserve">10 </w:t>
      </w:r>
      <w:r w:rsidRPr="008C164C">
        <w:t xml:space="preserve">clinicians experienced in the treatment of PLWH, including </w:t>
      </w:r>
      <w:proofErr w:type="spellStart"/>
      <w:r w:rsidRPr="008C164C">
        <w:t>hMDR</w:t>
      </w:r>
      <w:proofErr w:type="spellEnd"/>
      <w:r w:rsidR="00CA2B7D" w:rsidRPr="008C164C">
        <w:t>,</w:t>
      </w:r>
      <w:r w:rsidRPr="008C164C">
        <w:t xml:space="preserve"> estimated that their practices were treating 46 </w:t>
      </w:r>
      <w:proofErr w:type="spellStart"/>
      <w:r w:rsidRPr="008C164C">
        <w:t>hMDR</w:t>
      </w:r>
      <w:proofErr w:type="spellEnd"/>
      <w:r w:rsidRPr="008C164C">
        <w:t xml:space="preserve"> PLWH </w:t>
      </w:r>
      <w:r w:rsidR="00CA2B7D" w:rsidRPr="008C164C">
        <w:t xml:space="preserve">(of the 1,665 PLWH in their care) who would meet </w:t>
      </w:r>
      <w:r w:rsidRPr="008C164C">
        <w:t xml:space="preserve">the </w:t>
      </w:r>
      <w:r w:rsidR="00CA2B7D" w:rsidRPr="008C164C">
        <w:t xml:space="preserve">treatment criteria </w:t>
      </w:r>
      <w:r w:rsidRPr="008C164C">
        <w:t xml:space="preserve">as proposed in the PBS restriction </w:t>
      </w:r>
      <w:r w:rsidR="00CA2B7D" w:rsidRPr="008C164C">
        <w:t xml:space="preserve">for LEN </w:t>
      </w:r>
      <w:r w:rsidRPr="008C164C">
        <w:t xml:space="preserve">in this resubmission. The resubmission </w:t>
      </w:r>
      <w:r w:rsidR="009A32CF" w:rsidRPr="008C164C">
        <w:t>claimed</w:t>
      </w:r>
      <w:r w:rsidRPr="008C164C">
        <w:t xml:space="preserve"> that this therefore support</w:t>
      </w:r>
      <w:r w:rsidR="009A32CF" w:rsidRPr="008C164C">
        <w:t>ed</w:t>
      </w:r>
      <w:r w:rsidRPr="008C164C">
        <w:t xml:space="preserve"> the </w:t>
      </w:r>
      <w:r w:rsidR="009A32CF" w:rsidRPr="008C164C">
        <w:t xml:space="preserve">estimate of </w:t>
      </w:r>
      <w:r w:rsidR="00BD2C0F" w:rsidRPr="00BD2C0F">
        <w:t>&lt; 500</w:t>
      </w:r>
      <w:r w:rsidRPr="008C164C">
        <w:t xml:space="preserve"> </w:t>
      </w:r>
      <w:proofErr w:type="spellStart"/>
      <w:r w:rsidRPr="008C164C">
        <w:t>hMDR</w:t>
      </w:r>
      <w:proofErr w:type="spellEnd"/>
      <w:r w:rsidRPr="008C164C">
        <w:t xml:space="preserve"> PLWH in Australia in 2024 who </w:t>
      </w:r>
      <w:r w:rsidR="001B0F58" w:rsidRPr="008C164C">
        <w:t>would be eligible for LEN based on the requested restriction</w:t>
      </w:r>
      <w:r w:rsidRPr="008C164C">
        <w:t xml:space="preserve">. It was unclear to what extent these 10 </w:t>
      </w:r>
      <w:r w:rsidR="001B0F58" w:rsidRPr="008C164C">
        <w:t xml:space="preserve">clinicians’ </w:t>
      </w:r>
      <w:r w:rsidRPr="008C164C">
        <w:t xml:space="preserve">practices would be representative of the average in Australia. However, of the 10 surveyed clinicians, seven reported a proportion of </w:t>
      </w:r>
      <w:proofErr w:type="spellStart"/>
      <w:r w:rsidRPr="008C164C">
        <w:t>hMDR</w:t>
      </w:r>
      <w:proofErr w:type="spellEnd"/>
      <w:r w:rsidRPr="008C164C">
        <w:t xml:space="preserve"> </w:t>
      </w:r>
      <w:r w:rsidR="007321C2" w:rsidRPr="008C164C">
        <w:t xml:space="preserve">PLWH </w:t>
      </w:r>
      <w:r w:rsidRPr="008C164C">
        <w:t>greater than 0.84%</w:t>
      </w:r>
      <w:r w:rsidR="007321C2" w:rsidRPr="008C164C">
        <w:t xml:space="preserve"> under their care</w:t>
      </w:r>
      <w:r w:rsidRPr="008C164C">
        <w:t>, and the p</w:t>
      </w:r>
      <w:r w:rsidR="007321C2" w:rsidRPr="008C164C">
        <w:t>rop</w:t>
      </w:r>
      <w:r w:rsidRPr="008C164C">
        <w:t xml:space="preserve">ortion of </w:t>
      </w:r>
      <w:proofErr w:type="spellStart"/>
      <w:r w:rsidRPr="008C164C">
        <w:t>hMDR</w:t>
      </w:r>
      <w:proofErr w:type="spellEnd"/>
      <w:r w:rsidRPr="008C164C">
        <w:t xml:space="preserve"> </w:t>
      </w:r>
      <w:r w:rsidR="007321C2" w:rsidRPr="008C164C">
        <w:t xml:space="preserve">PLWH </w:t>
      </w:r>
      <w:r w:rsidRPr="008C164C">
        <w:t>treated by the clinicians surveyed was 2.76% (46/1,665), which was three times that of the resubmission’s assumption.</w:t>
      </w:r>
      <w:r w:rsidR="00A448B7" w:rsidRPr="008C164C">
        <w:t xml:space="preserve"> The PSCR reiterated the estimate </w:t>
      </w:r>
      <w:r w:rsidR="00E61A93" w:rsidRPr="008C164C">
        <w:t xml:space="preserve">of the Australian </w:t>
      </w:r>
      <w:proofErr w:type="spellStart"/>
      <w:r w:rsidR="00E61A93" w:rsidRPr="008C164C">
        <w:t>hMDR</w:t>
      </w:r>
      <w:proofErr w:type="spellEnd"/>
      <w:r w:rsidR="00E61A93" w:rsidRPr="008C164C">
        <w:t xml:space="preserve"> population of 0.84% of </w:t>
      </w:r>
      <w:r w:rsidR="0042529C" w:rsidRPr="008C164C">
        <w:t>PLWH</w:t>
      </w:r>
      <w:r w:rsidR="00E61A93" w:rsidRPr="008C164C">
        <w:t xml:space="preserve"> was consistent with previous advice from DUSC and PBAC.</w:t>
      </w:r>
      <w:r w:rsidR="00256AC7" w:rsidRPr="008C164C">
        <w:t xml:space="preserve"> Overall, the ESC considered the previous submission estimate of 0.84% of the PLWH population meeting the </w:t>
      </w:r>
      <w:proofErr w:type="spellStart"/>
      <w:r w:rsidR="00256AC7" w:rsidRPr="008C164C">
        <w:t>hMDR</w:t>
      </w:r>
      <w:proofErr w:type="spellEnd"/>
      <w:r w:rsidR="00256AC7" w:rsidRPr="008C164C">
        <w:t xml:space="preserve"> eligibility criteria for the proposed restriction remained likely to be the most reasonable estimate. </w:t>
      </w:r>
    </w:p>
    <w:p w14:paraId="006C3007" w14:textId="7B77E4E0" w:rsidR="006A488E" w:rsidRPr="008C164C" w:rsidRDefault="006B6AD6" w:rsidP="006A488E">
      <w:pPr>
        <w:pStyle w:val="3-BodyText"/>
      </w:pPr>
      <w:r w:rsidRPr="008C164C">
        <w:t>T</w:t>
      </w:r>
      <w:r w:rsidR="006A488E" w:rsidRPr="008C164C">
        <w:t>he number of eligible patients in year 1 in the resubmission (</w:t>
      </w:r>
      <w:r w:rsidR="00471758" w:rsidRPr="00BD2C0F">
        <w:t>&lt; 500</w:t>
      </w:r>
      <w:r w:rsidR="006A488E" w:rsidRPr="008C164C">
        <w:t>) was lower than in the previous submission (</w:t>
      </w:r>
      <w:r w:rsidR="00471758" w:rsidRPr="00BD2C0F">
        <w:t>&lt; 500</w:t>
      </w:r>
      <w:r w:rsidR="006A488E" w:rsidRPr="008C164C">
        <w:t>). This was due to a combination of a lower PL</w:t>
      </w:r>
      <w:r w:rsidR="00721DAD" w:rsidRPr="008C164C">
        <w:t>WH</w:t>
      </w:r>
      <w:r w:rsidR="006A488E" w:rsidRPr="008C164C">
        <w:t xml:space="preserve"> estimate and changes around assumption of proportion in care. </w:t>
      </w:r>
    </w:p>
    <w:p w14:paraId="65697635" w14:textId="3E2D2409" w:rsidR="00A448B7" w:rsidRPr="008C164C" w:rsidRDefault="006A488E" w:rsidP="00A42978">
      <w:pPr>
        <w:pStyle w:val="3-BodyText"/>
      </w:pPr>
      <w:r w:rsidRPr="008C164C">
        <w:t xml:space="preserve">The resubmission </w:t>
      </w:r>
      <w:r w:rsidR="00F82C8B" w:rsidRPr="008C164C">
        <w:t xml:space="preserve">applied the same uptake rate as the previous submission and </w:t>
      </w:r>
      <w:r w:rsidRPr="008C164C">
        <w:t xml:space="preserve">anticipated that initially </w:t>
      </w:r>
      <w:r w:rsidR="00851D33">
        <w:t xml:space="preserve"> </w:t>
      </w:r>
      <w:r w:rsidR="00851D33" w:rsidRPr="005D5F06">
        <w:rPr>
          <w:color w:val="000000"/>
          <w:w w:val="15"/>
          <w:shd w:val="solid" w:color="000000" w:fill="000000"/>
          <w:fitText w:val="-20" w:id="-1032080379"/>
          <w14:textFill>
            <w14:solidFill>
              <w14:srgbClr w14:val="000000">
                <w14:alpha w14:val="100000"/>
              </w14:srgbClr>
            </w14:solidFill>
          </w14:textFill>
        </w:rPr>
        <w:t xml:space="preserve">|  </w:t>
      </w:r>
      <w:r w:rsidR="00851D33" w:rsidRPr="005D5F06">
        <w:rPr>
          <w:color w:val="000000"/>
          <w:spacing w:val="-69"/>
          <w:w w:val="15"/>
          <w:shd w:val="solid" w:color="000000" w:fill="000000"/>
          <w:fitText w:val="-20" w:id="-1032080379"/>
          <w14:textFill>
            <w14:solidFill>
              <w14:srgbClr w14:val="000000">
                <w14:alpha w14:val="100000"/>
              </w14:srgbClr>
            </w14:solidFill>
          </w14:textFill>
        </w:rPr>
        <w:t>|</w:t>
      </w:r>
      <w:r w:rsidRPr="008C164C">
        <w:t xml:space="preserve">% of eligible patients will be prescribed LEN (Year 1) and this is expected to </w:t>
      </w:r>
      <w:r w:rsidR="00DE4FBD" w:rsidRPr="008C164C">
        <w:t>peak</w:t>
      </w:r>
      <w:r w:rsidR="008067CD" w:rsidRPr="008C164C">
        <w:t xml:space="preserve"> at </w:t>
      </w:r>
      <w:r w:rsidR="00851D33">
        <w:t xml:space="preserve"> </w:t>
      </w:r>
      <w:r w:rsidR="00851D33" w:rsidRPr="005D5F06">
        <w:rPr>
          <w:color w:val="000000"/>
          <w:w w:val="15"/>
          <w:shd w:val="solid" w:color="000000" w:fill="000000"/>
          <w:fitText w:val="-20" w:id="-1032080378"/>
          <w14:textFill>
            <w14:solidFill>
              <w14:srgbClr w14:val="000000">
                <w14:alpha w14:val="100000"/>
              </w14:srgbClr>
            </w14:solidFill>
          </w14:textFill>
        </w:rPr>
        <w:t xml:space="preserve">|  </w:t>
      </w:r>
      <w:r w:rsidR="00851D33" w:rsidRPr="005D5F06">
        <w:rPr>
          <w:color w:val="000000"/>
          <w:spacing w:val="-69"/>
          <w:w w:val="15"/>
          <w:shd w:val="solid" w:color="000000" w:fill="000000"/>
          <w:fitText w:val="-20" w:id="-1032080378"/>
          <w14:textFill>
            <w14:solidFill>
              <w14:srgbClr w14:val="000000">
                <w14:alpha w14:val="100000"/>
              </w14:srgbClr>
            </w14:solidFill>
          </w14:textFill>
        </w:rPr>
        <w:t>|</w:t>
      </w:r>
      <w:r w:rsidRPr="008C164C">
        <w:t xml:space="preserve">% of </w:t>
      </w:r>
      <w:r w:rsidR="00A42978" w:rsidRPr="008C164C">
        <w:t xml:space="preserve">the total eligible </w:t>
      </w:r>
      <w:r w:rsidRPr="008C164C">
        <w:t>patient</w:t>
      </w:r>
      <w:r w:rsidR="00A42978" w:rsidRPr="008C164C">
        <w:t xml:space="preserve"> pool</w:t>
      </w:r>
      <w:r w:rsidRPr="008C164C">
        <w:t xml:space="preserve"> by year 3 of the listing</w:t>
      </w:r>
      <w:r w:rsidR="008067CD" w:rsidRPr="008C164C">
        <w:t xml:space="preserve"> before slightly declining </w:t>
      </w:r>
      <w:r w:rsidR="00A42978" w:rsidRPr="008C164C">
        <w:t>(</w:t>
      </w:r>
      <w:r w:rsidR="00851D33">
        <w:t xml:space="preserve"> </w:t>
      </w:r>
      <w:r w:rsidR="00851D33" w:rsidRPr="005D5F06">
        <w:rPr>
          <w:color w:val="000000"/>
          <w:w w:val="15"/>
          <w:shd w:val="solid" w:color="000000" w:fill="000000"/>
          <w:fitText w:val="-20" w:id="-1032080377"/>
          <w14:textFill>
            <w14:solidFill>
              <w14:srgbClr w14:val="000000">
                <w14:alpha w14:val="100000"/>
              </w14:srgbClr>
            </w14:solidFill>
          </w14:textFill>
        </w:rPr>
        <w:t xml:space="preserve">|  </w:t>
      </w:r>
      <w:r w:rsidR="00851D33" w:rsidRPr="005D5F06">
        <w:rPr>
          <w:color w:val="000000"/>
          <w:spacing w:val="-69"/>
          <w:w w:val="15"/>
          <w:shd w:val="solid" w:color="000000" w:fill="000000"/>
          <w:fitText w:val="-20" w:id="-1032080377"/>
          <w14:textFill>
            <w14:solidFill>
              <w14:srgbClr w14:val="000000">
                <w14:alpha w14:val="100000"/>
              </w14:srgbClr>
            </w14:solidFill>
          </w14:textFill>
        </w:rPr>
        <w:t>|</w:t>
      </w:r>
      <w:r w:rsidR="00A42978" w:rsidRPr="008C164C">
        <w:t xml:space="preserve">%) </w:t>
      </w:r>
      <w:r w:rsidR="008067CD" w:rsidRPr="008C164C">
        <w:t xml:space="preserve">due to </w:t>
      </w:r>
      <w:r w:rsidR="009D00AD" w:rsidRPr="008C164C">
        <w:t>an assumed diminishing proportion of patients initiating treatment over time</w:t>
      </w:r>
      <w:r w:rsidRPr="008C164C">
        <w:t xml:space="preserve">. The resubmission noted that the commentary to the previous submission had suggested this uptake rate may be an underestimate, but the resubmission argued that as noted by the Australian survey </w:t>
      </w:r>
      <w:r w:rsidR="00DF36FF" w:rsidRPr="008C164C">
        <w:t>of clinicians</w:t>
      </w:r>
      <w:r w:rsidRPr="008C164C">
        <w:t xml:space="preserve">, a portion of </w:t>
      </w:r>
      <w:proofErr w:type="spellStart"/>
      <w:r w:rsidRPr="008C164C">
        <w:t>hMDR</w:t>
      </w:r>
      <w:proofErr w:type="spellEnd"/>
      <w:r w:rsidRPr="008C164C">
        <w:t xml:space="preserve"> PLWH have behavioural characteristics (i.e., some have particularly chaotic lives potentially with underlying mental health issues) which limit their adherence to antiretroviral therapy. Consequently, not all would</w:t>
      </w:r>
      <w:r w:rsidR="00FF10C3" w:rsidRPr="008C164C">
        <w:t xml:space="preserve"> opt to use LEN.</w:t>
      </w:r>
      <w:r w:rsidR="00251258" w:rsidRPr="008C164C">
        <w:t xml:space="preserve"> </w:t>
      </w:r>
      <w:r w:rsidRPr="008C164C">
        <w:t xml:space="preserve">This </w:t>
      </w:r>
      <w:r w:rsidR="00721DAD" w:rsidRPr="008C164C">
        <w:t>wa</w:t>
      </w:r>
      <w:r w:rsidRPr="008C164C">
        <w:t xml:space="preserve">s likely unreasonable, as adherence (or lack thereof) implies that treatment </w:t>
      </w:r>
      <w:r w:rsidR="006B14E0" w:rsidRPr="008C164C">
        <w:t>wa</w:t>
      </w:r>
      <w:r w:rsidRPr="008C164C">
        <w:t>s initiated in the first place, and lower uptake assume</w:t>
      </w:r>
      <w:r w:rsidR="006B14E0" w:rsidRPr="008C164C">
        <w:t>s</w:t>
      </w:r>
      <w:r w:rsidRPr="008C164C">
        <w:t xml:space="preserve"> </w:t>
      </w:r>
      <w:r w:rsidR="006B14E0" w:rsidRPr="008C164C">
        <w:t xml:space="preserve">that </w:t>
      </w:r>
      <w:r w:rsidRPr="008C164C">
        <w:t>treatment is not initiated. Additionally, patients not initiating AR</w:t>
      </w:r>
      <w:r w:rsidR="006B14E0" w:rsidRPr="008C164C">
        <w:t>Vs</w:t>
      </w:r>
      <w:r w:rsidRPr="008C164C">
        <w:t xml:space="preserve"> ha</w:t>
      </w:r>
      <w:r w:rsidR="006B14E0" w:rsidRPr="008C164C">
        <w:t>ve</w:t>
      </w:r>
      <w:r w:rsidRPr="008C164C">
        <w:t xml:space="preserve"> already been factored into the estimates. The DUSC </w:t>
      </w:r>
      <w:r w:rsidRPr="008C164C">
        <w:lastRenderedPageBreak/>
        <w:t>previously considered that as LEN is a salvage</w:t>
      </w:r>
      <w:r w:rsidR="00C26DC4" w:rsidRPr="008C164C">
        <w:t xml:space="preserve"> and/or</w:t>
      </w:r>
      <w:r w:rsidR="00466047" w:rsidRPr="008C164C">
        <w:t xml:space="preserve"> </w:t>
      </w:r>
      <w:r w:rsidRPr="008C164C">
        <w:t xml:space="preserve">end of life therapy, most patients would want to access therapy (p5, </w:t>
      </w:r>
      <w:proofErr w:type="spellStart"/>
      <w:r w:rsidRPr="008C164C">
        <w:t>lenacapavir</w:t>
      </w:r>
      <w:proofErr w:type="spellEnd"/>
      <w:r w:rsidRPr="008C164C">
        <w:t xml:space="preserve"> DUSC advice, November 2022 PBAC meeting).</w:t>
      </w:r>
      <w:r w:rsidR="00D961B7" w:rsidRPr="008C164C">
        <w:t xml:space="preserve"> The PBAC had considered that the uptake in practice was highly uncertain (paragraph 7.9, </w:t>
      </w:r>
      <w:proofErr w:type="spellStart"/>
      <w:r w:rsidR="00D961B7" w:rsidRPr="008C164C">
        <w:t>lenacapavir</w:t>
      </w:r>
      <w:proofErr w:type="spellEnd"/>
      <w:r w:rsidR="00D961B7" w:rsidRPr="008C164C">
        <w:t xml:space="preserve"> PSD, November 2022 PBAC meeting).</w:t>
      </w:r>
      <w:r w:rsidR="00256AC7" w:rsidRPr="008C164C">
        <w:t xml:space="preserve"> </w:t>
      </w:r>
    </w:p>
    <w:p w14:paraId="4EB21925" w14:textId="07A0F6DB" w:rsidR="006A488E" w:rsidRPr="008C164C" w:rsidRDefault="00256AC7" w:rsidP="00A42978">
      <w:pPr>
        <w:pStyle w:val="3-BodyText"/>
      </w:pPr>
      <w:r w:rsidRPr="008C164C">
        <w:t xml:space="preserve">The ESC remained concerned that uptake was highly uncertain because the proposed positioning, as a new therapeutic option in the salvage/end of life setting was likely to make it an attractive option for some patients, whilst there may also be a reluctance to alter treatment </w:t>
      </w:r>
      <w:r w:rsidR="00A448B7" w:rsidRPr="008C164C">
        <w:t>regimens</w:t>
      </w:r>
      <w:r w:rsidRPr="008C164C">
        <w:t xml:space="preserve"> for other patients where an acceptable therapeutic outcome is being achieved </w:t>
      </w:r>
      <w:r w:rsidR="00A448B7" w:rsidRPr="008C164C">
        <w:t xml:space="preserve">through currently available (albeit highly individualised) combinations of ARVs. The ESC considered there was a risk of leakage to use in other PLWH who may not meet the strict definition of being </w:t>
      </w:r>
      <w:proofErr w:type="spellStart"/>
      <w:r w:rsidR="00A448B7" w:rsidRPr="008C164C">
        <w:t>hMDR</w:t>
      </w:r>
      <w:proofErr w:type="spellEnd"/>
      <w:r w:rsidR="00A448B7" w:rsidRPr="008C164C">
        <w:t xml:space="preserve"> in the proposed listing, however it was uncertain about the potential magnitude of that risk. </w:t>
      </w:r>
    </w:p>
    <w:p w14:paraId="192C76C4" w14:textId="033FD33C" w:rsidR="0077733F" w:rsidRPr="008C164C" w:rsidRDefault="0077733F" w:rsidP="00957257">
      <w:pPr>
        <w:pStyle w:val="3-BodyText"/>
      </w:pPr>
      <w:r w:rsidRPr="008C164C">
        <w:t xml:space="preserve">The resubmission incorporated additional OBR costs due to the improved life expectancy from LEN (as derived from the economic modelling). </w:t>
      </w:r>
      <w:r w:rsidR="00930B5F" w:rsidRPr="008C164C">
        <w:t>Th</w:t>
      </w:r>
      <w:r w:rsidR="001F1398" w:rsidRPr="008C164C">
        <w:t>e mortality benefit</w:t>
      </w:r>
      <w:r w:rsidR="00930B5F" w:rsidRPr="008C164C">
        <w:t xml:space="preserve"> was likely overestimated</w:t>
      </w:r>
      <w:r w:rsidR="000B7117" w:rsidRPr="008C164C">
        <w:t xml:space="preserve"> in the economic model (see paragraph </w:t>
      </w:r>
      <w:r w:rsidR="00E149C4" w:rsidRPr="008C164C">
        <w:fldChar w:fldCharType="begin" w:fldLock="1"/>
      </w:r>
      <w:r w:rsidR="00E149C4" w:rsidRPr="008C164C">
        <w:instrText xml:space="preserve"> REF _Ref142934415 \r \h </w:instrText>
      </w:r>
      <w:r w:rsidR="00596CCE" w:rsidRPr="008C164C">
        <w:instrText xml:space="preserve"> \* MERGEFORMAT </w:instrText>
      </w:r>
      <w:r w:rsidR="00E149C4" w:rsidRPr="008C164C">
        <w:fldChar w:fldCharType="separate"/>
      </w:r>
      <w:r w:rsidR="00682506">
        <w:t>6.72</w:t>
      </w:r>
      <w:r w:rsidR="00E149C4" w:rsidRPr="008C164C">
        <w:fldChar w:fldCharType="end"/>
      </w:r>
      <w:r w:rsidR="001B2F41" w:rsidRPr="008C164C">
        <w:t>).</w:t>
      </w:r>
      <w:r w:rsidR="00E149C4" w:rsidRPr="008C164C">
        <w:t xml:space="preserve"> </w:t>
      </w:r>
      <w:r w:rsidR="008554AC" w:rsidRPr="008C164C">
        <w:t xml:space="preserve">The resubmission estimated the incremental increase in OBR costs by applying a cost of OBR (DPMQ $16,712 per annum) to </w:t>
      </w:r>
      <w:r w:rsidR="008554AC" w:rsidRPr="009D5A2C">
        <w:t>14%</w:t>
      </w:r>
      <w:r w:rsidR="008554AC" w:rsidRPr="008C164C">
        <w:t xml:space="preserve"> </w:t>
      </w:r>
      <w:r w:rsidR="003F39C3" w:rsidRPr="008C164C">
        <w:t>(</w:t>
      </w:r>
      <w:r w:rsidR="00F15706" w:rsidRPr="008C164C">
        <w:t xml:space="preserve">the average of each yearly increment modelled up to year 6) </w:t>
      </w:r>
      <w:r w:rsidR="008554AC" w:rsidRPr="008C164C">
        <w:t>of the estimated patient years on treatment in the attached financial model.</w:t>
      </w:r>
      <w:r w:rsidR="00FE3F7F" w:rsidRPr="008C164C">
        <w:t xml:space="preserve"> </w:t>
      </w:r>
      <w:r w:rsidRPr="008C164C">
        <w:t>Overall, accounting for increased use of OBR did not have a substantial impact on the financial estimates for listing LEN</w:t>
      </w:r>
      <w:r w:rsidR="0095223A" w:rsidRPr="008C164C">
        <w:t xml:space="preserve"> in the resubmission’s financial estimates</w:t>
      </w:r>
      <w:r w:rsidRPr="008C164C">
        <w:t>.</w:t>
      </w:r>
    </w:p>
    <w:p w14:paraId="23E34D99" w14:textId="4580400B" w:rsidR="00A41981" w:rsidRPr="008C164C" w:rsidRDefault="00A41981" w:rsidP="00A41981">
      <w:pPr>
        <w:pStyle w:val="3-BodyText"/>
      </w:pPr>
      <w:r w:rsidRPr="008C164C">
        <w:fldChar w:fldCharType="begin" w:fldLock="1"/>
      </w:r>
      <w:r w:rsidRPr="008C164C">
        <w:instrText xml:space="preserve"> REF _Ref104805295 \h </w:instrText>
      </w:r>
      <w:r w:rsidR="00596CCE" w:rsidRPr="008C164C">
        <w:instrText xml:space="preserve"> \* MERGEFORMAT </w:instrText>
      </w:r>
      <w:r w:rsidRPr="008C164C">
        <w:fldChar w:fldCharType="separate"/>
      </w:r>
      <w:r w:rsidR="00682506" w:rsidRPr="008C164C">
        <w:t xml:space="preserve">Table </w:t>
      </w:r>
      <w:r w:rsidR="00682506">
        <w:t>19</w:t>
      </w:r>
      <w:r w:rsidRPr="008C164C">
        <w:fldChar w:fldCharType="end"/>
      </w:r>
      <w:r w:rsidRPr="008C164C">
        <w:t xml:space="preserve"> presents the estimated use and financial implications.</w:t>
      </w:r>
    </w:p>
    <w:p w14:paraId="6224B7A7" w14:textId="7AE35D51" w:rsidR="00A41981" w:rsidRPr="008C164C" w:rsidRDefault="00A41981" w:rsidP="00A41981">
      <w:pPr>
        <w:pStyle w:val="Caption"/>
      </w:pPr>
      <w:bookmarkStart w:id="89" w:name="_Ref104805295"/>
      <w:r w:rsidRPr="008C164C">
        <w:t xml:space="preserve">Table </w:t>
      </w:r>
      <w:r w:rsidR="00B25BFE">
        <w:fldChar w:fldCharType="begin" w:fldLock="1"/>
      </w:r>
      <w:r w:rsidR="00B25BFE">
        <w:instrText xml:space="preserve"> SEQ Table \* ARABIC </w:instrText>
      </w:r>
      <w:r w:rsidR="00B25BFE">
        <w:fldChar w:fldCharType="separate"/>
      </w:r>
      <w:r w:rsidR="00682506">
        <w:rPr>
          <w:noProof/>
        </w:rPr>
        <w:t>19</w:t>
      </w:r>
      <w:r w:rsidR="00B25BFE">
        <w:rPr>
          <w:noProof/>
        </w:rPr>
        <w:fldChar w:fldCharType="end"/>
      </w:r>
      <w:bookmarkEnd w:id="89"/>
      <w:r w:rsidRPr="008C164C">
        <w:t>:</w:t>
      </w:r>
      <w:r w:rsidRPr="008C164C">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A41981" w:rsidRPr="008C164C" w14:paraId="0099E201" w14:textId="77777777" w:rsidTr="00240629">
        <w:trPr>
          <w:tblHeader/>
        </w:trPr>
        <w:tc>
          <w:tcPr>
            <w:tcW w:w="1334" w:type="pct"/>
            <w:shd w:val="clear" w:color="auto" w:fill="auto"/>
            <w:vAlign w:val="center"/>
          </w:tcPr>
          <w:p w14:paraId="35A6700A" w14:textId="77777777" w:rsidR="00A41981" w:rsidRPr="008C164C" w:rsidRDefault="00A41981" w:rsidP="00240629">
            <w:pPr>
              <w:pStyle w:val="In-tableHeading"/>
              <w:jc w:val="center"/>
              <w:rPr>
                <w:lang w:val="en-AU"/>
              </w:rPr>
            </w:pPr>
          </w:p>
        </w:tc>
        <w:tc>
          <w:tcPr>
            <w:tcW w:w="611" w:type="pct"/>
            <w:shd w:val="clear" w:color="auto" w:fill="auto"/>
            <w:vAlign w:val="center"/>
          </w:tcPr>
          <w:p w14:paraId="4D24F876" w14:textId="77777777" w:rsidR="00A41981" w:rsidRPr="008C164C" w:rsidRDefault="00A41981" w:rsidP="00240629">
            <w:pPr>
              <w:pStyle w:val="In-tableHeading"/>
              <w:jc w:val="center"/>
              <w:rPr>
                <w:lang w:val="en-AU"/>
              </w:rPr>
            </w:pPr>
            <w:r w:rsidRPr="008C164C">
              <w:rPr>
                <w:lang w:val="en-AU"/>
              </w:rPr>
              <w:t>Year 1</w:t>
            </w:r>
          </w:p>
        </w:tc>
        <w:tc>
          <w:tcPr>
            <w:tcW w:w="611" w:type="pct"/>
            <w:shd w:val="clear" w:color="auto" w:fill="auto"/>
            <w:vAlign w:val="center"/>
          </w:tcPr>
          <w:p w14:paraId="1E5CB5FD" w14:textId="77777777" w:rsidR="00A41981" w:rsidRPr="008C164C" w:rsidRDefault="00A41981" w:rsidP="00240629">
            <w:pPr>
              <w:pStyle w:val="In-tableHeading"/>
              <w:jc w:val="center"/>
              <w:rPr>
                <w:lang w:val="en-AU"/>
              </w:rPr>
            </w:pPr>
            <w:r w:rsidRPr="008C164C">
              <w:rPr>
                <w:lang w:val="en-AU"/>
              </w:rPr>
              <w:t>Year 2</w:t>
            </w:r>
          </w:p>
        </w:tc>
        <w:tc>
          <w:tcPr>
            <w:tcW w:w="611" w:type="pct"/>
            <w:shd w:val="clear" w:color="auto" w:fill="auto"/>
            <w:vAlign w:val="center"/>
          </w:tcPr>
          <w:p w14:paraId="65BE6CB2" w14:textId="77777777" w:rsidR="00A41981" w:rsidRPr="008C164C" w:rsidRDefault="00A41981" w:rsidP="00240629">
            <w:pPr>
              <w:pStyle w:val="In-tableHeading"/>
              <w:jc w:val="center"/>
              <w:rPr>
                <w:lang w:val="en-AU"/>
              </w:rPr>
            </w:pPr>
            <w:r w:rsidRPr="008C164C">
              <w:rPr>
                <w:lang w:val="en-AU"/>
              </w:rPr>
              <w:t>Year 3</w:t>
            </w:r>
          </w:p>
        </w:tc>
        <w:tc>
          <w:tcPr>
            <w:tcW w:w="611" w:type="pct"/>
            <w:shd w:val="clear" w:color="auto" w:fill="auto"/>
            <w:vAlign w:val="center"/>
          </w:tcPr>
          <w:p w14:paraId="555CD4EF" w14:textId="77777777" w:rsidR="00A41981" w:rsidRPr="008C164C" w:rsidRDefault="00A41981" w:rsidP="00240629">
            <w:pPr>
              <w:pStyle w:val="In-tableHeading"/>
              <w:jc w:val="center"/>
              <w:rPr>
                <w:lang w:val="en-AU"/>
              </w:rPr>
            </w:pPr>
            <w:r w:rsidRPr="008C164C">
              <w:rPr>
                <w:lang w:val="en-AU"/>
              </w:rPr>
              <w:t>Year 4</w:t>
            </w:r>
          </w:p>
        </w:tc>
        <w:tc>
          <w:tcPr>
            <w:tcW w:w="611" w:type="pct"/>
            <w:shd w:val="clear" w:color="auto" w:fill="auto"/>
            <w:vAlign w:val="center"/>
          </w:tcPr>
          <w:p w14:paraId="6561C0B8" w14:textId="77777777" w:rsidR="00A41981" w:rsidRPr="008C164C" w:rsidRDefault="00A41981" w:rsidP="00240629">
            <w:pPr>
              <w:pStyle w:val="In-tableHeading"/>
              <w:jc w:val="center"/>
              <w:rPr>
                <w:lang w:val="en-AU"/>
              </w:rPr>
            </w:pPr>
            <w:r w:rsidRPr="008C164C">
              <w:rPr>
                <w:lang w:val="en-AU"/>
              </w:rPr>
              <w:t>Year 5</w:t>
            </w:r>
          </w:p>
        </w:tc>
        <w:tc>
          <w:tcPr>
            <w:tcW w:w="611" w:type="pct"/>
          </w:tcPr>
          <w:p w14:paraId="722B4242" w14:textId="77777777" w:rsidR="00A41981" w:rsidRPr="008C164C" w:rsidRDefault="00A41981" w:rsidP="00240629">
            <w:pPr>
              <w:pStyle w:val="In-tableHeading"/>
              <w:jc w:val="center"/>
              <w:rPr>
                <w:lang w:val="en-AU"/>
              </w:rPr>
            </w:pPr>
            <w:r w:rsidRPr="008C164C">
              <w:rPr>
                <w:lang w:val="en-AU"/>
              </w:rPr>
              <w:t>Year 6</w:t>
            </w:r>
          </w:p>
        </w:tc>
      </w:tr>
      <w:tr w:rsidR="00A41981" w:rsidRPr="008C164C" w14:paraId="0A0ACD29" w14:textId="77777777" w:rsidTr="00240629">
        <w:tc>
          <w:tcPr>
            <w:tcW w:w="5000" w:type="pct"/>
            <w:gridSpan w:val="7"/>
            <w:shd w:val="clear" w:color="auto" w:fill="auto"/>
            <w:vAlign w:val="center"/>
          </w:tcPr>
          <w:p w14:paraId="2A7FF5F0" w14:textId="77777777" w:rsidR="00A41981" w:rsidRPr="008C164C" w:rsidRDefault="00A41981" w:rsidP="00240629">
            <w:pPr>
              <w:pStyle w:val="In-tableHeading"/>
              <w:rPr>
                <w:bCs/>
                <w:color w:val="000000"/>
                <w:lang w:val="en-AU"/>
              </w:rPr>
            </w:pPr>
            <w:r w:rsidRPr="008C164C">
              <w:rPr>
                <w:bCs/>
                <w:color w:val="000000"/>
                <w:lang w:val="en-AU"/>
              </w:rPr>
              <w:t>Estimated extent of use</w:t>
            </w:r>
          </w:p>
        </w:tc>
      </w:tr>
      <w:tr w:rsidR="004074BE" w:rsidRPr="008C164C" w14:paraId="4789E360" w14:textId="77777777" w:rsidTr="00240629">
        <w:tc>
          <w:tcPr>
            <w:tcW w:w="1334" w:type="pct"/>
            <w:shd w:val="clear" w:color="auto" w:fill="auto"/>
            <w:vAlign w:val="center"/>
          </w:tcPr>
          <w:p w14:paraId="23C742DA" w14:textId="06A6ADA5" w:rsidR="004074BE" w:rsidRPr="008C164C" w:rsidRDefault="004074BE" w:rsidP="004074BE">
            <w:pPr>
              <w:pStyle w:val="TableText0"/>
            </w:pPr>
            <w:r>
              <w:t>Eligible patients</w:t>
            </w:r>
          </w:p>
        </w:tc>
        <w:tc>
          <w:tcPr>
            <w:tcW w:w="611" w:type="pct"/>
            <w:shd w:val="clear" w:color="auto" w:fill="auto"/>
            <w:vAlign w:val="center"/>
          </w:tcPr>
          <w:p w14:paraId="2E5C7BD0" w14:textId="3FFCCEDB" w:rsidR="004074BE" w:rsidRPr="00B55449" w:rsidRDefault="00851D33" w:rsidP="004074BE">
            <w:pPr>
              <w:pStyle w:val="TableText0"/>
              <w:jc w:val="center"/>
              <w:rPr>
                <w:highlight w:val="darkGray"/>
              </w:rPr>
            </w:pPr>
            <w:r>
              <w:t xml:space="preserve"> </w:t>
            </w:r>
            <w:r w:rsidRPr="00851D33">
              <w:rPr>
                <w:rFonts w:hint="eastAsia"/>
                <w:color w:val="000000"/>
                <w:w w:val="15"/>
                <w:shd w:val="solid" w:color="000000" w:fill="000000"/>
                <w:fitText w:val="70" w:id="-1032080376"/>
                <w14:textFill>
                  <w14:solidFill>
                    <w14:srgbClr w14:val="000000">
                      <w14:alpha w14:val="100000"/>
                    </w14:srgbClr>
                  </w14:solidFill>
                </w14:textFill>
              </w:rPr>
              <w:t xml:space="preserve">　</w:t>
            </w:r>
            <w:r w:rsidRPr="00851D33">
              <w:rPr>
                <w:color w:val="000000"/>
                <w:w w:val="15"/>
                <w:shd w:val="solid" w:color="000000" w:fill="000000"/>
                <w:fitText w:val="70" w:id="-1032080376"/>
                <w14:textFill>
                  <w14:solidFill>
                    <w14:srgbClr w14:val="000000">
                      <w14:alpha w14:val="100000"/>
                    </w14:srgbClr>
                  </w14:solidFill>
                </w14:textFill>
              </w:rPr>
              <w:t>|</w:t>
            </w:r>
            <w:r w:rsidRPr="00851D33">
              <w:rPr>
                <w:rFonts w:hint="eastAsia"/>
                <w:color w:val="000000"/>
                <w:spacing w:val="4"/>
                <w:w w:val="15"/>
                <w:shd w:val="solid" w:color="000000" w:fill="000000"/>
                <w:fitText w:val="70" w:id="-1032080376"/>
                <w14:textFill>
                  <w14:solidFill>
                    <w14:srgbClr w14:val="000000">
                      <w14:alpha w14:val="100000"/>
                    </w14:srgbClr>
                  </w14:solidFill>
                </w14:textFill>
              </w:rPr>
              <w:t xml:space="preserve">　</w:t>
            </w:r>
            <w:r w:rsidR="00AF4BBB">
              <w:rPr>
                <w:vertAlign w:val="superscript"/>
              </w:rPr>
              <w:t>1</w:t>
            </w:r>
          </w:p>
        </w:tc>
        <w:tc>
          <w:tcPr>
            <w:tcW w:w="611" w:type="pct"/>
            <w:shd w:val="clear" w:color="auto" w:fill="auto"/>
            <w:vAlign w:val="center"/>
          </w:tcPr>
          <w:p w14:paraId="2D06B381" w14:textId="579A45F8" w:rsidR="004074BE" w:rsidRPr="00B55449" w:rsidRDefault="00851D33" w:rsidP="004074BE">
            <w:pPr>
              <w:pStyle w:val="TableText0"/>
              <w:jc w:val="center"/>
              <w:rPr>
                <w:highlight w:val="darkGray"/>
              </w:rPr>
            </w:pPr>
            <w:r>
              <w:t xml:space="preserve"> </w:t>
            </w:r>
            <w:r w:rsidRPr="00851D33">
              <w:rPr>
                <w:color w:val="000000"/>
                <w:spacing w:val="46"/>
                <w:shd w:val="solid" w:color="000000" w:fill="000000"/>
                <w:fitText w:val="310" w:id="-1032080375"/>
                <w14:textFill>
                  <w14:solidFill>
                    <w14:srgbClr w14:val="000000">
                      <w14:alpha w14:val="100000"/>
                    </w14:srgbClr>
                  </w14:solidFill>
                </w14:textFill>
              </w:rPr>
              <w:t>|||</w:t>
            </w:r>
            <w:r w:rsidRPr="00851D33">
              <w:rPr>
                <w:color w:val="000000"/>
                <w:spacing w:val="2"/>
                <w:shd w:val="solid" w:color="000000" w:fill="000000"/>
                <w:fitText w:val="310" w:id="-1032080375"/>
                <w14:textFill>
                  <w14:solidFill>
                    <w14:srgbClr w14:val="000000">
                      <w14:alpha w14:val="100000"/>
                    </w14:srgbClr>
                  </w14:solidFill>
                </w14:textFill>
              </w:rPr>
              <w:t>|</w:t>
            </w:r>
            <w:r w:rsidR="00AF4BBB">
              <w:rPr>
                <w:vertAlign w:val="superscript"/>
              </w:rPr>
              <w:t>1</w:t>
            </w:r>
            <w:r>
              <w:t xml:space="preserve"> </w:t>
            </w:r>
            <w:r w:rsidRPr="00851D33">
              <w:rPr>
                <w:color w:val="000000"/>
                <w:spacing w:val="174"/>
                <w:shd w:val="solid" w:color="000000" w:fill="000000"/>
                <w:fitText w:val="260" w:id="-1032080374"/>
                <w14:textFill>
                  <w14:solidFill>
                    <w14:srgbClr w14:val="000000">
                      <w14:alpha w14:val="100000"/>
                    </w14:srgbClr>
                  </w14:solidFill>
                </w14:textFill>
              </w:rPr>
              <w:t>|</w:t>
            </w:r>
            <w:r w:rsidRPr="00851D33">
              <w:rPr>
                <w:color w:val="000000"/>
                <w:spacing w:val="1"/>
                <w:shd w:val="solid" w:color="000000" w:fill="000000"/>
                <w:fitText w:val="260" w:id="-1032080374"/>
                <w14:textFill>
                  <w14:solidFill>
                    <w14:srgbClr w14:val="000000">
                      <w14:alpha w14:val="100000"/>
                    </w14:srgbClr>
                  </w14:solidFill>
                </w14:textFill>
              </w:rPr>
              <w:t>|</w:t>
            </w:r>
          </w:p>
        </w:tc>
        <w:tc>
          <w:tcPr>
            <w:tcW w:w="611" w:type="pct"/>
            <w:shd w:val="clear" w:color="auto" w:fill="auto"/>
            <w:vAlign w:val="center"/>
          </w:tcPr>
          <w:p w14:paraId="752126A4" w14:textId="330097AB" w:rsidR="004074BE" w:rsidRPr="00B55449" w:rsidRDefault="00851D33" w:rsidP="004074BE">
            <w:pPr>
              <w:pStyle w:val="TableText0"/>
              <w:jc w:val="center"/>
              <w:rPr>
                <w:highlight w:val="darkGray"/>
              </w:rPr>
            </w:pPr>
            <w:r>
              <w:t xml:space="preserve"> </w:t>
            </w:r>
            <w:r w:rsidRPr="00851D33">
              <w:rPr>
                <w:color w:val="000000"/>
                <w:spacing w:val="46"/>
                <w:shd w:val="solid" w:color="000000" w:fill="000000"/>
                <w:fitText w:val="310" w:id="-1032080373"/>
                <w14:textFill>
                  <w14:solidFill>
                    <w14:srgbClr w14:val="000000">
                      <w14:alpha w14:val="100000"/>
                    </w14:srgbClr>
                  </w14:solidFill>
                </w14:textFill>
              </w:rPr>
              <w:t>|||</w:t>
            </w:r>
            <w:r w:rsidRPr="00851D33">
              <w:rPr>
                <w:color w:val="000000"/>
                <w:spacing w:val="2"/>
                <w:shd w:val="solid" w:color="000000" w:fill="000000"/>
                <w:fitText w:val="310" w:id="-1032080373"/>
                <w14:textFill>
                  <w14:solidFill>
                    <w14:srgbClr w14:val="000000">
                      <w14:alpha w14:val="100000"/>
                    </w14:srgbClr>
                  </w14:solidFill>
                </w14:textFill>
              </w:rPr>
              <w:t>|</w:t>
            </w:r>
            <w:r w:rsidR="00AF4BBB">
              <w:rPr>
                <w:vertAlign w:val="superscript"/>
              </w:rPr>
              <w:t>1</w:t>
            </w:r>
            <w:r>
              <w:t xml:space="preserve"> </w:t>
            </w:r>
            <w:r w:rsidRPr="00851D33">
              <w:rPr>
                <w:color w:val="000000"/>
                <w:spacing w:val="174"/>
                <w:shd w:val="solid" w:color="000000" w:fill="000000"/>
                <w:fitText w:val="260" w:id="-1032080372"/>
                <w14:textFill>
                  <w14:solidFill>
                    <w14:srgbClr w14:val="000000">
                      <w14:alpha w14:val="100000"/>
                    </w14:srgbClr>
                  </w14:solidFill>
                </w14:textFill>
              </w:rPr>
              <w:t>|</w:t>
            </w:r>
            <w:r w:rsidRPr="00851D33">
              <w:rPr>
                <w:color w:val="000000"/>
                <w:spacing w:val="1"/>
                <w:shd w:val="solid" w:color="000000" w:fill="000000"/>
                <w:fitText w:val="260" w:id="-1032080372"/>
                <w14:textFill>
                  <w14:solidFill>
                    <w14:srgbClr w14:val="000000">
                      <w14:alpha w14:val="100000"/>
                    </w14:srgbClr>
                  </w14:solidFill>
                </w14:textFill>
              </w:rPr>
              <w:t>|</w:t>
            </w:r>
          </w:p>
        </w:tc>
        <w:tc>
          <w:tcPr>
            <w:tcW w:w="611" w:type="pct"/>
            <w:shd w:val="clear" w:color="auto" w:fill="auto"/>
            <w:vAlign w:val="center"/>
          </w:tcPr>
          <w:p w14:paraId="13D4460F" w14:textId="7BF6F9F1" w:rsidR="004074BE" w:rsidRPr="00B55449" w:rsidRDefault="00851D33" w:rsidP="004074BE">
            <w:pPr>
              <w:pStyle w:val="TableText0"/>
              <w:jc w:val="center"/>
              <w:rPr>
                <w:highlight w:val="darkGray"/>
              </w:rPr>
            </w:pPr>
            <w:r>
              <w:t xml:space="preserve"> </w:t>
            </w:r>
            <w:r w:rsidRPr="00851D33">
              <w:rPr>
                <w:color w:val="000000"/>
                <w:spacing w:val="46"/>
                <w:shd w:val="solid" w:color="000000" w:fill="000000"/>
                <w:fitText w:val="310" w:id="-1032080371"/>
                <w14:textFill>
                  <w14:solidFill>
                    <w14:srgbClr w14:val="000000">
                      <w14:alpha w14:val="100000"/>
                    </w14:srgbClr>
                  </w14:solidFill>
                </w14:textFill>
              </w:rPr>
              <w:t>|||</w:t>
            </w:r>
            <w:r w:rsidRPr="00851D33">
              <w:rPr>
                <w:color w:val="000000"/>
                <w:spacing w:val="2"/>
                <w:shd w:val="solid" w:color="000000" w:fill="000000"/>
                <w:fitText w:val="310" w:id="-1032080371"/>
                <w14:textFill>
                  <w14:solidFill>
                    <w14:srgbClr w14:val="000000">
                      <w14:alpha w14:val="100000"/>
                    </w14:srgbClr>
                  </w14:solidFill>
                </w14:textFill>
              </w:rPr>
              <w:t>|</w:t>
            </w:r>
            <w:r w:rsidR="00AF4BBB">
              <w:rPr>
                <w:vertAlign w:val="superscript"/>
              </w:rPr>
              <w:t>1</w:t>
            </w:r>
            <w:r>
              <w:t xml:space="preserve"> </w:t>
            </w:r>
            <w:r w:rsidRPr="00851D33">
              <w:rPr>
                <w:color w:val="000000"/>
                <w:spacing w:val="174"/>
                <w:shd w:val="solid" w:color="000000" w:fill="000000"/>
                <w:fitText w:val="260" w:id="-1032080370"/>
                <w14:textFill>
                  <w14:solidFill>
                    <w14:srgbClr w14:val="000000">
                      <w14:alpha w14:val="100000"/>
                    </w14:srgbClr>
                  </w14:solidFill>
                </w14:textFill>
              </w:rPr>
              <w:t>|</w:t>
            </w:r>
            <w:r w:rsidRPr="00851D33">
              <w:rPr>
                <w:color w:val="000000"/>
                <w:spacing w:val="1"/>
                <w:shd w:val="solid" w:color="000000" w:fill="000000"/>
                <w:fitText w:val="260" w:id="-1032080370"/>
                <w14:textFill>
                  <w14:solidFill>
                    <w14:srgbClr w14:val="000000">
                      <w14:alpha w14:val="100000"/>
                    </w14:srgbClr>
                  </w14:solidFill>
                </w14:textFill>
              </w:rPr>
              <w:t>|</w:t>
            </w:r>
          </w:p>
        </w:tc>
        <w:tc>
          <w:tcPr>
            <w:tcW w:w="611" w:type="pct"/>
            <w:shd w:val="clear" w:color="auto" w:fill="auto"/>
            <w:vAlign w:val="center"/>
          </w:tcPr>
          <w:p w14:paraId="51907741" w14:textId="498D07BE" w:rsidR="004074BE" w:rsidRPr="00B55449" w:rsidRDefault="00851D33" w:rsidP="004074BE">
            <w:pPr>
              <w:pStyle w:val="TableText0"/>
              <w:jc w:val="center"/>
              <w:rPr>
                <w:highlight w:val="darkGray"/>
              </w:rPr>
            </w:pPr>
            <w:r>
              <w:t xml:space="preserve"> </w:t>
            </w:r>
            <w:r w:rsidRPr="00851D33">
              <w:rPr>
                <w:color w:val="000000"/>
                <w:spacing w:val="46"/>
                <w:shd w:val="solid" w:color="000000" w:fill="000000"/>
                <w:fitText w:val="310" w:id="-1032080369"/>
                <w14:textFill>
                  <w14:solidFill>
                    <w14:srgbClr w14:val="000000">
                      <w14:alpha w14:val="100000"/>
                    </w14:srgbClr>
                  </w14:solidFill>
                </w14:textFill>
              </w:rPr>
              <w:t>|||</w:t>
            </w:r>
            <w:r w:rsidRPr="00851D33">
              <w:rPr>
                <w:color w:val="000000"/>
                <w:spacing w:val="2"/>
                <w:shd w:val="solid" w:color="000000" w:fill="000000"/>
                <w:fitText w:val="310" w:id="-1032080369"/>
                <w14:textFill>
                  <w14:solidFill>
                    <w14:srgbClr w14:val="000000">
                      <w14:alpha w14:val="100000"/>
                    </w14:srgbClr>
                  </w14:solidFill>
                </w14:textFill>
              </w:rPr>
              <w:t>|</w:t>
            </w:r>
            <w:r w:rsidR="00AF4BBB">
              <w:rPr>
                <w:vertAlign w:val="superscript"/>
              </w:rPr>
              <w:t>1</w:t>
            </w:r>
            <w:r>
              <w:t xml:space="preserve"> </w:t>
            </w:r>
            <w:r w:rsidRPr="00851D33">
              <w:rPr>
                <w:color w:val="000000"/>
                <w:spacing w:val="174"/>
                <w:shd w:val="solid" w:color="000000" w:fill="000000"/>
                <w:fitText w:val="260" w:id="-1032080368"/>
                <w14:textFill>
                  <w14:solidFill>
                    <w14:srgbClr w14:val="000000">
                      <w14:alpha w14:val="100000"/>
                    </w14:srgbClr>
                  </w14:solidFill>
                </w14:textFill>
              </w:rPr>
              <w:t>|</w:t>
            </w:r>
            <w:r w:rsidRPr="00851D33">
              <w:rPr>
                <w:color w:val="000000"/>
                <w:spacing w:val="1"/>
                <w:shd w:val="solid" w:color="000000" w:fill="000000"/>
                <w:fitText w:val="260" w:id="-1032080368"/>
                <w14:textFill>
                  <w14:solidFill>
                    <w14:srgbClr w14:val="000000">
                      <w14:alpha w14:val="100000"/>
                    </w14:srgbClr>
                  </w14:solidFill>
                </w14:textFill>
              </w:rPr>
              <w:t>|</w:t>
            </w:r>
          </w:p>
        </w:tc>
        <w:tc>
          <w:tcPr>
            <w:tcW w:w="611" w:type="pct"/>
            <w:vAlign w:val="center"/>
          </w:tcPr>
          <w:p w14:paraId="2E3BCF3B" w14:textId="677210DA" w:rsidR="004074BE" w:rsidRPr="00B55449" w:rsidRDefault="00851D33" w:rsidP="004074BE">
            <w:pPr>
              <w:pStyle w:val="TableText0"/>
              <w:jc w:val="center"/>
              <w:rPr>
                <w:highlight w:val="darkGray"/>
              </w:rPr>
            </w:pPr>
            <w:r>
              <w:t xml:space="preserve"> </w:t>
            </w:r>
            <w:r w:rsidRPr="00851D33">
              <w:rPr>
                <w:color w:val="000000"/>
                <w:spacing w:val="46"/>
                <w:shd w:val="solid" w:color="000000" w:fill="000000"/>
                <w:fitText w:val="310" w:id="-1032080384"/>
                <w14:textFill>
                  <w14:solidFill>
                    <w14:srgbClr w14:val="000000">
                      <w14:alpha w14:val="100000"/>
                    </w14:srgbClr>
                  </w14:solidFill>
                </w14:textFill>
              </w:rPr>
              <w:t>|||</w:t>
            </w:r>
            <w:r w:rsidRPr="00851D33">
              <w:rPr>
                <w:color w:val="000000"/>
                <w:spacing w:val="2"/>
                <w:shd w:val="solid" w:color="000000" w:fill="000000"/>
                <w:fitText w:val="310" w:id="-1032080384"/>
                <w14:textFill>
                  <w14:solidFill>
                    <w14:srgbClr w14:val="000000">
                      <w14:alpha w14:val="100000"/>
                    </w14:srgbClr>
                  </w14:solidFill>
                </w14:textFill>
              </w:rPr>
              <w:t>|</w:t>
            </w:r>
            <w:r w:rsidR="00AF4BBB">
              <w:rPr>
                <w:vertAlign w:val="superscript"/>
              </w:rPr>
              <w:t>1</w:t>
            </w:r>
            <w:r>
              <w:t xml:space="preserve"> </w:t>
            </w:r>
            <w:r w:rsidRPr="00851D33">
              <w:rPr>
                <w:color w:val="000000"/>
                <w:spacing w:val="174"/>
                <w:shd w:val="solid" w:color="000000" w:fill="000000"/>
                <w:fitText w:val="260" w:id="-1032080383"/>
                <w14:textFill>
                  <w14:solidFill>
                    <w14:srgbClr w14:val="000000">
                      <w14:alpha w14:val="100000"/>
                    </w14:srgbClr>
                  </w14:solidFill>
                </w14:textFill>
              </w:rPr>
              <w:t>|</w:t>
            </w:r>
            <w:r w:rsidRPr="00851D33">
              <w:rPr>
                <w:color w:val="000000"/>
                <w:spacing w:val="1"/>
                <w:shd w:val="solid" w:color="000000" w:fill="000000"/>
                <w:fitText w:val="260" w:id="-1032080383"/>
                <w14:textFill>
                  <w14:solidFill>
                    <w14:srgbClr w14:val="000000">
                      <w14:alpha w14:val="100000"/>
                    </w14:srgbClr>
                  </w14:solidFill>
                </w14:textFill>
              </w:rPr>
              <w:t>|</w:t>
            </w:r>
          </w:p>
        </w:tc>
      </w:tr>
      <w:tr w:rsidR="004074BE" w:rsidRPr="008C164C" w14:paraId="2698905E" w14:textId="77777777" w:rsidTr="00240629">
        <w:tc>
          <w:tcPr>
            <w:tcW w:w="1334" w:type="pct"/>
            <w:shd w:val="clear" w:color="auto" w:fill="auto"/>
            <w:vAlign w:val="center"/>
          </w:tcPr>
          <w:p w14:paraId="48DFB272" w14:textId="1328396B" w:rsidR="004074BE" w:rsidRPr="008C164C" w:rsidRDefault="004074BE" w:rsidP="004074BE">
            <w:pPr>
              <w:pStyle w:val="TableText0"/>
            </w:pPr>
            <w:r>
              <w:t>Patients electing treatment</w:t>
            </w:r>
          </w:p>
        </w:tc>
        <w:tc>
          <w:tcPr>
            <w:tcW w:w="611" w:type="pct"/>
            <w:shd w:val="clear" w:color="auto" w:fill="auto"/>
            <w:vAlign w:val="center"/>
          </w:tcPr>
          <w:p w14:paraId="48CD99A1" w14:textId="77BAE89E" w:rsidR="004074BE" w:rsidRPr="008C164C" w:rsidRDefault="00851D33" w:rsidP="004074BE">
            <w:pPr>
              <w:pStyle w:val="TableText0"/>
              <w:jc w:val="center"/>
            </w:pPr>
            <w:r>
              <w:t xml:space="preserve"> </w:t>
            </w:r>
            <w:r w:rsidRPr="00851D33">
              <w:rPr>
                <w:rFonts w:hint="eastAsia"/>
                <w:color w:val="000000"/>
                <w:w w:val="27"/>
                <w:shd w:val="solid" w:color="000000" w:fill="000000"/>
                <w:fitText w:val="120" w:id="-1032080382"/>
                <w14:textFill>
                  <w14:solidFill>
                    <w14:srgbClr w14:val="000000">
                      <w14:alpha w14:val="100000"/>
                    </w14:srgbClr>
                  </w14:solidFill>
                </w14:textFill>
              </w:rPr>
              <w:t xml:space="preserve">　</w:t>
            </w:r>
            <w:r w:rsidRPr="00851D33">
              <w:rPr>
                <w:color w:val="000000"/>
                <w:w w:val="27"/>
                <w:shd w:val="solid" w:color="000000" w:fill="000000"/>
                <w:fitText w:val="120" w:id="-1032080382"/>
                <w14:textFill>
                  <w14:solidFill>
                    <w14:srgbClr w14:val="000000">
                      <w14:alpha w14:val="100000"/>
                    </w14:srgbClr>
                  </w14:solidFill>
                </w14:textFill>
              </w:rPr>
              <w:t>|</w:t>
            </w:r>
            <w:r w:rsidRPr="00851D33">
              <w:rPr>
                <w:rFonts w:hint="eastAsia"/>
                <w:color w:val="000000"/>
                <w:spacing w:val="2"/>
                <w:w w:val="27"/>
                <w:shd w:val="solid" w:color="000000" w:fill="000000"/>
                <w:fitText w:val="120" w:id="-1032080382"/>
                <w14:textFill>
                  <w14:solidFill>
                    <w14:srgbClr w14:val="000000">
                      <w14:alpha w14:val="100000"/>
                    </w14:srgbClr>
                  </w14:solidFill>
                </w14:textFill>
              </w:rPr>
              <w:t xml:space="preserve">　</w:t>
            </w:r>
            <w:r w:rsidR="004074BE" w:rsidRPr="004074BE">
              <w:t>%</w:t>
            </w:r>
          </w:p>
        </w:tc>
        <w:tc>
          <w:tcPr>
            <w:tcW w:w="611" w:type="pct"/>
            <w:shd w:val="clear" w:color="auto" w:fill="auto"/>
            <w:vAlign w:val="center"/>
          </w:tcPr>
          <w:p w14:paraId="128B83A4" w14:textId="18ED428B" w:rsidR="004074BE" w:rsidRPr="008C164C" w:rsidRDefault="00851D33" w:rsidP="004074BE">
            <w:pPr>
              <w:pStyle w:val="TableText0"/>
              <w:jc w:val="center"/>
            </w:pPr>
            <w:r>
              <w:t xml:space="preserve"> </w:t>
            </w:r>
            <w:r w:rsidRPr="00851D33">
              <w:rPr>
                <w:rFonts w:hint="eastAsia"/>
                <w:color w:val="000000"/>
                <w:w w:val="27"/>
                <w:shd w:val="solid" w:color="000000" w:fill="000000"/>
                <w:fitText w:val="120" w:id="-1032080381"/>
                <w14:textFill>
                  <w14:solidFill>
                    <w14:srgbClr w14:val="000000">
                      <w14:alpha w14:val="100000"/>
                    </w14:srgbClr>
                  </w14:solidFill>
                </w14:textFill>
              </w:rPr>
              <w:t xml:space="preserve">　</w:t>
            </w:r>
            <w:r w:rsidRPr="00851D33">
              <w:rPr>
                <w:color w:val="000000"/>
                <w:w w:val="27"/>
                <w:shd w:val="solid" w:color="000000" w:fill="000000"/>
                <w:fitText w:val="120" w:id="-1032080381"/>
                <w14:textFill>
                  <w14:solidFill>
                    <w14:srgbClr w14:val="000000">
                      <w14:alpha w14:val="100000"/>
                    </w14:srgbClr>
                  </w14:solidFill>
                </w14:textFill>
              </w:rPr>
              <w:t>|</w:t>
            </w:r>
            <w:r w:rsidRPr="00851D33">
              <w:rPr>
                <w:rFonts w:hint="eastAsia"/>
                <w:color w:val="000000"/>
                <w:spacing w:val="2"/>
                <w:w w:val="27"/>
                <w:shd w:val="solid" w:color="000000" w:fill="000000"/>
                <w:fitText w:val="120" w:id="-1032080381"/>
                <w14:textFill>
                  <w14:solidFill>
                    <w14:srgbClr w14:val="000000">
                      <w14:alpha w14:val="100000"/>
                    </w14:srgbClr>
                  </w14:solidFill>
                </w14:textFill>
              </w:rPr>
              <w:t xml:space="preserve">　</w:t>
            </w:r>
            <w:r w:rsidR="004074BE" w:rsidRPr="004074BE">
              <w:t>%</w:t>
            </w:r>
          </w:p>
        </w:tc>
        <w:tc>
          <w:tcPr>
            <w:tcW w:w="611" w:type="pct"/>
            <w:shd w:val="clear" w:color="auto" w:fill="auto"/>
            <w:vAlign w:val="center"/>
          </w:tcPr>
          <w:p w14:paraId="0D45EF5E" w14:textId="017CDDB3" w:rsidR="004074BE" w:rsidRPr="008C164C" w:rsidRDefault="00851D33" w:rsidP="004074BE">
            <w:pPr>
              <w:pStyle w:val="TableText0"/>
              <w:jc w:val="center"/>
            </w:pPr>
            <w:r>
              <w:t xml:space="preserve"> </w:t>
            </w:r>
            <w:r w:rsidRPr="00851D33">
              <w:rPr>
                <w:rFonts w:hint="eastAsia"/>
                <w:color w:val="000000"/>
                <w:w w:val="27"/>
                <w:shd w:val="solid" w:color="000000" w:fill="000000"/>
                <w:fitText w:val="120" w:id="-1032080380"/>
                <w14:textFill>
                  <w14:solidFill>
                    <w14:srgbClr w14:val="000000">
                      <w14:alpha w14:val="100000"/>
                    </w14:srgbClr>
                  </w14:solidFill>
                </w14:textFill>
              </w:rPr>
              <w:t xml:space="preserve">　</w:t>
            </w:r>
            <w:r w:rsidRPr="00851D33">
              <w:rPr>
                <w:color w:val="000000"/>
                <w:w w:val="27"/>
                <w:shd w:val="solid" w:color="000000" w:fill="000000"/>
                <w:fitText w:val="120" w:id="-1032080380"/>
                <w14:textFill>
                  <w14:solidFill>
                    <w14:srgbClr w14:val="000000">
                      <w14:alpha w14:val="100000"/>
                    </w14:srgbClr>
                  </w14:solidFill>
                </w14:textFill>
              </w:rPr>
              <w:t>|</w:t>
            </w:r>
            <w:r w:rsidRPr="00851D33">
              <w:rPr>
                <w:rFonts w:hint="eastAsia"/>
                <w:color w:val="000000"/>
                <w:spacing w:val="2"/>
                <w:w w:val="27"/>
                <w:shd w:val="solid" w:color="000000" w:fill="000000"/>
                <w:fitText w:val="120" w:id="-1032080380"/>
                <w14:textFill>
                  <w14:solidFill>
                    <w14:srgbClr w14:val="000000">
                      <w14:alpha w14:val="100000"/>
                    </w14:srgbClr>
                  </w14:solidFill>
                </w14:textFill>
              </w:rPr>
              <w:t xml:space="preserve">　</w:t>
            </w:r>
            <w:r w:rsidR="004074BE" w:rsidRPr="004074BE">
              <w:t>%</w:t>
            </w:r>
          </w:p>
        </w:tc>
        <w:tc>
          <w:tcPr>
            <w:tcW w:w="611" w:type="pct"/>
            <w:shd w:val="clear" w:color="auto" w:fill="auto"/>
            <w:vAlign w:val="center"/>
          </w:tcPr>
          <w:p w14:paraId="4EFC92E2" w14:textId="76A6C9D2" w:rsidR="004074BE" w:rsidRPr="008C164C" w:rsidRDefault="00851D33" w:rsidP="004074BE">
            <w:pPr>
              <w:pStyle w:val="TableText0"/>
              <w:jc w:val="center"/>
            </w:pPr>
            <w:r>
              <w:t xml:space="preserve"> </w:t>
            </w:r>
            <w:r w:rsidRPr="00851D33">
              <w:rPr>
                <w:rFonts w:hint="eastAsia"/>
                <w:color w:val="000000"/>
                <w:w w:val="27"/>
                <w:shd w:val="solid" w:color="000000" w:fill="000000"/>
                <w:fitText w:val="120" w:id="-1032080379"/>
                <w14:textFill>
                  <w14:solidFill>
                    <w14:srgbClr w14:val="000000">
                      <w14:alpha w14:val="100000"/>
                    </w14:srgbClr>
                  </w14:solidFill>
                </w14:textFill>
              </w:rPr>
              <w:t xml:space="preserve">　</w:t>
            </w:r>
            <w:r w:rsidRPr="00851D33">
              <w:rPr>
                <w:color w:val="000000"/>
                <w:w w:val="27"/>
                <w:shd w:val="solid" w:color="000000" w:fill="000000"/>
                <w:fitText w:val="120" w:id="-1032080379"/>
                <w14:textFill>
                  <w14:solidFill>
                    <w14:srgbClr w14:val="000000">
                      <w14:alpha w14:val="100000"/>
                    </w14:srgbClr>
                  </w14:solidFill>
                </w14:textFill>
              </w:rPr>
              <w:t>|</w:t>
            </w:r>
            <w:r w:rsidRPr="00851D33">
              <w:rPr>
                <w:rFonts w:hint="eastAsia"/>
                <w:color w:val="000000"/>
                <w:spacing w:val="2"/>
                <w:w w:val="27"/>
                <w:shd w:val="solid" w:color="000000" w:fill="000000"/>
                <w:fitText w:val="120" w:id="-1032080379"/>
                <w14:textFill>
                  <w14:solidFill>
                    <w14:srgbClr w14:val="000000">
                      <w14:alpha w14:val="100000"/>
                    </w14:srgbClr>
                  </w14:solidFill>
                </w14:textFill>
              </w:rPr>
              <w:t xml:space="preserve">　</w:t>
            </w:r>
            <w:r w:rsidR="004074BE" w:rsidRPr="004074BE">
              <w:t>%</w:t>
            </w:r>
          </w:p>
        </w:tc>
        <w:tc>
          <w:tcPr>
            <w:tcW w:w="611" w:type="pct"/>
            <w:shd w:val="clear" w:color="auto" w:fill="auto"/>
            <w:vAlign w:val="center"/>
          </w:tcPr>
          <w:p w14:paraId="4A9BC89C" w14:textId="165F3C1D" w:rsidR="004074BE" w:rsidRPr="008C164C" w:rsidRDefault="00851D33" w:rsidP="004074BE">
            <w:pPr>
              <w:pStyle w:val="TableText0"/>
              <w:jc w:val="center"/>
            </w:pPr>
            <w:r>
              <w:t xml:space="preserve"> </w:t>
            </w:r>
            <w:r w:rsidRPr="00851D33">
              <w:rPr>
                <w:rFonts w:hint="eastAsia"/>
                <w:color w:val="000000"/>
                <w:w w:val="27"/>
                <w:shd w:val="solid" w:color="000000" w:fill="000000"/>
                <w:fitText w:val="120" w:id="-1032080378"/>
                <w14:textFill>
                  <w14:solidFill>
                    <w14:srgbClr w14:val="000000">
                      <w14:alpha w14:val="100000"/>
                    </w14:srgbClr>
                  </w14:solidFill>
                </w14:textFill>
              </w:rPr>
              <w:t xml:space="preserve">　</w:t>
            </w:r>
            <w:r w:rsidRPr="00851D33">
              <w:rPr>
                <w:color w:val="000000"/>
                <w:w w:val="27"/>
                <w:shd w:val="solid" w:color="000000" w:fill="000000"/>
                <w:fitText w:val="120" w:id="-1032080378"/>
                <w14:textFill>
                  <w14:solidFill>
                    <w14:srgbClr w14:val="000000">
                      <w14:alpha w14:val="100000"/>
                    </w14:srgbClr>
                  </w14:solidFill>
                </w14:textFill>
              </w:rPr>
              <w:t>|</w:t>
            </w:r>
            <w:r w:rsidRPr="00851D33">
              <w:rPr>
                <w:rFonts w:hint="eastAsia"/>
                <w:color w:val="000000"/>
                <w:spacing w:val="2"/>
                <w:w w:val="27"/>
                <w:shd w:val="solid" w:color="000000" w:fill="000000"/>
                <w:fitText w:val="120" w:id="-1032080378"/>
                <w14:textFill>
                  <w14:solidFill>
                    <w14:srgbClr w14:val="000000">
                      <w14:alpha w14:val="100000"/>
                    </w14:srgbClr>
                  </w14:solidFill>
                </w14:textFill>
              </w:rPr>
              <w:t xml:space="preserve">　</w:t>
            </w:r>
            <w:r w:rsidR="004074BE" w:rsidRPr="004074BE">
              <w:t>%</w:t>
            </w:r>
          </w:p>
        </w:tc>
        <w:tc>
          <w:tcPr>
            <w:tcW w:w="611" w:type="pct"/>
            <w:vAlign w:val="center"/>
          </w:tcPr>
          <w:p w14:paraId="556BE0B6" w14:textId="41926B44" w:rsidR="004074BE" w:rsidRPr="008C164C" w:rsidRDefault="00851D33" w:rsidP="004074BE">
            <w:pPr>
              <w:pStyle w:val="TableText0"/>
              <w:jc w:val="center"/>
            </w:pPr>
            <w:r>
              <w:t xml:space="preserve"> </w:t>
            </w:r>
            <w:r w:rsidRPr="00851D33">
              <w:rPr>
                <w:rFonts w:hint="eastAsia"/>
                <w:color w:val="000000"/>
                <w:w w:val="27"/>
                <w:shd w:val="solid" w:color="000000" w:fill="000000"/>
                <w:fitText w:val="120" w:id="-1032080377"/>
                <w14:textFill>
                  <w14:solidFill>
                    <w14:srgbClr w14:val="000000">
                      <w14:alpha w14:val="100000"/>
                    </w14:srgbClr>
                  </w14:solidFill>
                </w14:textFill>
              </w:rPr>
              <w:t xml:space="preserve">　</w:t>
            </w:r>
            <w:r w:rsidRPr="00851D33">
              <w:rPr>
                <w:color w:val="000000"/>
                <w:w w:val="27"/>
                <w:shd w:val="solid" w:color="000000" w:fill="000000"/>
                <w:fitText w:val="120" w:id="-1032080377"/>
                <w14:textFill>
                  <w14:solidFill>
                    <w14:srgbClr w14:val="000000">
                      <w14:alpha w14:val="100000"/>
                    </w14:srgbClr>
                  </w14:solidFill>
                </w14:textFill>
              </w:rPr>
              <w:t>|</w:t>
            </w:r>
            <w:r w:rsidRPr="00851D33">
              <w:rPr>
                <w:rFonts w:hint="eastAsia"/>
                <w:color w:val="000000"/>
                <w:spacing w:val="2"/>
                <w:w w:val="27"/>
                <w:shd w:val="solid" w:color="000000" w:fill="000000"/>
                <w:fitText w:val="120" w:id="-1032080377"/>
                <w14:textFill>
                  <w14:solidFill>
                    <w14:srgbClr w14:val="000000">
                      <w14:alpha w14:val="100000"/>
                    </w14:srgbClr>
                  </w14:solidFill>
                </w14:textFill>
              </w:rPr>
              <w:t xml:space="preserve">　</w:t>
            </w:r>
            <w:r w:rsidR="004074BE" w:rsidRPr="004074BE">
              <w:t>%</w:t>
            </w:r>
          </w:p>
        </w:tc>
      </w:tr>
      <w:tr w:rsidR="00A41981" w:rsidRPr="008C164C" w14:paraId="2B9A7836" w14:textId="77777777" w:rsidTr="00240629">
        <w:tc>
          <w:tcPr>
            <w:tcW w:w="1334" w:type="pct"/>
            <w:shd w:val="clear" w:color="auto" w:fill="auto"/>
            <w:vAlign w:val="center"/>
          </w:tcPr>
          <w:p w14:paraId="5B6D5C1F" w14:textId="7B7510E1" w:rsidR="00A41981" w:rsidRPr="008C164C" w:rsidRDefault="00A41981" w:rsidP="00240629">
            <w:pPr>
              <w:pStyle w:val="TableText0"/>
              <w:rPr>
                <w:rFonts w:ascii="Times" w:hAnsi="Times"/>
              </w:rPr>
            </w:pPr>
            <w:r w:rsidRPr="008C164C">
              <w:t>Number of patients treated</w:t>
            </w:r>
            <w:r w:rsidR="004074BE">
              <w:t xml:space="preserve"> (initiating and continuing)</w:t>
            </w:r>
          </w:p>
        </w:tc>
        <w:tc>
          <w:tcPr>
            <w:tcW w:w="611" w:type="pct"/>
            <w:shd w:val="clear" w:color="auto" w:fill="auto"/>
            <w:vAlign w:val="center"/>
          </w:tcPr>
          <w:p w14:paraId="0D73F8A1" w14:textId="7DB3EC0A"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76"/>
                <w14:textFill>
                  <w14:solidFill>
                    <w14:srgbClr w14:val="000000">
                      <w14:alpha w14:val="100000"/>
                    </w14:srgbClr>
                  </w14:solidFill>
                </w14:textFill>
              </w:rPr>
              <w:t xml:space="preserve">　</w:t>
            </w:r>
            <w:r w:rsidRPr="00851D33">
              <w:rPr>
                <w:color w:val="000000"/>
                <w:w w:val="15"/>
                <w:shd w:val="solid" w:color="000000" w:fill="000000"/>
                <w:fitText w:val="70" w:id="-1032080376"/>
                <w14:textFill>
                  <w14:solidFill>
                    <w14:srgbClr w14:val="000000">
                      <w14:alpha w14:val="100000"/>
                    </w14:srgbClr>
                  </w14:solidFill>
                </w14:textFill>
              </w:rPr>
              <w:t>|</w:t>
            </w:r>
            <w:r w:rsidRPr="00851D33">
              <w:rPr>
                <w:rFonts w:hint="eastAsia"/>
                <w:color w:val="000000"/>
                <w:spacing w:val="4"/>
                <w:w w:val="15"/>
                <w:shd w:val="solid" w:color="000000" w:fill="000000"/>
                <w:fitText w:val="70" w:id="-1032080376"/>
                <w14:textFill>
                  <w14:solidFill>
                    <w14:srgbClr w14:val="000000">
                      <w14:alpha w14:val="100000"/>
                    </w14:srgbClr>
                  </w14:solidFill>
                </w14:textFill>
              </w:rPr>
              <w:t xml:space="preserve">　</w:t>
            </w:r>
            <w:r w:rsidR="00AF4BBB">
              <w:rPr>
                <w:vertAlign w:val="superscript"/>
              </w:rPr>
              <w:t>1</w:t>
            </w:r>
          </w:p>
        </w:tc>
        <w:tc>
          <w:tcPr>
            <w:tcW w:w="611" w:type="pct"/>
            <w:shd w:val="clear" w:color="auto" w:fill="auto"/>
            <w:vAlign w:val="center"/>
          </w:tcPr>
          <w:p w14:paraId="3515EEBD" w14:textId="5042A0F8"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75"/>
                <w14:textFill>
                  <w14:solidFill>
                    <w14:srgbClr w14:val="000000">
                      <w14:alpha w14:val="100000"/>
                    </w14:srgbClr>
                  </w14:solidFill>
                </w14:textFill>
              </w:rPr>
              <w:t xml:space="preserve">　</w:t>
            </w:r>
            <w:r w:rsidRPr="00851D33">
              <w:rPr>
                <w:color w:val="000000"/>
                <w:w w:val="15"/>
                <w:shd w:val="solid" w:color="000000" w:fill="000000"/>
                <w:fitText w:val="70" w:id="-1032080375"/>
                <w14:textFill>
                  <w14:solidFill>
                    <w14:srgbClr w14:val="000000">
                      <w14:alpha w14:val="100000"/>
                    </w14:srgbClr>
                  </w14:solidFill>
                </w14:textFill>
              </w:rPr>
              <w:t>|</w:t>
            </w:r>
            <w:r w:rsidRPr="00851D33">
              <w:rPr>
                <w:rFonts w:hint="eastAsia"/>
                <w:color w:val="000000"/>
                <w:spacing w:val="4"/>
                <w:w w:val="15"/>
                <w:shd w:val="solid" w:color="000000" w:fill="000000"/>
                <w:fitText w:val="70" w:id="-1032080375"/>
                <w14:textFill>
                  <w14:solidFill>
                    <w14:srgbClr w14:val="000000">
                      <w14:alpha w14:val="100000"/>
                    </w14:srgbClr>
                  </w14:solidFill>
                </w14:textFill>
              </w:rPr>
              <w:t xml:space="preserve">　</w:t>
            </w:r>
            <w:r w:rsidR="00AF4BBB">
              <w:rPr>
                <w:vertAlign w:val="superscript"/>
              </w:rPr>
              <w:t>1</w:t>
            </w:r>
          </w:p>
        </w:tc>
        <w:tc>
          <w:tcPr>
            <w:tcW w:w="611" w:type="pct"/>
            <w:shd w:val="clear" w:color="auto" w:fill="auto"/>
            <w:vAlign w:val="center"/>
          </w:tcPr>
          <w:p w14:paraId="25748F9F" w14:textId="7F8AA61E"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74"/>
                <w14:textFill>
                  <w14:solidFill>
                    <w14:srgbClr w14:val="000000">
                      <w14:alpha w14:val="100000"/>
                    </w14:srgbClr>
                  </w14:solidFill>
                </w14:textFill>
              </w:rPr>
              <w:t xml:space="preserve">　</w:t>
            </w:r>
            <w:r w:rsidRPr="00851D33">
              <w:rPr>
                <w:color w:val="000000"/>
                <w:w w:val="15"/>
                <w:shd w:val="solid" w:color="000000" w:fill="000000"/>
                <w:fitText w:val="70" w:id="-1032080374"/>
                <w14:textFill>
                  <w14:solidFill>
                    <w14:srgbClr w14:val="000000">
                      <w14:alpha w14:val="100000"/>
                    </w14:srgbClr>
                  </w14:solidFill>
                </w14:textFill>
              </w:rPr>
              <w:t>|</w:t>
            </w:r>
            <w:r w:rsidRPr="00851D33">
              <w:rPr>
                <w:rFonts w:hint="eastAsia"/>
                <w:color w:val="000000"/>
                <w:spacing w:val="4"/>
                <w:w w:val="15"/>
                <w:shd w:val="solid" w:color="000000" w:fill="000000"/>
                <w:fitText w:val="70" w:id="-1032080374"/>
                <w14:textFill>
                  <w14:solidFill>
                    <w14:srgbClr w14:val="000000">
                      <w14:alpha w14:val="100000"/>
                    </w14:srgbClr>
                  </w14:solidFill>
                </w14:textFill>
              </w:rPr>
              <w:t xml:space="preserve">　</w:t>
            </w:r>
            <w:r w:rsidR="00AF4BBB">
              <w:rPr>
                <w:vertAlign w:val="superscript"/>
              </w:rPr>
              <w:t>1</w:t>
            </w:r>
          </w:p>
        </w:tc>
        <w:tc>
          <w:tcPr>
            <w:tcW w:w="611" w:type="pct"/>
            <w:shd w:val="clear" w:color="auto" w:fill="auto"/>
            <w:vAlign w:val="center"/>
          </w:tcPr>
          <w:p w14:paraId="03B67AC4" w14:textId="553941C6"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73"/>
                <w14:textFill>
                  <w14:solidFill>
                    <w14:srgbClr w14:val="000000">
                      <w14:alpha w14:val="100000"/>
                    </w14:srgbClr>
                  </w14:solidFill>
                </w14:textFill>
              </w:rPr>
              <w:t xml:space="preserve">　</w:t>
            </w:r>
            <w:r w:rsidRPr="00851D33">
              <w:rPr>
                <w:color w:val="000000"/>
                <w:w w:val="15"/>
                <w:shd w:val="solid" w:color="000000" w:fill="000000"/>
                <w:fitText w:val="70" w:id="-1032080373"/>
                <w14:textFill>
                  <w14:solidFill>
                    <w14:srgbClr w14:val="000000">
                      <w14:alpha w14:val="100000"/>
                    </w14:srgbClr>
                  </w14:solidFill>
                </w14:textFill>
              </w:rPr>
              <w:t>|</w:t>
            </w:r>
            <w:r w:rsidRPr="00851D33">
              <w:rPr>
                <w:rFonts w:hint="eastAsia"/>
                <w:color w:val="000000"/>
                <w:spacing w:val="4"/>
                <w:w w:val="15"/>
                <w:shd w:val="solid" w:color="000000" w:fill="000000"/>
                <w:fitText w:val="70" w:id="-1032080373"/>
                <w14:textFill>
                  <w14:solidFill>
                    <w14:srgbClr w14:val="000000">
                      <w14:alpha w14:val="100000"/>
                    </w14:srgbClr>
                  </w14:solidFill>
                </w14:textFill>
              </w:rPr>
              <w:t xml:space="preserve">　</w:t>
            </w:r>
            <w:r w:rsidR="00AF4BBB">
              <w:rPr>
                <w:vertAlign w:val="superscript"/>
              </w:rPr>
              <w:t>1</w:t>
            </w:r>
          </w:p>
        </w:tc>
        <w:tc>
          <w:tcPr>
            <w:tcW w:w="611" w:type="pct"/>
            <w:shd w:val="clear" w:color="auto" w:fill="auto"/>
            <w:vAlign w:val="center"/>
          </w:tcPr>
          <w:p w14:paraId="0A9066EE" w14:textId="33C1A848"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72"/>
                <w14:textFill>
                  <w14:solidFill>
                    <w14:srgbClr w14:val="000000">
                      <w14:alpha w14:val="100000"/>
                    </w14:srgbClr>
                  </w14:solidFill>
                </w14:textFill>
              </w:rPr>
              <w:t xml:space="preserve">　</w:t>
            </w:r>
            <w:r w:rsidRPr="00851D33">
              <w:rPr>
                <w:color w:val="000000"/>
                <w:w w:val="15"/>
                <w:shd w:val="solid" w:color="000000" w:fill="000000"/>
                <w:fitText w:val="70" w:id="-1032080372"/>
                <w14:textFill>
                  <w14:solidFill>
                    <w14:srgbClr w14:val="000000">
                      <w14:alpha w14:val="100000"/>
                    </w14:srgbClr>
                  </w14:solidFill>
                </w14:textFill>
              </w:rPr>
              <w:t>|</w:t>
            </w:r>
            <w:r w:rsidRPr="00851D33">
              <w:rPr>
                <w:rFonts w:hint="eastAsia"/>
                <w:color w:val="000000"/>
                <w:spacing w:val="4"/>
                <w:w w:val="15"/>
                <w:shd w:val="solid" w:color="000000" w:fill="000000"/>
                <w:fitText w:val="70" w:id="-1032080372"/>
                <w14:textFill>
                  <w14:solidFill>
                    <w14:srgbClr w14:val="000000">
                      <w14:alpha w14:val="100000"/>
                    </w14:srgbClr>
                  </w14:solidFill>
                </w14:textFill>
              </w:rPr>
              <w:t xml:space="preserve">　</w:t>
            </w:r>
            <w:r w:rsidR="00AF4BBB">
              <w:rPr>
                <w:vertAlign w:val="superscript"/>
              </w:rPr>
              <w:t>1</w:t>
            </w:r>
          </w:p>
        </w:tc>
        <w:tc>
          <w:tcPr>
            <w:tcW w:w="611" w:type="pct"/>
            <w:vAlign w:val="center"/>
          </w:tcPr>
          <w:p w14:paraId="60C97500" w14:textId="095803E9"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71"/>
                <w14:textFill>
                  <w14:solidFill>
                    <w14:srgbClr w14:val="000000">
                      <w14:alpha w14:val="100000"/>
                    </w14:srgbClr>
                  </w14:solidFill>
                </w14:textFill>
              </w:rPr>
              <w:t xml:space="preserve">　</w:t>
            </w:r>
            <w:r w:rsidRPr="00851D33">
              <w:rPr>
                <w:color w:val="000000"/>
                <w:w w:val="15"/>
                <w:shd w:val="solid" w:color="000000" w:fill="000000"/>
                <w:fitText w:val="70" w:id="-1032080371"/>
                <w14:textFill>
                  <w14:solidFill>
                    <w14:srgbClr w14:val="000000">
                      <w14:alpha w14:val="100000"/>
                    </w14:srgbClr>
                  </w14:solidFill>
                </w14:textFill>
              </w:rPr>
              <w:t>|</w:t>
            </w:r>
            <w:r w:rsidRPr="00851D33">
              <w:rPr>
                <w:rFonts w:hint="eastAsia"/>
                <w:color w:val="000000"/>
                <w:spacing w:val="4"/>
                <w:w w:val="15"/>
                <w:shd w:val="solid" w:color="000000" w:fill="000000"/>
                <w:fitText w:val="70" w:id="-1032080371"/>
                <w14:textFill>
                  <w14:solidFill>
                    <w14:srgbClr w14:val="000000">
                      <w14:alpha w14:val="100000"/>
                    </w14:srgbClr>
                  </w14:solidFill>
                </w14:textFill>
              </w:rPr>
              <w:t xml:space="preserve">　</w:t>
            </w:r>
            <w:r w:rsidR="00AF4BBB">
              <w:rPr>
                <w:vertAlign w:val="superscript"/>
              </w:rPr>
              <w:t>1</w:t>
            </w:r>
          </w:p>
        </w:tc>
      </w:tr>
      <w:tr w:rsidR="00A41981" w:rsidRPr="008C164C" w14:paraId="02C22E64" w14:textId="77777777" w:rsidTr="00240629">
        <w:tc>
          <w:tcPr>
            <w:tcW w:w="1334" w:type="pct"/>
            <w:shd w:val="clear" w:color="auto" w:fill="auto"/>
            <w:vAlign w:val="center"/>
          </w:tcPr>
          <w:p w14:paraId="60028914" w14:textId="77777777" w:rsidR="00A41981" w:rsidRPr="008C164C" w:rsidRDefault="00A41981" w:rsidP="00240629">
            <w:pPr>
              <w:pStyle w:val="TableText0"/>
              <w:rPr>
                <w:rFonts w:ascii="Times" w:hAnsi="Times"/>
              </w:rPr>
            </w:pPr>
            <w:r w:rsidRPr="008C164C">
              <w:t xml:space="preserve">Number of scripts dispensed </w:t>
            </w:r>
            <w:r w:rsidRPr="008C164C">
              <w:rPr>
                <w:vertAlign w:val="superscript"/>
              </w:rPr>
              <w:t>a</w:t>
            </w:r>
          </w:p>
        </w:tc>
        <w:tc>
          <w:tcPr>
            <w:tcW w:w="611" w:type="pct"/>
            <w:shd w:val="clear" w:color="auto" w:fill="auto"/>
          </w:tcPr>
          <w:p w14:paraId="5C51BFD2" w14:textId="469A18C2"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70"/>
                <w14:textFill>
                  <w14:solidFill>
                    <w14:srgbClr w14:val="000000">
                      <w14:alpha w14:val="100000"/>
                    </w14:srgbClr>
                  </w14:solidFill>
                </w14:textFill>
              </w:rPr>
              <w:t xml:space="preserve">　</w:t>
            </w:r>
            <w:r w:rsidRPr="00851D33">
              <w:rPr>
                <w:color w:val="000000"/>
                <w:w w:val="15"/>
                <w:shd w:val="solid" w:color="000000" w:fill="000000"/>
                <w:fitText w:val="70" w:id="-1032080370"/>
                <w14:textFill>
                  <w14:solidFill>
                    <w14:srgbClr w14:val="000000">
                      <w14:alpha w14:val="100000"/>
                    </w14:srgbClr>
                  </w14:solidFill>
                </w14:textFill>
              </w:rPr>
              <w:t>|</w:t>
            </w:r>
            <w:r w:rsidRPr="00851D33">
              <w:rPr>
                <w:rFonts w:hint="eastAsia"/>
                <w:color w:val="000000"/>
                <w:spacing w:val="4"/>
                <w:w w:val="15"/>
                <w:shd w:val="solid" w:color="000000" w:fill="000000"/>
                <w:fitText w:val="70" w:id="-1032080370"/>
                <w14:textFill>
                  <w14:solidFill>
                    <w14:srgbClr w14:val="000000">
                      <w14:alpha w14:val="100000"/>
                    </w14:srgbClr>
                  </w14:solidFill>
                </w14:textFill>
              </w:rPr>
              <w:t xml:space="preserve">　</w:t>
            </w:r>
            <w:r w:rsidR="00AF4BBB">
              <w:rPr>
                <w:vertAlign w:val="superscript"/>
              </w:rPr>
              <w:t>1</w:t>
            </w:r>
          </w:p>
        </w:tc>
        <w:tc>
          <w:tcPr>
            <w:tcW w:w="611" w:type="pct"/>
            <w:shd w:val="clear" w:color="auto" w:fill="auto"/>
          </w:tcPr>
          <w:p w14:paraId="4738C949" w14:textId="024A4438"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69"/>
                <w14:textFill>
                  <w14:solidFill>
                    <w14:srgbClr w14:val="000000">
                      <w14:alpha w14:val="100000"/>
                    </w14:srgbClr>
                  </w14:solidFill>
                </w14:textFill>
              </w:rPr>
              <w:t xml:space="preserve">　</w:t>
            </w:r>
            <w:r w:rsidRPr="00851D33">
              <w:rPr>
                <w:color w:val="000000"/>
                <w:w w:val="15"/>
                <w:shd w:val="solid" w:color="000000" w:fill="000000"/>
                <w:fitText w:val="70" w:id="-1032080369"/>
                <w14:textFill>
                  <w14:solidFill>
                    <w14:srgbClr w14:val="000000">
                      <w14:alpha w14:val="100000"/>
                    </w14:srgbClr>
                  </w14:solidFill>
                </w14:textFill>
              </w:rPr>
              <w:t>|</w:t>
            </w:r>
            <w:r w:rsidRPr="00851D33">
              <w:rPr>
                <w:rFonts w:hint="eastAsia"/>
                <w:color w:val="000000"/>
                <w:spacing w:val="4"/>
                <w:w w:val="15"/>
                <w:shd w:val="solid" w:color="000000" w:fill="000000"/>
                <w:fitText w:val="70" w:id="-1032080369"/>
                <w14:textFill>
                  <w14:solidFill>
                    <w14:srgbClr w14:val="000000">
                      <w14:alpha w14:val="100000"/>
                    </w14:srgbClr>
                  </w14:solidFill>
                </w14:textFill>
              </w:rPr>
              <w:t xml:space="preserve">　</w:t>
            </w:r>
            <w:r w:rsidR="00AF4BBB">
              <w:rPr>
                <w:vertAlign w:val="superscript"/>
              </w:rPr>
              <w:t>1</w:t>
            </w:r>
          </w:p>
        </w:tc>
        <w:tc>
          <w:tcPr>
            <w:tcW w:w="611" w:type="pct"/>
            <w:shd w:val="clear" w:color="auto" w:fill="auto"/>
          </w:tcPr>
          <w:p w14:paraId="688EC1DF" w14:textId="7376E1FB"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68"/>
                <w14:textFill>
                  <w14:solidFill>
                    <w14:srgbClr w14:val="000000">
                      <w14:alpha w14:val="100000"/>
                    </w14:srgbClr>
                  </w14:solidFill>
                </w14:textFill>
              </w:rPr>
              <w:t xml:space="preserve">　</w:t>
            </w:r>
            <w:r w:rsidRPr="00851D33">
              <w:rPr>
                <w:color w:val="000000"/>
                <w:w w:val="15"/>
                <w:shd w:val="solid" w:color="000000" w:fill="000000"/>
                <w:fitText w:val="70" w:id="-1032080368"/>
                <w14:textFill>
                  <w14:solidFill>
                    <w14:srgbClr w14:val="000000">
                      <w14:alpha w14:val="100000"/>
                    </w14:srgbClr>
                  </w14:solidFill>
                </w14:textFill>
              </w:rPr>
              <w:t>|</w:t>
            </w:r>
            <w:r w:rsidRPr="00851D33">
              <w:rPr>
                <w:rFonts w:hint="eastAsia"/>
                <w:color w:val="000000"/>
                <w:spacing w:val="4"/>
                <w:w w:val="15"/>
                <w:shd w:val="solid" w:color="000000" w:fill="000000"/>
                <w:fitText w:val="70" w:id="-1032080368"/>
                <w14:textFill>
                  <w14:solidFill>
                    <w14:srgbClr w14:val="000000">
                      <w14:alpha w14:val="100000"/>
                    </w14:srgbClr>
                  </w14:solidFill>
                </w14:textFill>
              </w:rPr>
              <w:t xml:space="preserve">　</w:t>
            </w:r>
            <w:r w:rsidR="00AF4BBB">
              <w:rPr>
                <w:vertAlign w:val="superscript"/>
              </w:rPr>
              <w:t>1</w:t>
            </w:r>
          </w:p>
        </w:tc>
        <w:tc>
          <w:tcPr>
            <w:tcW w:w="611" w:type="pct"/>
            <w:shd w:val="clear" w:color="auto" w:fill="auto"/>
          </w:tcPr>
          <w:p w14:paraId="47B0655F" w14:textId="3C45D085"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84"/>
                <w14:textFill>
                  <w14:solidFill>
                    <w14:srgbClr w14:val="000000">
                      <w14:alpha w14:val="100000"/>
                    </w14:srgbClr>
                  </w14:solidFill>
                </w14:textFill>
              </w:rPr>
              <w:t xml:space="preserve">　</w:t>
            </w:r>
            <w:r w:rsidRPr="00851D33">
              <w:rPr>
                <w:color w:val="000000"/>
                <w:w w:val="15"/>
                <w:shd w:val="solid" w:color="000000" w:fill="000000"/>
                <w:fitText w:val="70" w:id="-1032080384"/>
                <w14:textFill>
                  <w14:solidFill>
                    <w14:srgbClr w14:val="000000">
                      <w14:alpha w14:val="100000"/>
                    </w14:srgbClr>
                  </w14:solidFill>
                </w14:textFill>
              </w:rPr>
              <w:t>|</w:t>
            </w:r>
            <w:r w:rsidRPr="00851D33">
              <w:rPr>
                <w:rFonts w:hint="eastAsia"/>
                <w:color w:val="000000"/>
                <w:spacing w:val="4"/>
                <w:w w:val="15"/>
                <w:shd w:val="solid" w:color="000000" w:fill="000000"/>
                <w:fitText w:val="70" w:id="-1032080384"/>
                <w14:textFill>
                  <w14:solidFill>
                    <w14:srgbClr w14:val="000000">
                      <w14:alpha w14:val="100000"/>
                    </w14:srgbClr>
                  </w14:solidFill>
                </w14:textFill>
              </w:rPr>
              <w:t xml:space="preserve">　</w:t>
            </w:r>
            <w:r w:rsidR="00AF4BBB">
              <w:rPr>
                <w:vertAlign w:val="superscript"/>
              </w:rPr>
              <w:t>1</w:t>
            </w:r>
          </w:p>
        </w:tc>
        <w:tc>
          <w:tcPr>
            <w:tcW w:w="611" w:type="pct"/>
            <w:shd w:val="clear" w:color="auto" w:fill="auto"/>
          </w:tcPr>
          <w:p w14:paraId="552DD3CA" w14:textId="4CE428C5"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83"/>
                <w14:textFill>
                  <w14:solidFill>
                    <w14:srgbClr w14:val="000000">
                      <w14:alpha w14:val="100000"/>
                    </w14:srgbClr>
                  </w14:solidFill>
                </w14:textFill>
              </w:rPr>
              <w:t xml:space="preserve">　</w:t>
            </w:r>
            <w:r w:rsidRPr="00851D33">
              <w:rPr>
                <w:color w:val="000000"/>
                <w:w w:val="15"/>
                <w:shd w:val="solid" w:color="000000" w:fill="000000"/>
                <w:fitText w:val="70" w:id="-1032080383"/>
                <w14:textFill>
                  <w14:solidFill>
                    <w14:srgbClr w14:val="000000">
                      <w14:alpha w14:val="100000"/>
                    </w14:srgbClr>
                  </w14:solidFill>
                </w14:textFill>
              </w:rPr>
              <w:t>|</w:t>
            </w:r>
            <w:r w:rsidRPr="00851D33">
              <w:rPr>
                <w:rFonts w:hint="eastAsia"/>
                <w:color w:val="000000"/>
                <w:spacing w:val="4"/>
                <w:w w:val="15"/>
                <w:shd w:val="solid" w:color="000000" w:fill="000000"/>
                <w:fitText w:val="70" w:id="-1032080383"/>
                <w14:textFill>
                  <w14:solidFill>
                    <w14:srgbClr w14:val="000000">
                      <w14:alpha w14:val="100000"/>
                    </w14:srgbClr>
                  </w14:solidFill>
                </w14:textFill>
              </w:rPr>
              <w:t xml:space="preserve">　</w:t>
            </w:r>
            <w:r w:rsidR="00AF4BBB">
              <w:rPr>
                <w:vertAlign w:val="superscript"/>
              </w:rPr>
              <w:t>1</w:t>
            </w:r>
          </w:p>
        </w:tc>
        <w:tc>
          <w:tcPr>
            <w:tcW w:w="611" w:type="pct"/>
          </w:tcPr>
          <w:p w14:paraId="5A22C3E6" w14:textId="76CCA8E6" w:rsidR="00A41981" w:rsidRPr="00B55449" w:rsidRDefault="00851D33" w:rsidP="00240629">
            <w:pPr>
              <w:pStyle w:val="TableText0"/>
              <w:jc w:val="center"/>
              <w:rPr>
                <w:color w:val="000000"/>
                <w:highlight w:val="darkGray"/>
              </w:rPr>
            </w:pPr>
            <w:r>
              <w:t xml:space="preserve"> </w:t>
            </w:r>
            <w:r w:rsidRPr="00851D33">
              <w:rPr>
                <w:rFonts w:hint="eastAsia"/>
                <w:color w:val="000000"/>
                <w:w w:val="15"/>
                <w:shd w:val="solid" w:color="000000" w:fill="000000"/>
                <w:fitText w:val="70" w:id="-1032080382"/>
                <w14:textFill>
                  <w14:solidFill>
                    <w14:srgbClr w14:val="000000">
                      <w14:alpha w14:val="100000"/>
                    </w14:srgbClr>
                  </w14:solidFill>
                </w14:textFill>
              </w:rPr>
              <w:t xml:space="preserve">　</w:t>
            </w:r>
            <w:r w:rsidRPr="00851D33">
              <w:rPr>
                <w:color w:val="000000"/>
                <w:w w:val="15"/>
                <w:shd w:val="solid" w:color="000000" w:fill="000000"/>
                <w:fitText w:val="70" w:id="-1032080382"/>
                <w14:textFill>
                  <w14:solidFill>
                    <w14:srgbClr w14:val="000000">
                      <w14:alpha w14:val="100000"/>
                    </w14:srgbClr>
                  </w14:solidFill>
                </w14:textFill>
              </w:rPr>
              <w:t>|</w:t>
            </w:r>
            <w:r w:rsidRPr="00851D33">
              <w:rPr>
                <w:rFonts w:hint="eastAsia"/>
                <w:color w:val="000000"/>
                <w:spacing w:val="4"/>
                <w:w w:val="15"/>
                <w:shd w:val="solid" w:color="000000" w:fill="000000"/>
                <w:fitText w:val="70" w:id="-1032080382"/>
                <w14:textFill>
                  <w14:solidFill>
                    <w14:srgbClr w14:val="000000">
                      <w14:alpha w14:val="100000"/>
                    </w14:srgbClr>
                  </w14:solidFill>
                </w14:textFill>
              </w:rPr>
              <w:t xml:space="preserve">　</w:t>
            </w:r>
            <w:r w:rsidR="00AF4BBB">
              <w:rPr>
                <w:vertAlign w:val="superscript"/>
              </w:rPr>
              <w:t>1</w:t>
            </w:r>
          </w:p>
        </w:tc>
      </w:tr>
      <w:tr w:rsidR="00A41981" w:rsidRPr="008C164C" w14:paraId="6A74EC6E" w14:textId="77777777" w:rsidTr="00240629">
        <w:tc>
          <w:tcPr>
            <w:tcW w:w="5000" w:type="pct"/>
            <w:gridSpan w:val="7"/>
            <w:shd w:val="clear" w:color="auto" w:fill="auto"/>
            <w:vAlign w:val="center"/>
          </w:tcPr>
          <w:p w14:paraId="6E7A7204" w14:textId="77777777" w:rsidR="00A41981" w:rsidRPr="008C164C" w:rsidRDefault="00A41981" w:rsidP="00240629">
            <w:pPr>
              <w:pStyle w:val="In-tableHeading"/>
              <w:rPr>
                <w:lang w:val="en-AU"/>
              </w:rPr>
            </w:pPr>
            <w:r w:rsidRPr="008C164C">
              <w:rPr>
                <w:lang w:val="en-AU"/>
              </w:rPr>
              <w:t xml:space="preserve">Estimated financial implications of </w:t>
            </w:r>
            <w:proofErr w:type="spellStart"/>
            <w:r w:rsidRPr="008C164C">
              <w:rPr>
                <w:lang w:val="en-AU"/>
              </w:rPr>
              <w:t>lenacapavir</w:t>
            </w:r>
            <w:proofErr w:type="spellEnd"/>
          </w:p>
        </w:tc>
      </w:tr>
      <w:tr w:rsidR="00A41981" w:rsidRPr="008C164C" w14:paraId="3D6DEB26" w14:textId="77777777" w:rsidTr="00240629">
        <w:tc>
          <w:tcPr>
            <w:tcW w:w="1334" w:type="pct"/>
            <w:shd w:val="clear" w:color="auto" w:fill="auto"/>
            <w:vAlign w:val="center"/>
          </w:tcPr>
          <w:p w14:paraId="229F14CD" w14:textId="22A6B30D" w:rsidR="00A41981" w:rsidRPr="008C164C" w:rsidRDefault="00A41981" w:rsidP="00240629">
            <w:pPr>
              <w:pStyle w:val="TableText0"/>
              <w:rPr>
                <w:sz w:val="19"/>
                <w:szCs w:val="19"/>
              </w:rPr>
            </w:pPr>
            <w:r w:rsidRPr="008C164C">
              <w:rPr>
                <w:sz w:val="19"/>
                <w:szCs w:val="19"/>
              </w:rPr>
              <w:t xml:space="preserve">Cost to PBS/RPBS less </w:t>
            </w:r>
            <w:r w:rsidR="000F06D7" w:rsidRPr="008C164C">
              <w:rPr>
                <w:sz w:val="19"/>
                <w:szCs w:val="19"/>
              </w:rPr>
              <w:t>co-payments</w:t>
            </w:r>
          </w:p>
        </w:tc>
        <w:tc>
          <w:tcPr>
            <w:tcW w:w="611" w:type="pct"/>
            <w:shd w:val="clear" w:color="auto" w:fill="auto"/>
            <w:vAlign w:val="center"/>
          </w:tcPr>
          <w:p w14:paraId="4BEDB1F9" w14:textId="460407E9" w:rsidR="00A41981" w:rsidRPr="00B55449" w:rsidRDefault="00851D33" w:rsidP="00416D80">
            <w:pPr>
              <w:pStyle w:val="TableText0"/>
              <w:jc w:val="center"/>
              <w:rPr>
                <w:highlight w:val="darkGray"/>
              </w:rPr>
            </w:pPr>
            <w:r>
              <w:rPr>
                <w:snapToGrid w:val="0"/>
              </w:rPr>
              <w:t xml:space="preserve"> </w:t>
            </w:r>
            <w:r w:rsidRPr="00851D33">
              <w:rPr>
                <w:rFonts w:hint="eastAsia"/>
                <w:snapToGrid w:val="0"/>
                <w:color w:val="000000"/>
                <w:w w:val="15"/>
                <w:shd w:val="solid" w:color="000000" w:fill="000000"/>
                <w:fitText w:val="70" w:id="-1032080381"/>
                <w14:textFill>
                  <w14:solidFill>
                    <w14:srgbClr w14:val="000000">
                      <w14:alpha w14:val="100000"/>
                    </w14:srgbClr>
                  </w14:solidFill>
                </w14:textFill>
              </w:rPr>
              <w:t xml:space="preserve">　</w:t>
            </w:r>
            <w:r w:rsidRPr="00851D33">
              <w:rPr>
                <w:snapToGrid w:val="0"/>
                <w:color w:val="000000"/>
                <w:w w:val="15"/>
                <w:shd w:val="solid" w:color="000000" w:fill="000000"/>
                <w:fitText w:val="70" w:id="-1032080381"/>
                <w14:textFill>
                  <w14:solidFill>
                    <w14:srgbClr w14:val="000000">
                      <w14:alpha w14:val="100000"/>
                    </w14:srgbClr>
                  </w14:solidFill>
                </w14:textFill>
              </w:rPr>
              <w:t>|</w:t>
            </w:r>
            <w:r w:rsidRPr="00851D33">
              <w:rPr>
                <w:rFonts w:hint="eastAsia"/>
                <w:snapToGrid w:val="0"/>
                <w:color w:val="000000"/>
                <w:spacing w:val="4"/>
                <w:w w:val="15"/>
                <w:shd w:val="solid" w:color="000000" w:fill="000000"/>
                <w:fitText w:val="70" w:id="-1032080381"/>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78D16B74" w14:textId="0C4C041F" w:rsidR="00A41981" w:rsidRPr="00B55449" w:rsidRDefault="00851D33" w:rsidP="00416D80">
            <w:pPr>
              <w:pStyle w:val="TableText0"/>
              <w:jc w:val="center"/>
              <w:rPr>
                <w:highlight w:val="darkGray"/>
              </w:rPr>
            </w:pPr>
            <w:r>
              <w:rPr>
                <w:snapToGrid w:val="0"/>
              </w:rPr>
              <w:t xml:space="preserve"> </w:t>
            </w:r>
            <w:r w:rsidRPr="00851D33">
              <w:rPr>
                <w:rFonts w:hint="eastAsia"/>
                <w:snapToGrid w:val="0"/>
                <w:color w:val="000000"/>
                <w:w w:val="15"/>
                <w:shd w:val="solid" w:color="000000" w:fill="000000"/>
                <w:fitText w:val="70" w:id="-1032080380"/>
                <w14:textFill>
                  <w14:solidFill>
                    <w14:srgbClr w14:val="000000">
                      <w14:alpha w14:val="100000"/>
                    </w14:srgbClr>
                  </w14:solidFill>
                </w14:textFill>
              </w:rPr>
              <w:t xml:space="preserve">　</w:t>
            </w:r>
            <w:r w:rsidRPr="00851D33">
              <w:rPr>
                <w:snapToGrid w:val="0"/>
                <w:color w:val="000000"/>
                <w:w w:val="15"/>
                <w:shd w:val="solid" w:color="000000" w:fill="000000"/>
                <w:fitText w:val="70" w:id="-1032080380"/>
                <w14:textFill>
                  <w14:solidFill>
                    <w14:srgbClr w14:val="000000">
                      <w14:alpha w14:val="100000"/>
                    </w14:srgbClr>
                  </w14:solidFill>
                </w14:textFill>
              </w:rPr>
              <w:t>|</w:t>
            </w:r>
            <w:r w:rsidRPr="00851D33">
              <w:rPr>
                <w:rFonts w:hint="eastAsia"/>
                <w:snapToGrid w:val="0"/>
                <w:color w:val="000000"/>
                <w:spacing w:val="4"/>
                <w:w w:val="15"/>
                <w:shd w:val="solid" w:color="000000" w:fill="000000"/>
                <w:fitText w:val="70" w:id="-1032080380"/>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151444B8" w14:textId="66724AAD" w:rsidR="00A41981" w:rsidRPr="00B55449" w:rsidRDefault="00851D33" w:rsidP="00416D80">
            <w:pPr>
              <w:pStyle w:val="TableText0"/>
              <w:jc w:val="center"/>
              <w:rPr>
                <w:highlight w:val="darkGray"/>
              </w:rPr>
            </w:pPr>
            <w:r>
              <w:rPr>
                <w:snapToGrid w:val="0"/>
              </w:rPr>
              <w:t xml:space="preserve"> </w:t>
            </w:r>
            <w:r w:rsidRPr="00851D33">
              <w:rPr>
                <w:rFonts w:hint="eastAsia"/>
                <w:snapToGrid w:val="0"/>
                <w:color w:val="000000"/>
                <w:w w:val="15"/>
                <w:shd w:val="solid" w:color="000000" w:fill="000000"/>
                <w:fitText w:val="70" w:id="-1032080379"/>
                <w14:textFill>
                  <w14:solidFill>
                    <w14:srgbClr w14:val="000000">
                      <w14:alpha w14:val="100000"/>
                    </w14:srgbClr>
                  </w14:solidFill>
                </w14:textFill>
              </w:rPr>
              <w:t xml:space="preserve">　</w:t>
            </w:r>
            <w:r w:rsidRPr="00851D33">
              <w:rPr>
                <w:snapToGrid w:val="0"/>
                <w:color w:val="000000"/>
                <w:w w:val="15"/>
                <w:shd w:val="solid" w:color="000000" w:fill="000000"/>
                <w:fitText w:val="70" w:id="-1032080379"/>
                <w14:textFill>
                  <w14:solidFill>
                    <w14:srgbClr w14:val="000000">
                      <w14:alpha w14:val="100000"/>
                    </w14:srgbClr>
                  </w14:solidFill>
                </w14:textFill>
              </w:rPr>
              <w:t>|</w:t>
            </w:r>
            <w:r w:rsidRPr="00851D33">
              <w:rPr>
                <w:rFonts w:hint="eastAsia"/>
                <w:snapToGrid w:val="0"/>
                <w:color w:val="000000"/>
                <w:spacing w:val="4"/>
                <w:w w:val="15"/>
                <w:shd w:val="solid" w:color="000000" w:fill="000000"/>
                <w:fitText w:val="70" w:id="-1032080379"/>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459CF8D2" w14:textId="1D183027" w:rsidR="00A41981" w:rsidRPr="00B55449" w:rsidRDefault="00851D33" w:rsidP="00416D80">
            <w:pPr>
              <w:pStyle w:val="TableText0"/>
              <w:jc w:val="center"/>
              <w:rPr>
                <w:highlight w:val="darkGray"/>
              </w:rPr>
            </w:pPr>
            <w:r>
              <w:rPr>
                <w:snapToGrid w:val="0"/>
              </w:rPr>
              <w:t xml:space="preserve"> </w:t>
            </w:r>
            <w:r w:rsidRPr="00851D33">
              <w:rPr>
                <w:rFonts w:hint="eastAsia"/>
                <w:snapToGrid w:val="0"/>
                <w:color w:val="000000"/>
                <w:w w:val="15"/>
                <w:shd w:val="solid" w:color="000000" w:fill="000000"/>
                <w:fitText w:val="70" w:id="-1032080378"/>
                <w14:textFill>
                  <w14:solidFill>
                    <w14:srgbClr w14:val="000000">
                      <w14:alpha w14:val="100000"/>
                    </w14:srgbClr>
                  </w14:solidFill>
                </w14:textFill>
              </w:rPr>
              <w:t xml:space="preserve">　</w:t>
            </w:r>
            <w:r w:rsidRPr="00851D33">
              <w:rPr>
                <w:snapToGrid w:val="0"/>
                <w:color w:val="000000"/>
                <w:w w:val="15"/>
                <w:shd w:val="solid" w:color="000000" w:fill="000000"/>
                <w:fitText w:val="70" w:id="-1032080378"/>
                <w14:textFill>
                  <w14:solidFill>
                    <w14:srgbClr w14:val="000000">
                      <w14:alpha w14:val="100000"/>
                    </w14:srgbClr>
                  </w14:solidFill>
                </w14:textFill>
              </w:rPr>
              <w:t>|</w:t>
            </w:r>
            <w:r w:rsidRPr="00851D33">
              <w:rPr>
                <w:rFonts w:hint="eastAsia"/>
                <w:snapToGrid w:val="0"/>
                <w:color w:val="000000"/>
                <w:spacing w:val="4"/>
                <w:w w:val="15"/>
                <w:shd w:val="solid" w:color="000000" w:fill="000000"/>
                <w:fitText w:val="70" w:id="-1032080378"/>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3202700C" w14:textId="54D80F30" w:rsidR="00A41981" w:rsidRPr="00B55449" w:rsidRDefault="00851D33" w:rsidP="00416D80">
            <w:pPr>
              <w:pStyle w:val="TableText0"/>
              <w:jc w:val="center"/>
              <w:rPr>
                <w:highlight w:val="darkGray"/>
              </w:rPr>
            </w:pPr>
            <w:r>
              <w:rPr>
                <w:snapToGrid w:val="0"/>
              </w:rPr>
              <w:t xml:space="preserve"> </w:t>
            </w:r>
            <w:r w:rsidRPr="00851D33">
              <w:rPr>
                <w:rFonts w:hint="eastAsia"/>
                <w:snapToGrid w:val="0"/>
                <w:color w:val="000000"/>
                <w:w w:val="15"/>
                <w:shd w:val="solid" w:color="000000" w:fill="000000"/>
                <w:fitText w:val="70" w:id="-1032080377"/>
                <w14:textFill>
                  <w14:solidFill>
                    <w14:srgbClr w14:val="000000">
                      <w14:alpha w14:val="100000"/>
                    </w14:srgbClr>
                  </w14:solidFill>
                </w14:textFill>
              </w:rPr>
              <w:t xml:space="preserve">　</w:t>
            </w:r>
            <w:r w:rsidRPr="00851D33">
              <w:rPr>
                <w:snapToGrid w:val="0"/>
                <w:color w:val="000000"/>
                <w:w w:val="15"/>
                <w:shd w:val="solid" w:color="000000" w:fill="000000"/>
                <w:fitText w:val="70" w:id="-1032080377"/>
                <w14:textFill>
                  <w14:solidFill>
                    <w14:srgbClr w14:val="000000">
                      <w14:alpha w14:val="100000"/>
                    </w14:srgbClr>
                  </w14:solidFill>
                </w14:textFill>
              </w:rPr>
              <w:t>|</w:t>
            </w:r>
            <w:r w:rsidRPr="00851D33">
              <w:rPr>
                <w:rFonts w:hint="eastAsia"/>
                <w:snapToGrid w:val="0"/>
                <w:color w:val="000000"/>
                <w:spacing w:val="4"/>
                <w:w w:val="15"/>
                <w:shd w:val="solid" w:color="000000" w:fill="000000"/>
                <w:fitText w:val="70" w:id="-1032080377"/>
                <w14:textFill>
                  <w14:solidFill>
                    <w14:srgbClr w14:val="000000">
                      <w14:alpha w14:val="100000"/>
                    </w14:srgbClr>
                  </w14:solidFill>
                </w14:textFill>
              </w:rPr>
              <w:t xml:space="preserve">　</w:t>
            </w:r>
            <w:r w:rsidR="00AF4BBB">
              <w:rPr>
                <w:vertAlign w:val="superscript"/>
              </w:rPr>
              <w:t>2</w:t>
            </w:r>
          </w:p>
        </w:tc>
        <w:tc>
          <w:tcPr>
            <w:tcW w:w="611" w:type="pct"/>
            <w:vAlign w:val="center"/>
          </w:tcPr>
          <w:p w14:paraId="22915B72" w14:textId="758DB333" w:rsidR="00A41981" w:rsidRPr="00B55449" w:rsidRDefault="00851D33" w:rsidP="00416D80">
            <w:pPr>
              <w:pStyle w:val="TableText0"/>
              <w:jc w:val="center"/>
              <w:rPr>
                <w:highlight w:val="darkGray"/>
              </w:rPr>
            </w:pPr>
            <w:r>
              <w:rPr>
                <w:snapToGrid w:val="0"/>
              </w:rPr>
              <w:t xml:space="preserve"> </w:t>
            </w:r>
            <w:r w:rsidRPr="00851D33">
              <w:rPr>
                <w:rFonts w:hint="eastAsia"/>
                <w:snapToGrid w:val="0"/>
                <w:color w:val="000000"/>
                <w:w w:val="15"/>
                <w:shd w:val="solid" w:color="000000" w:fill="000000"/>
                <w:fitText w:val="70" w:id="-1032080376"/>
                <w14:textFill>
                  <w14:solidFill>
                    <w14:srgbClr w14:val="000000">
                      <w14:alpha w14:val="100000"/>
                    </w14:srgbClr>
                  </w14:solidFill>
                </w14:textFill>
              </w:rPr>
              <w:t xml:space="preserve">　</w:t>
            </w:r>
            <w:r w:rsidRPr="00851D33">
              <w:rPr>
                <w:snapToGrid w:val="0"/>
                <w:color w:val="000000"/>
                <w:w w:val="15"/>
                <w:shd w:val="solid" w:color="000000" w:fill="000000"/>
                <w:fitText w:val="70" w:id="-1032080376"/>
                <w14:textFill>
                  <w14:solidFill>
                    <w14:srgbClr w14:val="000000">
                      <w14:alpha w14:val="100000"/>
                    </w14:srgbClr>
                  </w14:solidFill>
                </w14:textFill>
              </w:rPr>
              <w:t>|</w:t>
            </w:r>
            <w:r w:rsidRPr="00851D33">
              <w:rPr>
                <w:rFonts w:hint="eastAsia"/>
                <w:snapToGrid w:val="0"/>
                <w:color w:val="000000"/>
                <w:spacing w:val="4"/>
                <w:w w:val="15"/>
                <w:shd w:val="solid" w:color="000000" w:fill="000000"/>
                <w:fitText w:val="70" w:id="-1032080376"/>
                <w14:textFill>
                  <w14:solidFill>
                    <w14:srgbClr w14:val="000000">
                      <w14:alpha w14:val="100000"/>
                    </w14:srgbClr>
                  </w14:solidFill>
                </w14:textFill>
              </w:rPr>
              <w:t xml:space="preserve">　</w:t>
            </w:r>
            <w:r w:rsidR="00AF4BBB">
              <w:rPr>
                <w:vertAlign w:val="superscript"/>
              </w:rPr>
              <w:t>3</w:t>
            </w:r>
          </w:p>
        </w:tc>
      </w:tr>
      <w:tr w:rsidR="00A41981" w:rsidRPr="008C164C" w14:paraId="6542B0CA" w14:textId="77777777" w:rsidTr="00240629">
        <w:tc>
          <w:tcPr>
            <w:tcW w:w="5000" w:type="pct"/>
            <w:gridSpan w:val="7"/>
            <w:shd w:val="clear" w:color="auto" w:fill="auto"/>
            <w:vAlign w:val="center"/>
          </w:tcPr>
          <w:p w14:paraId="3CE2D644" w14:textId="77777777" w:rsidR="00A41981" w:rsidRPr="008C164C" w:rsidRDefault="00A41981" w:rsidP="00240629">
            <w:pPr>
              <w:pStyle w:val="TableText0"/>
            </w:pPr>
            <w:r w:rsidRPr="008C164C">
              <w:t>Estimated financial implications for additional OBR from life extension</w:t>
            </w:r>
          </w:p>
        </w:tc>
      </w:tr>
      <w:tr w:rsidR="00A41981" w:rsidRPr="008C164C" w14:paraId="5F2B754C" w14:textId="77777777" w:rsidTr="00240629">
        <w:tc>
          <w:tcPr>
            <w:tcW w:w="1334" w:type="pct"/>
            <w:shd w:val="clear" w:color="auto" w:fill="auto"/>
            <w:vAlign w:val="center"/>
          </w:tcPr>
          <w:p w14:paraId="4A85172A" w14:textId="702FCC84" w:rsidR="00A41981" w:rsidRPr="008C164C" w:rsidRDefault="00A41981" w:rsidP="00240629">
            <w:pPr>
              <w:pStyle w:val="TableText0"/>
              <w:rPr>
                <w:sz w:val="19"/>
                <w:szCs w:val="19"/>
              </w:rPr>
            </w:pPr>
            <w:r w:rsidRPr="008C164C">
              <w:rPr>
                <w:sz w:val="19"/>
                <w:szCs w:val="19"/>
              </w:rPr>
              <w:t xml:space="preserve">Cost to PBS/RPBS less </w:t>
            </w:r>
            <w:r w:rsidR="000F06D7" w:rsidRPr="008C164C">
              <w:rPr>
                <w:sz w:val="19"/>
                <w:szCs w:val="19"/>
              </w:rPr>
              <w:t>co-payments</w:t>
            </w:r>
          </w:p>
        </w:tc>
        <w:tc>
          <w:tcPr>
            <w:tcW w:w="611" w:type="pct"/>
            <w:shd w:val="clear" w:color="auto" w:fill="auto"/>
            <w:vAlign w:val="center"/>
          </w:tcPr>
          <w:p w14:paraId="6ED681AB" w14:textId="74710B87"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5"/>
                <w14:textFill>
                  <w14:solidFill>
                    <w14:srgbClr w14:val="000000">
                      <w14:alpha w14:val="100000"/>
                    </w14:srgbClr>
                  </w14:solidFill>
                </w14:textFill>
              </w:rPr>
              <w:t xml:space="preserve">　</w:t>
            </w:r>
            <w:r w:rsidRPr="00851D33">
              <w:rPr>
                <w:color w:val="000000"/>
                <w:w w:val="15"/>
                <w:shd w:val="solid" w:color="000000" w:fill="000000"/>
                <w:fitText w:val="70" w:id="-1032080375"/>
                <w14:textFill>
                  <w14:solidFill>
                    <w14:srgbClr w14:val="000000">
                      <w14:alpha w14:val="100000"/>
                    </w14:srgbClr>
                  </w14:solidFill>
                </w14:textFill>
              </w:rPr>
              <w:t>|</w:t>
            </w:r>
            <w:r w:rsidRPr="00851D33">
              <w:rPr>
                <w:rFonts w:hint="eastAsia"/>
                <w:color w:val="000000"/>
                <w:spacing w:val="4"/>
                <w:w w:val="15"/>
                <w:shd w:val="solid" w:color="000000" w:fill="000000"/>
                <w:fitText w:val="70" w:id="-1032080375"/>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36396E0A" w14:textId="1F0DED2A"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4"/>
                <w14:textFill>
                  <w14:solidFill>
                    <w14:srgbClr w14:val="000000">
                      <w14:alpha w14:val="100000"/>
                    </w14:srgbClr>
                  </w14:solidFill>
                </w14:textFill>
              </w:rPr>
              <w:t xml:space="preserve">　</w:t>
            </w:r>
            <w:r w:rsidRPr="00851D33">
              <w:rPr>
                <w:color w:val="000000"/>
                <w:w w:val="15"/>
                <w:shd w:val="solid" w:color="000000" w:fill="000000"/>
                <w:fitText w:val="70" w:id="-1032080374"/>
                <w14:textFill>
                  <w14:solidFill>
                    <w14:srgbClr w14:val="000000">
                      <w14:alpha w14:val="100000"/>
                    </w14:srgbClr>
                  </w14:solidFill>
                </w14:textFill>
              </w:rPr>
              <w:t>|</w:t>
            </w:r>
            <w:r w:rsidRPr="00851D33">
              <w:rPr>
                <w:rFonts w:hint="eastAsia"/>
                <w:color w:val="000000"/>
                <w:spacing w:val="4"/>
                <w:w w:val="15"/>
                <w:shd w:val="solid" w:color="000000" w:fill="000000"/>
                <w:fitText w:val="70" w:id="-1032080374"/>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543F4548" w14:textId="53BEE270"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3"/>
                <w14:textFill>
                  <w14:solidFill>
                    <w14:srgbClr w14:val="000000">
                      <w14:alpha w14:val="100000"/>
                    </w14:srgbClr>
                  </w14:solidFill>
                </w14:textFill>
              </w:rPr>
              <w:t xml:space="preserve">　</w:t>
            </w:r>
            <w:r w:rsidRPr="00851D33">
              <w:rPr>
                <w:color w:val="000000"/>
                <w:w w:val="15"/>
                <w:shd w:val="solid" w:color="000000" w:fill="000000"/>
                <w:fitText w:val="70" w:id="-1032080373"/>
                <w14:textFill>
                  <w14:solidFill>
                    <w14:srgbClr w14:val="000000">
                      <w14:alpha w14:val="100000"/>
                    </w14:srgbClr>
                  </w14:solidFill>
                </w14:textFill>
              </w:rPr>
              <w:t>|</w:t>
            </w:r>
            <w:r w:rsidRPr="00851D33">
              <w:rPr>
                <w:rFonts w:hint="eastAsia"/>
                <w:color w:val="000000"/>
                <w:spacing w:val="4"/>
                <w:w w:val="15"/>
                <w:shd w:val="solid" w:color="000000" w:fill="000000"/>
                <w:fitText w:val="70" w:id="-1032080373"/>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1A51B838" w14:textId="25F16D7C"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2"/>
                <w14:textFill>
                  <w14:solidFill>
                    <w14:srgbClr w14:val="000000">
                      <w14:alpha w14:val="100000"/>
                    </w14:srgbClr>
                  </w14:solidFill>
                </w14:textFill>
              </w:rPr>
              <w:t xml:space="preserve">　</w:t>
            </w:r>
            <w:r w:rsidRPr="00851D33">
              <w:rPr>
                <w:color w:val="000000"/>
                <w:w w:val="15"/>
                <w:shd w:val="solid" w:color="000000" w:fill="000000"/>
                <w:fitText w:val="70" w:id="-1032080372"/>
                <w14:textFill>
                  <w14:solidFill>
                    <w14:srgbClr w14:val="000000">
                      <w14:alpha w14:val="100000"/>
                    </w14:srgbClr>
                  </w14:solidFill>
                </w14:textFill>
              </w:rPr>
              <w:t>|</w:t>
            </w:r>
            <w:r w:rsidRPr="00851D33">
              <w:rPr>
                <w:rFonts w:hint="eastAsia"/>
                <w:color w:val="000000"/>
                <w:spacing w:val="4"/>
                <w:w w:val="15"/>
                <w:shd w:val="solid" w:color="000000" w:fill="000000"/>
                <w:fitText w:val="70" w:id="-1032080372"/>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4C1506BF" w14:textId="4BEB811A"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1"/>
                <w14:textFill>
                  <w14:solidFill>
                    <w14:srgbClr w14:val="000000">
                      <w14:alpha w14:val="100000"/>
                    </w14:srgbClr>
                  </w14:solidFill>
                </w14:textFill>
              </w:rPr>
              <w:t xml:space="preserve">　</w:t>
            </w:r>
            <w:r w:rsidRPr="00851D33">
              <w:rPr>
                <w:color w:val="000000"/>
                <w:w w:val="15"/>
                <w:shd w:val="solid" w:color="000000" w:fill="000000"/>
                <w:fitText w:val="70" w:id="-1032080371"/>
                <w14:textFill>
                  <w14:solidFill>
                    <w14:srgbClr w14:val="000000">
                      <w14:alpha w14:val="100000"/>
                    </w14:srgbClr>
                  </w14:solidFill>
                </w14:textFill>
              </w:rPr>
              <w:t>|</w:t>
            </w:r>
            <w:r w:rsidRPr="00851D33">
              <w:rPr>
                <w:rFonts w:hint="eastAsia"/>
                <w:color w:val="000000"/>
                <w:spacing w:val="4"/>
                <w:w w:val="15"/>
                <w:shd w:val="solid" w:color="000000" w:fill="000000"/>
                <w:fitText w:val="70" w:id="-1032080371"/>
                <w14:textFill>
                  <w14:solidFill>
                    <w14:srgbClr w14:val="000000">
                      <w14:alpha w14:val="100000"/>
                    </w14:srgbClr>
                  </w14:solidFill>
                </w14:textFill>
              </w:rPr>
              <w:t xml:space="preserve">　</w:t>
            </w:r>
            <w:r w:rsidR="00AF4BBB">
              <w:rPr>
                <w:vertAlign w:val="superscript"/>
              </w:rPr>
              <w:t>2</w:t>
            </w:r>
          </w:p>
        </w:tc>
        <w:tc>
          <w:tcPr>
            <w:tcW w:w="611" w:type="pct"/>
            <w:vAlign w:val="center"/>
          </w:tcPr>
          <w:p w14:paraId="5DB0B563" w14:textId="29AC929F"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0"/>
                <w14:textFill>
                  <w14:solidFill>
                    <w14:srgbClr w14:val="000000">
                      <w14:alpha w14:val="100000"/>
                    </w14:srgbClr>
                  </w14:solidFill>
                </w14:textFill>
              </w:rPr>
              <w:t xml:space="preserve">　</w:t>
            </w:r>
            <w:r w:rsidRPr="00851D33">
              <w:rPr>
                <w:color w:val="000000"/>
                <w:w w:val="15"/>
                <w:shd w:val="solid" w:color="000000" w:fill="000000"/>
                <w:fitText w:val="70" w:id="-1032080370"/>
                <w14:textFill>
                  <w14:solidFill>
                    <w14:srgbClr w14:val="000000">
                      <w14:alpha w14:val="100000"/>
                    </w14:srgbClr>
                  </w14:solidFill>
                </w14:textFill>
              </w:rPr>
              <w:t>|</w:t>
            </w:r>
            <w:r w:rsidRPr="00851D33">
              <w:rPr>
                <w:rFonts w:hint="eastAsia"/>
                <w:color w:val="000000"/>
                <w:spacing w:val="4"/>
                <w:w w:val="15"/>
                <w:shd w:val="solid" w:color="000000" w:fill="000000"/>
                <w:fitText w:val="70" w:id="-1032080370"/>
                <w14:textFill>
                  <w14:solidFill>
                    <w14:srgbClr w14:val="000000">
                      <w14:alpha w14:val="100000"/>
                    </w14:srgbClr>
                  </w14:solidFill>
                </w14:textFill>
              </w:rPr>
              <w:t xml:space="preserve">　</w:t>
            </w:r>
            <w:r w:rsidR="00AF4BBB">
              <w:rPr>
                <w:vertAlign w:val="superscript"/>
              </w:rPr>
              <w:t>2</w:t>
            </w:r>
          </w:p>
        </w:tc>
      </w:tr>
      <w:tr w:rsidR="00A41981" w:rsidRPr="008C164C" w14:paraId="296B060F" w14:textId="77777777" w:rsidTr="00240629">
        <w:tc>
          <w:tcPr>
            <w:tcW w:w="5000" w:type="pct"/>
            <w:gridSpan w:val="7"/>
            <w:shd w:val="clear" w:color="auto" w:fill="auto"/>
            <w:vAlign w:val="center"/>
          </w:tcPr>
          <w:p w14:paraId="213FD8C0" w14:textId="77777777" w:rsidR="00A41981" w:rsidRPr="008C164C" w:rsidRDefault="00A41981" w:rsidP="00240629">
            <w:pPr>
              <w:pStyle w:val="In-tableHeading"/>
              <w:rPr>
                <w:lang w:val="en-AU"/>
              </w:rPr>
            </w:pPr>
            <w:r w:rsidRPr="008C164C">
              <w:rPr>
                <w:lang w:val="en-AU"/>
              </w:rPr>
              <w:t>Net financial implications</w:t>
            </w:r>
            <w:r w:rsidRPr="008C164C">
              <w:rPr>
                <w:color w:val="4BACC6" w:themeColor="accent5"/>
                <w:lang w:val="en-AU"/>
              </w:rPr>
              <w:t xml:space="preserve"> </w:t>
            </w:r>
          </w:p>
        </w:tc>
      </w:tr>
      <w:tr w:rsidR="00A41981" w:rsidRPr="008C164C" w14:paraId="0DE0F5B3" w14:textId="77777777" w:rsidTr="00240629">
        <w:tc>
          <w:tcPr>
            <w:tcW w:w="1334" w:type="pct"/>
            <w:shd w:val="clear" w:color="auto" w:fill="auto"/>
            <w:vAlign w:val="center"/>
          </w:tcPr>
          <w:p w14:paraId="09D42BCB" w14:textId="77777777" w:rsidR="00A41981" w:rsidRPr="008C164C" w:rsidRDefault="00A41981" w:rsidP="00240629">
            <w:pPr>
              <w:pStyle w:val="TableText0"/>
              <w:rPr>
                <w:sz w:val="19"/>
                <w:szCs w:val="19"/>
              </w:rPr>
            </w:pPr>
            <w:r w:rsidRPr="008C164C">
              <w:rPr>
                <w:sz w:val="19"/>
                <w:szCs w:val="19"/>
              </w:rPr>
              <w:t>Net cost to PBS/RPBS</w:t>
            </w:r>
          </w:p>
        </w:tc>
        <w:tc>
          <w:tcPr>
            <w:tcW w:w="611" w:type="pct"/>
            <w:shd w:val="clear" w:color="auto" w:fill="auto"/>
            <w:vAlign w:val="center"/>
          </w:tcPr>
          <w:p w14:paraId="2BA0C305" w14:textId="4B40A6B6"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69"/>
                <w14:textFill>
                  <w14:solidFill>
                    <w14:srgbClr w14:val="000000">
                      <w14:alpha w14:val="100000"/>
                    </w14:srgbClr>
                  </w14:solidFill>
                </w14:textFill>
              </w:rPr>
              <w:t xml:space="preserve">　</w:t>
            </w:r>
            <w:r w:rsidRPr="00851D33">
              <w:rPr>
                <w:color w:val="000000"/>
                <w:w w:val="15"/>
                <w:shd w:val="solid" w:color="000000" w:fill="000000"/>
                <w:fitText w:val="70" w:id="-1032080369"/>
                <w14:textFill>
                  <w14:solidFill>
                    <w14:srgbClr w14:val="000000">
                      <w14:alpha w14:val="100000"/>
                    </w14:srgbClr>
                  </w14:solidFill>
                </w14:textFill>
              </w:rPr>
              <w:t>|</w:t>
            </w:r>
            <w:r w:rsidRPr="00851D33">
              <w:rPr>
                <w:rFonts w:hint="eastAsia"/>
                <w:color w:val="000000"/>
                <w:spacing w:val="4"/>
                <w:w w:val="15"/>
                <w:shd w:val="solid" w:color="000000" w:fill="000000"/>
                <w:fitText w:val="70" w:id="-1032080369"/>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51665A1A" w14:textId="329E930C"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68"/>
                <w14:textFill>
                  <w14:solidFill>
                    <w14:srgbClr w14:val="000000">
                      <w14:alpha w14:val="100000"/>
                    </w14:srgbClr>
                  </w14:solidFill>
                </w14:textFill>
              </w:rPr>
              <w:t xml:space="preserve">　</w:t>
            </w:r>
            <w:r w:rsidRPr="00851D33">
              <w:rPr>
                <w:color w:val="000000"/>
                <w:w w:val="15"/>
                <w:shd w:val="solid" w:color="000000" w:fill="000000"/>
                <w:fitText w:val="70" w:id="-1032080368"/>
                <w14:textFill>
                  <w14:solidFill>
                    <w14:srgbClr w14:val="000000">
                      <w14:alpha w14:val="100000"/>
                    </w14:srgbClr>
                  </w14:solidFill>
                </w14:textFill>
              </w:rPr>
              <w:t>|</w:t>
            </w:r>
            <w:r w:rsidRPr="00851D33">
              <w:rPr>
                <w:rFonts w:hint="eastAsia"/>
                <w:color w:val="000000"/>
                <w:spacing w:val="4"/>
                <w:w w:val="15"/>
                <w:shd w:val="solid" w:color="000000" w:fill="000000"/>
                <w:fitText w:val="70" w:id="-1032080368"/>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5E9B75A1" w14:textId="76B018D2"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84"/>
                <w14:textFill>
                  <w14:solidFill>
                    <w14:srgbClr w14:val="000000">
                      <w14:alpha w14:val="100000"/>
                    </w14:srgbClr>
                  </w14:solidFill>
                </w14:textFill>
              </w:rPr>
              <w:t xml:space="preserve">　</w:t>
            </w:r>
            <w:r w:rsidRPr="00851D33">
              <w:rPr>
                <w:color w:val="000000"/>
                <w:w w:val="15"/>
                <w:shd w:val="solid" w:color="000000" w:fill="000000"/>
                <w:fitText w:val="70" w:id="-1032080384"/>
                <w14:textFill>
                  <w14:solidFill>
                    <w14:srgbClr w14:val="000000">
                      <w14:alpha w14:val="100000"/>
                    </w14:srgbClr>
                  </w14:solidFill>
                </w14:textFill>
              </w:rPr>
              <w:t>|</w:t>
            </w:r>
            <w:r w:rsidRPr="00851D33">
              <w:rPr>
                <w:rFonts w:hint="eastAsia"/>
                <w:color w:val="000000"/>
                <w:spacing w:val="4"/>
                <w:w w:val="15"/>
                <w:shd w:val="solid" w:color="000000" w:fill="000000"/>
                <w:fitText w:val="70" w:id="-1032080384"/>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0CFC87B2" w14:textId="08C88A5A"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83"/>
                <w14:textFill>
                  <w14:solidFill>
                    <w14:srgbClr w14:val="000000">
                      <w14:alpha w14:val="100000"/>
                    </w14:srgbClr>
                  </w14:solidFill>
                </w14:textFill>
              </w:rPr>
              <w:t xml:space="preserve">　</w:t>
            </w:r>
            <w:r w:rsidRPr="00851D33">
              <w:rPr>
                <w:color w:val="000000"/>
                <w:w w:val="15"/>
                <w:shd w:val="solid" w:color="000000" w:fill="000000"/>
                <w:fitText w:val="70" w:id="-1032080383"/>
                <w14:textFill>
                  <w14:solidFill>
                    <w14:srgbClr w14:val="000000">
                      <w14:alpha w14:val="100000"/>
                    </w14:srgbClr>
                  </w14:solidFill>
                </w14:textFill>
              </w:rPr>
              <w:t>|</w:t>
            </w:r>
            <w:r w:rsidRPr="00851D33">
              <w:rPr>
                <w:rFonts w:hint="eastAsia"/>
                <w:color w:val="000000"/>
                <w:spacing w:val="4"/>
                <w:w w:val="15"/>
                <w:shd w:val="solid" w:color="000000" w:fill="000000"/>
                <w:fitText w:val="70" w:id="-1032080383"/>
                <w14:textFill>
                  <w14:solidFill>
                    <w14:srgbClr w14:val="000000">
                      <w14:alpha w14:val="100000"/>
                    </w14:srgbClr>
                  </w14:solidFill>
                </w14:textFill>
              </w:rPr>
              <w:t xml:space="preserve">　</w:t>
            </w:r>
            <w:r w:rsidR="00AF4BBB">
              <w:rPr>
                <w:vertAlign w:val="superscript"/>
              </w:rPr>
              <w:t>3</w:t>
            </w:r>
          </w:p>
        </w:tc>
        <w:tc>
          <w:tcPr>
            <w:tcW w:w="611" w:type="pct"/>
            <w:shd w:val="clear" w:color="auto" w:fill="auto"/>
            <w:vAlign w:val="center"/>
          </w:tcPr>
          <w:p w14:paraId="4EEE61D9" w14:textId="14A1D8DD"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82"/>
                <w14:textFill>
                  <w14:solidFill>
                    <w14:srgbClr w14:val="000000">
                      <w14:alpha w14:val="100000"/>
                    </w14:srgbClr>
                  </w14:solidFill>
                </w14:textFill>
              </w:rPr>
              <w:t xml:space="preserve">　</w:t>
            </w:r>
            <w:r w:rsidRPr="00851D33">
              <w:rPr>
                <w:color w:val="000000"/>
                <w:w w:val="15"/>
                <w:shd w:val="solid" w:color="000000" w:fill="000000"/>
                <w:fitText w:val="70" w:id="-1032080382"/>
                <w14:textFill>
                  <w14:solidFill>
                    <w14:srgbClr w14:val="000000">
                      <w14:alpha w14:val="100000"/>
                    </w14:srgbClr>
                  </w14:solidFill>
                </w14:textFill>
              </w:rPr>
              <w:t>|</w:t>
            </w:r>
            <w:r w:rsidRPr="00851D33">
              <w:rPr>
                <w:rFonts w:hint="eastAsia"/>
                <w:color w:val="000000"/>
                <w:spacing w:val="4"/>
                <w:w w:val="15"/>
                <w:shd w:val="solid" w:color="000000" w:fill="000000"/>
                <w:fitText w:val="70" w:id="-1032080382"/>
                <w14:textFill>
                  <w14:solidFill>
                    <w14:srgbClr w14:val="000000">
                      <w14:alpha w14:val="100000"/>
                    </w14:srgbClr>
                  </w14:solidFill>
                </w14:textFill>
              </w:rPr>
              <w:t xml:space="preserve">　</w:t>
            </w:r>
            <w:r w:rsidR="00AF4BBB">
              <w:rPr>
                <w:vertAlign w:val="superscript"/>
              </w:rPr>
              <w:t>3</w:t>
            </w:r>
          </w:p>
        </w:tc>
        <w:tc>
          <w:tcPr>
            <w:tcW w:w="611" w:type="pct"/>
            <w:vAlign w:val="center"/>
          </w:tcPr>
          <w:p w14:paraId="2A2CA5CA" w14:textId="734014F2"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81"/>
                <w14:textFill>
                  <w14:solidFill>
                    <w14:srgbClr w14:val="000000">
                      <w14:alpha w14:val="100000"/>
                    </w14:srgbClr>
                  </w14:solidFill>
                </w14:textFill>
              </w:rPr>
              <w:t xml:space="preserve">　</w:t>
            </w:r>
            <w:r w:rsidRPr="00851D33">
              <w:rPr>
                <w:color w:val="000000"/>
                <w:w w:val="15"/>
                <w:shd w:val="solid" w:color="000000" w:fill="000000"/>
                <w:fitText w:val="70" w:id="-1032080381"/>
                <w14:textFill>
                  <w14:solidFill>
                    <w14:srgbClr w14:val="000000">
                      <w14:alpha w14:val="100000"/>
                    </w14:srgbClr>
                  </w14:solidFill>
                </w14:textFill>
              </w:rPr>
              <w:t>|</w:t>
            </w:r>
            <w:r w:rsidRPr="00851D33">
              <w:rPr>
                <w:rFonts w:hint="eastAsia"/>
                <w:color w:val="000000"/>
                <w:spacing w:val="4"/>
                <w:w w:val="15"/>
                <w:shd w:val="solid" w:color="000000" w:fill="000000"/>
                <w:fitText w:val="70" w:id="-1032080381"/>
                <w14:textFill>
                  <w14:solidFill>
                    <w14:srgbClr w14:val="000000">
                      <w14:alpha w14:val="100000"/>
                    </w14:srgbClr>
                  </w14:solidFill>
                </w14:textFill>
              </w:rPr>
              <w:t xml:space="preserve">　</w:t>
            </w:r>
            <w:r w:rsidR="00AF4BBB">
              <w:rPr>
                <w:vertAlign w:val="superscript"/>
              </w:rPr>
              <w:t>3</w:t>
            </w:r>
          </w:p>
        </w:tc>
      </w:tr>
      <w:tr w:rsidR="00A41981" w:rsidRPr="008C164C" w14:paraId="6BED9C0A" w14:textId="77777777" w:rsidTr="00240629">
        <w:tc>
          <w:tcPr>
            <w:tcW w:w="1334" w:type="pct"/>
            <w:shd w:val="clear" w:color="auto" w:fill="auto"/>
            <w:vAlign w:val="center"/>
          </w:tcPr>
          <w:p w14:paraId="0A3E9A2A" w14:textId="77777777" w:rsidR="00A41981" w:rsidRPr="008C164C" w:rsidRDefault="00A41981" w:rsidP="00240629">
            <w:pPr>
              <w:pStyle w:val="TableText0"/>
              <w:rPr>
                <w:rFonts w:ascii="Times" w:hAnsi="Times"/>
              </w:rPr>
            </w:pPr>
            <w:r w:rsidRPr="008C164C">
              <w:rPr>
                <w:sz w:val="19"/>
                <w:szCs w:val="19"/>
              </w:rPr>
              <w:t>Net cost to MBS</w:t>
            </w:r>
          </w:p>
        </w:tc>
        <w:tc>
          <w:tcPr>
            <w:tcW w:w="611" w:type="pct"/>
            <w:shd w:val="clear" w:color="auto" w:fill="auto"/>
            <w:vAlign w:val="center"/>
          </w:tcPr>
          <w:p w14:paraId="1EACF156" w14:textId="7174DA43"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80"/>
                <w14:textFill>
                  <w14:solidFill>
                    <w14:srgbClr w14:val="000000">
                      <w14:alpha w14:val="100000"/>
                    </w14:srgbClr>
                  </w14:solidFill>
                </w14:textFill>
              </w:rPr>
              <w:t xml:space="preserve">　</w:t>
            </w:r>
            <w:r w:rsidRPr="00851D33">
              <w:rPr>
                <w:color w:val="000000"/>
                <w:w w:val="15"/>
                <w:shd w:val="solid" w:color="000000" w:fill="000000"/>
                <w:fitText w:val="70" w:id="-1032080380"/>
                <w14:textFill>
                  <w14:solidFill>
                    <w14:srgbClr w14:val="000000">
                      <w14:alpha w14:val="100000"/>
                    </w14:srgbClr>
                  </w14:solidFill>
                </w14:textFill>
              </w:rPr>
              <w:t>|</w:t>
            </w:r>
            <w:r w:rsidRPr="00851D33">
              <w:rPr>
                <w:rFonts w:hint="eastAsia"/>
                <w:color w:val="000000"/>
                <w:spacing w:val="4"/>
                <w:w w:val="15"/>
                <w:shd w:val="solid" w:color="000000" w:fill="000000"/>
                <w:fitText w:val="70" w:id="-1032080380"/>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6BB32CEF" w14:textId="3EC7FFA7"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9"/>
                <w14:textFill>
                  <w14:solidFill>
                    <w14:srgbClr w14:val="000000">
                      <w14:alpha w14:val="100000"/>
                    </w14:srgbClr>
                  </w14:solidFill>
                </w14:textFill>
              </w:rPr>
              <w:t xml:space="preserve">　</w:t>
            </w:r>
            <w:r w:rsidRPr="00851D33">
              <w:rPr>
                <w:color w:val="000000"/>
                <w:w w:val="15"/>
                <w:shd w:val="solid" w:color="000000" w:fill="000000"/>
                <w:fitText w:val="70" w:id="-1032080379"/>
                <w14:textFill>
                  <w14:solidFill>
                    <w14:srgbClr w14:val="000000">
                      <w14:alpha w14:val="100000"/>
                    </w14:srgbClr>
                  </w14:solidFill>
                </w14:textFill>
              </w:rPr>
              <w:t>|</w:t>
            </w:r>
            <w:r w:rsidRPr="00851D33">
              <w:rPr>
                <w:rFonts w:hint="eastAsia"/>
                <w:color w:val="000000"/>
                <w:spacing w:val="4"/>
                <w:w w:val="15"/>
                <w:shd w:val="solid" w:color="000000" w:fill="000000"/>
                <w:fitText w:val="70" w:id="-1032080379"/>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53CFAB9C" w14:textId="18E7CE3F"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8"/>
                <w14:textFill>
                  <w14:solidFill>
                    <w14:srgbClr w14:val="000000">
                      <w14:alpha w14:val="100000"/>
                    </w14:srgbClr>
                  </w14:solidFill>
                </w14:textFill>
              </w:rPr>
              <w:t xml:space="preserve">　</w:t>
            </w:r>
            <w:r w:rsidRPr="00851D33">
              <w:rPr>
                <w:color w:val="000000"/>
                <w:w w:val="15"/>
                <w:shd w:val="solid" w:color="000000" w:fill="000000"/>
                <w:fitText w:val="70" w:id="-1032080378"/>
                <w14:textFill>
                  <w14:solidFill>
                    <w14:srgbClr w14:val="000000">
                      <w14:alpha w14:val="100000"/>
                    </w14:srgbClr>
                  </w14:solidFill>
                </w14:textFill>
              </w:rPr>
              <w:t>|</w:t>
            </w:r>
            <w:r w:rsidRPr="00851D33">
              <w:rPr>
                <w:rFonts w:hint="eastAsia"/>
                <w:color w:val="000000"/>
                <w:spacing w:val="4"/>
                <w:w w:val="15"/>
                <w:shd w:val="solid" w:color="000000" w:fill="000000"/>
                <w:fitText w:val="70" w:id="-1032080378"/>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60F750F8" w14:textId="6B131AA8"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7"/>
                <w14:textFill>
                  <w14:solidFill>
                    <w14:srgbClr w14:val="000000">
                      <w14:alpha w14:val="100000"/>
                    </w14:srgbClr>
                  </w14:solidFill>
                </w14:textFill>
              </w:rPr>
              <w:t xml:space="preserve">　</w:t>
            </w:r>
            <w:r w:rsidRPr="00851D33">
              <w:rPr>
                <w:color w:val="000000"/>
                <w:w w:val="15"/>
                <w:shd w:val="solid" w:color="000000" w:fill="000000"/>
                <w:fitText w:val="70" w:id="-1032080377"/>
                <w14:textFill>
                  <w14:solidFill>
                    <w14:srgbClr w14:val="000000">
                      <w14:alpha w14:val="100000"/>
                    </w14:srgbClr>
                  </w14:solidFill>
                </w14:textFill>
              </w:rPr>
              <w:t>|</w:t>
            </w:r>
            <w:r w:rsidRPr="00851D33">
              <w:rPr>
                <w:rFonts w:hint="eastAsia"/>
                <w:color w:val="000000"/>
                <w:spacing w:val="4"/>
                <w:w w:val="15"/>
                <w:shd w:val="solid" w:color="000000" w:fill="000000"/>
                <w:fitText w:val="70" w:id="-1032080377"/>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0AEA1702" w14:textId="383E1E8F"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6"/>
                <w14:textFill>
                  <w14:solidFill>
                    <w14:srgbClr w14:val="000000">
                      <w14:alpha w14:val="100000"/>
                    </w14:srgbClr>
                  </w14:solidFill>
                </w14:textFill>
              </w:rPr>
              <w:t xml:space="preserve">　</w:t>
            </w:r>
            <w:r w:rsidRPr="00851D33">
              <w:rPr>
                <w:color w:val="000000"/>
                <w:w w:val="15"/>
                <w:shd w:val="solid" w:color="000000" w:fill="000000"/>
                <w:fitText w:val="70" w:id="-1032080376"/>
                <w14:textFill>
                  <w14:solidFill>
                    <w14:srgbClr w14:val="000000">
                      <w14:alpha w14:val="100000"/>
                    </w14:srgbClr>
                  </w14:solidFill>
                </w14:textFill>
              </w:rPr>
              <w:t>|</w:t>
            </w:r>
            <w:r w:rsidRPr="00851D33">
              <w:rPr>
                <w:rFonts w:hint="eastAsia"/>
                <w:color w:val="000000"/>
                <w:spacing w:val="4"/>
                <w:w w:val="15"/>
                <w:shd w:val="solid" w:color="000000" w:fill="000000"/>
                <w:fitText w:val="70" w:id="-1032080376"/>
                <w14:textFill>
                  <w14:solidFill>
                    <w14:srgbClr w14:val="000000">
                      <w14:alpha w14:val="100000"/>
                    </w14:srgbClr>
                  </w14:solidFill>
                </w14:textFill>
              </w:rPr>
              <w:t xml:space="preserve">　</w:t>
            </w:r>
            <w:r w:rsidR="00AF4BBB">
              <w:rPr>
                <w:vertAlign w:val="superscript"/>
              </w:rPr>
              <w:t>2</w:t>
            </w:r>
          </w:p>
        </w:tc>
        <w:tc>
          <w:tcPr>
            <w:tcW w:w="611" w:type="pct"/>
            <w:vAlign w:val="center"/>
          </w:tcPr>
          <w:p w14:paraId="51816431" w14:textId="52FC4803"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5"/>
                <w14:textFill>
                  <w14:solidFill>
                    <w14:srgbClr w14:val="000000">
                      <w14:alpha w14:val="100000"/>
                    </w14:srgbClr>
                  </w14:solidFill>
                </w14:textFill>
              </w:rPr>
              <w:t xml:space="preserve">　</w:t>
            </w:r>
            <w:r w:rsidRPr="00851D33">
              <w:rPr>
                <w:color w:val="000000"/>
                <w:w w:val="15"/>
                <w:shd w:val="solid" w:color="000000" w:fill="000000"/>
                <w:fitText w:val="70" w:id="-1032080375"/>
                <w14:textFill>
                  <w14:solidFill>
                    <w14:srgbClr w14:val="000000">
                      <w14:alpha w14:val="100000"/>
                    </w14:srgbClr>
                  </w14:solidFill>
                </w14:textFill>
              </w:rPr>
              <w:t>|</w:t>
            </w:r>
            <w:r w:rsidRPr="00851D33">
              <w:rPr>
                <w:rFonts w:hint="eastAsia"/>
                <w:color w:val="000000"/>
                <w:spacing w:val="4"/>
                <w:w w:val="15"/>
                <w:shd w:val="solid" w:color="000000" w:fill="000000"/>
                <w:fitText w:val="70" w:id="-1032080375"/>
                <w14:textFill>
                  <w14:solidFill>
                    <w14:srgbClr w14:val="000000">
                      <w14:alpha w14:val="100000"/>
                    </w14:srgbClr>
                  </w14:solidFill>
                </w14:textFill>
              </w:rPr>
              <w:t xml:space="preserve">　</w:t>
            </w:r>
            <w:r w:rsidR="00AF4BBB">
              <w:rPr>
                <w:vertAlign w:val="superscript"/>
              </w:rPr>
              <w:t>2</w:t>
            </w:r>
          </w:p>
        </w:tc>
      </w:tr>
      <w:tr w:rsidR="00A41981" w:rsidRPr="008C164C" w14:paraId="78C75644" w14:textId="77777777" w:rsidTr="00240629">
        <w:tc>
          <w:tcPr>
            <w:tcW w:w="1334" w:type="pct"/>
            <w:shd w:val="clear" w:color="auto" w:fill="auto"/>
            <w:vAlign w:val="center"/>
          </w:tcPr>
          <w:p w14:paraId="15882F96" w14:textId="77777777" w:rsidR="00A41981" w:rsidRPr="008C164C" w:rsidRDefault="00A41981" w:rsidP="00240629">
            <w:pPr>
              <w:pStyle w:val="TableText0"/>
              <w:rPr>
                <w:sz w:val="19"/>
                <w:szCs w:val="19"/>
              </w:rPr>
            </w:pPr>
            <w:r w:rsidRPr="008C164C">
              <w:rPr>
                <w:sz w:val="19"/>
                <w:szCs w:val="19"/>
              </w:rPr>
              <w:t>Net cost to PBS/RPBS and MBS</w:t>
            </w:r>
          </w:p>
        </w:tc>
        <w:tc>
          <w:tcPr>
            <w:tcW w:w="611" w:type="pct"/>
            <w:shd w:val="clear" w:color="auto" w:fill="auto"/>
            <w:vAlign w:val="center"/>
          </w:tcPr>
          <w:p w14:paraId="24963C06" w14:textId="7C5148FB"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4"/>
                <w14:textFill>
                  <w14:solidFill>
                    <w14:srgbClr w14:val="000000">
                      <w14:alpha w14:val="100000"/>
                    </w14:srgbClr>
                  </w14:solidFill>
                </w14:textFill>
              </w:rPr>
              <w:t xml:space="preserve">　</w:t>
            </w:r>
            <w:r w:rsidRPr="00851D33">
              <w:rPr>
                <w:color w:val="000000"/>
                <w:w w:val="15"/>
                <w:shd w:val="solid" w:color="000000" w:fill="000000"/>
                <w:fitText w:val="70" w:id="-1032080374"/>
                <w14:textFill>
                  <w14:solidFill>
                    <w14:srgbClr w14:val="000000">
                      <w14:alpha w14:val="100000"/>
                    </w14:srgbClr>
                  </w14:solidFill>
                </w14:textFill>
              </w:rPr>
              <w:t>|</w:t>
            </w:r>
            <w:r w:rsidRPr="00851D33">
              <w:rPr>
                <w:rFonts w:hint="eastAsia"/>
                <w:color w:val="000000"/>
                <w:spacing w:val="4"/>
                <w:w w:val="15"/>
                <w:shd w:val="solid" w:color="000000" w:fill="000000"/>
                <w:fitText w:val="70" w:id="-1032080374"/>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3289844D" w14:textId="16FA8D1F"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3"/>
                <w14:textFill>
                  <w14:solidFill>
                    <w14:srgbClr w14:val="000000">
                      <w14:alpha w14:val="100000"/>
                    </w14:srgbClr>
                  </w14:solidFill>
                </w14:textFill>
              </w:rPr>
              <w:t xml:space="preserve">　</w:t>
            </w:r>
            <w:r w:rsidRPr="00851D33">
              <w:rPr>
                <w:color w:val="000000"/>
                <w:w w:val="15"/>
                <w:shd w:val="solid" w:color="000000" w:fill="000000"/>
                <w:fitText w:val="70" w:id="-1032080373"/>
                <w14:textFill>
                  <w14:solidFill>
                    <w14:srgbClr w14:val="000000">
                      <w14:alpha w14:val="100000"/>
                    </w14:srgbClr>
                  </w14:solidFill>
                </w14:textFill>
              </w:rPr>
              <w:t>|</w:t>
            </w:r>
            <w:r w:rsidRPr="00851D33">
              <w:rPr>
                <w:rFonts w:hint="eastAsia"/>
                <w:color w:val="000000"/>
                <w:spacing w:val="4"/>
                <w:w w:val="15"/>
                <w:shd w:val="solid" w:color="000000" w:fill="000000"/>
                <w:fitText w:val="70" w:id="-1032080373"/>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60A55ACF" w14:textId="7AE4E4D1"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2"/>
                <w14:textFill>
                  <w14:solidFill>
                    <w14:srgbClr w14:val="000000">
                      <w14:alpha w14:val="100000"/>
                    </w14:srgbClr>
                  </w14:solidFill>
                </w14:textFill>
              </w:rPr>
              <w:t xml:space="preserve">　</w:t>
            </w:r>
            <w:r w:rsidRPr="00851D33">
              <w:rPr>
                <w:color w:val="000000"/>
                <w:w w:val="15"/>
                <w:shd w:val="solid" w:color="000000" w:fill="000000"/>
                <w:fitText w:val="70" w:id="-1032080372"/>
                <w14:textFill>
                  <w14:solidFill>
                    <w14:srgbClr w14:val="000000">
                      <w14:alpha w14:val="100000"/>
                    </w14:srgbClr>
                  </w14:solidFill>
                </w14:textFill>
              </w:rPr>
              <w:t>|</w:t>
            </w:r>
            <w:r w:rsidRPr="00851D33">
              <w:rPr>
                <w:rFonts w:hint="eastAsia"/>
                <w:color w:val="000000"/>
                <w:spacing w:val="4"/>
                <w:w w:val="15"/>
                <w:shd w:val="solid" w:color="000000" w:fill="000000"/>
                <w:fitText w:val="70" w:id="-1032080372"/>
                <w14:textFill>
                  <w14:solidFill>
                    <w14:srgbClr w14:val="000000">
                      <w14:alpha w14:val="100000"/>
                    </w14:srgbClr>
                  </w14:solidFill>
                </w14:textFill>
              </w:rPr>
              <w:t xml:space="preserve">　</w:t>
            </w:r>
            <w:r w:rsidR="00AF4BBB">
              <w:rPr>
                <w:vertAlign w:val="superscript"/>
              </w:rPr>
              <w:t>2</w:t>
            </w:r>
          </w:p>
        </w:tc>
        <w:tc>
          <w:tcPr>
            <w:tcW w:w="611" w:type="pct"/>
            <w:shd w:val="clear" w:color="auto" w:fill="auto"/>
            <w:vAlign w:val="center"/>
          </w:tcPr>
          <w:p w14:paraId="42999310" w14:textId="426DB6DB"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1"/>
                <w14:textFill>
                  <w14:solidFill>
                    <w14:srgbClr w14:val="000000">
                      <w14:alpha w14:val="100000"/>
                    </w14:srgbClr>
                  </w14:solidFill>
                </w14:textFill>
              </w:rPr>
              <w:t xml:space="preserve">　</w:t>
            </w:r>
            <w:r w:rsidRPr="00851D33">
              <w:rPr>
                <w:color w:val="000000"/>
                <w:w w:val="15"/>
                <w:shd w:val="solid" w:color="000000" w:fill="000000"/>
                <w:fitText w:val="70" w:id="-1032080371"/>
                <w14:textFill>
                  <w14:solidFill>
                    <w14:srgbClr w14:val="000000">
                      <w14:alpha w14:val="100000"/>
                    </w14:srgbClr>
                  </w14:solidFill>
                </w14:textFill>
              </w:rPr>
              <w:t>|</w:t>
            </w:r>
            <w:r w:rsidRPr="00851D33">
              <w:rPr>
                <w:rFonts w:hint="eastAsia"/>
                <w:color w:val="000000"/>
                <w:spacing w:val="4"/>
                <w:w w:val="15"/>
                <w:shd w:val="solid" w:color="000000" w:fill="000000"/>
                <w:fitText w:val="70" w:id="-1032080371"/>
                <w14:textFill>
                  <w14:solidFill>
                    <w14:srgbClr w14:val="000000">
                      <w14:alpha w14:val="100000"/>
                    </w14:srgbClr>
                  </w14:solidFill>
                </w14:textFill>
              </w:rPr>
              <w:t xml:space="preserve">　</w:t>
            </w:r>
            <w:r w:rsidR="00AF4BBB">
              <w:rPr>
                <w:vertAlign w:val="superscript"/>
              </w:rPr>
              <w:t>3</w:t>
            </w:r>
          </w:p>
        </w:tc>
        <w:tc>
          <w:tcPr>
            <w:tcW w:w="611" w:type="pct"/>
            <w:shd w:val="clear" w:color="auto" w:fill="auto"/>
            <w:vAlign w:val="center"/>
          </w:tcPr>
          <w:p w14:paraId="18AB9AD1" w14:textId="0EAAC428"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70"/>
                <w14:textFill>
                  <w14:solidFill>
                    <w14:srgbClr w14:val="000000">
                      <w14:alpha w14:val="100000"/>
                    </w14:srgbClr>
                  </w14:solidFill>
                </w14:textFill>
              </w:rPr>
              <w:t xml:space="preserve">　</w:t>
            </w:r>
            <w:r w:rsidRPr="00851D33">
              <w:rPr>
                <w:color w:val="000000"/>
                <w:w w:val="15"/>
                <w:shd w:val="solid" w:color="000000" w:fill="000000"/>
                <w:fitText w:val="70" w:id="-1032080370"/>
                <w14:textFill>
                  <w14:solidFill>
                    <w14:srgbClr w14:val="000000">
                      <w14:alpha w14:val="100000"/>
                    </w14:srgbClr>
                  </w14:solidFill>
                </w14:textFill>
              </w:rPr>
              <w:t>|</w:t>
            </w:r>
            <w:r w:rsidRPr="00851D33">
              <w:rPr>
                <w:rFonts w:hint="eastAsia"/>
                <w:color w:val="000000"/>
                <w:spacing w:val="4"/>
                <w:w w:val="15"/>
                <w:shd w:val="solid" w:color="000000" w:fill="000000"/>
                <w:fitText w:val="70" w:id="-1032080370"/>
                <w14:textFill>
                  <w14:solidFill>
                    <w14:srgbClr w14:val="000000">
                      <w14:alpha w14:val="100000"/>
                    </w14:srgbClr>
                  </w14:solidFill>
                </w14:textFill>
              </w:rPr>
              <w:t xml:space="preserve">　</w:t>
            </w:r>
            <w:r w:rsidR="00AF4BBB">
              <w:rPr>
                <w:vertAlign w:val="superscript"/>
              </w:rPr>
              <w:t>3</w:t>
            </w:r>
          </w:p>
        </w:tc>
        <w:tc>
          <w:tcPr>
            <w:tcW w:w="611" w:type="pct"/>
            <w:vAlign w:val="center"/>
          </w:tcPr>
          <w:p w14:paraId="0A5EFAC7" w14:textId="35FB74B3" w:rsidR="00A41981" w:rsidRPr="00B55449" w:rsidRDefault="00851D33" w:rsidP="00416D80">
            <w:pPr>
              <w:pStyle w:val="TableText0"/>
              <w:jc w:val="center"/>
              <w:rPr>
                <w:highlight w:val="darkGray"/>
              </w:rPr>
            </w:pPr>
            <w:r>
              <w:t xml:space="preserve"> </w:t>
            </w:r>
            <w:r w:rsidRPr="00851D33">
              <w:rPr>
                <w:rFonts w:hint="eastAsia"/>
                <w:color w:val="000000"/>
                <w:w w:val="15"/>
                <w:shd w:val="solid" w:color="000000" w:fill="000000"/>
                <w:fitText w:val="70" w:id="-1032080369"/>
                <w14:textFill>
                  <w14:solidFill>
                    <w14:srgbClr w14:val="000000">
                      <w14:alpha w14:val="100000"/>
                    </w14:srgbClr>
                  </w14:solidFill>
                </w14:textFill>
              </w:rPr>
              <w:t xml:space="preserve">　</w:t>
            </w:r>
            <w:r w:rsidRPr="00851D33">
              <w:rPr>
                <w:color w:val="000000"/>
                <w:w w:val="15"/>
                <w:shd w:val="solid" w:color="000000" w:fill="000000"/>
                <w:fitText w:val="70" w:id="-1032080369"/>
                <w14:textFill>
                  <w14:solidFill>
                    <w14:srgbClr w14:val="000000">
                      <w14:alpha w14:val="100000"/>
                    </w14:srgbClr>
                  </w14:solidFill>
                </w14:textFill>
              </w:rPr>
              <w:t>|</w:t>
            </w:r>
            <w:r w:rsidRPr="00851D33">
              <w:rPr>
                <w:rFonts w:hint="eastAsia"/>
                <w:color w:val="000000"/>
                <w:spacing w:val="4"/>
                <w:w w:val="15"/>
                <w:shd w:val="solid" w:color="000000" w:fill="000000"/>
                <w:fitText w:val="70" w:id="-1032080369"/>
                <w14:textFill>
                  <w14:solidFill>
                    <w14:srgbClr w14:val="000000">
                      <w14:alpha w14:val="100000"/>
                    </w14:srgbClr>
                  </w14:solidFill>
                </w14:textFill>
              </w:rPr>
              <w:t xml:space="preserve">　</w:t>
            </w:r>
            <w:r w:rsidR="00AF4BBB">
              <w:rPr>
                <w:vertAlign w:val="superscript"/>
              </w:rPr>
              <w:t>3</w:t>
            </w:r>
          </w:p>
        </w:tc>
      </w:tr>
      <w:tr w:rsidR="00A41981" w:rsidRPr="008C164C" w14:paraId="0D9FA1E4" w14:textId="77777777" w:rsidTr="00240629">
        <w:tc>
          <w:tcPr>
            <w:tcW w:w="5000" w:type="pct"/>
            <w:gridSpan w:val="7"/>
            <w:shd w:val="clear" w:color="auto" w:fill="C6D9F1" w:themeFill="text2" w:themeFillTint="33"/>
            <w:vAlign w:val="center"/>
          </w:tcPr>
          <w:p w14:paraId="124574D4" w14:textId="77777777" w:rsidR="00A41981" w:rsidRPr="008C164C" w:rsidRDefault="00A41981" w:rsidP="00240629">
            <w:pPr>
              <w:pStyle w:val="In-tableHeading"/>
              <w:rPr>
                <w:lang w:val="en-AU"/>
              </w:rPr>
            </w:pPr>
            <w:r w:rsidRPr="008C164C">
              <w:rPr>
                <w:lang w:val="en-AU"/>
              </w:rPr>
              <w:t>Previous submission November 2022</w:t>
            </w:r>
          </w:p>
        </w:tc>
      </w:tr>
      <w:tr w:rsidR="00A41981" w:rsidRPr="008C164C" w14:paraId="0BF1F4E6" w14:textId="77777777" w:rsidTr="00240629">
        <w:tc>
          <w:tcPr>
            <w:tcW w:w="1334" w:type="pct"/>
            <w:shd w:val="clear" w:color="auto" w:fill="C6D9F1" w:themeFill="text2" w:themeFillTint="33"/>
            <w:vAlign w:val="center"/>
          </w:tcPr>
          <w:p w14:paraId="40125622" w14:textId="77777777" w:rsidR="00A41981" w:rsidRPr="008C164C" w:rsidRDefault="00A41981" w:rsidP="00240629">
            <w:pPr>
              <w:pStyle w:val="TableText0"/>
              <w:rPr>
                <w:sz w:val="19"/>
                <w:szCs w:val="19"/>
              </w:rPr>
            </w:pPr>
            <w:r w:rsidRPr="008C164C">
              <w:rPr>
                <w:sz w:val="19"/>
                <w:szCs w:val="19"/>
              </w:rPr>
              <w:t>Net cost to PBS/RPBS</w:t>
            </w:r>
          </w:p>
        </w:tc>
        <w:tc>
          <w:tcPr>
            <w:tcW w:w="611" w:type="pct"/>
            <w:shd w:val="clear" w:color="auto" w:fill="C6D9F1" w:themeFill="text2" w:themeFillTint="33"/>
            <w:vAlign w:val="bottom"/>
          </w:tcPr>
          <w:p w14:paraId="1A7F39EF" w14:textId="23617842" w:rsidR="00A41981" w:rsidRPr="00B55449" w:rsidRDefault="00851D33" w:rsidP="00416D80">
            <w:pPr>
              <w:pStyle w:val="TableText0"/>
              <w:jc w:val="center"/>
              <w:rPr>
                <w:highlight w:val="darkGray"/>
              </w:rPr>
            </w:pPr>
            <w:r>
              <w:rPr>
                <w:rFonts w:cs="Calibri"/>
                <w:bCs w:val="0"/>
                <w:color w:val="000000"/>
              </w:rPr>
              <w:t xml:space="preserve"> </w:t>
            </w:r>
            <w:r w:rsidRPr="00851D33">
              <w:rPr>
                <w:rFonts w:cs="Calibri" w:hint="eastAsia"/>
                <w:bCs w:val="0"/>
                <w:color w:val="000000"/>
                <w:w w:val="15"/>
                <w:shd w:val="solid" w:color="000000" w:fill="000000"/>
                <w:fitText w:val="70" w:id="-1032080368"/>
                <w14:textFill>
                  <w14:solidFill>
                    <w14:srgbClr w14:val="000000">
                      <w14:alpha w14:val="100000"/>
                    </w14:srgbClr>
                  </w14:solidFill>
                </w14:textFill>
              </w:rPr>
              <w:t xml:space="preserve">　</w:t>
            </w:r>
            <w:r w:rsidRPr="00851D33">
              <w:rPr>
                <w:rFonts w:cs="Calibri"/>
                <w:bCs w:val="0"/>
                <w:color w:val="000000"/>
                <w:w w:val="15"/>
                <w:shd w:val="solid" w:color="000000" w:fill="000000"/>
                <w:fitText w:val="70" w:id="-1032080368"/>
                <w14:textFill>
                  <w14:solidFill>
                    <w14:srgbClr w14:val="000000">
                      <w14:alpha w14:val="100000"/>
                    </w14:srgbClr>
                  </w14:solidFill>
                </w14:textFill>
              </w:rPr>
              <w:t>|</w:t>
            </w:r>
            <w:r w:rsidRPr="00851D33">
              <w:rPr>
                <w:rFonts w:cs="Calibri" w:hint="eastAsia"/>
                <w:bCs w:val="0"/>
                <w:color w:val="000000"/>
                <w:spacing w:val="4"/>
                <w:w w:val="15"/>
                <w:shd w:val="solid" w:color="000000" w:fill="000000"/>
                <w:fitText w:val="70" w:id="-1032080368"/>
                <w14:textFill>
                  <w14:solidFill>
                    <w14:srgbClr w14:val="000000">
                      <w14:alpha w14:val="100000"/>
                    </w14:srgbClr>
                  </w14:solidFill>
                </w14:textFill>
              </w:rPr>
              <w:t xml:space="preserve">　</w:t>
            </w:r>
            <w:r w:rsidR="00AF4BBB">
              <w:rPr>
                <w:vertAlign w:val="superscript"/>
              </w:rPr>
              <w:t>2</w:t>
            </w:r>
          </w:p>
        </w:tc>
        <w:tc>
          <w:tcPr>
            <w:tcW w:w="611" w:type="pct"/>
            <w:shd w:val="clear" w:color="auto" w:fill="C6D9F1" w:themeFill="text2" w:themeFillTint="33"/>
            <w:vAlign w:val="bottom"/>
          </w:tcPr>
          <w:p w14:paraId="1DDE48AA" w14:textId="2B3ADEF6" w:rsidR="00A41981" w:rsidRPr="00B55449" w:rsidRDefault="00851D33" w:rsidP="00416D80">
            <w:pPr>
              <w:pStyle w:val="TableText0"/>
              <w:jc w:val="center"/>
              <w:rPr>
                <w:highlight w:val="darkGray"/>
              </w:rPr>
            </w:pPr>
            <w:r>
              <w:rPr>
                <w:rFonts w:cs="Calibri"/>
                <w:bCs w:val="0"/>
                <w:color w:val="000000"/>
              </w:rPr>
              <w:t xml:space="preserve"> </w:t>
            </w:r>
            <w:r w:rsidRPr="00851D33">
              <w:rPr>
                <w:rFonts w:cs="Calibri" w:hint="eastAsia"/>
                <w:bCs w:val="0"/>
                <w:color w:val="000000"/>
                <w:w w:val="15"/>
                <w:shd w:val="solid" w:color="000000" w:fill="000000"/>
                <w:fitText w:val="70" w:id="-1032080384"/>
                <w14:textFill>
                  <w14:solidFill>
                    <w14:srgbClr w14:val="000000">
                      <w14:alpha w14:val="100000"/>
                    </w14:srgbClr>
                  </w14:solidFill>
                </w14:textFill>
              </w:rPr>
              <w:t xml:space="preserve">　</w:t>
            </w:r>
            <w:r w:rsidRPr="00851D33">
              <w:rPr>
                <w:rFonts w:cs="Calibri"/>
                <w:bCs w:val="0"/>
                <w:color w:val="000000"/>
                <w:w w:val="15"/>
                <w:shd w:val="solid" w:color="000000" w:fill="000000"/>
                <w:fitText w:val="70" w:id="-1032080384"/>
                <w14:textFill>
                  <w14:solidFill>
                    <w14:srgbClr w14:val="000000">
                      <w14:alpha w14:val="100000"/>
                    </w14:srgbClr>
                  </w14:solidFill>
                </w14:textFill>
              </w:rPr>
              <w:t>|</w:t>
            </w:r>
            <w:r w:rsidRPr="00851D33">
              <w:rPr>
                <w:rFonts w:cs="Calibri" w:hint="eastAsia"/>
                <w:bCs w:val="0"/>
                <w:color w:val="000000"/>
                <w:spacing w:val="4"/>
                <w:w w:val="15"/>
                <w:shd w:val="solid" w:color="000000" w:fill="000000"/>
                <w:fitText w:val="70" w:id="-1032080384"/>
                <w14:textFill>
                  <w14:solidFill>
                    <w14:srgbClr w14:val="000000">
                      <w14:alpha w14:val="100000"/>
                    </w14:srgbClr>
                  </w14:solidFill>
                </w14:textFill>
              </w:rPr>
              <w:t xml:space="preserve">　</w:t>
            </w:r>
            <w:r w:rsidR="00AF4BBB">
              <w:rPr>
                <w:vertAlign w:val="superscript"/>
              </w:rPr>
              <w:t>3</w:t>
            </w:r>
          </w:p>
        </w:tc>
        <w:tc>
          <w:tcPr>
            <w:tcW w:w="611" w:type="pct"/>
            <w:shd w:val="clear" w:color="auto" w:fill="C6D9F1" w:themeFill="text2" w:themeFillTint="33"/>
            <w:vAlign w:val="bottom"/>
          </w:tcPr>
          <w:p w14:paraId="73965621" w14:textId="0D8C52AC" w:rsidR="00A41981" w:rsidRPr="00B55449" w:rsidRDefault="00851D33" w:rsidP="00416D80">
            <w:pPr>
              <w:pStyle w:val="TableText0"/>
              <w:jc w:val="center"/>
              <w:rPr>
                <w:highlight w:val="darkGray"/>
              </w:rPr>
            </w:pPr>
            <w:r>
              <w:rPr>
                <w:rFonts w:cs="Calibri"/>
                <w:bCs w:val="0"/>
                <w:color w:val="000000"/>
              </w:rPr>
              <w:t xml:space="preserve"> </w:t>
            </w:r>
            <w:r w:rsidRPr="00851D33">
              <w:rPr>
                <w:rFonts w:cs="Calibri" w:hint="eastAsia"/>
                <w:bCs w:val="0"/>
                <w:color w:val="000000"/>
                <w:w w:val="15"/>
                <w:shd w:val="solid" w:color="000000" w:fill="000000"/>
                <w:fitText w:val="70" w:id="-1032080383"/>
                <w14:textFill>
                  <w14:solidFill>
                    <w14:srgbClr w14:val="000000">
                      <w14:alpha w14:val="100000"/>
                    </w14:srgbClr>
                  </w14:solidFill>
                </w14:textFill>
              </w:rPr>
              <w:t xml:space="preserve">　</w:t>
            </w:r>
            <w:r w:rsidRPr="00851D33">
              <w:rPr>
                <w:rFonts w:cs="Calibri"/>
                <w:bCs w:val="0"/>
                <w:color w:val="000000"/>
                <w:w w:val="15"/>
                <w:shd w:val="solid" w:color="000000" w:fill="000000"/>
                <w:fitText w:val="70" w:id="-1032080383"/>
                <w14:textFill>
                  <w14:solidFill>
                    <w14:srgbClr w14:val="000000">
                      <w14:alpha w14:val="100000"/>
                    </w14:srgbClr>
                  </w14:solidFill>
                </w14:textFill>
              </w:rPr>
              <w:t>|</w:t>
            </w:r>
            <w:r w:rsidRPr="00851D33">
              <w:rPr>
                <w:rFonts w:cs="Calibri" w:hint="eastAsia"/>
                <w:bCs w:val="0"/>
                <w:color w:val="000000"/>
                <w:spacing w:val="4"/>
                <w:w w:val="15"/>
                <w:shd w:val="solid" w:color="000000" w:fill="000000"/>
                <w:fitText w:val="70" w:id="-1032080383"/>
                <w14:textFill>
                  <w14:solidFill>
                    <w14:srgbClr w14:val="000000">
                      <w14:alpha w14:val="100000"/>
                    </w14:srgbClr>
                  </w14:solidFill>
                </w14:textFill>
              </w:rPr>
              <w:t xml:space="preserve">　</w:t>
            </w:r>
            <w:r w:rsidR="00AF4BBB">
              <w:rPr>
                <w:vertAlign w:val="superscript"/>
              </w:rPr>
              <w:t>3</w:t>
            </w:r>
          </w:p>
        </w:tc>
        <w:tc>
          <w:tcPr>
            <w:tcW w:w="611" w:type="pct"/>
            <w:shd w:val="clear" w:color="auto" w:fill="C6D9F1" w:themeFill="text2" w:themeFillTint="33"/>
            <w:vAlign w:val="bottom"/>
          </w:tcPr>
          <w:p w14:paraId="69732EEA" w14:textId="6D6F1E04" w:rsidR="00A41981" w:rsidRPr="00B55449" w:rsidRDefault="00851D33" w:rsidP="00416D80">
            <w:pPr>
              <w:pStyle w:val="TableText0"/>
              <w:jc w:val="center"/>
              <w:rPr>
                <w:highlight w:val="darkGray"/>
              </w:rPr>
            </w:pPr>
            <w:r>
              <w:rPr>
                <w:rFonts w:cs="Calibri"/>
                <w:bCs w:val="0"/>
                <w:color w:val="000000"/>
              </w:rPr>
              <w:t xml:space="preserve"> </w:t>
            </w:r>
            <w:r w:rsidRPr="00851D33">
              <w:rPr>
                <w:rFonts w:cs="Calibri" w:hint="eastAsia"/>
                <w:bCs w:val="0"/>
                <w:color w:val="000000"/>
                <w:w w:val="15"/>
                <w:shd w:val="solid" w:color="000000" w:fill="000000"/>
                <w:fitText w:val="70" w:id="-1032080382"/>
                <w14:textFill>
                  <w14:solidFill>
                    <w14:srgbClr w14:val="000000">
                      <w14:alpha w14:val="100000"/>
                    </w14:srgbClr>
                  </w14:solidFill>
                </w14:textFill>
              </w:rPr>
              <w:t xml:space="preserve">　</w:t>
            </w:r>
            <w:r w:rsidRPr="00851D33">
              <w:rPr>
                <w:rFonts w:cs="Calibri"/>
                <w:bCs w:val="0"/>
                <w:color w:val="000000"/>
                <w:w w:val="15"/>
                <w:shd w:val="solid" w:color="000000" w:fill="000000"/>
                <w:fitText w:val="70" w:id="-1032080382"/>
                <w14:textFill>
                  <w14:solidFill>
                    <w14:srgbClr w14:val="000000">
                      <w14:alpha w14:val="100000"/>
                    </w14:srgbClr>
                  </w14:solidFill>
                </w14:textFill>
              </w:rPr>
              <w:t>|</w:t>
            </w:r>
            <w:r w:rsidRPr="00851D33">
              <w:rPr>
                <w:rFonts w:cs="Calibri" w:hint="eastAsia"/>
                <w:bCs w:val="0"/>
                <w:color w:val="000000"/>
                <w:spacing w:val="4"/>
                <w:w w:val="15"/>
                <w:shd w:val="solid" w:color="000000" w:fill="000000"/>
                <w:fitText w:val="70" w:id="-1032080382"/>
                <w14:textFill>
                  <w14:solidFill>
                    <w14:srgbClr w14:val="000000">
                      <w14:alpha w14:val="100000"/>
                    </w14:srgbClr>
                  </w14:solidFill>
                </w14:textFill>
              </w:rPr>
              <w:t xml:space="preserve">　</w:t>
            </w:r>
            <w:r w:rsidR="00AF4BBB">
              <w:rPr>
                <w:vertAlign w:val="superscript"/>
              </w:rPr>
              <w:t>3</w:t>
            </w:r>
          </w:p>
        </w:tc>
        <w:tc>
          <w:tcPr>
            <w:tcW w:w="611" w:type="pct"/>
            <w:shd w:val="clear" w:color="auto" w:fill="C6D9F1" w:themeFill="text2" w:themeFillTint="33"/>
            <w:vAlign w:val="bottom"/>
          </w:tcPr>
          <w:p w14:paraId="02DBBBD3" w14:textId="05AA46F6" w:rsidR="00A41981" w:rsidRPr="00B55449" w:rsidRDefault="00851D33" w:rsidP="00416D80">
            <w:pPr>
              <w:pStyle w:val="TableText0"/>
              <w:jc w:val="center"/>
              <w:rPr>
                <w:highlight w:val="darkGray"/>
              </w:rPr>
            </w:pPr>
            <w:r>
              <w:rPr>
                <w:rFonts w:cs="Calibri"/>
                <w:bCs w:val="0"/>
                <w:color w:val="000000"/>
              </w:rPr>
              <w:t xml:space="preserve"> </w:t>
            </w:r>
            <w:r w:rsidRPr="00851D33">
              <w:rPr>
                <w:rFonts w:cs="Calibri" w:hint="eastAsia"/>
                <w:bCs w:val="0"/>
                <w:color w:val="000000"/>
                <w:w w:val="15"/>
                <w:shd w:val="solid" w:color="000000" w:fill="000000"/>
                <w:fitText w:val="70" w:id="-1032080381"/>
                <w14:textFill>
                  <w14:solidFill>
                    <w14:srgbClr w14:val="000000">
                      <w14:alpha w14:val="100000"/>
                    </w14:srgbClr>
                  </w14:solidFill>
                </w14:textFill>
              </w:rPr>
              <w:t xml:space="preserve">　</w:t>
            </w:r>
            <w:r w:rsidRPr="00851D33">
              <w:rPr>
                <w:rFonts w:cs="Calibri"/>
                <w:bCs w:val="0"/>
                <w:color w:val="000000"/>
                <w:w w:val="15"/>
                <w:shd w:val="solid" w:color="000000" w:fill="000000"/>
                <w:fitText w:val="70" w:id="-1032080381"/>
                <w14:textFill>
                  <w14:solidFill>
                    <w14:srgbClr w14:val="000000">
                      <w14:alpha w14:val="100000"/>
                    </w14:srgbClr>
                  </w14:solidFill>
                </w14:textFill>
              </w:rPr>
              <w:t>|</w:t>
            </w:r>
            <w:r w:rsidRPr="00851D33">
              <w:rPr>
                <w:rFonts w:cs="Calibri" w:hint="eastAsia"/>
                <w:bCs w:val="0"/>
                <w:color w:val="000000"/>
                <w:spacing w:val="4"/>
                <w:w w:val="15"/>
                <w:shd w:val="solid" w:color="000000" w:fill="000000"/>
                <w:fitText w:val="70" w:id="-1032080381"/>
                <w14:textFill>
                  <w14:solidFill>
                    <w14:srgbClr w14:val="000000">
                      <w14:alpha w14:val="100000"/>
                    </w14:srgbClr>
                  </w14:solidFill>
                </w14:textFill>
              </w:rPr>
              <w:t xml:space="preserve">　</w:t>
            </w:r>
            <w:r w:rsidR="00AF4BBB">
              <w:rPr>
                <w:vertAlign w:val="superscript"/>
              </w:rPr>
              <w:t>3</w:t>
            </w:r>
          </w:p>
        </w:tc>
        <w:tc>
          <w:tcPr>
            <w:tcW w:w="611" w:type="pct"/>
            <w:shd w:val="clear" w:color="auto" w:fill="C6D9F1" w:themeFill="text2" w:themeFillTint="33"/>
            <w:vAlign w:val="bottom"/>
          </w:tcPr>
          <w:p w14:paraId="42C147F2" w14:textId="3F1B2942" w:rsidR="00A41981" w:rsidRPr="00B55449" w:rsidRDefault="00851D33" w:rsidP="00416D80">
            <w:pPr>
              <w:pStyle w:val="TableText0"/>
              <w:jc w:val="center"/>
              <w:rPr>
                <w:highlight w:val="darkGray"/>
              </w:rPr>
            </w:pPr>
            <w:r>
              <w:rPr>
                <w:rFonts w:cs="Calibri"/>
                <w:bCs w:val="0"/>
                <w:color w:val="000000"/>
              </w:rPr>
              <w:t xml:space="preserve"> </w:t>
            </w:r>
            <w:r w:rsidRPr="00851D33">
              <w:rPr>
                <w:rFonts w:cs="Calibri" w:hint="eastAsia"/>
                <w:bCs w:val="0"/>
                <w:color w:val="000000"/>
                <w:w w:val="15"/>
                <w:shd w:val="solid" w:color="000000" w:fill="000000"/>
                <w:fitText w:val="70" w:id="-1032080380"/>
                <w14:textFill>
                  <w14:solidFill>
                    <w14:srgbClr w14:val="000000">
                      <w14:alpha w14:val="100000"/>
                    </w14:srgbClr>
                  </w14:solidFill>
                </w14:textFill>
              </w:rPr>
              <w:t xml:space="preserve">　</w:t>
            </w:r>
            <w:r w:rsidRPr="00851D33">
              <w:rPr>
                <w:rFonts w:cs="Calibri"/>
                <w:bCs w:val="0"/>
                <w:color w:val="000000"/>
                <w:w w:val="15"/>
                <w:shd w:val="solid" w:color="000000" w:fill="000000"/>
                <w:fitText w:val="70" w:id="-1032080380"/>
                <w14:textFill>
                  <w14:solidFill>
                    <w14:srgbClr w14:val="000000">
                      <w14:alpha w14:val="100000"/>
                    </w14:srgbClr>
                  </w14:solidFill>
                </w14:textFill>
              </w:rPr>
              <w:t>|</w:t>
            </w:r>
            <w:r w:rsidRPr="00851D33">
              <w:rPr>
                <w:rFonts w:cs="Calibri" w:hint="eastAsia"/>
                <w:bCs w:val="0"/>
                <w:color w:val="000000"/>
                <w:spacing w:val="4"/>
                <w:w w:val="15"/>
                <w:shd w:val="solid" w:color="000000" w:fill="000000"/>
                <w:fitText w:val="70" w:id="-1032080380"/>
                <w14:textFill>
                  <w14:solidFill>
                    <w14:srgbClr w14:val="000000">
                      <w14:alpha w14:val="100000"/>
                    </w14:srgbClr>
                  </w14:solidFill>
                </w14:textFill>
              </w:rPr>
              <w:t xml:space="preserve">　</w:t>
            </w:r>
            <w:r w:rsidR="00AF4BBB">
              <w:rPr>
                <w:vertAlign w:val="superscript"/>
              </w:rPr>
              <w:t>3</w:t>
            </w:r>
          </w:p>
        </w:tc>
      </w:tr>
    </w:tbl>
    <w:p w14:paraId="5C4CC7D6" w14:textId="77777777" w:rsidR="00A41981" w:rsidRPr="008C164C" w:rsidRDefault="00A41981" w:rsidP="00A41981">
      <w:pPr>
        <w:pStyle w:val="FooterTableFigure"/>
        <w:spacing w:after="0"/>
        <w:contextualSpacing w:val="0"/>
      </w:pPr>
      <w:r w:rsidRPr="008C164C">
        <w:t xml:space="preserve">Source: Table 4-4, p175, Table 4-5, 4-6 p177, Source: Table 4-7, p178, Table 4-11, p182, Table 4-13, p182 of the resubmission. </w:t>
      </w:r>
    </w:p>
    <w:p w14:paraId="089B43FF" w14:textId="750E9A51" w:rsidR="00A41981" w:rsidRPr="008C164C" w:rsidRDefault="00A41981" w:rsidP="00A41981">
      <w:pPr>
        <w:pStyle w:val="TableText0"/>
        <w:keepNext w:val="0"/>
        <w:rPr>
          <w:sz w:val="18"/>
          <w:szCs w:val="18"/>
        </w:rPr>
      </w:pPr>
      <w:r w:rsidRPr="008C164C">
        <w:rPr>
          <w:sz w:val="18"/>
          <w:szCs w:val="18"/>
        </w:rPr>
        <w:t xml:space="preserve">Blue shaded cells indicate values previously considered by </w:t>
      </w:r>
      <w:r w:rsidR="004E7754" w:rsidRPr="008C164C">
        <w:rPr>
          <w:sz w:val="18"/>
          <w:szCs w:val="18"/>
        </w:rPr>
        <w:t xml:space="preserve">the </w:t>
      </w:r>
      <w:r w:rsidRPr="008C164C">
        <w:rPr>
          <w:sz w:val="18"/>
          <w:szCs w:val="18"/>
        </w:rPr>
        <w:t xml:space="preserve">PBAC </w:t>
      </w:r>
    </w:p>
    <w:p w14:paraId="478C4CA7" w14:textId="36124E63" w:rsidR="00A41981" w:rsidRDefault="00A41981" w:rsidP="00B55449">
      <w:pPr>
        <w:pStyle w:val="FooterTableFigure"/>
        <w:spacing w:after="0"/>
        <w:contextualSpacing w:val="0"/>
      </w:pPr>
      <w:proofErr w:type="gramStart"/>
      <w:r w:rsidRPr="008C164C">
        <w:rPr>
          <w:vertAlign w:val="superscript"/>
        </w:rPr>
        <w:t>a</w:t>
      </w:r>
      <w:proofErr w:type="gramEnd"/>
      <w:r w:rsidRPr="008C164C">
        <w:t xml:space="preserve"> Assuming 1 script per year for initiating tablets, 1 script per year for initiating injection and two scripts per year for maintenance as estimated by the resubmission.</w:t>
      </w:r>
    </w:p>
    <w:p w14:paraId="77560833" w14:textId="036399F8" w:rsidR="00B55449" w:rsidRPr="00AF4BBB" w:rsidRDefault="00B55449" w:rsidP="00B55449">
      <w:pPr>
        <w:pStyle w:val="FooterTableFigure"/>
        <w:spacing w:after="0"/>
        <w:contextualSpacing w:val="0"/>
        <w:rPr>
          <w:i/>
          <w:iCs/>
        </w:rPr>
      </w:pPr>
      <w:r w:rsidRPr="00AF4BBB">
        <w:rPr>
          <w:i/>
          <w:iCs/>
        </w:rPr>
        <w:lastRenderedPageBreak/>
        <w:t>The redacted values correspond to the following ranges:</w:t>
      </w:r>
    </w:p>
    <w:p w14:paraId="1F1682D5" w14:textId="16027F51" w:rsidR="00B55449" w:rsidRPr="00AF4BBB" w:rsidRDefault="00B55449" w:rsidP="00B55449">
      <w:pPr>
        <w:pStyle w:val="FooterTableFigure"/>
        <w:spacing w:after="0"/>
        <w:contextualSpacing w:val="0"/>
        <w:rPr>
          <w:i/>
          <w:iCs/>
        </w:rPr>
      </w:pPr>
      <w:r w:rsidRPr="00AF4BBB">
        <w:rPr>
          <w:i/>
          <w:iCs/>
          <w:vertAlign w:val="superscript"/>
        </w:rPr>
        <w:t>1</w:t>
      </w:r>
      <w:r w:rsidR="00AF4BBB" w:rsidRPr="00AF4BBB">
        <w:rPr>
          <w:i/>
          <w:iCs/>
        </w:rPr>
        <w:t xml:space="preserve"> &lt; 500</w:t>
      </w:r>
    </w:p>
    <w:p w14:paraId="78DAFD58" w14:textId="00015493" w:rsidR="00AF4BBB" w:rsidRPr="00AF4BBB" w:rsidRDefault="00AF4BBB" w:rsidP="00B55449">
      <w:pPr>
        <w:pStyle w:val="FooterTableFigure"/>
        <w:spacing w:after="0"/>
        <w:contextualSpacing w:val="0"/>
        <w:rPr>
          <w:i/>
          <w:iCs/>
        </w:rPr>
      </w:pPr>
      <w:r w:rsidRPr="00AF4BBB">
        <w:rPr>
          <w:i/>
          <w:iCs/>
          <w:vertAlign w:val="superscript"/>
        </w:rPr>
        <w:t>2</w:t>
      </w:r>
      <w:r w:rsidRPr="00AF4BBB">
        <w:rPr>
          <w:i/>
          <w:iCs/>
        </w:rPr>
        <w:t xml:space="preserve"> $0 to &lt; $10 million</w:t>
      </w:r>
    </w:p>
    <w:p w14:paraId="4E1647F2" w14:textId="40430341" w:rsidR="00AF4BBB" w:rsidRPr="00AF4BBB" w:rsidRDefault="00AF4BBB" w:rsidP="007C671D">
      <w:pPr>
        <w:pStyle w:val="FooterTableFigure"/>
        <w:contextualSpacing w:val="0"/>
        <w:rPr>
          <w:i/>
          <w:iCs/>
        </w:rPr>
      </w:pPr>
      <w:r w:rsidRPr="00AF4BBB">
        <w:rPr>
          <w:i/>
          <w:iCs/>
          <w:vertAlign w:val="superscript"/>
        </w:rPr>
        <w:t>3</w:t>
      </w:r>
      <w:r w:rsidRPr="00AF4BBB">
        <w:rPr>
          <w:i/>
          <w:iCs/>
        </w:rPr>
        <w:t xml:space="preserve"> $10 million to &lt; $20 million</w:t>
      </w:r>
    </w:p>
    <w:p w14:paraId="6C65734A" w14:textId="2AE14723" w:rsidR="00A41981" w:rsidRPr="008C164C" w:rsidRDefault="00A41981" w:rsidP="00A41981">
      <w:pPr>
        <w:pStyle w:val="3-BodyText"/>
      </w:pPr>
      <w:r w:rsidRPr="008C164C">
        <w:t>The submission estimated a total net cost to government of $</w:t>
      </w:r>
      <w:r w:rsidR="00AF4BBB">
        <w:t>0 to &lt; $10</w:t>
      </w:r>
      <w:r w:rsidR="004B0856" w:rsidRPr="008C164C">
        <w:t xml:space="preserve"> million</w:t>
      </w:r>
      <w:r w:rsidRPr="008C164C">
        <w:t xml:space="preserve"> in Year 1</w:t>
      </w:r>
      <w:r w:rsidR="004B0856" w:rsidRPr="008C164C">
        <w:t>,</w:t>
      </w:r>
      <w:r w:rsidRPr="008C164C">
        <w:t xml:space="preserve"> increasing to $</w:t>
      </w:r>
      <w:r w:rsidR="00AF4BBB">
        <w:t>10 million to &lt; $20</w:t>
      </w:r>
      <w:r w:rsidR="004B0856" w:rsidRPr="008C164C">
        <w:t xml:space="preserve"> million</w:t>
      </w:r>
      <w:r w:rsidRPr="008C164C">
        <w:t xml:space="preserve"> </w:t>
      </w:r>
      <w:r w:rsidR="004B0856" w:rsidRPr="008C164C">
        <w:t>i</w:t>
      </w:r>
      <w:r w:rsidRPr="008C164C">
        <w:t>n Year 6</w:t>
      </w:r>
      <w:r w:rsidR="004B0856" w:rsidRPr="008C164C">
        <w:t>, and</w:t>
      </w:r>
      <w:r w:rsidRPr="008C164C">
        <w:t xml:space="preserve"> a total of $</w:t>
      </w:r>
      <w:r w:rsidR="00AF4BBB">
        <w:t>50 million to &lt; $60</w:t>
      </w:r>
      <w:r w:rsidR="000F06D7">
        <w:t xml:space="preserve"> million</w:t>
      </w:r>
      <w:r w:rsidRPr="008C164C">
        <w:t xml:space="preserve"> over the first 6 years of listing. </w:t>
      </w:r>
    </w:p>
    <w:p w14:paraId="2238DEE9" w14:textId="290D5329" w:rsidR="00576972" w:rsidRPr="008C164C" w:rsidRDefault="00576972" w:rsidP="00606FBA">
      <w:pPr>
        <w:pStyle w:val="4-SubsectionHeading"/>
      </w:pPr>
      <w:bookmarkStart w:id="90" w:name="_Toc22897648"/>
      <w:bookmarkStart w:id="91" w:name="_Toc145485267"/>
      <w:r w:rsidRPr="008C164C">
        <w:t>Quality Use of Medicines</w:t>
      </w:r>
      <w:bookmarkEnd w:id="90"/>
      <w:bookmarkEnd w:id="91"/>
    </w:p>
    <w:p w14:paraId="0592A4F4" w14:textId="77777777" w:rsidR="00732C82" w:rsidRPr="008C164C" w:rsidRDefault="00732C82" w:rsidP="00732C82">
      <w:pPr>
        <w:pStyle w:val="3-BodyText"/>
      </w:pPr>
      <w:r w:rsidRPr="008C164C">
        <w:t>The resubmission noted that a TGA compliant risk management plan (RMP) will be implemented and agreed through the registration process.</w:t>
      </w:r>
    </w:p>
    <w:p w14:paraId="2128EAA6" w14:textId="77777777" w:rsidR="00732C82" w:rsidRPr="008C164C" w:rsidRDefault="00732C82" w:rsidP="00732C82">
      <w:pPr>
        <w:pStyle w:val="3-BodyText"/>
      </w:pPr>
      <w:r w:rsidRPr="008C164C">
        <w:t>The resubmission noted that the EU RMP states that it is desirable to collect additional long-term safety information and data on safety in pregnancy and lactation, in addition to conducting routine post-marketing pharmacovigilance. Additional safety information will come from extended safety data from ongoing clinical trials in PLWH and an ARV pregnancy registry.</w:t>
      </w:r>
    </w:p>
    <w:p w14:paraId="5E92896F" w14:textId="4ABEDFE2" w:rsidR="00732C82" w:rsidRPr="008C164C" w:rsidRDefault="00732C82" w:rsidP="00732C82">
      <w:pPr>
        <w:pStyle w:val="3-BodyText"/>
      </w:pPr>
      <w:r w:rsidRPr="008C164C">
        <w:t>The resubmission also stated that the launch of LEN will be underpinned by comprehensive training of health care professionals on injection procedures. Instructions on injection procedures, including video or face-to-face injection training by third party registered nurses is expected to be provided. Demonstration injection kits along with training material will be provided to clinics</w:t>
      </w:r>
      <w:r w:rsidR="0061693E" w:rsidRPr="008C164C">
        <w:t>.</w:t>
      </w:r>
      <w:r w:rsidR="00483F2D" w:rsidRPr="008C164C">
        <w:t xml:space="preserve"> </w:t>
      </w:r>
    </w:p>
    <w:p w14:paraId="00B4E242" w14:textId="3C2553CF" w:rsidR="00483F2D" w:rsidRDefault="00483F2D" w:rsidP="00483F2D">
      <w:pPr>
        <w:ind w:firstLine="709"/>
        <w:rPr>
          <w:rFonts w:asciiTheme="minorHAnsi" w:hAnsiTheme="minorHAnsi"/>
          <w:i/>
        </w:rPr>
      </w:pPr>
      <w:r w:rsidRPr="008C164C">
        <w:rPr>
          <w:rFonts w:asciiTheme="minorHAnsi" w:hAnsiTheme="minorHAnsi"/>
          <w:i/>
        </w:rPr>
        <w:t>For more detail on PBAC’s view, see section 7 PBAC outcome.</w:t>
      </w:r>
    </w:p>
    <w:p w14:paraId="31B33F0C" w14:textId="77777777" w:rsidR="008A25A0" w:rsidRPr="002C3702" w:rsidRDefault="008A25A0" w:rsidP="008A25A0">
      <w:pPr>
        <w:pStyle w:val="4-SubsectionHeading"/>
      </w:pPr>
      <w:bookmarkStart w:id="92" w:name="_Toc22897649"/>
      <w:bookmarkStart w:id="93" w:name="_Toc145422848"/>
      <w:r w:rsidRPr="002C3702">
        <w:t>Financial Management – Risk Sharing Arrangements</w:t>
      </w:r>
      <w:bookmarkEnd w:id="92"/>
      <w:bookmarkEnd w:id="93"/>
    </w:p>
    <w:p w14:paraId="7F0D062F" w14:textId="70A85E8D" w:rsidR="008A25A0" w:rsidRPr="008A25A0" w:rsidRDefault="008A25A0" w:rsidP="008A25A0">
      <w:pPr>
        <w:pStyle w:val="3-BodyText"/>
        <w:rPr>
          <w:color w:val="000000" w:themeColor="text1"/>
        </w:rPr>
      </w:pPr>
      <w:r w:rsidRPr="00732C82">
        <w:rPr>
          <w:color w:val="000000" w:themeColor="text1"/>
        </w:rPr>
        <w:t>The resubmission did not propose a risk sharing arrangement.</w:t>
      </w:r>
    </w:p>
    <w:p w14:paraId="3AB3DD42" w14:textId="77777777" w:rsidR="00483F2D" w:rsidRPr="008C164C" w:rsidRDefault="00483F2D" w:rsidP="003E6A5A">
      <w:pPr>
        <w:pStyle w:val="2-SectionHeading"/>
      </w:pPr>
      <w:bookmarkStart w:id="94" w:name="_Hlk76381249"/>
      <w:bookmarkStart w:id="95" w:name="_Hlk76377955"/>
      <w:r w:rsidRPr="008C164C">
        <w:t>PBAC Outcome</w:t>
      </w:r>
    </w:p>
    <w:p w14:paraId="1B4826B1" w14:textId="326882A9" w:rsidR="003F0F84" w:rsidRPr="003F0F84" w:rsidRDefault="0024138C" w:rsidP="0032403E">
      <w:pPr>
        <w:widowControl w:val="0"/>
        <w:numPr>
          <w:ilvl w:val="1"/>
          <w:numId w:val="1"/>
        </w:numPr>
        <w:spacing w:after="120"/>
        <w:rPr>
          <w:rFonts w:asciiTheme="minorHAnsi" w:hAnsiTheme="minorHAnsi"/>
          <w:snapToGrid w:val="0"/>
        </w:rPr>
      </w:pPr>
      <w:bookmarkStart w:id="96" w:name="_Hlk111543188"/>
      <w:r w:rsidRPr="008C164C">
        <w:rPr>
          <w:rFonts w:asciiTheme="minorHAnsi" w:hAnsiTheme="minorHAnsi"/>
          <w:snapToGrid w:val="0"/>
        </w:rPr>
        <w:t xml:space="preserve">The PBAC recommended the Section 100, Highly Specialised Drugs Program (Community Access), Authority Required (STREAMLINED) listing of </w:t>
      </w:r>
      <w:proofErr w:type="spellStart"/>
      <w:r w:rsidRPr="008C164C">
        <w:rPr>
          <w:rFonts w:asciiTheme="minorHAnsi" w:hAnsiTheme="minorHAnsi"/>
          <w:snapToGrid w:val="0"/>
        </w:rPr>
        <w:t>lenacapavir</w:t>
      </w:r>
      <w:proofErr w:type="spellEnd"/>
      <w:r w:rsidRPr="008C164C">
        <w:rPr>
          <w:rFonts w:asciiTheme="minorHAnsi" w:hAnsiTheme="minorHAnsi"/>
          <w:snapToGrid w:val="0"/>
        </w:rPr>
        <w:t xml:space="preserve"> (LEN), in combination with optimised background regimen (OBR), for the treatment of patients with highly multi-drug resistant (</w:t>
      </w:r>
      <w:proofErr w:type="spellStart"/>
      <w:r w:rsidRPr="008C164C">
        <w:rPr>
          <w:rFonts w:asciiTheme="minorHAnsi" w:hAnsiTheme="minorHAnsi"/>
          <w:snapToGrid w:val="0"/>
        </w:rPr>
        <w:t>hMDR</w:t>
      </w:r>
      <w:proofErr w:type="spellEnd"/>
      <w:r w:rsidRPr="008C164C">
        <w:rPr>
          <w:rFonts w:asciiTheme="minorHAnsi" w:hAnsiTheme="minorHAnsi"/>
          <w:snapToGrid w:val="0"/>
        </w:rPr>
        <w:t xml:space="preserve">) human immunodeficiency virus (HIV) infection. In making this recommendation, the PBAC accepted there is a clinical need for new and effective therapies for the treatment of people living with HIV </w:t>
      </w:r>
      <w:r w:rsidR="00101DBD" w:rsidRPr="008C164C">
        <w:rPr>
          <w:rFonts w:asciiTheme="minorHAnsi" w:hAnsiTheme="minorHAnsi"/>
          <w:snapToGrid w:val="0"/>
        </w:rPr>
        <w:t xml:space="preserve">that </w:t>
      </w:r>
      <w:r w:rsidRPr="008C164C">
        <w:rPr>
          <w:rFonts w:asciiTheme="minorHAnsi" w:hAnsiTheme="minorHAnsi"/>
          <w:snapToGrid w:val="0"/>
        </w:rPr>
        <w:t>have few remaining effective treatment options</w:t>
      </w:r>
      <w:r w:rsidR="00822A35">
        <w:rPr>
          <w:rFonts w:asciiTheme="minorHAnsi" w:hAnsiTheme="minorHAnsi"/>
          <w:snapToGrid w:val="0"/>
        </w:rPr>
        <w:t>,</w:t>
      </w:r>
      <w:r w:rsidRPr="008C164C">
        <w:rPr>
          <w:rFonts w:asciiTheme="minorHAnsi" w:hAnsiTheme="minorHAnsi"/>
          <w:snapToGrid w:val="0"/>
        </w:rPr>
        <w:t xml:space="preserve"> and that LEN as add-on therapy to OBR is effective for some patients </w:t>
      </w:r>
      <w:r w:rsidR="00822A35">
        <w:rPr>
          <w:rFonts w:asciiTheme="minorHAnsi" w:hAnsiTheme="minorHAnsi"/>
          <w:snapToGrid w:val="0"/>
        </w:rPr>
        <w:t>in terms of</w:t>
      </w:r>
      <w:r w:rsidRPr="008C164C">
        <w:rPr>
          <w:rFonts w:asciiTheme="minorHAnsi" w:hAnsiTheme="minorHAnsi"/>
          <w:snapToGrid w:val="0"/>
        </w:rPr>
        <w:t xml:space="preserve"> achiev</w:t>
      </w:r>
      <w:r w:rsidR="00822A35">
        <w:rPr>
          <w:rFonts w:asciiTheme="minorHAnsi" w:hAnsiTheme="minorHAnsi"/>
          <w:snapToGrid w:val="0"/>
        </w:rPr>
        <w:t>ing</w:t>
      </w:r>
      <w:r w:rsidRPr="008C164C">
        <w:rPr>
          <w:rFonts w:asciiTheme="minorHAnsi" w:hAnsiTheme="minorHAnsi"/>
          <w:snapToGrid w:val="0"/>
        </w:rPr>
        <w:t xml:space="preserve"> viral suppression.</w:t>
      </w:r>
      <w:r w:rsidR="003F0F84">
        <w:rPr>
          <w:rFonts w:asciiTheme="minorHAnsi" w:hAnsiTheme="minorHAnsi"/>
          <w:snapToGrid w:val="0"/>
        </w:rPr>
        <w:t xml:space="preserve"> </w:t>
      </w:r>
      <w:r w:rsidR="003F0F84" w:rsidRPr="0008038B">
        <w:rPr>
          <w:lang w:val="en-GB"/>
        </w:rPr>
        <w:t xml:space="preserve">The PBAC considered </w:t>
      </w:r>
      <w:r w:rsidR="003F0F84">
        <w:rPr>
          <w:lang w:val="en-GB"/>
        </w:rPr>
        <w:t>LEN</w:t>
      </w:r>
      <w:r w:rsidR="003F0F84" w:rsidRPr="0008038B">
        <w:rPr>
          <w:lang w:val="en-GB"/>
        </w:rPr>
        <w:t xml:space="preserve"> would be cost effective </w:t>
      </w:r>
      <w:r w:rsidR="003F0F84">
        <w:rPr>
          <w:lang w:val="en-GB"/>
        </w:rPr>
        <w:t xml:space="preserve">with a price reduction to achieve an </w:t>
      </w:r>
      <w:r w:rsidR="00076C4F">
        <w:rPr>
          <w:lang w:val="en-GB"/>
        </w:rPr>
        <w:t>incremental cost-effectiveness ratio (</w:t>
      </w:r>
      <w:r w:rsidR="003F0F84">
        <w:rPr>
          <w:lang w:val="en-GB"/>
        </w:rPr>
        <w:t>ICER</w:t>
      </w:r>
      <w:r w:rsidR="00076C4F">
        <w:rPr>
          <w:lang w:val="en-GB"/>
        </w:rPr>
        <w:t>)</w:t>
      </w:r>
      <w:r w:rsidR="003F0F84">
        <w:rPr>
          <w:lang w:val="en-GB"/>
        </w:rPr>
        <w:t xml:space="preserve"> </w:t>
      </w:r>
      <w:r w:rsidR="0059539C">
        <w:rPr>
          <w:lang w:val="en-GB"/>
        </w:rPr>
        <w:t xml:space="preserve">in the range </w:t>
      </w:r>
      <w:r w:rsidR="003F0F84">
        <w:rPr>
          <w:lang w:val="en-GB"/>
        </w:rPr>
        <w:t xml:space="preserve">of </w:t>
      </w:r>
      <w:r w:rsidR="00601A20">
        <w:rPr>
          <w:rFonts w:asciiTheme="minorHAnsi" w:hAnsiTheme="minorHAnsi"/>
          <w:snapToGrid w:val="0"/>
        </w:rPr>
        <w:t>$45,000</w:t>
      </w:r>
      <w:r w:rsidR="00601A20">
        <w:rPr>
          <w:rFonts w:asciiTheme="minorHAnsi" w:hAnsiTheme="minorHAnsi" w:cstheme="minorHAnsi"/>
          <w:snapToGrid w:val="0"/>
        </w:rPr>
        <w:t>−</w:t>
      </w:r>
      <w:r w:rsidR="00601A20">
        <w:rPr>
          <w:rFonts w:asciiTheme="minorHAnsi" w:hAnsiTheme="minorHAnsi"/>
          <w:snapToGrid w:val="0"/>
        </w:rPr>
        <w:t>75,000</w:t>
      </w:r>
      <w:r w:rsidR="001978AA">
        <w:rPr>
          <w:rFonts w:asciiTheme="minorHAnsi" w:hAnsiTheme="minorHAnsi"/>
          <w:snapToGrid w:val="0"/>
        </w:rPr>
        <w:t xml:space="preserve"> per QALY </w:t>
      </w:r>
      <w:r w:rsidR="003F0F84">
        <w:rPr>
          <w:lang w:val="en-GB"/>
        </w:rPr>
        <w:t xml:space="preserve">using the alternative base case </w:t>
      </w:r>
      <w:r w:rsidR="00D32185">
        <w:rPr>
          <w:lang w:val="en-GB"/>
        </w:rPr>
        <w:t xml:space="preserve">economic evaluation as </w:t>
      </w:r>
      <w:r w:rsidR="003F0F84">
        <w:rPr>
          <w:lang w:val="en-GB"/>
        </w:rPr>
        <w:t xml:space="preserve">presented in the evaluation. Noting </w:t>
      </w:r>
      <w:r w:rsidR="003F0F84">
        <w:t>there is likely to</w:t>
      </w:r>
      <w:r w:rsidR="003F0F84" w:rsidRPr="008C164C">
        <w:t xml:space="preserve"> be a reluctance to alter treatment regimens for patients</w:t>
      </w:r>
      <w:r w:rsidR="003F0F84">
        <w:t xml:space="preserve"> with </w:t>
      </w:r>
      <w:proofErr w:type="spellStart"/>
      <w:r w:rsidR="003F0F84">
        <w:t>hMRD</w:t>
      </w:r>
      <w:proofErr w:type="spellEnd"/>
      <w:r w:rsidR="003F0F84">
        <w:t xml:space="preserve"> HIV</w:t>
      </w:r>
      <w:r w:rsidR="00D32185">
        <w:t xml:space="preserve"> infection</w:t>
      </w:r>
      <w:r w:rsidR="003F0F84" w:rsidRPr="008C164C">
        <w:t xml:space="preserve"> where an acceptable therapeutic outcome is being achieved through currently available combinations of </w:t>
      </w:r>
      <w:r w:rsidR="000F23B9">
        <w:t>anti-</w:t>
      </w:r>
      <w:proofErr w:type="spellStart"/>
      <w:r w:rsidR="000F23B9">
        <w:t>retrovirals</w:t>
      </w:r>
      <w:proofErr w:type="spellEnd"/>
      <w:r w:rsidR="000F23B9">
        <w:t xml:space="preserve"> (</w:t>
      </w:r>
      <w:r w:rsidR="003F0F84" w:rsidRPr="008C164C">
        <w:t>ARVs</w:t>
      </w:r>
      <w:r w:rsidR="000F23B9">
        <w:t>)</w:t>
      </w:r>
      <w:r w:rsidR="003F0F84">
        <w:t xml:space="preserve">, the PBAC considered the uptake of LEN in the resubmission </w:t>
      </w:r>
      <w:r w:rsidR="00D32185">
        <w:t xml:space="preserve">was </w:t>
      </w:r>
      <w:r w:rsidR="003F0F84">
        <w:t>overestimated</w:t>
      </w:r>
      <w:r w:rsidR="003F0F84" w:rsidRPr="008C164C">
        <w:t>.</w:t>
      </w:r>
      <w:r w:rsidR="003F0F84">
        <w:t xml:space="preserve"> </w:t>
      </w:r>
      <w:r w:rsidR="003F0F84" w:rsidRPr="008C164C">
        <w:t xml:space="preserve">The </w:t>
      </w:r>
      <w:r w:rsidR="003F0F84">
        <w:t>PBAC</w:t>
      </w:r>
      <w:r w:rsidR="003F0F84" w:rsidRPr="008C164C">
        <w:t xml:space="preserve"> </w:t>
      </w:r>
      <w:r w:rsidR="003F0F84" w:rsidRPr="008C164C">
        <w:lastRenderedPageBreak/>
        <w:t xml:space="preserve">considered there was a risk of leakage to </w:t>
      </w:r>
      <w:r w:rsidR="009A73CA">
        <w:t>people</w:t>
      </w:r>
      <w:r w:rsidR="009A73CA" w:rsidRPr="008C164C">
        <w:t xml:space="preserve"> </w:t>
      </w:r>
      <w:r w:rsidR="003F0F84" w:rsidRPr="008C164C">
        <w:t xml:space="preserve">who </w:t>
      </w:r>
      <w:r w:rsidR="004600B6">
        <w:t>do</w:t>
      </w:r>
      <w:r w:rsidR="004600B6" w:rsidRPr="008C164C">
        <w:t xml:space="preserve"> </w:t>
      </w:r>
      <w:r w:rsidR="003F0F84" w:rsidRPr="008C164C">
        <w:t xml:space="preserve">not meet the strict definition of </w:t>
      </w:r>
      <w:proofErr w:type="spellStart"/>
      <w:r w:rsidR="003F0F84" w:rsidRPr="008C164C">
        <w:t>hMDR</w:t>
      </w:r>
      <w:proofErr w:type="spellEnd"/>
      <w:r w:rsidR="003F0F84" w:rsidRPr="008C164C">
        <w:t xml:space="preserve"> </w:t>
      </w:r>
      <w:r w:rsidR="003F0F84">
        <w:t>as per</w:t>
      </w:r>
      <w:r w:rsidR="003F0F84" w:rsidRPr="008C164C">
        <w:t xml:space="preserve"> the proposed listing, </w:t>
      </w:r>
      <w:r w:rsidR="003F0F84">
        <w:t>and that this risk should be managed with</w:t>
      </w:r>
      <w:r w:rsidR="003F0F84" w:rsidRPr="008C164C">
        <w:rPr>
          <w:rFonts w:asciiTheme="minorHAnsi" w:hAnsiTheme="minorHAnsi"/>
          <w:snapToGrid w:val="0"/>
        </w:rPr>
        <w:t xml:space="preserve"> a </w:t>
      </w:r>
      <w:r w:rsidR="003F0F84">
        <w:rPr>
          <w:rFonts w:asciiTheme="minorHAnsi" w:hAnsiTheme="minorHAnsi"/>
          <w:snapToGrid w:val="0"/>
        </w:rPr>
        <w:t>R</w:t>
      </w:r>
      <w:r w:rsidR="003F0F84" w:rsidRPr="008C164C">
        <w:rPr>
          <w:rFonts w:asciiTheme="minorHAnsi" w:hAnsiTheme="minorHAnsi"/>
          <w:snapToGrid w:val="0"/>
        </w:rPr>
        <w:t xml:space="preserve">isk </w:t>
      </w:r>
      <w:r w:rsidR="003F0F84">
        <w:rPr>
          <w:rFonts w:asciiTheme="minorHAnsi" w:hAnsiTheme="minorHAnsi"/>
          <w:snapToGrid w:val="0"/>
        </w:rPr>
        <w:t>S</w:t>
      </w:r>
      <w:r w:rsidR="003F0F84" w:rsidRPr="008C164C">
        <w:rPr>
          <w:rFonts w:asciiTheme="minorHAnsi" w:hAnsiTheme="minorHAnsi"/>
          <w:snapToGrid w:val="0"/>
        </w:rPr>
        <w:t xml:space="preserve">haring </w:t>
      </w:r>
      <w:r w:rsidR="003F0F84">
        <w:rPr>
          <w:rFonts w:asciiTheme="minorHAnsi" w:hAnsiTheme="minorHAnsi"/>
          <w:snapToGrid w:val="0"/>
        </w:rPr>
        <w:t>A</w:t>
      </w:r>
      <w:r w:rsidR="003F0F84" w:rsidRPr="008C164C">
        <w:rPr>
          <w:rFonts w:asciiTheme="minorHAnsi" w:hAnsiTheme="minorHAnsi"/>
          <w:snapToGrid w:val="0"/>
        </w:rPr>
        <w:t>rrangement</w:t>
      </w:r>
      <w:r w:rsidR="003F0F84">
        <w:rPr>
          <w:rFonts w:asciiTheme="minorHAnsi" w:hAnsiTheme="minorHAnsi"/>
          <w:snapToGrid w:val="0"/>
        </w:rPr>
        <w:t>.</w:t>
      </w:r>
    </w:p>
    <w:bookmarkEnd w:id="96"/>
    <w:p w14:paraId="6084F778" w14:textId="24FE8852" w:rsidR="00483F2D" w:rsidRPr="008C164C" w:rsidRDefault="00483F2D" w:rsidP="00483F2D">
      <w:pPr>
        <w:widowControl w:val="0"/>
        <w:numPr>
          <w:ilvl w:val="1"/>
          <w:numId w:val="1"/>
        </w:numPr>
        <w:spacing w:after="120"/>
        <w:rPr>
          <w:rFonts w:asciiTheme="minorHAnsi" w:hAnsiTheme="minorHAnsi"/>
          <w:snapToGrid w:val="0"/>
        </w:rPr>
      </w:pPr>
      <w:r w:rsidRPr="008C164C">
        <w:rPr>
          <w:rFonts w:asciiTheme="minorHAnsi" w:hAnsiTheme="minorHAnsi"/>
          <w:snapToGrid w:val="0"/>
        </w:rPr>
        <w:t xml:space="preserve">The PBAC </w:t>
      </w:r>
      <w:r w:rsidR="00101DBD" w:rsidRPr="008C164C">
        <w:rPr>
          <w:rFonts w:asciiTheme="minorHAnsi" w:hAnsiTheme="minorHAnsi"/>
          <w:snapToGrid w:val="0"/>
        </w:rPr>
        <w:t>wa</w:t>
      </w:r>
      <w:r w:rsidRPr="008C164C">
        <w:rPr>
          <w:rFonts w:asciiTheme="minorHAnsi" w:hAnsiTheme="minorHAnsi"/>
          <w:snapToGrid w:val="0"/>
        </w:rPr>
        <w:t xml:space="preserve">s satisfied that </w:t>
      </w:r>
      <w:r w:rsidR="00101DBD" w:rsidRPr="008C164C">
        <w:rPr>
          <w:rFonts w:asciiTheme="minorHAnsi" w:hAnsiTheme="minorHAnsi"/>
          <w:snapToGrid w:val="0"/>
        </w:rPr>
        <w:t xml:space="preserve">LEN </w:t>
      </w:r>
      <w:r w:rsidR="0032403E" w:rsidRPr="008C164C">
        <w:rPr>
          <w:rFonts w:asciiTheme="minorHAnsi" w:hAnsiTheme="minorHAnsi"/>
          <w:snapToGrid w:val="0"/>
        </w:rPr>
        <w:t>(</w:t>
      </w:r>
      <w:r w:rsidR="00CA1FE1" w:rsidRPr="008C164C">
        <w:rPr>
          <w:rFonts w:asciiTheme="minorHAnsi" w:hAnsiTheme="minorHAnsi"/>
          <w:snapToGrid w:val="0"/>
        </w:rPr>
        <w:t>as add-on therapy to</w:t>
      </w:r>
      <w:r w:rsidR="0032403E" w:rsidRPr="008C164C">
        <w:rPr>
          <w:rFonts w:asciiTheme="minorHAnsi" w:hAnsiTheme="minorHAnsi"/>
          <w:snapToGrid w:val="0"/>
        </w:rPr>
        <w:t xml:space="preserve"> OBR) </w:t>
      </w:r>
      <w:r w:rsidRPr="008C164C">
        <w:rPr>
          <w:rFonts w:asciiTheme="minorHAnsi" w:hAnsiTheme="minorHAnsi"/>
          <w:snapToGrid w:val="0"/>
        </w:rPr>
        <w:t xml:space="preserve">provides, for some patients, a significant improvement in efficacy </w:t>
      </w:r>
      <w:r w:rsidR="0032403E" w:rsidRPr="008C164C">
        <w:rPr>
          <w:rFonts w:asciiTheme="minorHAnsi" w:hAnsiTheme="minorHAnsi"/>
          <w:snapToGrid w:val="0"/>
        </w:rPr>
        <w:t xml:space="preserve">over OBR alone in people with </w:t>
      </w:r>
      <w:proofErr w:type="spellStart"/>
      <w:r w:rsidR="0032403E" w:rsidRPr="008C164C">
        <w:rPr>
          <w:rFonts w:asciiTheme="minorHAnsi" w:hAnsiTheme="minorHAnsi"/>
          <w:snapToGrid w:val="0"/>
        </w:rPr>
        <w:t>hMDR</w:t>
      </w:r>
      <w:proofErr w:type="spellEnd"/>
      <w:r w:rsidR="0032403E" w:rsidRPr="008C164C">
        <w:rPr>
          <w:rFonts w:asciiTheme="minorHAnsi" w:hAnsiTheme="minorHAnsi"/>
          <w:snapToGrid w:val="0"/>
        </w:rPr>
        <w:t xml:space="preserve"> HIV infection.</w:t>
      </w:r>
      <w:r w:rsidRPr="008C164C">
        <w:rPr>
          <w:rFonts w:asciiTheme="minorHAnsi" w:hAnsiTheme="minorHAnsi"/>
          <w:snapToGrid w:val="0"/>
        </w:rPr>
        <w:t xml:space="preserve"> </w:t>
      </w:r>
    </w:p>
    <w:p w14:paraId="23BAABA5" w14:textId="6288F228" w:rsidR="00483F2D" w:rsidRPr="008C164C" w:rsidRDefault="0032403E" w:rsidP="00483F2D">
      <w:pPr>
        <w:widowControl w:val="0"/>
        <w:numPr>
          <w:ilvl w:val="1"/>
          <w:numId w:val="1"/>
        </w:numPr>
        <w:spacing w:after="120"/>
        <w:rPr>
          <w:rFonts w:asciiTheme="minorHAnsi" w:hAnsiTheme="minorHAnsi"/>
          <w:snapToGrid w:val="0"/>
        </w:rPr>
      </w:pPr>
      <w:r w:rsidRPr="008C164C">
        <w:rPr>
          <w:rFonts w:asciiTheme="minorHAnsi" w:hAnsiTheme="minorHAnsi"/>
          <w:snapToGrid w:val="0"/>
        </w:rPr>
        <w:t xml:space="preserve">The PBAC </w:t>
      </w:r>
      <w:r w:rsidR="00504B6F" w:rsidRPr="008C164C">
        <w:rPr>
          <w:rFonts w:asciiTheme="minorHAnsi" w:hAnsiTheme="minorHAnsi"/>
          <w:snapToGrid w:val="0"/>
        </w:rPr>
        <w:t xml:space="preserve">recalled in its original consideration of LEN in November 2022 that </w:t>
      </w:r>
      <w:r w:rsidR="00FC1060" w:rsidRPr="008C164C">
        <w:rPr>
          <w:rFonts w:asciiTheme="minorHAnsi" w:hAnsiTheme="minorHAnsi"/>
          <w:snapToGrid w:val="0"/>
        </w:rPr>
        <w:t xml:space="preserve">it noted the </w:t>
      </w:r>
      <w:r w:rsidR="00FC1060" w:rsidRPr="00AA77E6">
        <w:rPr>
          <w:rFonts w:asciiTheme="minorHAnsi" w:hAnsiTheme="minorHAnsi"/>
          <w:snapToGrid w:val="0"/>
        </w:rPr>
        <w:t>level of engagement with care and treatment for people living with HIV was one of Australia’s positive public health successes, and</w:t>
      </w:r>
      <w:r w:rsidR="00FC1060" w:rsidRPr="008C164C">
        <w:rPr>
          <w:rFonts w:asciiTheme="minorHAnsi" w:hAnsiTheme="minorHAnsi"/>
          <w:snapToGrid w:val="0"/>
        </w:rPr>
        <w:t xml:space="preserve"> the number of patients meet</w:t>
      </w:r>
      <w:r w:rsidR="00AA77E6">
        <w:rPr>
          <w:rFonts w:asciiTheme="minorHAnsi" w:hAnsiTheme="minorHAnsi"/>
          <w:snapToGrid w:val="0"/>
        </w:rPr>
        <w:t>ing</w:t>
      </w:r>
      <w:r w:rsidR="00FC1060" w:rsidRPr="008C164C">
        <w:rPr>
          <w:rFonts w:asciiTheme="minorHAnsi" w:hAnsiTheme="minorHAnsi"/>
          <w:snapToGrid w:val="0"/>
        </w:rPr>
        <w:t xml:space="preserve"> the definition of </w:t>
      </w:r>
      <w:proofErr w:type="spellStart"/>
      <w:r w:rsidR="00FC1060" w:rsidRPr="008C164C">
        <w:rPr>
          <w:rFonts w:asciiTheme="minorHAnsi" w:hAnsiTheme="minorHAnsi"/>
          <w:snapToGrid w:val="0"/>
        </w:rPr>
        <w:t>hMDR</w:t>
      </w:r>
      <w:proofErr w:type="spellEnd"/>
      <w:r w:rsidR="00FC1060" w:rsidRPr="008C164C">
        <w:rPr>
          <w:rFonts w:asciiTheme="minorHAnsi" w:hAnsiTheme="minorHAnsi"/>
          <w:snapToGrid w:val="0"/>
        </w:rPr>
        <w:t xml:space="preserve"> HIV infection was likely to be small. The PBAC reaffirmed this view and considered that while some </w:t>
      </w:r>
      <w:proofErr w:type="spellStart"/>
      <w:r w:rsidR="00FC1060" w:rsidRPr="008C164C">
        <w:rPr>
          <w:rFonts w:asciiTheme="minorHAnsi" w:hAnsiTheme="minorHAnsi"/>
          <w:snapToGrid w:val="0"/>
        </w:rPr>
        <w:t>hMDR</w:t>
      </w:r>
      <w:proofErr w:type="spellEnd"/>
      <w:r w:rsidR="00FC1060" w:rsidRPr="008C164C">
        <w:rPr>
          <w:rFonts w:asciiTheme="minorHAnsi" w:hAnsiTheme="minorHAnsi"/>
          <w:snapToGrid w:val="0"/>
        </w:rPr>
        <w:t xml:space="preserve"> patients may be adequately managed on individualised ART regimens, there was also a cohort of patients who</w:t>
      </w:r>
      <w:r w:rsidR="008A3887" w:rsidRPr="008C164C">
        <w:rPr>
          <w:rFonts w:asciiTheme="minorHAnsi" w:hAnsiTheme="minorHAnsi"/>
          <w:snapToGrid w:val="0"/>
        </w:rPr>
        <w:t xml:space="preserve"> are not adequately managed with current treatment options and/or experience substantial issues with their current treatments and</w:t>
      </w:r>
      <w:r w:rsidR="00FC1060" w:rsidRPr="008C164C">
        <w:rPr>
          <w:rFonts w:asciiTheme="minorHAnsi" w:hAnsiTheme="minorHAnsi"/>
          <w:snapToGrid w:val="0"/>
        </w:rPr>
        <w:t xml:space="preserve"> would benefit from the availability of an additional treatment option which would increase their chances of achieving</w:t>
      </w:r>
      <w:r w:rsidR="008A3887" w:rsidRPr="008C164C">
        <w:rPr>
          <w:rFonts w:asciiTheme="minorHAnsi" w:hAnsiTheme="minorHAnsi"/>
          <w:snapToGrid w:val="0"/>
        </w:rPr>
        <w:t xml:space="preserve"> and/or maintaining</w:t>
      </w:r>
      <w:r w:rsidR="00FC1060" w:rsidRPr="008C164C">
        <w:rPr>
          <w:rFonts w:asciiTheme="minorHAnsi" w:hAnsiTheme="minorHAnsi"/>
          <w:snapToGrid w:val="0"/>
        </w:rPr>
        <w:t xml:space="preserve"> viral suppression. </w:t>
      </w:r>
    </w:p>
    <w:p w14:paraId="71040391" w14:textId="21D87DB1" w:rsidR="00FC1060" w:rsidRPr="00214FD4" w:rsidRDefault="00C20E93" w:rsidP="00483F2D">
      <w:pPr>
        <w:widowControl w:val="0"/>
        <w:numPr>
          <w:ilvl w:val="1"/>
          <w:numId w:val="1"/>
        </w:numPr>
        <w:spacing w:after="120"/>
        <w:rPr>
          <w:rFonts w:asciiTheme="minorHAnsi" w:hAnsiTheme="minorHAnsi"/>
          <w:snapToGrid w:val="0"/>
        </w:rPr>
      </w:pPr>
      <w:bookmarkStart w:id="97" w:name="_Hlk151652929"/>
      <w:bookmarkStart w:id="98" w:name="_Hlk151652953"/>
      <w:r w:rsidRPr="00214FD4">
        <w:rPr>
          <w:rFonts w:asciiTheme="minorHAnsi" w:hAnsiTheme="minorHAnsi"/>
          <w:snapToGrid w:val="0"/>
        </w:rPr>
        <w:t>The PBAC recalled i</w:t>
      </w:r>
      <w:r w:rsidR="002C0C08" w:rsidRPr="00214FD4">
        <w:rPr>
          <w:rFonts w:asciiTheme="minorHAnsi" w:hAnsiTheme="minorHAnsi"/>
          <w:snapToGrid w:val="0"/>
        </w:rPr>
        <w:t>n</w:t>
      </w:r>
      <w:r w:rsidRPr="00214FD4">
        <w:rPr>
          <w:rFonts w:asciiTheme="minorHAnsi" w:hAnsiTheme="minorHAnsi"/>
          <w:snapToGrid w:val="0"/>
        </w:rPr>
        <w:t xml:space="preserve"> its consideration of LEN in November 2022 that a simpler restriction, like that of maraviroc, would be more practical as it frames the number of past treatments in an affirmative manner rather than a deductive one. </w:t>
      </w:r>
      <w:r w:rsidR="005B2428">
        <w:rPr>
          <w:rFonts w:asciiTheme="minorHAnsi" w:hAnsiTheme="minorHAnsi"/>
          <w:snapToGrid w:val="0"/>
        </w:rPr>
        <w:t xml:space="preserve">The </w:t>
      </w:r>
      <w:r w:rsidR="006D2DF4">
        <w:rPr>
          <w:rFonts w:asciiTheme="minorHAnsi" w:hAnsiTheme="minorHAnsi"/>
          <w:snapToGrid w:val="0"/>
        </w:rPr>
        <w:t>PBAC</w:t>
      </w:r>
      <w:r w:rsidR="005B2428">
        <w:rPr>
          <w:rFonts w:asciiTheme="minorHAnsi" w:hAnsiTheme="minorHAnsi"/>
          <w:snapToGrid w:val="0"/>
        </w:rPr>
        <w:t xml:space="preserve"> considered</w:t>
      </w:r>
      <w:r w:rsidR="008B722C">
        <w:rPr>
          <w:rFonts w:asciiTheme="minorHAnsi" w:hAnsiTheme="minorHAnsi"/>
          <w:snapToGrid w:val="0"/>
        </w:rPr>
        <w:t xml:space="preserve"> a clinical criterion stating that a ‘p</w:t>
      </w:r>
      <w:r w:rsidR="008B722C" w:rsidRPr="008B722C">
        <w:rPr>
          <w:rFonts w:asciiTheme="minorHAnsi" w:hAnsiTheme="minorHAnsi"/>
          <w:snapToGrid w:val="0"/>
        </w:rPr>
        <w:t>atient must have known multi</w:t>
      </w:r>
      <w:r w:rsidR="006D2DF4">
        <w:rPr>
          <w:rFonts w:asciiTheme="minorHAnsi" w:hAnsiTheme="minorHAnsi"/>
          <w:snapToGrid w:val="0"/>
        </w:rPr>
        <w:t>-</w:t>
      </w:r>
      <w:r w:rsidR="008B722C" w:rsidRPr="008B722C">
        <w:rPr>
          <w:rFonts w:asciiTheme="minorHAnsi" w:hAnsiTheme="minorHAnsi"/>
          <w:snapToGrid w:val="0"/>
        </w:rPr>
        <w:t>drug resistant HIV-1 infection to the main ARV drug classes, and require this treatment to construct a suppressive anti-viral regimen</w:t>
      </w:r>
      <w:r w:rsidR="008B722C">
        <w:rPr>
          <w:rFonts w:asciiTheme="minorHAnsi" w:hAnsiTheme="minorHAnsi"/>
          <w:snapToGrid w:val="0"/>
        </w:rPr>
        <w:t>’</w:t>
      </w:r>
      <w:r w:rsidR="005B2428">
        <w:rPr>
          <w:rFonts w:asciiTheme="minorHAnsi" w:hAnsiTheme="minorHAnsi"/>
          <w:snapToGrid w:val="0"/>
        </w:rPr>
        <w:t xml:space="preserve"> </w:t>
      </w:r>
      <w:r w:rsidR="006D2DF4">
        <w:rPr>
          <w:rFonts w:asciiTheme="minorHAnsi" w:hAnsiTheme="minorHAnsi"/>
          <w:snapToGrid w:val="0"/>
        </w:rPr>
        <w:t xml:space="preserve">was less complex than the current restriction and </w:t>
      </w:r>
      <w:r w:rsidR="005B2428">
        <w:rPr>
          <w:rFonts w:asciiTheme="minorHAnsi" w:hAnsiTheme="minorHAnsi"/>
          <w:snapToGrid w:val="0"/>
        </w:rPr>
        <w:t xml:space="preserve">would </w:t>
      </w:r>
      <w:r w:rsidR="006D2DF4">
        <w:rPr>
          <w:rFonts w:asciiTheme="minorHAnsi" w:hAnsiTheme="minorHAnsi"/>
          <w:snapToGrid w:val="0"/>
        </w:rPr>
        <w:t xml:space="preserve">simplify the process for </w:t>
      </w:r>
      <w:proofErr w:type="gramStart"/>
      <w:r w:rsidR="006D2DF4">
        <w:rPr>
          <w:rFonts w:asciiTheme="minorHAnsi" w:hAnsiTheme="minorHAnsi"/>
          <w:snapToGrid w:val="0"/>
        </w:rPr>
        <w:t>prescriber’s</w:t>
      </w:r>
      <w:proofErr w:type="gramEnd"/>
      <w:r w:rsidR="006D2DF4">
        <w:rPr>
          <w:rFonts w:asciiTheme="minorHAnsi" w:hAnsiTheme="minorHAnsi"/>
          <w:snapToGrid w:val="0"/>
        </w:rPr>
        <w:t xml:space="preserve"> to identify an </w:t>
      </w:r>
      <w:proofErr w:type="spellStart"/>
      <w:r w:rsidR="006D2DF4">
        <w:rPr>
          <w:rFonts w:asciiTheme="minorHAnsi" w:hAnsiTheme="minorHAnsi"/>
          <w:snapToGrid w:val="0"/>
        </w:rPr>
        <w:t>hMDR</w:t>
      </w:r>
      <w:proofErr w:type="spellEnd"/>
      <w:r w:rsidR="006D2DF4">
        <w:rPr>
          <w:rFonts w:asciiTheme="minorHAnsi" w:hAnsiTheme="minorHAnsi"/>
          <w:snapToGrid w:val="0"/>
        </w:rPr>
        <w:t xml:space="preserve"> patient</w:t>
      </w:r>
      <w:r w:rsidR="008B722C">
        <w:rPr>
          <w:rFonts w:asciiTheme="minorHAnsi" w:hAnsiTheme="minorHAnsi"/>
          <w:snapToGrid w:val="0"/>
        </w:rPr>
        <w:t>.</w:t>
      </w:r>
      <w:r w:rsidR="008B722C">
        <w:rPr>
          <w:rFonts w:ascii="Arial Narrow" w:hAnsi="Arial Narrow"/>
          <w:color w:val="333333"/>
          <w:sz w:val="20"/>
          <w:szCs w:val="20"/>
        </w:rPr>
        <w:t xml:space="preserve"> </w:t>
      </w:r>
      <w:r w:rsidR="005610B1" w:rsidRPr="00214FD4">
        <w:rPr>
          <w:rFonts w:asciiTheme="minorHAnsi" w:hAnsiTheme="minorHAnsi"/>
          <w:snapToGrid w:val="0"/>
        </w:rPr>
        <w:t>The PBAC accepted the resubmission</w:t>
      </w:r>
      <w:r w:rsidR="002C0C08" w:rsidRPr="00214FD4">
        <w:rPr>
          <w:rFonts w:asciiTheme="minorHAnsi" w:hAnsiTheme="minorHAnsi"/>
          <w:snapToGrid w:val="0"/>
        </w:rPr>
        <w:t>’s</w:t>
      </w:r>
      <w:r w:rsidR="005610B1" w:rsidRPr="00214FD4">
        <w:rPr>
          <w:rFonts w:asciiTheme="minorHAnsi" w:hAnsiTheme="minorHAnsi"/>
          <w:snapToGrid w:val="0"/>
        </w:rPr>
        <w:t xml:space="preserve"> proposal to re-specify the definition of virologic failure to a viral load </w:t>
      </w:r>
      <w:r w:rsidR="002C0C08" w:rsidRPr="00214FD4">
        <w:rPr>
          <w:rFonts w:asciiTheme="minorHAnsi" w:hAnsiTheme="minorHAnsi"/>
          <w:snapToGrid w:val="0"/>
        </w:rPr>
        <w:t>greater than</w:t>
      </w:r>
      <w:r w:rsidR="005610B1" w:rsidRPr="00214FD4">
        <w:rPr>
          <w:rFonts w:asciiTheme="minorHAnsi" w:hAnsiTheme="minorHAnsi"/>
          <w:snapToGrid w:val="0"/>
        </w:rPr>
        <w:t xml:space="preserve"> 200 copies per mL on two consecutive occasions, consistent with updated Australasian Society for HIV, Viral Hepatitis and Sexual Health Medicine (ASHM) </w:t>
      </w:r>
      <w:r w:rsidR="00871CD8" w:rsidRPr="00214FD4">
        <w:rPr>
          <w:rFonts w:asciiTheme="minorHAnsi" w:hAnsiTheme="minorHAnsi"/>
          <w:snapToGrid w:val="0"/>
        </w:rPr>
        <w:t xml:space="preserve">guidelines. The PBAC considered this definitional change </w:t>
      </w:r>
      <w:r w:rsidR="00871CD8" w:rsidRPr="00A4090B">
        <w:rPr>
          <w:rFonts w:asciiTheme="minorHAnsi" w:hAnsiTheme="minorHAnsi"/>
          <w:snapToGrid w:val="0"/>
        </w:rPr>
        <w:t>should</w:t>
      </w:r>
      <w:r w:rsidR="00871CD8" w:rsidRPr="00214FD4">
        <w:rPr>
          <w:rFonts w:asciiTheme="minorHAnsi" w:hAnsiTheme="minorHAnsi"/>
          <w:snapToGrid w:val="0"/>
        </w:rPr>
        <w:t xml:space="preserve"> be flowed on to existing PBS listed ARTs </w:t>
      </w:r>
      <w:r w:rsidR="00CA3E0E" w:rsidRPr="00214FD4">
        <w:rPr>
          <w:rFonts w:asciiTheme="minorHAnsi" w:hAnsiTheme="minorHAnsi"/>
          <w:snapToGrid w:val="0"/>
        </w:rPr>
        <w:t>which have a similar restriction</w:t>
      </w:r>
      <w:bookmarkEnd w:id="97"/>
      <w:r w:rsidR="00CA3E0E" w:rsidRPr="00214FD4">
        <w:rPr>
          <w:rFonts w:asciiTheme="minorHAnsi" w:hAnsiTheme="minorHAnsi"/>
          <w:snapToGrid w:val="0"/>
        </w:rPr>
        <w:t>.</w:t>
      </w:r>
    </w:p>
    <w:bookmarkEnd w:id="98"/>
    <w:p w14:paraId="736DE494" w14:textId="3A09FEB6" w:rsidR="00483F2D" w:rsidRPr="008C164C" w:rsidRDefault="006A787D" w:rsidP="00483F2D">
      <w:pPr>
        <w:widowControl w:val="0"/>
        <w:numPr>
          <w:ilvl w:val="1"/>
          <w:numId w:val="1"/>
        </w:numPr>
        <w:spacing w:after="120"/>
        <w:rPr>
          <w:rFonts w:asciiTheme="minorHAnsi" w:hAnsiTheme="minorHAnsi"/>
          <w:snapToGrid w:val="0"/>
        </w:rPr>
      </w:pPr>
      <w:r w:rsidRPr="008C164C">
        <w:rPr>
          <w:rFonts w:asciiTheme="minorHAnsi" w:hAnsiTheme="minorHAnsi"/>
          <w:snapToGrid w:val="0"/>
        </w:rPr>
        <w:t xml:space="preserve">The PBAC reaffirmed its view expressed in November 2022 that the nominated comparator of OBR, as a basket of therapies and regimens which may be used in the </w:t>
      </w:r>
      <w:proofErr w:type="spellStart"/>
      <w:r w:rsidRPr="008C164C">
        <w:rPr>
          <w:rFonts w:asciiTheme="minorHAnsi" w:hAnsiTheme="minorHAnsi"/>
          <w:snapToGrid w:val="0"/>
        </w:rPr>
        <w:t>hMDR</w:t>
      </w:r>
      <w:proofErr w:type="spellEnd"/>
      <w:r w:rsidRPr="008C164C">
        <w:rPr>
          <w:rFonts w:asciiTheme="minorHAnsi" w:hAnsiTheme="minorHAnsi"/>
          <w:snapToGrid w:val="0"/>
        </w:rPr>
        <w:t xml:space="preserve"> population</w:t>
      </w:r>
      <w:r w:rsidR="001116D0" w:rsidRPr="008C164C">
        <w:rPr>
          <w:rFonts w:asciiTheme="minorHAnsi" w:hAnsiTheme="minorHAnsi"/>
          <w:snapToGrid w:val="0"/>
        </w:rPr>
        <w:t xml:space="preserve">, was reasonable and reiterated that the composition of the OBR comparator should reflect contemporary Australian practice. The PBAC noted that </w:t>
      </w:r>
      <w:r w:rsidR="0049086D" w:rsidRPr="008C164C">
        <w:rPr>
          <w:rFonts w:asciiTheme="minorHAnsi" w:hAnsiTheme="minorHAnsi"/>
          <w:snapToGrid w:val="0"/>
        </w:rPr>
        <w:t xml:space="preserve">fostemsavir and ibalizumab, </w:t>
      </w:r>
      <w:r w:rsidR="001116D0" w:rsidRPr="008C164C">
        <w:rPr>
          <w:rFonts w:asciiTheme="minorHAnsi" w:hAnsiTheme="minorHAnsi"/>
          <w:snapToGrid w:val="0"/>
        </w:rPr>
        <w:t>agent</w:t>
      </w:r>
      <w:r w:rsidR="0049086D" w:rsidRPr="008C164C">
        <w:rPr>
          <w:rFonts w:asciiTheme="minorHAnsi" w:hAnsiTheme="minorHAnsi"/>
          <w:snapToGrid w:val="0"/>
        </w:rPr>
        <w:t>s</w:t>
      </w:r>
      <w:r w:rsidR="001116D0" w:rsidRPr="008C164C">
        <w:rPr>
          <w:rFonts w:asciiTheme="minorHAnsi" w:hAnsiTheme="minorHAnsi"/>
          <w:snapToGrid w:val="0"/>
        </w:rPr>
        <w:t xml:space="preserve"> not</w:t>
      </w:r>
      <w:r w:rsidR="007F270F" w:rsidRPr="008C164C">
        <w:rPr>
          <w:rFonts w:asciiTheme="minorHAnsi" w:hAnsiTheme="minorHAnsi"/>
          <w:snapToGrid w:val="0"/>
        </w:rPr>
        <w:t xml:space="preserve"> routinely</w:t>
      </w:r>
      <w:r w:rsidR="001116D0" w:rsidRPr="008C164C">
        <w:rPr>
          <w:rFonts w:asciiTheme="minorHAnsi" w:hAnsiTheme="minorHAnsi"/>
          <w:snapToGrid w:val="0"/>
        </w:rPr>
        <w:t xml:space="preserve"> used in Australia, w</w:t>
      </w:r>
      <w:r w:rsidR="0049086D" w:rsidRPr="008C164C">
        <w:rPr>
          <w:rFonts w:asciiTheme="minorHAnsi" w:hAnsiTheme="minorHAnsi"/>
          <w:snapToGrid w:val="0"/>
        </w:rPr>
        <w:t>ere</w:t>
      </w:r>
      <w:r w:rsidR="001116D0" w:rsidRPr="008C164C">
        <w:rPr>
          <w:rFonts w:asciiTheme="minorHAnsi" w:hAnsiTheme="minorHAnsi"/>
          <w:snapToGrid w:val="0"/>
        </w:rPr>
        <w:t xml:space="preserve"> included in the basket</w:t>
      </w:r>
      <w:r w:rsidR="00B40A7F">
        <w:rPr>
          <w:rFonts w:asciiTheme="minorHAnsi" w:hAnsiTheme="minorHAnsi"/>
          <w:snapToGrid w:val="0"/>
        </w:rPr>
        <w:t xml:space="preserve"> and t</w:t>
      </w:r>
      <w:r w:rsidR="001116D0" w:rsidRPr="008C164C">
        <w:rPr>
          <w:rFonts w:asciiTheme="minorHAnsi" w:hAnsiTheme="minorHAnsi"/>
          <w:snapToGrid w:val="0"/>
        </w:rPr>
        <w:t xml:space="preserve">herefore, considered the composition of the OBR basket </w:t>
      </w:r>
      <w:r w:rsidR="00B40A7F">
        <w:rPr>
          <w:rFonts w:asciiTheme="minorHAnsi" w:hAnsiTheme="minorHAnsi"/>
          <w:snapToGrid w:val="0"/>
        </w:rPr>
        <w:t xml:space="preserve">added </w:t>
      </w:r>
      <w:r w:rsidR="001116D0" w:rsidRPr="008C164C">
        <w:rPr>
          <w:rFonts w:asciiTheme="minorHAnsi" w:hAnsiTheme="minorHAnsi"/>
          <w:snapToGrid w:val="0"/>
        </w:rPr>
        <w:t xml:space="preserve">uncertainty to </w:t>
      </w:r>
      <w:r w:rsidR="00B40A7F">
        <w:rPr>
          <w:rFonts w:asciiTheme="minorHAnsi" w:hAnsiTheme="minorHAnsi"/>
          <w:snapToGrid w:val="0"/>
        </w:rPr>
        <w:t>the estimate of the</w:t>
      </w:r>
      <w:r w:rsidR="001116D0" w:rsidRPr="008C164C">
        <w:rPr>
          <w:rFonts w:asciiTheme="minorHAnsi" w:hAnsiTheme="minorHAnsi"/>
          <w:snapToGrid w:val="0"/>
        </w:rPr>
        <w:t xml:space="preserve"> magnitude of benefit </w:t>
      </w:r>
      <w:r w:rsidR="00B40A7F">
        <w:rPr>
          <w:rFonts w:asciiTheme="minorHAnsi" w:hAnsiTheme="minorHAnsi"/>
          <w:snapToGrid w:val="0"/>
        </w:rPr>
        <w:t>with</w:t>
      </w:r>
      <w:r w:rsidR="001116D0" w:rsidRPr="008C164C">
        <w:rPr>
          <w:rFonts w:asciiTheme="minorHAnsi" w:hAnsiTheme="minorHAnsi"/>
          <w:snapToGrid w:val="0"/>
        </w:rPr>
        <w:t xml:space="preserve"> LEN over existing treatment options.</w:t>
      </w:r>
    </w:p>
    <w:p w14:paraId="49937EBD" w14:textId="77777777" w:rsidR="00927184" w:rsidRPr="00927184" w:rsidRDefault="00B90031" w:rsidP="00DA1565">
      <w:pPr>
        <w:widowControl w:val="0"/>
        <w:numPr>
          <w:ilvl w:val="1"/>
          <w:numId w:val="1"/>
        </w:numPr>
        <w:spacing w:after="120"/>
        <w:rPr>
          <w:rFonts w:asciiTheme="minorHAnsi" w:hAnsiTheme="minorHAnsi"/>
          <w:snapToGrid w:val="0"/>
        </w:rPr>
      </w:pPr>
      <w:bookmarkStart w:id="99" w:name="_Ref151555925"/>
      <w:r>
        <w:t>The PBAC noted, as for the November 2022 submission, the clinical claim was based on an unanchored indirect comparison between LEN + OBR and OBR alone. The estimated efficacy of LEN + OBR was from the CAPELLA trial (N= 72)</w:t>
      </w:r>
      <w:r w:rsidR="001E5E19">
        <w:t xml:space="preserve"> with</w:t>
      </w:r>
      <w:r w:rsidR="00AA51FF" w:rsidRPr="008C164C">
        <w:rPr>
          <w:rFonts w:asciiTheme="minorHAnsi" w:hAnsiTheme="minorHAnsi"/>
          <w:snapToGrid w:val="0"/>
        </w:rPr>
        <w:t xml:space="preserve"> </w:t>
      </w:r>
      <w:r w:rsidR="00AA51FF">
        <w:rPr>
          <w:rFonts w:asciiTheme="minorHAnsi" w:hAnsiTheme="minorHAnsi"/>
          <w:snapToGrid w:val="0"/>
        </w:rPr>
        <w:t xml:space="preserve">additional follow-up </w:t>
      </w:r>
      <w:r w:rsidR="00AA51FF" w:rsidRPr="008C164C">
        <w:rPr>
          <w:rFonts w:asciiTheme="minorHAnsi" w:hAnsiTheme="minorHAnsi"/>
          <w:snapToGrid w:val="0"/>
        </w:rPr>
        <w:t xml:space="preserve">out to 104 weeks available </w:t>
      </w:r>
      <w:r w:rsidR="00AA51FF">
        <w:rPr>
          <w:rFonts w:asciiTheme="minorHAnsi" w:hAnsiTheme="minorHAnsi"/>
          <w:snapToGrid w:val="0"/>
        </w:rPr>
        <w:t xml:space="preserve">in the resubmission </w:t>
      </w:r>
      <w:r w:rsidR="00AA51FF" w:rsidRPr="008C164C">
        <w:rPr>
          <w:rFonts w:asciiTheme="minorHAnsi" w:hAnsiTheme="minorHAnsi"/>
          <w:snapToGrid w:val="0"/>
        </w:rPr>
        <w:t>(52 weeks in the original submission).</w:t>
      </w:r>
      <w:r w:rsidR="00AA51FF">
        <w:rPr>
          <w:rFonts w:asciiTheme="minorHAnsi" w:hAnsiTheme="minorHAnsi"/>
          <w:snapToGrid w:val="0"/>
        </w:rPr>
        <w:t xml:space="preserve"> T</w:t>
      </w:r>
      <w:r w:rsidR="00AA51FF" w:rsidRPr="008C164C">
        <w:rPr>
          <w:rFonts w:asciiTheme="minorHAnsi" w:hAnsiTheme="minorHAnsi"/>
          <w:snapToGrid w:val="0"/>
        </w:rPr>
        <w:t xml:space="preserve">he PBAC noted the comparison with OBR alone continued to be based </w:t>
      </w:r>
      <w:r w:rsidR="00AA51FF" w:rsidRPr="008C164C">
        <w:rPr>
          <w:rFonts w:asciiTheme="minorHAnsi" w:hAnsiTheme="minorHAnsi"/>
          <w:snapToGrid w:val="0"/>
        </w:rPr>
        <w:lastRenderedPageBreak/>
        <w:t xml:space="preserve">on data out to weeks 48 (OBR) and 52 (LEN). </w:t>
      </w:r>
      <w:r>
        <w:t xml:space="preserve">The estimated efficacy for OBR alone was from a meta-analysis of seven trials. Five of </w:t>
      </w:r>
      <w:r w:rsidR="00120CD9">
        <w:t xml:space="preserve">the </w:t>
      </w:r>
      <w:r>
        <w:t xml:space="preserve">trials were included in the November 2022 submission (BENCHMRK 1 &amp; 2 (n= </w:t>
      </w:r>
      <w:r w:rsidR="00F7738A">
        <w:t>118</w:t>
      </w:r>
      <w:r>
        <w:t xml:space="preserve"> and n=</w:t>
      </w:r>
      <w:r w:rsidR="00F7738A">
        <w:t>119</w:t>
      </w:r>
      <w:r>
        <w:t>, respectively), MOTIVATE 1 &amp; 2 (n=</w:t>
      </w:r>
      <w:r w:rsidR="00F7738A">
        <w:t>118</w:t>
      </w:r>
      <w:r>
        <w:t xml:space="preserve"> and n=</w:t>
      </w:r>
      <w:r w:rsidR="00F7738A">
        <w:t>91</w:t>
      </w:r>
      <w:r>
        <w:t xml:space="preserve">, respectively) and VICTOR-E (n= </w:t>
      </w:r>
      <w:r w:rsidR="00F7738A">
        <w:t>35</w:t>
      </w:r>
      <w:r>
        <w:t>)</w:t>
      </w:r>
      <w:r w:rsidR="00120CD9">
        <w:t>)</w:t>
      </w:r>
      <w:r>
        <w:t xml:space="preserve">. </w:t>
      </w:r>
    </w:p>
    <w:p w14:paraId="37763A88" w14:textId="403197A5" w:rsidR="00CC48E6" w:rsidRPr="00DA1565" w:rsidRDefault="00F7738A" w:rsidP="00DA1565">
      <w:pPr>
        <w:widowControl w:val="0"/>
        <w:numPr>
          <w:ilvl w:val="1"/>
          <w:numId w:val="1"/>
        </w:numPr>
        <w:spacing w:after="120"/>
        <w:rPr>
          <w:rFonts w:asciiTheme="minorHAnsi" w:hAnsiTheme="minorHAnsi"/>
          <w:snapToGrid w:val="0"/>
        </w:rPr>
      </w:pPr>
      <w:r>
        <w:t>The two additional trials were BRIGHTE assessing fostemsavir and OBR (n=371) and TMB-301 assessing ibalizumab and OBR (n=40).</w:t>
      </w:r>
      <w:r w:rsidR="00D22C77">
        <w:t xml:space="preserve"> The PBAC noted the percent of patients achieving </w:t>
      </w:r>
      <w:r w:rsidR="00120CD9">
        <w:t>viral suppression (</w:t>
      </w:r>
      <w:r w:rsidR="00C361FB" w:rsidRPr="008C164C">
        <w:t>HIV-1 RNA &lt; 50 copies/mL</w:t>
      </w:r>
      <w:r w:rsidR="00120CD9">
        <w:t>)</w:t>
      </w:r>
      <w:r w:rsidR="00C361FB" w:rsidRPr="008C164C">
        <w:t xml:space="preserve"> </w:t>
      </w:r>
      <w:r w:rsidR="00D22C77">
        <w:t>was higher in the BRIGHTE (49.6%) and TMB-301 (42.5%) studies than in the five studies included in the November 2022 submission (14.3% to 34.5%)</w:t>
      </w:r>
      <w:r w:rsidR="00AA51FF">
        <w:t xml:space="preserve">. The PBAC also noted a lower estimate of the percent of patients achieving </w:t>
      </w:r>
      <w:r w:rsidR="00120CD9">
        <w:t>viral suppression</w:t>
      </w:r>
      <w:r w:rsidR="00C361FB" w:rsidRPr="008C164C">
        <w:t xml:space="preserve"> </w:t>
      </w:r>
      <w:r w:rsidR="00AA51FF">
        <w:t xml:space="preserve">was used for LEN + OBR based on the combined data from CAPELLA Cohorts 1 and 2 (79.2%) rather than the data from Cohort 1 (83.3%). The PBAC noted that </w:t>
      </w:r>
      <w:r w:rsidR="00C361FB">
        <w:t>as a result,</w:t>
      </w:r>
      <w:r w:rsidR="00AA51FF">
        <w:t xml:space="preserve"> the estimated relative risk of viral suppression was reduced from </w:t>
      </w:r>
      <w:r w:rsidR="00AA51FF" w:rsidRPr="008C164C">
        <w:t xml:space="preserve">3.828 (95% CI: 2.592, 5.655) </w:t>
      </w:r>
      <w:r w:rsidR="00AA51FF">
        <w:t>in the previous submission to</w:t>
      </w:r>
      <w:r w:rsidR="00AA51FF" w:rsidRPr="008C164C">
        <w:t xml:space="preserve"> 2.807 (95% CI: 1.928, 4.088) in the resubmission.</w:t>
      </w:r>
      <w:r w:rsidR="00AA51FF">
        <w:t xml:space="preserve"> Although more conservative, the PBAC considered the revised estimate remained uncertain</w:t>
      </w:r>
      <w:r w:rsidR="001E5E19">
        <w:t xml:space="preserve"> due to</w:t>
      </w:r>
      <w:r w:rsidR="00C361FB">
        <w:t xml:space="preserve"> being based on an unanchored indirect comparison with meaningful differences across the study populations, </w:t>
      </w:r>
      <w:r w:rsidR="00C361FB" w:rsidRPr="008C164C">
        <w:t>small patient numbers in CAPELLA</w:t>
      </w:r>
      <w:r w:rsidR="00C361FB">
        <w:t>, limitations with the</w:t>
      </w:r>
      <w:r w:rsidR="001E5E19" w:rsidRPr="008C164C">
        <w:t xml:space="preserve"> applicability of the evidence to the proposed PBS population</w:t>
      </w:r>
      <w:r w:rsidR="00C361FB">
        <w:t xml:space="preserve"> and variability in the viral suppression rates reported across the OBR studies.</w:t>
      </w:r>
      <w:r w:rsidR="001E5E19" w:rsidRPr="008C164C">
        <w:t xml:space="preserve"> </w:t>
      </w:r>
      <w:r w:rsidR="00C361FB">
        <w:t xml:space="preserve">The PBAC further noted the </w:t>
      </w:r>
      <w:r w:rsidR="00120CD9">
        <w:t xml:space="preserve">resubmission’s </w:t>
      </w:r>
      <w:r w:rsidR="001E5E19" w:rsidRPr="008C164C">
        <w:t>estimate of</w:t>
      </w:r>
      <w:r w:rsidR="00120CD9">
        <w:t xml:space="preserve"> the</w:t>
      </w:r>
      <w:r w:rsidR="001E5E19" w:rsidRPr="008C164C">
        <w:t xml:space="preserve"> proportion of patients </w:t>
      </w:r>
      <w:r w:rsidR="006E28BA">
        <w:t xml:space="preserve">achieving </w:t>
      </w:r>
      <w:r w:rsidR="00120CD9">
        <w:t>viral suppression</w:t>
      </w:r>
      <w:r w:rsidR="00120CD9" w:rsidRPr="00120CD9">
        <w:t xml:space="preserve"> </w:t>
      </w:r>
      <w:r w:rsidR="00120CD9">
        <w:t>when treated with OBR alone</w:t>
      </w:r>
      <w:r w:rsidR="001E5E19" w:rsidRPr="008C164C">
        <w:t xml:space="preserve"> (29.3%) </w:t>
      </w:r>
      <w:r w:rsidR="00120CD9">
        <w:t xml:space="preserve">seemed low when compared with that </w:t>
      </w:r>
      <w:r w:rsidR="001E5E19" w:rsidRPr="008C164C">
        <w:t>estimate</w:t>
      </w:r>
      <w:r w:rsidR="006E28BA">
        <w:t>d</w:t>
      </w:r>
      <w:r w:rsidR="001E5E19" w:rsidRPr="008C164C">
        <w:t xml:space="preserve"> by 10 Australian clinicians surveyed by the sponsor</w:t>
      </w:r>
      <w:r w:rsidR="006E28BA">
        <w:t xml:space="preserve"> </w:t>
      </w:r>
      <w:r w:rsidR="006E28BA" w:rsidRPr="008C164C">
        <w:t>(49.9-62.3%)</w:t>
      </w:r>
      <w:r w:rsidR="001E5E19" w:rsidRPr="008C164C">
        <w:t>.</w:t>
      </w:r>
      <w:bookmarkEnd w:id="99"/>
      <w:r w:rsidR="001E5E19" w:rsidRPr="008C164C">
        <w:t xml:space="preserve"> </w:t>
      </w:r>
    </w:p>
    <w:p w14:paraId="0B6379F4" w14:textId="5C4BE544" w:rsidR="00483F2D" w:rsidRDefault="00161178" w:rsidP="00483F2D">
      <w:pPr>
        <w:widowControl w:val="0"/>
        <w:numPr>
          <w:ilvl w:val="1"/>
          <w:numId w:val="1"/>
        </w:numPr>
        <w:spacing w:after="120"/>
        <w:rPr>
          <w:rFonts w:asciiTheme="minorHAnsi" w:hAnsiTheme="minorHAnsi"/>
          <w:snapToGrid w:val="0"/>
        </w:rPr>
      </w:pPr>
      <w:r>
        <w:rPr>
          <w:rFonts w:asciiTheme="minorHAnsi" w:hAnsiTheme="minorHAnsi"/>
          <w:snapToGrid w:val="0"/>
        </w:rPr>
        <w:t>The PBAC noted</w:t>
      </w:r>
      <w:r w:rsidR="00035B86" w:rsidRPr="00161178">
        <w:rPr>
          <w:rFonts w:asciiTheme="minorHAnsi" w:hAnsiTheme="minorHAnsi"/>
          <w:snapToGrid w:val="0"/>
        </w:rPr>
        <w:t xml:space="preserve"> the single arm data for LEN</w:t>
      </w:r>
      <w:r w:rsidR="0049086D" w:rsidRPr="00161178">
        <w:rPr>
          <w:rFonts w:asciiTheme="minorHAnsi" w:hAnsiTheme="minorHAnsi"/>
          <w:snapToGrid w:val="0"/>
        </w:rPr>
        <w:t xml:space="preserve"> + OBR</w:t>
      </w:r>
      <w:r w:rsidR="00035B86" w:rsidRPr="00161178">
        <w:rPr>
          <w:rFonts w:asciiTheme="minorHAnsi" w:hAnsiTheme="minorHAnsi"/>
          <w:snapToGrid w:val="0"/>
        </w:rPr>
        <w:t xml:space="preserve"> out to 104 weeks </w:t>
      </w:r>
      <w:r>
        <w:rPr>
          <w:rFonts w:asciiTheme="minorHAnsi" w:hAnsiTheme="minorHAnsi"/>
          <w:snapToGrid w:val="0"/>
        </w:rPr>
        <w:t>reported</w:t>
      </w:r>
      <w:r w:rsidRPr="00161178">
        <w:rPr>
          <w:rFonts w:asciiTheme="minorHAnsi" w:hAnsiTheme="minorHAnsi"/>
          <w:snapToGrid w:val="0"/>
        </w:rPr>
        <w:t xml:space="preserve"> </w:t>
      </w:r>
      <w:r w:rsidR="00035B86" w:rsidRPr="00161178">
        <w:rPr>
          <w:rFonts w:asciiTheme="minorHAnsi" w:hAnsiTheme="minorHAnsi"/>
          <w:snapToGrid w:val="0"/>
        </w:rPr>
        <w:t>high and generally well-sustained rates of virologic suppression, with 77.8% of combined cohort 1 &amp; 2 maintaining suppression at week 52, and 62.0% at week 104</w:t>
      </w:r>
      <w:r>
        <w:rPr>
          <w:rFonts w:asciiTheme="minorHAnsi" w:hAnsiTheme="minorHAnsi"/>
          <w:snapToGrid w:val="0"/>
        </w:rPr>
        <w:t xml:space="preserve"> which demonstrated </w:t>
      </w:r>
      <w:r w:rsidR="00035B86" w:rsidRPr="00161178">
        <w:rPr>
          <w:rFonts w:asciiTheme="minorHAnsi" w:hAnsiTheme="minorHAnsi"/>
          <w:snapToGrid w:val="0"/>
        </w:rPr>
        <w:t xml:space="preserve">LEN </w:t>
      </w:r>
      <w:r w:rsidR="00D25BE5" w:rsidRPr="00161178">
        <w:rPr>
          <w:rFonts w:asciiTheme="minorHAnsi" w:hAnsiTheme="minorHAnsi"/>
          <w:snapToGrid w:val="0"/>
        </w:rPr>
        <w:t>in combination with OBR</w:t>
      </w:r>
      <w:r>
        <w:rPr>
          <w:rFonts w:asciiTheme="minorHAnsi" w:hAnsiTheme="minorHAnsi"/>
          <w:snapToGrid w:val="0"/>
        </w:rPr>
        <w:t xml:space="preserve"> is effective</w:t>
      </w:r>
      <w:r w:rsidR="00035B86" w:rsidRPr="00161178">
        <w:rPr>
          <w:rFonts w:asciiTheme="minorHAnsi" w:hAnsiTheme="minorHAnsi"/>
          <w:snapToGrid w:val="0"/>
        </w:rPr>
        <w:t xml:space="preserve"> for the treatment of </w:t>
      </w:r>
      <w:proofErr w:type="spellStart"/>
      <w:r w:rsidR="00035B86" w:rsidRPr="00161178">
        <w:rPr>
          <w:rFonts w:asciiTheme="minorHAnsi" w:hAnsiTheme="minorHAnsi"/>
          <w:snapToGrid w:val="0"/>
        </w:rPr>
        <w:t>hMDR</w:t>
      </w:r>
      <w:proofErr w:type="spellEnd"/>
      <w:r w:rsidR="00035B86" w:rsidRPr="00161178">
        <w:rPr>
          <w:rFonts w:asciiTheme="minorHAnsi" w:hAnsiTheme="minorHAnsi"/>
          <w:snapToGrid w:val="0"/>
        </w:rPr>
        <w:t xml:space="preserve"> HIV infection. </w:t>
      </w:r>
    </w:p>
    <w:p w14:paraId="4B19B9A9" w14:textId="49C40CB4" w:rsidR="001E5E19" w:rsidRPr="007C0F62" w:rsidRDefault="00161178" w:rsidP="007C0F62">
      <w:pPr>
        <w:pStyle w:val="3-BodyText"/>
      </w:pPr>
      <w:r w:rsidRPr="008C164C">
        <w:rPr>
          <w:iCs/>
        </w:rPr>
        <w:t>The</w:t>
      </w:r>
      <w:r w:rsidRPr="008C164C">
        <w:t xml:space="preserve"> PBAC considered that based on the available data, the claim that LEN (in combination with OBR), is of superior comparative effectiveness to OBR</w:t>
      </w:r>
      <w:r>
        <w:t xml:space="preserve"> alone</w:t>
      </w:r>
      <w:r w:rsidRPr="008C164C">
        <w:t xml:space="preserve"> was supported,</w:t>
      </w:r>
      <w:r>
        <w:t xml:space="preserve"> in the proposed small population of patients with </w:t>
      </w:r>
      <w:proofErr w:type="spellStart"/>
      <w:r>
        <w:t>hMDR</w:t>
      </w:r>
      <w:proofErr w:type="spellEnd"/>
      <w:r>
        <w:t xml:space="preserve"> HIV infection</w:t>
      </w:r>
      <w:r w:rsidRPr="008C164C">
        <w:t>. However, the PBAC considered the uncertainties in the clinical comparison</w:t>
      </w:r>
      <w:r>
        <w:t xml:space="preserve"> meant that</w:t>
      </w:r>
      <w:r w:rsidRPr="008C164C">
        <w:t xml:space="preserve"> the magnitude of benefit could not be </w:t>
      </w:r>
      <w:r w:rsidR="00F8663C">
        <w:t>accurately</w:t>
      </w:r>
      <w:r w:rsidRPr="008C164C">
        <w:t xml:space="preserve"> determined.</w:t>
      </w:r>
    </w:p>
    <w:p w14:paraId="13C3ED4E" w14:textId="3878F71C" w:rsidR="00723A27" w:rsidRDefault="008E0171" w:rsidP="00483F2D">
      <w:pPr>
        <w:widowControl w:val="0"/>
        <w:numPr>
          <w:ilvl w:val="1"/>
          <w:numId w:val="1"/>
        </w:numPr>
        <w:spacing w:after="120"/>
        <w:rPr>
          <w:rFonts w:asciiTheme="minorHAnsi" w:hAnsiTheme="minorHAnsi"/>
          <w:snapToGrid w:val="0"/>
        </w:rPr>
      </w:pPr>
      <w:r w:rsidRPr="008C164C">
        <w:rPr>
          <w:rFonts w:asciiTheme="minorHAnsi" w:hAnsiTheme="minorHAnsi"/>
          <w:snapToGrid w:val="0"/>
        </w:rPr>
        <w:t xml:space="preserve">The PBAC noted updated safety data out to week 104 was presented in the resubmission, which found a similar safety profile of LEN over this longer period and did not identify any new safety signals. While noting the data was limited due to the small size of the trial, the PBAC reaffirmed its view </w:t>
      </w:r>
      <w:r w:rsidR="00B40A7F">
        <w:rPr>
          <w:rFonts w:asciiTheme="minorHAnsi" w:hAnsiTheme="minorHAnsi"/>
          <w:snapToGrid w:val="0"/>
        </w:rPr>
        <w:t xml:space="preserve">from </w:t>
      </w:r>
      <w:r w:rsidRPr="008C164C">
        <w:rPr>
          <w:rFonts w:asciiTheme="minorHAnsi" w:hAnsiTheme="minorHAnsi"/>
          <w:snapToGrid w:val="0"/>
        </w:rPr>
        <w:t>November 2022 that the claim of non-inferior comparative safety to OBR alone was overall likely to be reasonable.</w:t>
      </w:r>
    </w:p>
    <w:p w14:paraId="7830A831" w14:textId="1F72CB34" w:rsidR="000C7D51" w:rsidRPr="00AE5D4A" w:rsidRDefault="00723A27" w:rsidP="00AE5D4A">
      <w:pPr>
        <w:widowControl w:val="0"/>
        <w:numPr>
          <w:ilvl w:val="1"/>
          <w:numId w:val="1"/>
        </w:numPr>
        <w:spacing w:after="120"/>
        <w:rPr>
          <w:rFonts w:asciiTheme="minorHAnsi" w:hAnsiTheme="minorHAnsi"/>
          <w:snapToGrid w:val="0"/>
        </w:rPr>
      </w:pPr>
      <w:bookmarkStart w:id="100" w:name="_Hlk151654790"/>
      <w:r>
        <w:rPr>
          <w:rFonts w:asciiTheme="minorHAnsi" w:hAnsiTheme="minorHAnsi"/>
          <w:snapToGrid w:val="0"/>
        </w:rPr>
        <w:t xml:space="preserve">The PBAC noted the ESC advice that the economic model in the resubmission was unreliable for decision making for the reasons outlined in paragraph </w:t>
      </w:r>
      <w:r w:rsidR="00452303">
        <w:rPr>
          <w:rFonts w:asciiTheme="minorHAnsi" w:hAnsiTheme="minorHAnsi"/>
          <w:snapToGrid w:val="0"/>
        </w:rPr>
        <w:fldChar w:fldCharType="begin" w:fldLock="1"/>
      </w:r>
      <w:r w:rsidR="00452303">
        <w:rPr>
          <w:rFonts w:asciiTheme="minorHAnsi" w:hAnsiTheme="minorHAnsi"/>
          <w:snapToGrid w:val="0"/>
        </w:rPr>
        <w:instrText xml:space="preserve"> REF _Ref148016013 \r \h </w:instrText>
      </w:r>
      <w:r w:rsidR="00452303">
        <w:rPr>
          <w:rFonts w:asciiTheme="minorHAnsi" w:hAnsiTheme="minorHAnsi"/>
          <w:snapToGrid w:val="0"/>
        </w:rPr>
      </w:r>
      <w:r w:rsidR="00452303">
        <w:rPr>
          <w:rFonts w:asciiTheme="minorHAnsi" w:hAnsiTheme="minorHAnsi"/>
          <w:snapToGrid w:val="0"/>
        </w:rPr>
        <w:fldChar w:fldCharType="separate"/>
      </w:r>
      <w:r w:rsidR="00682506">
        <w:rPr>
          <w:rFonts w:asciiTheme="minorHAnsi" w:hAnsiTheme="minorHAnsi"/>
          <w:snapToGrid w:val="0"/>
        </w:rPr>
        <w:t>6.89</w:t>
      </w:r>
      <w:r w:rsidR="00452303">
        <w:rPr>
          <w:rFonts w:asciiTheme="minorHAnsi" w:hAnsiTheme="minorHAnsi"/>
          <w:snapToGrid w:val="0"/>
        </w:rPr>
        <w:fldChar w:fldCharType="end"/>
      </w:r>
      <w:r>
        <w:rPr>
          <w:rFonts w:asciiTheme="minorHAnsi" w:hAnsiTheme="minorHAnsi"/>
          <w:snapToGrid w:val="0"/>
        </w:rPr>
        <w:t>.</w:t>
      </w:r>
      <w:r w:rsidR="008E0171" w:rsidRPr="008C164C">
        <w:rPr>
          <w:rFonts w:asciiTheme="minorHAnsi" w:hAnsiTheme="minorHAnsi"/>
          <w:snapToGrid w:val="0"/>
        </w:rPr>
        <w:t xml:space="preserve"> </w:t>
      </w:r>
      <w:r>
        <w:rPr>
          <w:rFonts w:asciiTheme="minorHAnsi" w:hAnsiTheme="minorHAnsi"/>
          <w:snapToGrid w:val="0"/>
        </w:rPr>
        <w:t xml:space="preserve">The PBAC considered the key model uncertainties reflected the limited clinical evidence available for the small population with </w:t>
      </w:r>
      <w:proofErr w:type="spellStart"/>
      <w:r>
        <w:rPr>
          <w:rFonts w:asciiTheme="minorHAnsi" w:hAnsiTheme="minorHAnsi"/>
          <w:snapToGrid w:val="0"/>
        </w:rPr>
        <w:t>hMDR</w:t>
      </w:r>
      <w:proofErr w:type="spellEnd"/>
      <w:r>
        <w:rPr>
          <w:rFonts w:asciiTheme="minorHAnsi" w:hAnsiTheme="minorHAnsi"/>
          <w:snapToGrid w:val="0"/>
        </w:rPr>
        <w:t xml:space="preserve"> HIV</w:t>
      </w:r>
      <w:r w:rsidR="00695225">
        <w:rPr>
          <w:rFonts w:asciiTheme="minorHAnsi" w:hAnsiTheme="minorHAnsi"/>
          <w:snapToGrid w:val="0"/>
        </w:rPr>
        <w:t xml:space="preserve"> </w:t>
      </w:r>
      <w:r w:rsidR="00695225">
        <w:rPr>
          <w:rFonts w:asciiTheme="minorHAnsi" w:hAnsiTheme="minorHAnsi"/>
          <w:snapToGrid w:val="0"/>
        </w:rPr>
        <w:lastRenderedPageBreak/>
        <w:t>infection</w:t>
      </w:r>
      <w:r>
        <w:rPr>
          <w:rFonts w:asciiTheme="minorHAnsi" w:hAnsiTheme="minorHAnsi"/>
          <w:snapToGrid w:val="0"/>
        </w:rPr>
        <w:t xml:space="preserve">. The PBAC noted a more conservative estimate of the efficacy of LEN was assumed in the resubmission model compared with the November 2022 model (paragraph </w:t>
      </w:r>
      <w:r w:rsidR="00B9214C">
        <w:rPr>
          <w:rFonts w:asciiTheme="minorHAnsi" w:hAnsiTheme="minorHAnsi"/>
          <w:snapToGrid w:val="0"/>
        </w:rPr>
        <w:fldChar w:fldCharType="begin" w:fldLock="1"/>
      </w:r>
      <w:r w:rsidR="00B9214C">
        <w:rPr>
          <w:rFonts w:asciiTheme="minorHAnsi" w:hAnsiTheme="minorHAnsi"/>
          <w:snapToGrid w:val="0"/>
        </w:rPr>
        <w:instrText xml:space="preserve"> REF _Ref151555925 \r \h </w:instrText>
      </w:r>
      <w:r w:rsidR="00B9214C">
        <w:rPr>
          <w:rFonts w:asciiTheme="minorHAnsi" w:hAnsiTheme="minorHAnsi"/>
          <w:snapToGrid w:val="0"/>
        </w:rPr>
      </w:r>
      <w:r w:rsidR="00B9214C">
        <w:rPr>
          <w:rFonts w:asciiTheme="minorHAnsi" w:hAnsiTheme="minorHAnsi"/>
          <w:snapToGrid w:val="0"/>
        </w:rPr>
        <w:fldChar w:fldCharType="separate"/>
      </w:r>
      <w:r w:rsidR="00682506">
        <w:rPr>
          <w:rFonts w:asciiTheme="minorHAnsi" w:hAnsiTheme="minorHAnsi"/>
          <w:snapToGrid w:val="0"/>
        </w:rPr>
        <w:t>7.6</w:t>
      </w:r>
      <w:r w:rsidR="00B9214C">
        <w:rPr>
          <w:rFonts w:asciiTheme="minorHAnsi" w:hAnsiTheme="minorHAnsi"/>
          <w:snapToGrid w:val="0"/>
        </w:rPr>
        <w:fldChar w:fldCharType="end"/>
      </w:r>
      <w:r>
        <w:rPr>
          <w:rFonts w:asciiTheme="minorHAnsi" w:hAnsiTheme="minorHAnsi"/>
          <w:snapToGrid w:val="0"/>
        </w:rPr>
        <w:t xml:space="preserve">) and considered this </w:t>
      </w:r>
      <w:r w:rsidR="00781A56">
        <w:rPr>
          <w:rFonts w:asciiTheme="minorHAnsi" w:hAnsiTheme="minorHAnsi"/>
          <w:snapToGrid w:val="0"/>
        </w:rPr>
        <w:t xml:space="preserve">was </w:t>
      </w:r>
      <w:r>
        <w:rPr>
          <w:rFonts w:asciiTheme="minorHAnsi" w:hAnsiTheme="minorHAnsi"/>
          <w:snapToGrid w:val="0"/>
        </w:rPr>
        <w:t>appropriate</w:t>
      </w:r>
      <w:r w:rsidR="00695225">
        <w:rPr>
          <w:rFonts w:asciiTheme="minorHAnsi" w:hAnsiTheme="minorHAnsi"/>
          <w:snapToGrid w:val="0"/>
        </w:rPr>
        <w:t>, although noted the estimate remained uncertain</w:t>
      </w:r>
      <w:r>
        <w:rPr>
          <w:rFonts w:asciiTheme="minorHAnsi" w:hAnsiTheme="minorHAnsi"/>
          <w:snapToGrid w:val="0"/>
        </w:rPr>
        <w:t xml:space="preserve">. The PBAC </w:t>
      </w:r>
      <w:r w:rsidR="001D4003">
        <w:rPr>
          <w:rFonts w:asciiTheme="minorHAnsi" w:hAnsiTheme="minorHAnsi"/>
          <w:snapToGrid w:val="0"/>
        </w:rPr>
        <w:t xml:space="preserve">noted the approach of using observed rather than modelled data for the first 104 weeks of the model was inconsistent with the approach </w:t>
      </w:r>
      <w:r w:rsidR="00781A56">
        <w:rPr>
          <w:rFonts w:asciiTheme="minorHAnsi" w:hAnsiTheme="minorHAnsi"/>
          <w:snapToGrid w:val="0"/>
        </w:rPr>
        <w:t xml:space="preserve">used </w:t>
      </w:r>
      <w:r w:rsidR="001D4003">
        <w:rPr>
          <w:rFonts w:asciiTheme="minorHAnsi" w:hAnsiTheme="minorHAnsi"/>
          <w:snapToGrid w:val="0"/>
        </w:rPr>
        <w:t>in the November 2022 submission and was not conservative. The PBAC considered the alternative base case presented in the evaluation</w:t>
      </w:r>
      <w:r w:rsidR="00076C4F">
        <w:rPr>
          <w:rFonts w:asciiTheme="minorHAnsi" w:hAnsiTheme="minorHAnsi"/>
          <w:snapToGrid w:val="0"/>
        </w:rPr>
        <w:t>,</w:t>
      </w:r>
      <w:r w:rsidR="001D4003">
        <w:rPr>
          <w:rFonts w:asciiTheme="minorHAnsi" w:hAnsiTheme="minorHAnsi"/>
          <w:snapToGrid w:val="0"/>
        </w:rPr>
        <w:t xml:space="preserve"> </w:t>
      </w:r>
      <w:r w:rsidR="00076C4F">
        <w:rPr>
          <w:rFonts w:asciiTheme="minorHAnsi" w:hAnsiTheme="minorHAnsi"/>
          <w:snapToGrid w:val="0"/>
        </w:rPr>
        <w:t xml:space="preserve">in </w:t>
      </w:r>
      <w:r w:rsidR="001D4003">
        <w:rPr>
          <w:rFonts w:asciiTheme="minorHAnsi" w:hAnsiTheme="minorHAnsi"/>
          <w:snapToGrid w:val="0"/>
        </w:rPr>
        <w:t xml:space="preserve">which modelled data </w:t>
      </w:r>
      <w:r w:rsidR="00076C4F">
        <w:rPr>
          <w:rFonts w:asciiTheme="minorHAnsi" w:hAnsiTheme="minorHAnsi"/>
          <w:snapToGrid w:val="0"/>
        </w:rPr>
        <w:t xml:space="preserve">is applied from model initiation, </w:t>
      </w:r>
      <w:r w:rsidR="001D4003">
        <w:rPr>
          <w:rFonts w:asciiTheme="minorHAnsi" w:hAnsiTheme="minorHAnsi"/>
          <w:snapToGrid w:val="0"/>
        </w:rPr>
        <w:t>to be more appropriate noting the small amount of data to inform each transition</w:t>
      </w:r>
      <w:r w:rsidR="00B9214C">
        <w:rPr>
          <w:rFonts w:asciiTheme="minorHAnsi" w:hAnsiTheme="minorHAnsi"/>
          <w:snapToGrid w:val="0"/>
        </w:rPr>
        <w:t>. The PBAC noted</w:t>
      </w:r>
      <w:r w:rsidR="001D4003">
        <w:rPr>
          <w:rFonts w:asciiTheme="minorHAnsi" w:hAnsiTheme="minorHAnsi"/>
          <w:snapToGrid w:val="0"/>
        </w:rPr>
        <w:t xml:space="preserve"> that </w:t>
      </w:r>
      <w:r w:rsidR="00B9214C">
        <w:rPr>
          <w:rFonts w:asciiTheme="minorHAnsi" w:hAnsiTheme="minorHAnsi"/>
          <w:snapToGrid w:val="0"/>
        </w:rPr>
        <w:t>the alternat</w:t>
      </w:r>
      <w:r w:rsidR="000F23B9">
        <w:rPr>
          <w:rFonts w:asciiTheme="minorHAnsi" w:hAnsiTheme="minorHAnsi"/>
          <w:snapToGrid w:val="0"/>
        </w:rPr>
        <w:t>ive</w:t>
      </w:r>
      <w:r w:rsidR="00B9214C">
        <w:rPr>
          <w:rFonts w:asciiTheme="minorHAnsi" w:hAnsiTheme="minorHAnsi"/>
          <w:snapToGrid w:val="0"/>
        </w:rPr>
        <w:t xml:space="preserve"> base case</w:t>
      </w:r>
      <w:r w:rsidR="001D4003">
        <w:rPr>
          <w:rFonts w:asciiTheme="minorHAnsi" w:hAnsiTheme="minorHAnsi"/>
          <w:snapToGrid w:val="0"/>
        </w:rPr>
        <w:t xml:space="preserve"> resulted in more conservative estimates of viral suppression for the OBR arm and that it </w:t>
      </w:r>
      <w:r w:rsidR="00B9214C">
        <w:rPr>
          <w:rFonts w:asciiTheme="minorHAnsi" w:hAnsiTheme="minorHAnsi"/>
          <w:snapToGrid w:val="0"/>
        </w:rPr>
        <w:t xml:space="preserve">was </w:t>
      </w:r>
      <w:r w:rsidR="00D62EF0">
        <w:rPr>
          <w:rFonts w:asciiTheme="minorHAnsi" w:hAnsiTheme="minorHAnsi"/>
          <w:snapToGrid w:val="0"/>
        </w:rPr>
        <w:t xml:space="preserve">unaffected </w:t>
      </w:r>
      <w:r w:rsidR="00B9214C">
        <w:rPr>
          <w:rFonts w:asciiTheme="minorHAnsi" w:hAnsiTheme="minorHAnsi"/>
          <w:snapToGrid w:val="0"/>
        </w:rPr>
        <w:t>by</w:t>
      </w:r>
      <w:r w:rsidR="001D4003">
        <w:rPr>
          <w:rFonts w:asciiTheme="minorHAnsi" w:hAnsiTheme="minorHAnsi"/>
          <w:snapToGrid w:val="0"/>
        </w:rPr>
        <w:t xml:space="preserve"> the formulaic error noted in the PSCR</w:t>
      </w:r>
      <w:r w:rsidR="002D5A6A">
        <w:rPr>
          <w:rFonts w:asciiTheme="minorHAnsi" w:hAnsiTheme="minorHAnsi"/>
          <w:snapToGrid w:val="0"/>
        </w:rPr>
        <w:t>. The PBAC noted the ICER for the alternative base case was $</w:t>
      </w:r>
      <w:r w:rsidR="00AF4BBB">
        <w:rPr>
          <w:rFonts w:asciiTheme="minorHAnsi" w:hAnsiTheme="minorHAnsi"/>
          <w:snapToGrid w:val="0"/>
        </w:rPr>
        <w:t>115,000 to &lt; $135,000</w:t>
      </w:r>
      <w:r w:rsidR="002D5A6A">
        <w:rPr>
          <w:rFonts w:asciiTheme="minorHAnsi" w:hAnsiTheme="minorHAnsi"/>
          <w:snapToGrid w:val="0"/>
        </w:rPr>
        <w:t xml:space="preserve"> per QALY. The PBAC considered </w:t>
      </w:r>
      <w:r w:rsidR="005F7E37">
        <w:rPr>
          <w:rFonts w:asciiTheme="minorHAnsi" w:hAnsiTheme="minorHAnsi"/>
          <w:snapToGrid w:val="0"/>
        </w:rPr>
        <w:t xml:space="preserve">based on </w:t>
      </w:r>
      <w:r w:rsidR="002D5A6A">
        <w:rPr>
          <w:rFonts w:asciiTheme="minorHAnsi" w:hAnsiTheme="minorHAnsi"/>
          <w:snapToGrid w:val="0"/>
        </w:rPr>
        <w:t>the extent of the model uncertainties, consistency with its previous recommendations for maraviroc</w:t>
      </w:r>
      <w:r w:rsidR="000626A6">
        <w:rPr>
          <w:rStyle w:val="FootnoteReference"/>
          <w:rFonts w:asciiTheme="minorHAnsi" w:hAnsiTheme="minorHAnsi"/>
          <w:snapToGrid w:val="0"/>
        </w:rPr>
        <w:footnoteReference w:id="3"/>
      </w:r>
      <w:r w:rsidR="002D5A6A">
        <w:rPr>
          <w:rFonts w:asciiTheme="minorHAnsi" w:hAnsiTheme="minorHAnsi"/>
          <w:snapToGrid w:val="0"/>
        </w:rPr>
        <w:t xml:space="preserve"> and darunavir</w:t>
      </w:r>
      <w:r w:rsidR="000626A6">
        <w:rPr>
          <w:rStyle w:val="FootnoteReference"/>
          <w:rFonts w:asciiTheme="minorHAnsi" w:hAnsiTheme="minorHAnsi"/>
          <w:snapToGrid w:val="0"/>
        </w:rPr>
        <w:footnoteReference w:id="4"/>
      </w:r>
      <w:r w:rsidR="002D5A6A">
        <w:rPr>
          <w:rFonts w:asciiTheme="minorHAnsi" w:hAnsiTheme="minorHAnsi"/>
          <w:snapToGrid w:val="0"/>
        </w:rPr>
        <w:t xml:space="preserve"> for drug resistant HIV, </w:t>
      </w:r>
      <w:r w:rsidR="00C83E00" w:rsidRPr="00C83E00">
        <w:rPr>
          <w:rFonts w:asciiTheme="minorHAnsi" w:hAnsiTheme="minorHAnsi"/>
          <w:snapToGrid w:val="0"/>
        </w:rPr>
        <w:t xml:space="preserve">and in the context that LEN provides a further salvage regimen for the </w:t>
      </w:r>
      <w:proofErr w:type="spellStart"/>
      <w:r w:rsidR="00C83E00" w:rsidRPr="00C83E00">
        <w:rPr>
          <w:rFonts w:asciiTheme="minorHAnsi" w:hAnsiTheme="minorHAnsi"/>
          <w:snapToGrid w:val="0"/>
        </w:rPr>
        <w:t>hMDR</w:t>
      </w:r>
      <w:proofErr w:type="spellEnd"/>
      <w:r w:rsidR="00C83E00" w:rsidRPr="00C83E00">
        <w:rPr>
          <w:rFonts w:asciiTheme="minorHAnsi" w:hAnsiTheme="minorHAnsi"/>
          <w:snapToGrid w:val="0"/>
        </w:rPr>
        <w:t xml:space="preserve"> population, that LEN would be considered cost-effective with a price reduction that resulted in an ICER in the range</w:t>
      </w:r>
      <w:r w:rsidR="009F4E68">
        <w:rPr>
          <w:rFonts w:asciiTheme="minorHAnsi" w:hAnsiTheme="minorHAnsi"/>
          <w:snapToGrid w:val="0"/>
        </w:rPr>
        <w:t xml:space="preserve"> of</w:t>
      </w:r>
      <w:r w:rsidR="00C83E00" w:rsidRPr="00C83E00">
        <w:rPr>
          <w:rFonts w:asciiTheme="minorHAnsi" w:hAnsiTheme="minorHAnsi"/>
          <w:snapToGrid w:val="0"/>
        </w:rPr>
        <w:t xml:space="preserve"> $45,000−75,000 per QALY. The PBAC further considered this resulted in a price for LEN that was reasonable in the context of the accepted cost-effective prices for maraviroc and darunavir, and therefore that this frame of reference alleviated remaining concerns it had about the reliability of the LEN economic model.</w:t>
      </w:r>
    </w:p>
    <w:bookmarkEnd w:id="100"/>
    <w:p w14:paraId="298E90D2" w14:textId="365CAEEA" w:rsidR="001C0AC0" w:rsidRDefault="00682434" w:rsidP="000C7D51">
      <w:pPr>
        <w:widowControl w:val="0"/>
        <w:numPr>
          <w:ilvl w:val="1"/>
          <w:numId w:val="1"/>
        </w:numPr>
        <w:spacing w:after="120"/>
        <w:rPr>
          <w:rFonts w:asciiTheme="minorHAnsi" w:hAnsiTheme="minorHAnsi"/>
          <w:snapToGrid w:val="0"/>
        </w:rPr>
      </w:pPr>
      <w:r w:rsidRPr="008C164C">
        <w:rPr>
          <w:rFonts w:asciiTheme="minorHAnsi" w:hAnsiTheme="minorHAnsi"/>
          <w:snapToGrid w:val="0"/>
        </w:rPr>
        <w:t>The PBAC noted the underlying assumption that 0.84% of the Australian population of people living with HIV</w:t>
      </w:r>
      <w:r w:rsidR="00D82D01">
        <w:rPr>
          <w:rFonts w:asciiTheme="minorHAnsi" w:hAnsiTheme="minorHAnsi"/>
          <w:snapToGrid w:val="0"/>
        </w:rPr>
        <w:t xml:space="preserve"> (PLWH)</w:t>
      </w:r>
      <w:r w:rsidRPr="008C164C">
        <w:rPr>
          <w:rFonts w:asciiTheme="minorHAnsi" w:hAnsiTheme="minorHAnsi"/>
          <w:snapToGrid w:val="0"/>
        </w:rPr>
        <w:t xml:space="preserve"> </w:t>
      </w:r>
      <w:r w:rsidR="00D82D01" w:rsidRPr="008C164C">
        <w:t xml:space="preserve">being </w:t>
      </w:r>
      <w:proofErr w:type="spellStart"/>
      <w:r w:rsidR="00D82D01" w:rsidRPr="008C164C">
        <w:t>hMDR</w:t>
      </w:r>
      <w:proofErr w:type="spellEnd"/>
      <w:r w:rsidR="00D82D01" w:rsidRPr="008C164C">
        <w:t xml:space="preserve"> </w:t>
      </w:r>
      <w:r w:rsidRPr="008C164C">
        <w:rPr>
          <w:rFonts w:asciiTheme="minorHAnsi" w:hAnsiTheme="minorHAnsi"/>
          <w:snapToGrid w:val="0"/>
        </w:rPr>
        <w:t>(based on an analysis by the Kirby Institute) was unchanged from the previous submission and remained reasonable</w:t>
      </w:r>
      <w:r w:rsidR="00D82D01">
        <w:rPr>
          <w:rFonts w:asciiTheme="minorHAnsi" w:hAnsiTheme="minorHAnsi"/>
          <w:snapToGrid w:val="0"/>
        </w:rPr>
        <w:t>.</w:t>
      </w:r>
      <w:r w:rsidRPr="008C164C">
        <w:rPr>
          <w:rFonts w:asciiTheme="minorHAnsi" w:hAnsiTheme="minorHAnsi"/>
          <w:snapToGrid w:val="0"/>
        </w:rPr>
        <w:t xml:space="preserve"> </w:t>
      </w:r>
      <w:r w:rsidR="00D82D01">
        <w:rPr>
          <w:rFonts w:asciiTheme="minorHAnsi" w:hAnsiTheme="minorHAnsi"/>
          <w:snapToGrid w:val="0"/>
        </w:rPr>
        <w:t xml:space="preserve">The PBAC considered the revised </w:t>
      </w:r>
      <w:r w:rsidRPr="008C164C">
        <w:rPr>
          <w:rFonts w:asciiTheme="minorHAnsi" w:hAnsiTheme="minorHAnsi"/>
          <w:snapToGrid w:val="0"/>
        </w:rPr>
        <w:t xml:space="preserve">assumptions around the </w:t>
      </w:r>
      <w:r w:rsidR="00D82D01">
        <w:rPr>
          <w:rFonts w:asciiTheme="minorHAnsi" w:hAnsiTheme="minorHAnsi"/>
          <w:snapToGrid w:val="0"/>
        </w:rPr>
        <w:t>prevalence of</w:t>
      </w:r>
      <w:r w:rsidRPr="008C164C">
        <w:rPr>
          <w:rFonts w:asciiTheme="minorHAnsi" w:hAnsiTheme="minorHAnsi"/>
          <w:snapToGrid w:val="0"/>
        </w:rPr>
        <w:t xml:space="preserve"> </w:t>
      </w:r>
      <w:r w:rsidR="00D82D01">
        <w:rPr>
          <w:rFonts w:asciiTheme="minorHAnsi" w:hAnsiTheme="minorHAnsi"/>
          <w:snapToGrid w:val="0"/>
        </w:rPr>
        <w:t>PLWH</w:t>
      </w:r>
      <w:r w:rsidR="00D82D01" w:rsidRPr="008C164C">
        <w:rPr>
          <w:rFonts w:asciiTheme="minorHAnsi" w:hAnsiTheme="minorHAnsi"/>
          <w:snapToGrid w:val="0"/>
        </w:rPr>
        <w:t xml:space="preserve"> </w:t>
      </w:r>
      <w:r w:rsidR="00D82D01">
        <w:rPr>
          <w:rFonts w:asciiTheme="minorHAnsi" w:hAnsiTheme="minorHAnsi"/>
          <w:snapToGrid w:val="0"/>
        </w:rPr>
        <w:t>(reduced from 32,000 to 30,000</w:t>
      </w:r>
      <w:r w:rsidR="00695225">
        <w:rPr>
          <w:rFonts w:asciiTheme="minorHAnsi" w:hAnsiTheme="minorHAnsi"/>
          <w:snapToGrid w:val="0"/>
        </w:rPr>
        <w:t xml:space="preserve"> in year 1</w:t>
      </w:r>
      <w:r w:rsidR="00D82D01">
        <w:rPr>
          <w:rFonts w:asciiTheme="minorHAnsi" w:hAnsiTheme="minorHAnsi"/>
          <w:snapToGrid w:val="0"/>
        </w:rPr>
        <w:t xml:space="preserve">) </w:t>
      </w:r>
      <w:r w:rsidRPr="008C164C">
        <w:rPr>
          <w:rFonts w:asciiTheme="minorHAnsi" w:hAnsiTheme="minorHAnsi"/>
          <w:snapToGrid w:val="0"/>
        </w:rPr>
        <w:t xml:space="preserve">and proportion in care </w:t>
      </w:r>
      <w:r w:rsidR="00D82D01">
        <w:rPr>
          <w:rFonts w:asciiTheme="minorHAnsi" w:hAnsiTheme="minorHAnsi"/>
          <w:snapToGrid w:val="0"/>
        </w:rPr>
        <w:t xml:space="preserve">(reduced from 96% to 91%) </w:t>
      </w:r>
      <w:r w:rsidR="004C5227">
        <w:rPr>
          <w:rFonts w:asciiTheme="minorHAnsi" w:hAnsiTheme="minorHAnsi"/>
          <w:snapToGrid w:val="0"/>
        </w:rPr>
        <w:t>to be reasonable and</w:t>
      </w:r>
      <w:r w:rsidRPr="008C164C">
        <w:rPr>
          <w:rFonts w:asciiTheme="minorHAnsi" w:hAnsiTheme="minorHAnsi"/>
          <w:snapToGrid w:val="0"/>
        </w:rPr>
        <w:t xml:space="preserve"> noted the net result of these changes reduce</w:t>
      </w:r>
      <w:r w:rsidR="004C5227">
        <w:rPr>
          <w:rFonts w:asciiTheme="minorHAnsi" w:hAnsiTheme="minorHAnsi"/>
          <w:snapToGrid w:val="0"/>
        </w:rPr>
        <w:t>d</w:t>
      </w:r>
      <w:r w:rsidRPr="008C164C">
        <w:rPr>
          <w:rFonts w:asciiTheme="minorHAnsi" w:hAnsiTheme="minorHAnsi"/>
          <w:snapToGrid w:val="0"/>
        </w:rPr>
        <w:t xml:space="preserve"> the </w:t>
      </w:r>
      <w:r w:rsidR="004C5227">
        <w:rPr>
          <w:rFonts w:asciiTheme="minorHAnsi" w:hAnsiTheme="minorHAnsi"/>
          <w:snapToGrid w:val="0"/>
        </w:rPr>
        <w:t>estimated</w:t>
      </w:r>
      <w:r w:rsidR="004C5227" w:rsidRPr="008C164C">
        <w:rPr>
          <w:rFonts w:asciiTheme="minorHAnsi" w:hAnsiTheme="minorHAnsi"/>
          <w:snapToGrid w:val="0"/>
        </w:rPr>
        <w:t xml:space="preserve"> </w:t>
      </w:r>
      <w:r w:rsidRPr="008C164C">
        <w:rPr>
          <w:rFonts w:asciiTheme="minorHAnsi" w:hAnsiTheme="minorHAnsi"/>
          <w:snapToGrid w:val="0"/>
        </w:rPr>
        <w:t xml:space="preserve">number of eligible patients in </w:t>
      </w:r>
      <w:r w:rsidR="00D02FD1" w:rsidRPr="008C164C">
        <w:rPr>
          <w:rFonts w:asciiTheme="minorHAnsi" w:hAnsiTheme="minorHAnsi"/>
          <w:snapToGrid w:val="0"/>
        </w:rPr>
        <w:t>Y</w:t>
      </w:r>
      <w:r w:rsidRPr="008C164C">
        <w:rPr>
          <w:rFonts w:asciiTheme="minorHAnsi" w:hAnsiTheme="minorHAnsi"/>
          <w:snapToGrid w:val="0"/>
        </w:rPr>
        <w:t xml:space="preserve">ear 1 from </w:t>
      </w:r>
      <w:r w:rsidR="00FB1008">
        <w:rPr>
          <w:rFonts w:asciiTheme="minorHAnsi" w:hAnsiTheme="minorHAnsi"/>
          <w:snapToGrid w:val="0"/>
        </w:rPr>
        <w:t>&lt; 500</w:t>
      </w:r>
      <w:r w:rsidR="00FB1008" w:rsidRPr="008C164C">
        <w:rPr>
          <w:rFonts w:asciiTheme="minorHAnsi" w:hAnsiTheme="minorHAnsi"/>
          <w:snapToGrid w:val="0"/>
        </w:rPr>
        <w:t xml:space="preserve"> </w:t>
      </w:r>
      <w:r w:rsidRPr="008C164C">
        <w:rPr>
          <w:rFonts w:asciiTheme="minorHAnsi" w:hAnsiTheme="minorHAnsi"/>
          <w:snapToGrid w:val="0"/>
        </w:rPr>
        <w:t xml:space="preserve">to </w:t>
      </w:r>
      <w:r w:rsidR="00FB1008">
        <w:rPr>
          <w:rFonts w:asciiTheme="minorHAnsi" w:hAnsiTheme="minorHAnsi"/>
          <w:snapToGrid w:val="0"/>
        </w:rPr>
        <w:t>&lt; 500</w:t>
      </w:r>
      <w:r w:rsidRPr="008C164C">
        <w:rPr>
          <w:rFonts w:asciiTheme="minorHAnsi" w:hAnsiTheme="minorHAnsi"/>
          <w:snapToGrid w:val="0"/>
        </w:rPr>
        <w:t xml:space="preserve">. Overall, the PBAC considered the estimate of </w:t>
      </w:r>
      <w:r w:rsidR="00D02FD1" w:rsidRPr="008C164C">
        <w:rPr>
          <w:rFonts w:asciiTheme="minorHAnsi" w:hAnsiTheme="minorHAnsi"/>
          <w:snapToGrid w:val="0"/>
        </w:rPr>
        <w:t>approximately</w:t>
      </w:r>
      <w:r w:rsidRPr="008C164C">
        <w:rPr>
          <w:rFonts w:asciiTheme="minorHAnsi" w:hAnsiTheme="minorHAnsi"/>
          <w:snapToGrid w:val="0"/>
        </w:rPr>
        <w:t xml:space="preserve"> </w:t>
      </w:r>
      <w:r w:rsidR="00E533E3">
        <w:rPr>
          <w:rFonts w:asciiTheme="minorHAnsi" w:hAnsiTheme="minorHAnsi"/>
          <w:snapToGrid w:val="0"/>
        </w:rPr>
        <w:t>&lt; 500</w:t>
      </w:r>
      <w:r w:rsidR="00E533E3" w:rsidRPr="008C164C">
        <w:rPr>
          <w:rFonts w:asciiTheme="minorHAnsi" w:hAnsiTheme="minorHAnsi"/>
          <w:snapToGrid w:val="0"/>
        </w:rPr>
        <w:t xml:space="preserve"> </w:t>
      </w:r>
      <w:r w:rsidRPr="008C164C">
        <w:rPr>
          <w:rFonts w:asciiTheme="minorHAnsi" w:hAnsiTheme="minorHAnsi"/>
          <w:snapToGrid w:val="0"/>
        </w:rPr>
        <w:t xml:space="preserve">eligible </w:t>
      </w:r>
      <w:proofErr w:type="spellStart"/>
      <w:r w:rsidRPr="008C164C">
        <w:rPr>
          <w:rFonts w:asciiTheme="minorHAnsi" w:hAnsiTheme="minorHAnsi"/>
          <w:snapToGrid w:val="0"/>
        </w:rPr>
        <w:t>hMDR</w:t>
      </w:r>
      <w:proofErr w:type="spellEnd"/>
      <w:r w:rsidRPr="008C164C">
        <w:rPr>
          <w:rFonts w:asciiTheme="minorHAnsi" w:hAnsiTheme="minorHAnsi"/>
          <w:snapToGrid w:val="0"/>
        </w:rPr>
        <w:t xml:space="preserve"> patients</w:t>
      </w:r>
      <w:r w:rsidR="00C141BD">
        <w:rPr>
          <w:rFonts w:asciiTheme="minorHAnsi" w:hAnsiTheme="minorHAnsi"/>
          <w:snapToGrid w:val="0"/>
        </w:rPr>
        <w:t>,</w:t>
      </w:r>
      <w:r w:rsidRPr="008C164C">
        <w:rPr>
          <w:rFonts w:asciiTheme="minorHAnsi" w:hAnsiTheme="minorHAnsi"/>
          <w:snapToGrid w:val="0"/>
        </w:rPr>
        <w:t xml:space="preserve"> </w:t>
      </w:r>
      <w:r w:rsidR="00927184">
        <w:rPr>
          <w:rFonts w:asciiTheme="minorHAnsi" w:hAnsiTheme="minorHAnsi"/>
          <w:snapToGrid w:val="0"/>
        </w:rPr>
        <w:t xml:space="preserve">as presented in </w:t>
      </w:r>
      <w:r w:rsidR="00927184">
        <w:rPr>
          <w:rFonts w:asciiTheme="minorHAnsi" w:hAnsiTheme="minorHAnsi"/>
          <w:snapToGrid w:val="0"/>
        </w:rPr>
        <w:fldChar w:fldCharType="begin" w:fldLock="1"/>
      </w:r>
      <w:r w:rsidR="00927184">
        <w:rPr>
          <w:rFonts w:asciiTheme="minorHAnsi" w:hAnsiTheme="minorHAnsi"/>
          <w:snapToGrid w:val="0"/>
        </w:rPr>
        <w:instrText xml:space="preserve"> REF _Ref104805295 \h </w:instrText>
      </w:r>
      <w:r w:rsidR="00927184">
        <w:rPr>
          <w:rFonts w:asciiTheme="minorHAnsi" w:hAnsiTheme="minorHAnsi"/>
          <w:snapToGrid w:val="0"/>
        </w:rPr>
      </w:r>
      <w:r w:rsidR="00927184">
        <w:rPr>
          <w:rFonts w:asciiTheme="minorHAnsi" w:hAnsiTheme="minorHAnsi"/>
          <w:snapToGrid w:val="0"/>
        </w:rPr>
        <w:fldChar w:fldCharType="separate"/>
      </w:r>
      <w:r w:rsidR="00682506" w:rsidRPr="008C164C">
        <w:t xml:space="preserve">Table </w:t>
      </w:r>
      <w:r w:rsidR="00682506">
        <w:rPr>
          <w:noProof/>
        </w:rPr>
        <w:t>19</w:t>
      </w:r>
      <w:r w:rsidR="00927184">
        <w:rPr>
          <w:rFonts w:asciiTheme="minorHAnsi" w:hAnsiTheme="minorHAnsi"/>
          <w:snapToGrid w:val="0"/>
        </w:rPr>
        <w:fldChar w:fldCharType="end"/>
      </w:r>
      <w:r w:rsidR="00C141BD">
        <w:rPr>
          <w:rFonts w:asciiTheme="minorHAnsi" w:hAnsiTheme="minorHAnsi"/>
          <w:snapToGrid w:val="0"/>
        </w:rPr>
        <w:t>,</w:t>
      </w:r>
      <w:r w:rsidR="00927184">
        <w:rPr>
          <w:rFonts w:asciiTheme="minorHAnsi" w:hAnsiTheme="minorHAnsi"/>
          <w:snapToGrid w:val="0"/>
        </w:rPr>
        <w:t xml:space="preserve"> </w:t>
      </w:r>
      <w:r w:rsidR="00C141BD">
        <w:rPr>
          <w:rFonts w:asciiTheme="minorHAnsi" w:hAnsiTheme="minorHAnsi"/>
          <w:snapToGrid w:val="0"/>
        </w:rPr>
        <w:t>w</w:t>
      </w:r>
      <w:r w:rsidRPr="008C164C">
        <w:rPr>
          <w:rFonts w:asciiTheme="minorHAnsi" w:hAnsiTheme="minorHAnsi"/>
          <w:snapToGrid w:val="0"/>
        </w:rPr>
        <w:t>as likely to be reasonable.</w:t>
      </w:r>
    </w:p>
    <w:p w14:paraId="64F2F810" w14:textId="4351A5F1" w:rsidR="00682434" w:rsidRPr="008C164C" w:rsidRDefault="001C0AC0" w:rsidP="000C7D51">
      <w:pPr>
        <w:widowControl w:val="0"/>
        <w:numPr>
          <w:ilvl w:val="1"/>
          <w:numId w:val="1"/>
        </w:numPr>
        <w:spacing w:after="120"/>
        <w:rPr>
          <w:rFonts w:asciiTheme="minorHAnsi" w:hAnsiTheme="minorHAnsi"/>
          <w:snapToGrid w:val="0"/>
        </w:rPr>
      </w:pPr>
      <w:bookmarkStart w:id="101" w:name="_Ref151558356"/>
      <w:bookmarkStart w:id="102" w:name="_Hlk151655379"/>
      <w:r>
        <w:rPr>
          <w:rFonts w:asciiTheme="minorHAnsi" w:hAnsiTheme="minorHAnsi"/>
          <w:snapToGrid w:val="0"/>
        </w:rPr>
        <w:t xml:space="preserve">The PBAC considered the uptake of LEN to be uncertain noting that </w:t>
      </w:r>
      <w:r w:rsidRPr="008C164C">
        <w:t xml:space="preserve">as a new therapeutic option in the salvage setting </w:t>
      </w:r>
      <w:r>
        <w:t xml:space="preserve">it </w:t>
      </w:r>
      <w:r w:rsidRPr="008C164C">
        <w:t xml:space="preserve">was likely to </w:t>
      </w:r>
      <w:r>
        <w:t>be</w:t>
      </w:r>
      <w:r w:rsidRPr="008C164C">
        <w:t xml:space="preserve"> an attractive option for some patients, whilst there </w:t>
      </w:r>
      <w:r>
        <w:t>would</w:t>
      </w:r>
      <w:r w:rsidRPr="008C164C">
        <w:t xml:space="preserve"> also be a reluctance to alter treatment regimens for other patients where an acceptable therapeutic outcome is being achieved through currently available (albeit highly individualised) combinations of ARVs. </w:t>
      </w:r>
      <w:r w:rsidR="007065E7">
        <w:t xml:space="preserve">In the context of </w:t>
      </w:r>
      <w:r w:rsidR="00682434" w:rsidRPr="007065E7">
        <w:rPr>
          <w:rFonts w:asciiTheme="minorHAnsi" w:hAnsiTheme="minorHAnsi"/>
          <w:snapToGrid w:val="0"/>
        </w:rPr>
        <w:t xml:space="preserve">the </w:t>
      </w:r>
      <w:r w:rsidR="007065E7">
        <w:rPr>
          <w:rFonts w:asciiTheme="minorHAnsi" w:hAnsiTheme="minorHAnsi"/>
          <w:snapToGrid w:val="0"/>
        </w:rPr>
        <w:t xml:space="preserve">Australian </w:t>
      </w:r>
      <w:r w:rsidR="00682434" w:rsidRPr="007065E7">
        <w:rPr>
          <w:rFonts w:asciiTheme="minorHAnsi" w:hAnsiTheme="minorHAnsi"/>
          <w:snapToGrid w:val="0"/>
        </w:rPr>
        <w:t xml:space="preserve">clinician survey </w:t>
      </w:r>
      <w:r w:rsidR="007065E7">
        <w:rPr>
          <w:rFonts w:asciiTheme="minorHAnsi" w:hAnsiTheme="minorHAnsi"/>
          <w:snapToGrid w:val="0"/>
        </w:rPr>
        <w:t>reporting that</w:t>
      </w:r>
      <w:r w:rsidR="00682434" w:rsidRPr="008C164C">
        <w:rPr>
          <w:rFonts w:asciiTheme="minorHAnsi" w:hAnsiTheme="minorHAnsi"/>
          <w:snapToGrid w:val="0"/>
        </w:rPr>
        <w:t xml:space="preserve"> OBR is considered to be effective for </w:t>
      </w:r>
      <w:r w:rsidR="007065E7">
        <w:rPr>
          <w:rFonts w:asciiTheme="minorHAnsi" w:hAnsiTheme="minorHAnsi"/>
          <w:snapToGrid w:val="0"/>
        </w:rPr>
        <w:t>50</w:t>
      </w:r>
      <w:r w:rsidR="00D17424">
        <w:rPr>
          <w:rFonts w:asciiTheme="minorHAnsi" w:hAnsiTheme="minorHAnsi" w:cstheme="minorHAnsi"/>
          <w:snapToGrid w:val="0"/>
        </w:rPr>
        <w:t>−</w:t>
      </w:r>
      <w:r w:rsidR="007065E7">
        <w:rPr>
          <w:rFonts w:asciiTheme="minorHAnsi" w:hAnsiTheme="minorHAnsi"/>
          <w:snapToGrid w:val="0"/>
        </w:rPr>
        <w:t>62% of</w:t>
      </w:r>
      <w:r w:rsidR="00682434" w:rsidRPr="008C164C">
        <w:rPr>
          <w:rFonts w:asciiTheme="minorHAnsi" w:hAnsiTheme="minorHAnsi"/>
          <w:snapToGrid w:val="0"/>
        </w:rPr>
        <w:t xml:space="preserve"> the </w:t>
      </w:r>
      <w:proofErr w:type="spellStart"/>
      <w:r w:rsidR="00682434" w:rsidRPr="008C164C">
        <w:rPr>
          <w:rFonts w:asciiTheme="minorHAnsi" w:hAnsiTheme="minorHAnsi"/>
          <w:snapToGrid w:val="0"/>
        </w:rPr>
        <w:t>hMDR</w:t>
      </w:r>
      <w:proofErr w:type="spellEnd"/>
      <w:r w:rsidR="00682434" w:rsidRPr="008C164C">
        <w:rPr>
          <w:rFonts w:asciiTheme="minorHAnsi" w:hAnsiTheme="minorHAnsi"/>
          <w:snapToGrid w:val="0"/>
        </w:rPr>
        <w:t xml:space="preserve"> population</w:t>
      </w:r>
      <w:r w:rsidR="007065E7">
        <w:rPr>
          <w:rFonts w:asciiTheme="minorHAnsi" w:hAnsiTheme="minorHAnsi"/>
          <w:snapToGrid w:val="0"/>
        </w:rPr>
        <w:t>,</w:t>
      </w:r>
      <w:r w:rsidR="00682434" w:rsidRPr="008C164C">
        <w:rPr>
          <w:rFonts w:asciiTheme="minorHAnsi" w:hAnsiTheme="minorHAnsi"/>
          <w:snapToGrid w:val="0"/>
        </w:rPr>
        <w:t xml:space="preserve"> the PBAC considered that in practice, the uptake of LEN was likely to be</w:t>
      </w:r>
      <w:r w:rsidR="008773EC">
        <w:rPr>
          <w:rFonts w:asciiTheme="minorHAnsi" w:hAnsiTheme="minorHAnsi"/>
          <w:snapToGrid w:val="0"/>
        </w:rPr>
        <w:t xml:space="preserve"> </w:t>
      </w:r>
      <w:r w:rsidR="007065E7">
        <w:rPr>
          <w:rFonts w:asciiTheme="minorHAnsi" w:hAnsiTheme="minorHAnsi"/>
          <w:snapToGrid w:val="0"/>
        </w:rPr>
        <w:t xml:space="preserve">less than </w:t>
      </w:r>
      <w:r w:rsidR="00851D33">
        <w:rPr>
          <w:rFonts w:asciiTheme="minorHAnsi" w:hAnsiTheme="minorHAnsi"/>
          <w:snapToGrid w:val="0"/>
        </w:rPr>
        <w:t xml:space="preserve"> </w:t>
      </w:r>
      <w:r w:rsidR="00851D33" w:rsidRPr="005D5F06">
        <w:rPr>
          <w:rFonts w:asciiTheme="minorHAnsi" w:hAnsiTheme="minorHAnsi"/>
          <w:snapToGrid w:val="0"/>
          <w:color w:val="000000"/>
          <w:w w:val="15"/>
          <w:shd w:val="solid" w:color="000000" w:fill="000000"/>
          <w:fitText w:val="-20" w:id="-1032080379"/>
          <w14:textFill>
            <w14:solidFill>
              <w14:srgbClr w14:val="000000">
                <w14:alpha w14:val="100000"/>
              </w14:srgbClr>
            </w14:solidFill>
          </w14:textFill>
        </w:rPr>
        <w:t xml:space="preserve">|  </w:t>
      </w:r>
      <w:r w:rsidR="00851D33" w:rsidRPr="005D5F06">
        <w:rPr>
          <w:rFonts w:asciiTheme="minorHAnsi" w:hAnsiTheme="minorHAnsi"/>
          <w:snapToGrid w:val="0"/>
          <w:color w:val="000000"/>
          <w:spacing w:val="-69"/>
          <w:w w:val="15"/>
          <w:shd w:val="solid" w:color="000000" w:fill="000000"/>
          <w:fitText w:val="-20" w:id="-1032080379"/>
          <w14:textFill>
            <w14:solidFill>
              <w14:srgbClr w14:val="000000">
                <w14:alpha w14:val="100000"/>
              </w14:srgbClr>
            </w14:solidFill>
          </w14:textFill>
        </w:rPr>
        <w:t>|</w:t>
      </w:r>
      <w:r w:rsidR="007065E7">
        <w:rPr>
          <w:rFonts w:asciiTheme="minorHAnsi" w:hAnsiTheme="minorHAnsi"/>
          <w:snapToGrid w:val="0"/>
        </w:rPr>
        <w:t xml:space="preserve">% in year 1, and </w:t>
      </w:r>
      <w:r w:rsidR="00A9217E">
        <w:rPr>
          <w:rFonts w:asciiTheme="minorHAnsi" w:hAnsiTheme="minorHAnsi"/>
          <w:snapToGrid w:val="0"/>
        </w:rPr>
        <w:t xml:space="preserve">that uptake of 50% would </w:t>
      </w:r>
      <w:r w:rsidR="00A9217E">
        <w:rPr>
          <w:rFonts w:asciiTheme="minorHAnsi" w:hAnsiTheme="minorHAnsi"/>
          <w:snapToGrid w:val="0"/>
        </w:rPr>
        <w:lastRenderedPageBreak/>
        <w:t>be more reasonable</w:t>
      </w:r>
      <w:r w:rsidR="00BD10A9" w:rsidRPr="008C164C">
        <w:rPr>
          <w:rFonts w:asciiTheme="minorHAnsi" w:hAnsiTheme="minorHAnsi"/>
          <w:snapToGrid w:val="0"/>
        </w:rPr>
        <w:t>.</w:t>
      </w:r>
      <w:r w:rsidR="007065E7">
        <w:rPr>
          <w:rFonts w:asciiTheme="minorHAnsi" w:hAnsiTheme="minorHAnsi"/>
          <w:snapToGrid w:val="0"/>
        </w:rPr>
        <w:t xml:space="preserve"> The PBAC considered the uptake assumed in the resubmission for the subsequent years (</w:t>
      </w:r>
      <w:r w:rsidR="00851D33">
        <w:rPr>
          <w:rFonts w:asciiTheme="minorHAnsi" w:hAnsiTheme="minorHAnsi"/>
          <w:snapToGrid w:val="0"/>
        </w:rPr>
        <w:t xml:space="preserve"> </w:t>
      </w:r>
      <w:r w:rsidR="00851D33" w:rsidRPr="005D5F06">
        <w:rPr>
          <w:rFonts w:asciiTheme="minorHAnsi" w:hAnsiTheme="minorHAnsi"/>
          <w:snapToGrid w:val="0"/>
          <w:color w:val="000000"/>
          <w:w w:val="15"/>
          <w:shd w:val="solid" w:color="000000" w:fill="000000"/>
          <w:fitText w:val="-20" w:id="-1032080378"/>
          <w14:textFill>
            <w14:solidFill>
              <w14:srgbClr w14:val="000000">
                <w14:alpha w14:val="100000"/>
              </w14:srgbClr>
            </w14:solidFill>
          </w14:textFill>
        </w:rPr>
        <w:t xml:space="preserve">|  </w:t>
      </w:r>
      <w:r w:rsidR="00851D33" w:rsidRPr="005D5F06">
        <w:rPr>
          <w:rFonts w:asciiTheme="minorHAnsi" w:hAnsiTheme="minorHAnsi"/>
          <w:snapToGrid w:val="0"/>
          <w:color w:val="000000"/>
          <w:spacing w:val="-69"/>
          <w:w w:val="15"/>
          <w:shd w:val="solid" w:color="000000" w:fill="000000"/>
          <w:fitText w:val="-20" w:id="-1032080378"/>
          <w14:textFill>
            <w14:solidFill>
              <w14:srgbClr w14:val="000000">
                <w14:alpha w14:val="100000"/>
              </w14:srgbClr>
            </w14:solidFill>
          </w14:textFill>
        </w:rPr>
        <w:t>|</w:t>
      </w:r>
      <w:r w:rsidR="007065E7">
        <w:rPr>
          <w:rFonts w:asciiTheme="minorHAnsi" w:hAnsiTheme="minorHAnsi"/>
          <w:snapToGrid w:val="0"/>
        </w:rPr>
        <w:t xml:space="preserve">% decreasing to </w:t>
      </w:r>
      <w:r w:rsidR="00851D33">
        <w:rPr>
          <w:rFonts w:asciiTheme="minorHAnsi" w:hAnsiTheme="minorHAnsi"/>
          <w:snapToGrid w:val="0"/>
        </w:rPr>
        <w:t xml:space="preserve"> </w:t>
      </w:r>
      <w:r w:rsidR="00851D33" w:rsidRPr="005D5F06">
        <w:rPr>
          <w:rFonts w:asciiTheme="minorHAnsi" w:hAnsiTheme="minorHAnsi"/>
          <w:snapToGrid w:val="0"/>
          <w:color w:val="000000"/>
          <w:w w:val="15"/>
          <w:shd w:val="solid" w:color="000000" w:fill="000000"/>
          <w:fitText w:val="-20" w:id="-1032080377"/>
          <w14:textFill>
            <w14:solidFill>
              <w14:srgbClr w14:val="000000">
                <w14:alpha w14:val="100000"/>
              </w14:srgbClr>
            </w14:solidFill>
          </w14:textFill>
        </w:rPr>
        <w:t xml:space="preserve">|  </w:t>
      </w:r>
      <w:r w:rsidR="00851D33" w:rsidRPr="005D5F06">
        <w:rPr>
          <w:rFonts w:asciiTheme="minorHAnsi" w:hAnsiTheme="minorHAnsi"/>
          <w:snapToGrid w:val="0"/>
          <w:color w:val="000000"/>
          <w:spacing w:val="-69"/>
          <w:w w:val="15"/>
          <w:shd w:val="solid" w:color="000000" w:fill="000000"/>
          <w:fitText w:val="-20" w:id="-1032080377"/>
          <w14:textFill>
            <w14:solidFill>
              <w14:srgbClr w14:val="000000">
                <w14:alpha w14:val="100000"/>
              </w14:srgbClr>
            </w14:solidFill>
          </w14:textFill>
        </w:rPr>
        <w:t>|</w:t>
      </w:r>
      <w:r w:rsidR="007065E7">
        <w:rPr>
          <w:rFonts w:asciiTheme="minorHAnsi" w:hAnsiTheme="minorHAnsi"/>
          <w:snapToGrid w:val="0"/>
        </w:rPr>
        <w:t xml:space="preserve">%, </w:t>
      </w:r>
      <w:r w:rsidR="00CF0A56">
        <w:rPr>
          <w:rFonts w:asciiTheme="minorHAnsi" w:hAnsiTheme="minorHAnsi"/>
          <w:snapToGrid w:val="0"/>
        </w:rPr>
        <w:fldChar w:fldCharType="begin" w:fldLock="1"/>
      </w:r>
      <w:r w:rsidR="00CF0A56">
        <w:rPr>
          <w:rFonts w:asciiTheme="minorHAnsi" w:hAnsiTheme="minorHAnsi"/>
          <w:snapToGrid w:val="0"/>
        </w:rPr>
        <w:instrText xml:space="preserve"> REF _Ref104805295 \h </w:instrText>
      </w:r>
      <w:r w:rsidR="00CF0A56">
        <w:rPr>
          <w:rFonts w:asciiTheme="minorHAnsi" w:hAnsiTheme="minorHAnsi"/>
          <w:snapToGrid w:val="0"/>
        </w:rPr>
      </w:r>
      <w:r w:rsidR="00CF0A56">
        <w:rPr>
          <w:rFonts w:asciiTheme="minorHAnsi" w:hAnsiTheme="minorHAnsi"/>
          <w:snapToGrid w:val="0"/>
        </w:rPr>
        <w:fldChar w:fldCharType="separate"/>
      </w:r>
      <w:r w:rsidR="00682506" w:rsidRPr="008C164C">
        <w:t xml:space="preserve">Table </w:t>
      </w:r>
      <w:r w:rsidR="00682506">
        <w:rPr>
          <w:noProof/>
        </w:rPr>
        <w:t>19</w:t>
      </w:r>
      <w:r w:rsidR="00CF0A56">
        <w:rPr>
          <w:rFonts w:asciiTheme="minorHAnsi" w:hAnsiTheme="minorHAnsi"/>
          <w:snapToGrid w:val="0"/>
        </w:rPr>
        <w:fldChar w:fldCharType="end"/>
      </w:r>
      <w:r w:rsidR="00CF0A56">
        <w:rPr>
          <w:rFonts w:asciiTheme="minorHAnsi" w:hAnsiTheme="minorHAnsi"/>
          <w:snapToGrid w:val="0"/>
        </w:rPr>
        <w:t>) to be reasonable.</w:t>
      </w:r>
      <w:r w:rsidR="007065E7">
        <w:rPr>
          <w:rFonts w:asciiTheme="minorHAnsi" w:hAnsiTheme="minorHAnsi"/>
          <w:snapToGrid w:val="0"/>
        </w:rPr>
        <w:t xml:space="preserve"> </w:t>
      </w:r>
      <w:bookmarkEnd w:id="101"/>
    </w:p>
    <w:bookmarkEnd w:id="102"/>
    <w:p w14:paraId="4F9E18EA" w14:textId="330EB714" w:rsidR="00483F2D" w:rsidRPr="008C164C" w:rsidRDefault="001C0AC0" w:rsidP="00483F2D">
      <w:pPr>
        <w:widowControl w:val="0"/>
        <w:numPr>
          <w:ilvl w:val="1"/>
          <w:numId w:val="1"/>
        </w:numPr>
        <w:spacing w:after="120"/>
        <w:rPr>
          <w:rFonts w:asciiTheme="minorHAnsi" w:hAnsiTheme="minorHAnsi"/>
          <w:snapToGrid w:val="0"/>
        </w:rPr>
      </w:pPr>
      <w:r w:rsidRPr="008C164C">
        <w:t xml:space="preserve">The </w:t>
      </w:r>
      <w:r w:rsidR="00CF0A56">
        <w:t>PBAC</w:t>
      </w:r>
      <w:r w:rsidRPr="008C164C">
        <w:t xml:space="preserve"> considered there was a risk of leakage to use in PLWH who </w:t>
      </w:r>
      <w:r w:rsidR="00695225">
        <w:t>do</w:t>
      </w:r>
      <w:r w:rsidR="00695225" w:rsidRPr="008C164C">
        <w:t xml:space="preserve"> </w:t>
      </w:r>
      <w:r w:rsidRPr="008C164C">
        <w:t xml:space="preserve">not meet the strict definition of </w:t>
      </w:r>
      <w:proofErr w:type="spellStart"/>
      <w:r w:rsidRPr="008C164C">
        <w:t>hMDR</w:t>
      </w:r>
      <w:proofErr w:type="spellEnd"/>
      <w:r w:rsidRPr="008C164C">
        <w:t xml:space="preserve"> </w:t>
      </w:r>
      <w:r w:rsidR="00CF0A56">
        <w:t>as per</w:t>
      </w:r>
      <w:r w:rsidRPr="008C164C">
        <w:t xml:space="preserve"> the proposed listing, </w:t>
      </w:r>
      <w:r w:rsidR="00CF0A56">
        <w:t>and that this risk should be managed with</w:t>
      </w:r>
      <w:r w:rsidR="00682434" w:rsidRPr="008C164C">
        <w:rPr>
          <w:rFonts w:asciiTheme="minorHAnsi" w:hAnsiTheme="minorHAnsi"/>
          <w:snapToGrid w:val="0"/>
        </w:rPr>
        <w:t xml:space="preserve"> a </w:t>
      </w:r>
      <w:r w:rsidR="000F06D7">
        <w:rPr>
          <w:rFonts w:asciiTheme="minorHAnsi" w:hAnsiTheme="minorHAnsi"/>
          <w:snapToGrid w:val="0"/>
        </w:rPr>
        <w:t>R</w:t>
      </w:r>
      <w:r w:rsidR="000F06D7" w:rsidRPr="008C164C">
        <w:rPr>
          <w:rFonts w:asciiTheme="minorHAnsi" w:hAnsiTheme="minorHAnsi"/>
          <w:snapToGrid w:val="0"/>
        </w:rPr>
        <w:t xml:space="preserve">isk </w:t>
      </w:r>
      <w:r w:rsidR="000F06D7">
        <w:rPr>
          <w:rFonts w:asciiTheme="minorHAnsi" w:hAnsiTheme="minorHAnsi"/>
          <w:snapToGrid w:val="0"/>
        </w:rPr>
        <w:t>S</w:t>
      </w:r>
      <w:r w:rsidR="000F06D7" w:rsidRPr="008C164C">
        <w:rPr>
          <w:rFonts w:asciiTheme="minorHAnsi" w:hAnsiTheme="minorHAnsi"/>
          <w:snapToGrid w:val="0"/>
        </w:rPr>
        <w:t xml:space="preserve">haring </w:t>
      </w:r>
      <w:r w:rsidR="000F06D7">
        <w:rPr>
          <w:rFonts w:asciiTheme="minorHAnsi" w:hAnsiTheme="minorHAnsi"/>
          <w:snapToGrid w:val="0"/>
        </w:rPr>
        <w:t>A</w:t>
      </w:r>
      <w:r w:rsidR="000F06D7" w:rsidRPr="008C164C">
        <w:rPr>
          <w:rFonts w:asciiTheme="minorHAnsi" w:hAnsiTheme="minorHAnsi"/>
          <w:snapToGrid w:val="0"/>
        </w:rPr>
        <w:t xml:space="preserve">rrangement </w:t>
      </w:r>
      <w:r w:rsidR="00682434" w:rsidRPr="008C164C">
        <w:rPr>
          <w:rFonts w:asciiTheme="minorHAnsi" w:hAnsiTheme="minorHAnsi"/>
          <w:snapToGrid w:val="0"/>
        </w:rPr>
        <w:t xml:space="preserve">(RSA). </w:t>
      </w:r>
      <w:r w:rsidR="00CF0A56">
        <w:rPr>
          <w:rFonts w:asciiTheme="minorHAnsi" w:hAnsiTheme="minorHAnsi"/>
          <w:snapToGrid w:val="0"/>
        </w:rPr>
        <w:t xml:space="preserve">The PBAC considered the financial caps for the RSA should be based on the revised estimates as outlined in paragraph </w:t>
      </w:r>
      <w:r w:rsidR="00760DD6" w:rsidRPr="008773EC">
        <w:rPr>
          <w:rFonts w:asciiTheme="minorHAnsi" w:hAnsiTheme="minorHAnsi"/>
          <w:snapToGrid w:val="0"/>
        </w:rPr>
        <w:fldChar w:fldCharType="begin" w:fldLock="1"/>
      </w:r>
      <w:r w:rsidR="00760DD6" w:rsidRPr="008773EC">
        <w:rPr>
          <w:rFonts w:asciiTheme="minorHAnsi" w:hAnsiTheme="minorHAnsi"/>
          <w:snapToGrid w:val="0"/>
        </w:rPr>
        <w:instrText xml:space="preserve"> REF _Ref151558356 \r \h </w:instrText>
      </w:r>
      <w:r w:rsidR="00C141BD" w:rsidRPr="008773EC">
        <w:rPr>
          <w:rFonts w:asciiTheme="minorHAnsi" w:hAnsiTheme="minorHAnsi"/>
          <w:snapToGrid w:val="0"/>
        </w:rPr>
        <w:instrText xml:space="preserve"> \* MERGEFORMAT </w:instrText>
      </w:r>
      <w:r w:rsidR="00760DD6" w:rsidRPr="008773EC">
        <w:rPr>
          <w:rFonts w:asciiTheme="minorHAnsi" w:hAnsiTheme="minorHAnsi"/>
          <w:snapToGrid w:val="0"/>
        </w:rPr>
      </w:r>
      <w:r w:rsidR="00760DD6" w:rsidRPr="008773EC">
        <w:rPr>
          <w:rFonts w:asciiTheme="minorHAnsi" w:hAnsiTheme="minorHAnsi"/>
          <w:snapToGrid w:val="0"/>
        </w:rPr>
        <w:fldChar w:fldCharType="separate"/>
      </w:r>
      <w:r w:rsidR="00682506">
        <w:rPr>
          <w:rFonts w:asciiTheme="minorHAnsi" w:hAnsiTheme="minorHAnsi"/>
          <w:snapToGrid w:val="0"/>
        </w:rPr>
        <w:t>7.13</w:t>
      </w:r>
      <w:r w:rsidR="00760DD6" w:rsidRPr="008773EC">
        <w:rPr>
          <w:rFonts w:asciiTheme="minorHAnsi" w:hAnsiTheme="minorHAnsi"/>
          <w:snapToGrid w:val="0"/>
        </w:rPr>
        <w:fldChar w:fldCharType="end"/>
      </w:r>
      <w:r w:rsidR="00CF0A56">
        <w:rPr>
          <w:rFonts w:asciiTheme="minorHAnsi" w:hAnsiTheme="minorHAnsi"/>
          <w:snapToGrid w:val="0"/>
        </w:rPr>
        <w:t xml:space="preserve"> and the rebate for use above the caps should be high given the use of LEN is likely to not be cost-effective in this population.</w:t>
      </w:r>
    </w:p>
    <w:p w14:paraId="293D469B" w14:textId="4EAA8A0F" w:rsidR="00483F2D" w:rsidRPr="008C164C" w:rsidRDefault="00483F2D" w:rsidP="00682434">
      <w:pPr>
        <w:widowControl w:val="0"/>
        <w:numPr>
          <w:ilvl w:val="1"/>
          <w:numId w:val="1"/>
        </w:numPr>
        <w:spacing w:after="120"/>
        <w:rPr>
          <w:rFonts w:asciiTheme="minorHAnsi" w:hAnsiTheme="minorHAnsi"/>
          <w:bCs/>
          <w:snapToGrid w:val="0"/>
        </w:rPr>
      </w:pPr>
      <w:r w:rsidRPr="008C164C">
        <w:rPr>
          <w:rFonts w:asciiTheme="minorHAnsi" w:hAnsiTheme="minorHAnsi"/>
          <w:bCs/>
          <w:snapToGrid w:val="0"/>
        </w:rPr>
        <w:t xml:space="preserve">The PBAC </w:t>
      </w:r>
      <w:r w:rsidR="00682434" w:rsidRPr="008C164C">
        <w:rPr>
          <w:rFonts w:asciiTheme="minorHAnsi" w:hAnsiTheme="minorHAnsi"/>
          <w:bCs/>
          <w:snapToGrid w:val="0"/>
        </w:rPr>
        <w:t>advised</w:t>
      </w:r>
      <w:r w:rsidRPr="008C164C">
        <w:rPr>
          <w:rFonts w:asciiTheme="minorHAnsi" w:hAnsiTheme="minorHAnsi"/>
          <w:bCs/>
          <w:snapToGrid w:val="0"/>
        </w:rPr>
        <w:t xml:space="preserve"> that </w:t>
      </w:r>
      <w:r w:rsidR="000F06D7">
        <w:rPr>
          <w:rFonts w:asciiTheme="minorHAnsi" w:hAnsiTheme="minorHAnsi"/>
          <w:bCs/>
          <w:snapToGrid w:val="0"/>
        </w:rPr>
        <w:t>LEN</w:t>
      </w:r>
      <w:r w:rsidR="000F06D7" w:rsidRPr="008C164C">
        <w:rPr>
          <w:rFonts w:asciiTheme="minorHAnsi" w:hAnsiTheme="minorHAnsi"/>
          <w:bCs/>
          <w:snapToGrid w:val="0"/>
        </w:rPr>
        <w:t xml:space="preserve"> </w:t>
      </w:r>
      <w:r w:rsidRPr="008C164C">
        <w:rPr>
          <w:rFonts w:asciiTheme="minorHAnsi" w:hAnsiTheme="minorHAnsi"/>
          <w:bCs/>
          <w:snapToGrid w:val="0"/>
        </w:rPr>
        <w:t>should</w:t>
      </w:r>
      <w:r w:rsidR="00682434" w:rsidRPr="008C164C">
        <w:rPr>
          <w:rFonts w:asciiTheme="minorHAnsi" w:hAnsiTheme="minorHAnsi"/>
          <w:bCs/>
          <w:snapToGrid w:val="0"/>
        </w:rPr>
        <w:t xml:space="preserve"> not</w:t>
      </w:r>
      <w:r w:rsidRPr="008C164C">
        <w:rPr>
          <w:rFonts w:asciiTheme="minorHAnsi" w:hAnsiTheme="minorHAnsi"/>
          <w:bCs/>
          <w:snapToGrid w:val="0"/>
        </w:rPr>
        <w:t xml:space="preserve"> be treated as interchangeable on an individual patient basis with </w:t>
      </w:r>
      <w:r w:rsidR="00682434" w:rsidRPr="008C164C">
        <w:rPr>
          <w:rFonts w:asciiTheme="minorHAnsi" w:hAnsiTheme="minorHAnsi"/>
          <w:bCs/>
          <w:snapToGrid w:val="0"/>
        </w:rPr>
        <w:t>any other drugs.</w:t>
      </w:r>
    </w:p>
    <w:p w14:paraId="4603B5A7" w14:textId="71F9B0DE" w:rsidR="00483F2D" w:rsidRPr="008B722C" w:rsidRDefault="00483F2D" w:rsidP="00483F2D">
      <w:pPr>
        <w:widowControl w:val="0"/>
        <w:numPr>
          <w:ilvl w:val="1"/>
          <w:numId w:val="1"/>
        </w:numPr>
        <w:spacing w:after="120"/>
        <w:rPr>
          <w:rFonts w:asciiTheme="minorHAnsi" w:hAnsiTheme="minorHAnsi"/>
          <w:bCs/>
          <w:snapToGrid w:val="0"/>
        </w:rPr>
      </w:pPr>
      <w:r w:rsidRPr="008B722C">
        <w:rPr>
          <w:rFonts w:asciiTheme="minorHAnsi" w:hAnsiTheme="minorHAnsi"/>
          <w:bCs/>
          <w:snapToGrid w:val="0"/>
        </w:rPr>
        <w:t>The PBAC advised that</w:t>
      </w:r>
      <w:r w:rsidR="002F0879" w:rsidRPr="008B722C">
        <w:rPr>
          <w:rFonts w:asciiTheme="minorHAnsi" w:hAnsiTheme="minorHAnsi"/>
          <w:bCs/>
          <w:snapToGrid w:val="0"/>
        </w:rPr>
        <w:t xml:space="preserve"> LEN</w:t>
      </w:r>
      <w:r w:rsidRPr="008B722C">
        <w:rPr>
          <w:rFonts w:asciiTheme="minorHAnsi" w:hAnsiTheme="minorHAnsi"/>
          <w:bCs/>
          <w:snapToGrid w:val="0"/>
        </w:rPr>
        <w:t xml:space="preserve"> is suitable for prescribing by nurse practitioners. </w:t>
      </w:r>
    </w:p>
    <w:p w14:paraId="175CA2DC" w14:textId="7C0F10D4" w:rsidR="00483F2D" w:rsidRPr="008C164C" w:rsidRDefault="00483F2D" w:rsidP="00483F2D">
      <w:pPr>
        <w:widowControl w:val="0"/>
        <w:numPr>
          <w:ilvl w:val="1"/>
          <w:numId w:val="1"/>
        </w:numPr>
        <w:spacing w:after="120"/>
        <w:rPr>
          <w:rFonts w:asciiTheme="minorHAnsi" w:hAnsiTheme="minorHAnsi"/>
          <w:bCs/>
          <w:snapToGrid w:val="0"/>
        </w:rPr>
      </w:pPr>
      <w:r w:rsidRPr="008C164C">
        <w:rPr>
          <w:rFonts w:asciiTheme="minorHAnsi" w:hAnsiTheme="minorHAnsi"/>
          <w:bCs/>
          <w:snapToGrid w:val="0"/>
        </w:rPr>
        <w:t>The PBAC recommended that the Early Supply Rule should</w:t>
      </w:r>
      <w:r w:rsidR="00682434" w:rsidRPr="008C164C">
        <w:rPr>
          <w:rFonts w:asciiTheme="minorHAnsi" w:hAnsiTheme="minorHAnsi"/>
          <w:bCs/>
          <w:snapToGrid w:val="0"/>
        </w:rPr>
        <w:t xml:space="preserve"> apply.</w:t>
      </w:r>
      <w:r w:rsidRPr="008C164C">
        <w:rPr>
          <w:rFonts w:asciiTheme="minorHAnsi" w:hAnsiTheme="minorHAnsi"/>
          <w:bCs/>
          <w:snapToGrid w:val="0"/>
        </w:rPr>
        <w:t xml:space="preserve"> </w:t>
      </w:r>
    </w:p>
    <w:p w14:paraId="35F634F1" w14:textId="5C175CB4" w:rsidR="00682434" w:rsidRPr="008773EC" w:rsidRDefault="00483F2D" w:rsidP="002F0879">
      <w:pPr>
        <w:widowControl w:val="0"/>
        <w:numPr>
          <w:ilvl w:val="1"/>
          <w:numId w:val="1"/>
        </w:numPr>
        <w:spacing w:after="120"/>
        <w:rPr>
          <w:rFonts w:asciiTheme="minorHAnsi" w:hAnsiTheme="minorHAnsi"/>
          <w:bCs/>
          <w:snapToGrid w:val="0"/>
        </w:rPr>
      </w:pPr>
      <w:r w:rsidRPr="008773EC">
        <w:rPr>
          <w:rFonts w:asciiTheme="minorHAnsi" w:hAnsiTheme="minorHAnsi"/>
          <w:bCs/>
          <w:snapToGrid w:val="0"/>
        </w:rPr>
        <w:t>The PBAC noted the flow-on restriction changes</w:t>
      </w:r>
      <w:r w:rsidR="002F0879" w:rsidRPr="008773EC">
        <w:rPr>
          <w:rFonts w:asciiTheme="minorHAnsi" w:hAnsiTheme="minorHAnsi"/>
          <w:bCs/>
          <w:snapToGrid w:val="0"/>
        </w:rPr>
        <w:t xml:space="preserve"> to </w:t>
      </w:r>
      <w:r w:rsidR="002F0879" w:rsidRPr="008773EC">
        <w:rPr>
          <w:bCs/>
        </w:rPr>
        <w:t>a</w:t>
      </w:r>
      <w:r w:rsidR="00682434" w:rsidRPr="008773EC">
        <w:rPr>
          <w:bCs/>
        </w:rPr>
        <w:t xml:space="preserve">mend the definition of virologic failure from </w:t>
      </w:r>
      <w:r w:rsidR="002F0879" w:rsidRPr="008773EC">
        <w:rPr>
          <w:bCs/>
        </w:rPr>
        <w:t xml:space="preserve">greater than </w:t>
      </w:r>
      <w:r w:rsidR="00682434" w:rsidRPr="008773EC">
        <w:rPr>
          <w:bCs/>
        </w:rPr>
        <w:t xml:space="preserve">400 copies per mL to </w:t>
      </w:r>
      <w:r w:rsidR="002F0879" w:rsidRPr="008773EC">
        <w:rPr>
          <w:bCs/>
        </w:rPr>
        <w:t xml:space="preserve">greater than </w:t>
      </w:r>
      <w:r w:rsidR="00682434" w:rsidRPr="008773EC">
        <w:rPr>
          <w:bCs/>
        </w:rPr>
        <w:t xml:space="preserve">200 copies per mL for applicable PBS listings – maraviroc, etravirine, darunavir and </w:t>
      </w:r>
      <w:r w:rsidR="00CE20DE" w:rsidRPr="008773EC">
        <w:rPr>
          <w:bCs/>
        </w:rPr>
        <w:t>the combination drug</w:t>
      </w:r>
      <w:r w:rsidR="00D8471C" w:rsidRPr="008773EC">
        <w:rPr>
          <w:bCs/>
        </w:rPr>
        <w:t>s darunavir + cobicistat and</w:t>
      </w:r>
      <w:r w:rsidR="00CE20DE" w:rsidRPr="008773EC">
        <w:rPr>
          <w:bCs/>
        </w:rPr>
        <w:t xml:space="preserve"> </w:t>
      </w:r>
      <w:r w:rsidR="00682434" w:rsidRPr="008773EC">
        <w:rPr>
          <w:bCs/>
        </w:rPr>
        <w:t>darunavir + cobicistat + emtricitabine + tenofovir alafenamide.</w:t>
      </w:r>
    </w:p>
    <w:p w14:paraId="0A79DF0E" w14:textId="2A1820AE" w:rsidR="00C141BD" w:rsidRPr="008773EC" w:rsidRDefault="001265ED" w:rsidP="002F0879">
      <w:pPr>
        <w:widowControl w:val="0"/>
        <w:numPr>
          <w:ilvl w:val="1"/>
          <w:numId w:val="1"/>
        </w:numPr>
        <w:spacing w:after="120"/>
        <w:rPr>
          <w:rFonts w:asciiTheme="minorHAnsi" w:hAnsiTheme="minorHAnsi"/>
          <w:bCs/>
          <w:snapToGrid w:val="0"/>
        </w:rPr>
      </w:pPr>
      <w:r w:rsidRPr="008773EC">
        <w:rPr>
          <w:rFonts w:asciiTheme="minorHAnsi" w:hAnsiTheme="minorHAnsi"/>
          <w:bCs/>
          <w:snapToGrid w:val="0"/>
        </w:rPr>
        <w:t xml:space="preserve">The PBAC noted the resubmission claimed that the ‘Rule of Rescue’ would apply to individuals who have no fully active ARV options available to construct a viable ARV regimen. </w:t>
      </w:r>
      <w:r w:rsidR="00C141BD" w:rsidRPr="008773EC">
        <w:rPr>
          <w:rFonts w:asciiTheme="minorHAnsi" w:hAnsiTheme="minorHAnsi"/>
          <w:bCs/>
          <w:snapToGrid w:val="0"/>
        </w:rPr>
        <w:t xml:space="preserve">The PBAC did not accept this claim noting that for the majority of patients </w:t>
      </w:r>
      <w:r w:rsidR="00C141BD" w:rsidRPr="008773EC">
        <w:t>alternative pharmacological interventions are available in the form of highly individualised ART regimens and</w:t>
      </w:r>
      <w:r w:rsidR="008B2B4A" w:rsidRPr="008773EC">
        <w:t>,</w:t>
      </w:r>
      <w:r w:rsidR="00C141BD" w:rsidRPr="008773EC">
        <w:t xml:space="preserve"> </w:t>
      </w:r>
      <w:r w:rsidR="008B2B4A" w:rsidRPr="008773EC">
        <w:t xml:space="preserve">although </w:t>
      </w:r>
      <w:r w:rsidR="00C141BD" w:rsidRPr="008773EC">
        <w:t>the magnitude of the clinical improvement was unable to be reliably quantified</w:t>
      </w:r>
      <w:r w:rsidR="008B2B4A" w:rsidRPr="008773EC">
        <w:t>, it was not considered to provide a rescue from the medical condition</w:t>
      </w:r>
      <w:r w:rsidR="00C141BD" w:rsidRPr="008773EC">
        <w:t xml:space="preserve">. </w:t>
      </w:r>
    </w:p>
    <w:p w14:paraId="347AB3B0" w14:textId="01BACE5C" w:rsidR="00483F2D" w:rsidRPr="008C164C" w:rsidRDefault="00483F2D" w:rsidP="00682434">
      <w:pPr>
        <w:widowControl w:val="0"/>
        <w:numPr>
          <w:ilvl w:val="1"/>
          <w:numId w:val="1"/>
        </w:numPr>
        <w:contextualSpacing/>
        <w:rPr>
          <w:rFonts w:asciiTheme="minorHAnsi" w:hAnsiTheme="minorHAnsi" w:cstheme="minorHAnsi"/>
        </w:rPr>
      </w:pPr>
      <w:r w:rsidRPr="008C164C">
        <w:rPr>
          <w:rFonts w:asciiTheme="minorHAnsi" w:hAnsiTheme="minorHAnsi" w:cstheme="minorHAnsi"/>
        </w:rPr>
        <w:t xml:space="preserve">The PBAC found that the criteria prescribed by the </w:t>
      </w:r>
      <w:r w:rsidRPr="008C164C">
        <w:rPr>
          <w:rFonts w:asciiTheme="minorHAnsi" w:hAnsiTheme="minorHAnsi" w:cstheme="minorHAnsi"/>
          <w:i/>
        </w:rPr>
        <w:t>National Health (Pharmaceuticals and Vaccines – Cost Recovery) Regulations 2022</w:t>
      </w:r>
      <w:r w:rsidRPr="008C164C">
        <w:rPr>
          <w:rFonts w:asciiTheme="minorHAnsi" w:hAnsiTheme="minorHAnsi" w:cstheme="minorHAnsi"/>
        </w:rPr>
        <w:t xml:space="preserve"> for Pricing Pathway A </w:t>
      </w:r>
      <w:r w:rsidR="00682434" w:rsidRPr="008C164C">
        <w:rPr>
          <w:rFonts w:asciiTheme="minorHAnsi" w:hAnsiTheme="minorHAnsi" w:cstheme="minorHAnsi"/>
        </w:rPr>
        <w:t xml:space="preserve">were not </w:t>
      </w:r>
      <w:r w:rsidRPr="008C164C">
        <w:rPr>
          <w:rFonts w:asciiTheme="minorHAnsi" w:hAnsiTheme="minorHAnsi" w:cstheme="minorHAnsi"/>
        </w:rPr>
        <w:t xml:space="preserve">met. Specifically the PBAC found that in the circumstances of its recommendation for </w:t>
      </w:r>
      <w:proofErr w:type="spellStart"/>
      <w:r w:rsidR="00682434" w:rsidRPr="008C164C">
        <w:rPr>
          <w:rFonts w:asciiTheme="minorHAnsi" w:hAnsiTheme="minorHAnsi" w:cstheme="minorHAnsi"/>
        </w:rPr>
        <w:t>lenacapavir</w:t>
      </w:r>
      <w:proofErr w:type="spellEnd"/>
      <w:r w:rsidRPr="008C164C">
        <w:rPr>
          <w:rFonts w:asciiTheme="minorHAnsi" w:hAnsiTheme="minorHAnsi" w:cstheme="minorHAnsi"/>
        </w:rPr>
        <w:t>:</w:t>
      </w:r>
    </w:p>
    <w:p w14:paraId="624C2F8B" w14:textId="30E57049" w:rsidR="00483F2D" w:rsidRPr="008C164C" w:rsidRDefault="00483F2D" w:rsidP="003E6A5A">
      <w:pPr>
        <w:widowControl w:val="0"/>
        <w:numPr>
          <w:ilvl w:val="1"/>
          <w:numId w:val="21"/>
        </w:numPr>
        <w:spacing w:after="120"/>
        <w:ind w:left="1134"/>
        <w:rPr>
          <w:rFonts w:asciiTheme="minorHAnsi" w:hAnsiTheme="minorHAnsi" w:cstheme="minorHAnsi"/>
        </w:rPr>
      </w:pPr>
      <w:r w:rsidRPr="008C164C">
        <w:rPr>
          <w:rFonts w:asciiTheme="minorHAnsi" w:hAnsiTheme="minorHAnsi" w:cstheme="minorHAnsi"/>
        </w:rPr>
        <w:t xml:space="preserve">The improvement in </w:t>
      </w:r>
      <w:r w:rsidR="003D00F6" w:rsidRPr="008C164C">
        <w:rPr>
          <w:rFonts w:asciiTheme="minorHAnsi" w:hAnsiTheme="minorHAnsi" w:cstheme="minorHAnsi"/>
        </w:rPr>
        <w:t xml:space="preserve">clinical </w:t>
      </w:r>
      <w:r w:rsidRPr="008C164C">
        <w:rPr>
          <w:rFonts w:asciiTheme="minorHAnsi" w:hAnsiTheme="minorHAnsi" w:cstheme="minorHAnsi"/>
        </w:rPr>
        <w:t>efficacy</w:t>
      </w:r>
      <w:r w:rsidR="003D00F6" w:rsidRPr="008C164C">
        <w:rPr>
          <w:rFonts w:asciiTheme="minorHAnsi" w:hAnsiTheme="minorHAnsi" w:cstheme="minorHAnsi"/>
        </w:rPr>
        <w:t xml:space="preserve"> remains uncertain</w:t>
      </w:r>
      <w:r w:rsidRPr="008C164C">
        <w:rPr>
          <w:rFonts w:asciiTheme="minorHAnsi" w:hAnsiTheme="minorHAnsi" w:cstheme="minorHAnsi"/>
        </w:rPr>
        <w:t xml:space="preserve"> over alternative therapies, </w:t>
      </w:r>
      <w:r w:rsidR="003D00F6" w:rsidRPr="008C164C">
        <w:rPr>
          <w:rFonts w:asciiTheme="minorHAnsi" w:hAnsiTheme="minorHAnsi" w:cstheme="minorHAnsi"/>
        </w:rPr>
        <w:t>on the basis of the clinical evidence provided;</w:t>
      </w:r>
      <w:r w:rsidRPr="008C164C">
        <w:rPr>
          <w:rFonts w:asciiTheme="minorHAnsi" w:hAnsiTheme="minorHAnsi" w:cstheme="minorHAnsi"/>
        </w:rPr>
        <w:t xml:space="preserve"> </w:t>
      </w:r>
    </w:p>
    <w:p w14:paraId="1FC8C1B6" w14:textId="59BD1CF5" w:rsidR="00483F2D" w:rsidRPr="008C164C" w:rsidRDefault="00483F2D" w:rsidP="003E6A5A">
      <w:pPr>
        <w:widowControl w:val="0"/>
        <w:numPr>
          <w:ilvl w:val="1"/>
          <w:numId w:val="21"/>
        </w:numPr>
        <w:spacing w:after="120"/>
        <w:ind w:left="1134"/>
        <w:rPr>
          <w:rFonts w:asciiTheme="minorHAnsi" w:hAnsiTheme="minorHAnsi" w:cstheme="minorHAnsi"/>
        </w:rPr>
      </w:pPr>
      <w:r w:rsidRPr="008C164C">
        <w:rPr>
          <w:rFonts w:asciiTheme="minorHAnsi" w:hAnsiTheme="minorHAnsi" w:cstheme="minorHAnsi"/>
        </w:rPr>
        <w:t xml:space="preserve">The treatment </w:t>
      </w:r>
      <w:r w:rsidR="00682434" w:rsidRPr="008C164C">
        <w:rPr>
          <w:rFonts w:asciiTheme="minorHAnsi" w:hAnsiTheme="minorHAnsi" w:cstheme="minorHAnsi"/>
        </w:rPr>
        <w:t>is not</w:t>
      </w:r>
      <w:r w:rsidRPr="008C164C">
        <w:rPr>
          <w:rFonts w:asciiTheme="minorHAnsi" w:hAnsiTheme="minorHAnsi" w:cstheme="minorHAnsi"/>
        </w:rPr>
        <w:t xml:space="preserve"> expected to address a high and urgent unmet clinical need </w:t>
      </w:r>
      <w:r w:rsidR="00682434" w:rsidRPr="008C164C">
        <w:rPr>
          <w:rFonts w:asciiTheme="minorHAnsi" w:hAnsiTheme="minorHAnsi" w:cstheme="minorHAnsi"/>
        </w:rPr>
        <w:t>many patients are currently adequately treated on highly individualised OBR regimens</w:t>
      </w:r>
      <w:r w:rsidR="00CE20DE" w:rsidRPr="008C164C">
        <w:rPr>
          <w:rFonts w:asciiTheme="minorHAnsi" w:hAnsiTheme="minorHAnsi" w:cstheme="minorHAnsi"/>
        </w:rPr>
        <w:t>; and</w:t>
      </w:r>
    </w:p>
    <w:p w14:paraId="79EFEE4F" w14:textId="2D012058" w:rsidR="00483F2D" w:rsidRPr="008C164C" w:rsidRDefault="00483F2D" w:rsidP="003E6A5A">
      <w:pPr>
        <w:widowControl w:val="0"/>
        <w:numPr>
          <w:ilvl w:val="1"/>
          <w:numId w:val="21"/>
        </w:numPr>
        <w:spacing w:after="120"/>
        <w:ind w:left="1134"/>
        <w:rPr>
          <w:rFonts w:asciiTheme="minorHAnsi" w:hAnsiTheme="minorHAnsi" w:cstheme="minorHAnsi"/>
        </w:rPr>
      </w:pPr>
      <w:r w:rsidRPr="008C164C">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r w:rsidR="00682434" w:rsidRPr="008C164C">
        <w:rPr>
          <w:rFonts w:asciiTheme="minorHAnsi" w:hAnsiTheme="minorHAnsi" w:cstheme="minorHAnsi"/>
        </w:rPr>
        <w:t>.</w:t>
      </w:r>
    </w:p>
    <w:p w14:paraId="249F48D6" w14:textId="11149910" w:rsidR="00483F2D" w:rsidRPr="008C164C" w:rsidRDefault="00483F2D" w:rsidP="00700292">
      <w:pPr>
        <w:widowControl w:val="0"/>
        <w:numPr>
          <w:ilvl w:val="1"/>
          <w:numId w:val="1"/>
        </w:numPr>
        <w:spacing w:after="120"/>
        <w:rPr>
          <w:bCs/>
        </w:rPr>
      </w:pPr>
      <w:r w:rsidRPr="008C164C">
        <w:rPr>
          <w:rFonts w:asciiTheme="minorHAnsi" w:hAnsiTheme="minorHAnsi"/>
          <w:bCs/>
          <w:snapToGrid w:val="0"/>
        </w:rPr>
        <w:t>The PBAC noted that this submission is not eligible for an Independent Review</w:t>
      </w:r>
      <w:r w:rsidR="00700292" w:rsidRPr="008C164C">
        <w:rPr>
          <w:rFonts w:asciiTheme="minorHAnsi" w:hAnsiTheme="minorHAnsi"/>
          <w:bCs/>
          <w:snapToGrid w:val="0"/>
        </w:rPr>
        <w:t xml:space="preserve"> as it received a positive recommendation</w:t>
      </w:r>
      <w:r w:rsidRPr="008C164C">
        <w:rPr>
          <w:rFonts w:asciiTheme="minorHAnsi" w:hAnsiTheme="minorHAnsi"/>
          <w:bCs/>
          <w:snapToGrid w:val="0"/>
        </w:rPr>
        <w:t xml:space="preserve">. </w:t>
      </w:r>
    </w:p>
    <w:p w14:paraId="11CBA39E" w14:textId="77777777" w:rsidR="00483F2D" w:rsidRPr="008C164C" w:rsidRDefault="00483F2D" w:rsidP="00483F2D">
      <w:pPr>
        <w:spacing w:before="240"/>
        <w:rPr>
          <w:rFonts w:asciiTheme="minorHAnsi" w:hAnsiTheme="minorHAnsi"/>
          <w:b/>
          <w:bCs/>
          <w:snapToGrid w:val="0"/>
        </w:rPr>
      </w:pPr>
      <w:r w:rsidRPr="008C164C">
        <w:rPr>
          <w:rFonts w:asciiTheme="minorHAnsi" w:hAnsiTheme="minorHAnsi"/>
          <w:b/>
          <w:bCs/>
          <w:snapToGrid w:val="0"/>
        </w:rPr>
        <w:lastRenderedPageBreak/>
        <w:t>Outcome:</w:t>
      </w:r>
    </w:p>
    <w:p w14:paraId="4C50B253" w14:textId="1657D3F7" w:rsidR="00483F2D" w:rsidRPr="008C164C" w:rsidRDefault="00483F2D" w:rsidP="00483F2D">
      <w:pPr>
        <w:rPr>
          <w:rFonts w:asciiTheme="minorHAnsi" w:hAnsiTheme="minorHAnsi"/>
          <w:bCs/>
          <w:snapToGrid w:val="0"/>
        </w:rPr>
      </w:pPr>
      <w:r w:rsidRPr="008C164C">
        <w:rPr>
          <w:rFonts w:asciiTheme="minorHAnsi" w:hAnsiTheme="minorHAnsi"/>
          <w:bCs/>
          <w:snapToGrid w:val="0"/>
        </w:rPr>
        <w:t>Recommended</w:t>
      </w:r>
    </w:p>
    <w:bookmarkEnd w:id="94"/>
    <w:p w14:paraId="7B0AC9F0" w14:textId="7E1246FE" w:rsidR="006E672A" w:rsidRPr="003E6A5A" w:rsidRDefault="003E6A5A" w:rsidP="003E6A5A">
      <w:pPr>
        <w:pStyle w:val="2-SectionHeading"/>
      </w:pPr>
      <w:r w:rsidRPr="003E6A5A">
        <w:fldChar w:fldCharType="begin" w:fldLock="1"/>
      </w:r>
      <w:r w:rsidRPr="003E6A5A">
        <w:instrText xml:space="preserve">  </w:instrText>
      </w:r>
      <w:r w:rsidRPr="003E6A5A">
        <w:fldChar w:fldCharType="end"/>
      </w:r>
      <w:r w:rsidR="00483F2D" w:rsidRPr="003E6A5A">
        <w:t>Recommended listing</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134"/>
        <w:gridCol w:w="851"/>
        <w:gridCol w:w="850"/>
        <w:gridCol w:w="851"/>
        <w:gridCol w:w="2409"/>
      </w:tblGrid>
      <w:tr w:rsidR="006F176A" w:rsidRPr="008C164C" w14:paraId="57356A42" w14:textId="77777777" w:rsidTr="00957257">
        <w:trPr>
          <w:cantSplit/>
          <w:trHeight w:val="471"/>
        </w:trPr>
        <w:tc>
          <w:tcPr>
            <w:tcW w:w="2830" w:type="dxa"/>
          </w:tcPr>
          <w:p w14:paraId="1F84F844" w14:textId="77777777" w:rsidR="006F176A" w:rsidRPr="008C164C" w:rsidRDefault="006F176A" w:rsidP="00957257">
            <w:pPr>
              <w:keepNext/>
              <w:ind w:left="-108"/>
              <w:rPr>
                <w:rFonts w:ascii="Arial Narrow" w:hAnsi="Arial Narrow"/>
                <w:b/>
                <w:sz w:val="20"/>
                <w:szCs w:val="20"/>
              </w:rPr>
            </w:pPr>
            <w:r w:rsidRPr="008C164C">
              <w:rPr>
                <w:rFonts w:ascii="Arial Narrow" w:hAnsi="Arial Narrow"/>
                <w:b/>
                <w:sz w:val="20"/>
                <w:szCs w:val="20"/>
              </w:rPr>
              <w:t>Name, Restriction,</w:t>
            </w:r>
          </w:p>
          <w:p w14:paraId="4B3504DF" w14:textId="77777777" w:rsidR="006F176A" w:rsidRPr="008C164C" w:rsidRDefault="006F176A" w:rsidP="00957257">
            <w:pPr>
              <w:keepNext/>
              <w:ind w:left="-108"/>
              <w:rPr>
                <w:rFonts w:ascii="Arial Narrow" w:hAnsi="Arial Narrow"/>
                <w:b/>
                <w:sz w:val="20"/>
                <w:szCs w:val="20"/>
              </w:rPr>
            </w:pPr>
            <w:r w:rsidRPr="008C164C">
              <w:rPr>
                <w:rFonts w:ascii="Arial Narrow" w:hAnsi="Arial Narrow"/>
                <w:b/>
                <w:sz w:val="20"/>
                <w:szCs w:val="20"/>
              </w:rPr>
              <w:t>Manner of administration and form</w:t>
            </w:r>
          </w:p>
        </w:tc>
        <w:tc>
          <w:tcPr>
            <w:tcW w:w="1134" w:type="dxa"/>
          </w:tcPr>
          <w:p w14:paraId="4C08B361" w14:textId="77777777" w:rsidR="006F176A" w:rsidRPr="008C164C" w:rsidRDefault="006F176A" w:rsidP="00957257">
            <w:pPr>
              <w:keepNext/>
              <w:ind w:left="-108"/>
              <w:jc w:val="center"/>
              <w:rPr>
                <w:rFonts w:ascii="Arial Narrow" w:hAnsi="Arial Narrow"/>
                <w:b/>
                <w:sz w:val="20"/>
                <w:szCs w:val="20"/>
              </w:rPr>
            </w:pPr>
            <w:r w:rsidRPr="008C164C">
              <w:rPr>
                <w:rFonts w:ascii="Arial Narrow" w:hAnsi="Arial Narrow"/>
                <w:b/>
                <w:sz w:val="20"/>
                <w:szCs w:val="20"/>
              </w:rPr>
              <w:t>PBS item code</w:t>
            </w:r>
          </w:p>
        </w:tc>
        <w:tc>
          <w:tcPr>
            <w:tcW w:w="851" w:type="dxa"/>
          </w:tcPr>
          <w:p w14:paraId="04D67E50" w14:textId="77777777" w:rsidR="006F176A" w:rsidRPr="008C164C" w:rsidRDefault="006F176A" w:rsidP="00957257">
            <w:pPr>
              <w:keepNext/>
              <w:ind w:left="-108"/>
              <w:jc w:val="center"/>
              <w:rPr>
                <w:rFonts w:ascii="Arial Narrow" w:hAnsi="Arial Narrow"/>
                <w:b/>
                <w:sz w:val="20"/>
                <w:szCs w:val="20"/>
              </w:rPr>
            </w:pPr>
            <w:r w:rsidRPr="008C164C">
              <w:rPr>
                <w:rFonts w:ascii="Arial Narrow" w:hAnsi="Arial Narrow"/>
                <w:b/>
                <w:sz w:val="20"/>
                <w:szCs w:val="20"/>
              </w:rPr>
              <w:t>Max. qty packs</w:t>
            </w:r>
          </w:p>
        </w:tc>
        <w:tc>
          <w:tcPr>
            <w:tcW w:w="850" w:type="dxa"/>
          </w:tcPr>
          <w:p w14:paraId="33B87005" w14:textId="77777777" w:rsidR="006F176A" w:rsidRPr="008C164C" w:rsidRDefault="006F176A" w:rsidP="00957257">
            <w:pPr>
              <w:keepNext/>
              <w:ind w:left="-108"/>
              <w:jc w:val="center"/>
              <w:rPr>
                <w:rFonts w:ascii="Arial Narrow" w:hAnsi="Arial Narrow"/>
                <w:b/>
                <w:sz w:val="20"/>
                <w:szCs w:val="20"/>
              </w:rPr>
            </w:pPr>
            <w:r w:rsidRPr="008C164C">
              <w:rPr>
                <w:rFonts w:ascii="Arial Narrow" w:hAnsi="Arial Narrow"/>
                <w:b/>
                <w:sz w:val="20"/>
                <w:szCs w:val="20"/>
              </w:rPr>
              <w:t>Max. qty units</w:t>
            </w:r>
          </w:p>
        </w:tc>
        <w:tc>
          <w:tcPr>
            <w:tcW w:w="851" w:type="dxa"/>
          </w:tcPr>
          <w:p w14:paraId="45AE490E" w14:textId="77777777" w:rsidR="006F176A" w:rsidRPr="008C164C" w:rsidRDefault="006F176A" w:rsidP="00957257">
            <w:pPr>
              <w:keepNext/>
              <w:ind w:left="-108"/>
              <w:jc w:val="center"/>
              <w:rPr>
                <w:rFonts w:ascii="Arial Narrow" w:hAnsi="Arial Narrow"/>
                <w:b/>
                <w:sz w:val="20"/>
                <w:szCs w:val="20"/>
              </w:rPr>
            </w:pPr>
            <w:r w:rsidRPr="008C164C">
              <w:rPr>
                <w:rFonts w:ascii="Arial Narrow" w:hAnsi="Arial Narrow"/>
                <w:b/>
                <w:sz w:val="20"/>
                <w:szCs w:val="20"/>
              </w:rPr>
              <w:t>№.of</w:t>
            </w:r>
          </w:p>
          <w:p w14:paraId="4A3584BD" w14:textId="77777777" w:rsidR="006F176A" w:rsidRPr="008C164C" w:rsidRDefault="006F176A" w:rsidP="00957257">
            <w:pPr>
              <w:keepNext/>
              <w:ind w:left="-108"/>
              <w:jc w:val="center"/>
              <w:rPr>
                <w:rFonts w:ascii="Arial Narrow" w:hAnsi="Arial Narrow"/>
                <w:b/>
                <w:sz w:val="20"/>
                <w:szCs w:val="20"/>
              </w:rPr>
            </w:pPr>
            <w:r w:rsidRPr="008C164C">
              <w:rPr>
                <w:rFonts w:ascii="Arial Narrow" w:hAnsi="Arial Narrow"/>
                <w:b/>
                <w:sz w:val="20"/>
                <w:szCs w:val="20"/>
              </w:rPr>
              <w:t>Rpts</w:t>
            </w:r>
          </w:p>
        </w:tc>
        <w:tc>
          <w:tcPr>
            <w:tcW w:w="2409" w:type="dxa"/>
          </w:tcPr>
          <w:p w14:paraId="02321AA9" w14:textId="77777777" w:rsidR="006F176A" w:rsidRPr="008C164C" w:rsidRDefault="006F176A" w:rsidP="00957257">
            <w:pPr>
              <w:keepNext/>
              <w:rPr>
                <w:rFonts w:ascii="Arial Narrow" w:hAnsi="Arial Narrow"/>
                <w:b/>
                <w:sz w:val="20"/>
                <w:szCs w:val="20"/>
              </w:rPr>
            </w:pPr>
            <w:r w:rsidRPr="008C164C">
              <w:rPr>
                <w:rFonts w:ascii="Arial Narrow" w:hAnsi="Arial Narrow"/>
                <w:b/>
                <w:sz w:val="20"/>
                <w:szCs w:val="20"/>
              </w:rPr>
              <w:t>Proprietary Name and Manufacturer</w:t>
            </w:r>
          </w:p>
        </w:tc>
      </w:tr>
      <w:tr w:rsidR="006F176A" w:rsidRPr="008C164C" w14:paraId="2B126A8C" w14:textId="77777777" w:rsidTr="00957257">
        <w:trPr>
          <w:cantSplit/>
          <w:trHeight w:val="693"/>
        </w:trPr>
        <w:tc>
          <w:tcPr>
            <w:tcW w:w="2830" w:type="dxa"/>
          </w:tcPr>
          <w:p w14:paraId="5D38FF94" w14:textId="73D980DE" w:rsidR="006F176A" w:rsidRPr="008C164C" w:rsidRDefault="006F176A" w:rsidP="00957257">
            <w:pPr>
              <w:keepNext/>
              <w:ind w:left="-108"/>
              <w:rPr>
                <w:rFonts w:ascii="Arial Narrow" w:eastAsia="Calibri" w:hAnsi="Arial Narrow"/>
                <w:sz w:val="20"/>
                <w:szCs w:val="20"/>
              </w:rPr>
            </w:pPr>
            <w:r w:rsidRPr="008C164C">
              <w:rPr>
                <w:rFonts w:ascii="Arial Narrow" w:eastAsia="Calibri" w:hAnsi="Arial Narrow"/>
                <w:sz w:val="20"/>
                <w:szCs w:val="20"/>
              </w:rPr>
              <w:t>LENACAPAVIR</w:t>
            </w:r>
          </w:p>
          <w:p w14:paraId="373A4DE8" w14:textId="2A88CD4E" w:rsidR="006F176A" w:rsidRPr="008C164C" w:rsidRDefault="006F176A" w:rsidP="00957257">
            <w:pPr>
              <w:keepNext/>
              <w:ind w:left="-108"/>
              <w:rPr>
                <w:rFonts w:ascii="Arial Narrow" w:hAnsi="Arial Narrow"/>
                <w:strike/>
                <w:sz w:val="20"/>
                <w:szCs w:val="20"/>
              </w:rPr>
            </w:pPr>
            <w:proofErr w:type="spellStart"/>
            <w:r w:rsidRPr="008C164C">
              <w:rPr>
                <w:rFonts w:ascii="Arial Narrow" w:eastAsia="Calibri" w:hAnsi="Arial Narrow"/>
                <w:sz w:val="20"/>
                <w:szCs w:val="20"/>
              </w:rPr>
              <w:t>lenacapavir</w:t>
            </w:r>
            <w:proofErr w:type="spellEnd"/>
            <w:r w:rsidRPr="008C164C">
              <w:rPr>
                <w:rFonts w:ascii="Arial Narrow" w:eastAsia="Calibri" w:hAnsi="Arial Narrow"/>
                <w:sz w:val="20"/>
                <w:szCs w:val="20"/>
              </w:rPr>
              <w:t xml:space="preserve"> sodium 300 mg tablet, 5</w:t>
            </w:r>
          </w:p>
        </w:tc>
        <w:tc>
          <w:tcPr>
            <w:tcW w:w="1134" w:type="dxa"/>
          </w:tcPr>
          <w:p w14:paraId="52CB8549" w14:textId="571F19E9" w:rsidR="006F176A" w:rsidRPr="008C164C" w:rsidRDefault="006F176A" w:rsidP="00957257">
            <w:pPr>
              <w:keepNext/>
              <w:jc w:val="center"/>
              <w:rPr>
                <w:rFonts w:ascii="Arial Narrow" w:eastAsia="Calibri" w:hAnsi="Arial Narrow"/>
                <w:sz w:val="20"/>
                <w:szCs w:val="20"/>
              </w:rPr>
            </w:pPr>
            <w:r w:rsidRPr="008C164C">
              <w:rPr>
                <w:rFonts w:ascii="Arial Narrow" w:eastAsia="Calibri" w:hAnsi="Arial Narrow"/>
                <w:sz w:val="20"/>
                <w:szCs w:val="20"/>
              </w:rPr>
              <w:t xml:space="preserve">NEW 1 </w:t>
            </w:r>
          </w:p>
          <w:p w14:paraId="64C530B6" w14:textId="77777777" w:rsidR="006F176A" w:rsidRPr="008C164C" w:rsidRDefault="006F176A" w:rsidP="00957257">
            <w:pPr>
              <w:keepNext/>
              <w:jc w:val="center"/>
              <w:rPr>
                <w:rFonts w:ascii="Arial Narrow" w:eastAsia="Calibri" w:hAnsi="Arial Narrow"/>
                <w:sz w:val="20"/>
                <w:szCs w:val="20"/>
                <w:vertAlign w:val="subscript"/>
              </w:rPr>
            </w:pPr>
          </w:p>
          <w:p w14:paraId="7BEAA53C" w14:textId="77777777" w:rsidR="006F176A" w:rsidRPr="008C164C" w:rsidRDefault="006F176A" w:rsidP="00957257">
            <w:pPr>
              <w:keepNext/>
              <w:ind w:left="-108"/>
              <w:jc w:val="center"/>
              <w:rPr>
                <w:rFonts w:ascii="Arial Narrow" w:hAnsi="Arial Narrow"/>
                <w:strike/>
                <w:sz w:val="20"/>
                <w:szCs w:val="20"/>
              </w:rPr>
            </w:pPr>
          </w:p>
        </w:tc>
        <w:tc>
          <w:tcPr>
            <w:tcW w:w="851" w:type="dxa"/>
          </w:tcPr>
          <w:p w14:paraId="73D1D6F2" w14:textId="77777777" w:rsidR="006F176A" w:rsidRPr="008C164C" w:rsidRDefault="006F176A" w:rsidP="00957257">
            <w:pPr>
              <w:keepNext/>
              <w:ind w:left="-108"/>
              <w:jc w:val="center"/>
              <w:rPr>
                <w:rFonts w:ascii="Arial Narrow" w:hAnsi="Arial Narrow"/>
                <w:strike/>
                <w:sz w:val="20"/>
                <w:szCs w:val="20"/>
              </w:rPr>
            </w:pPr>
            <w:r w:rsidRPr="008C164C">
              <w:rPr>
                <w:rFonts w:ascii="Arial Narrow" w:eastAsia="Calibri" w:hAnsi="Arial Narrow"/>
                <w:sz w:val="20"/>
                <w:szCs w:val="20"/>
              </w:rPr>
              <w:t>1</w:t>
            </w:r>
          </w:p>
        </w:tc>
        <w:tc>
          <w:tcPr>
            <w:tcW w:w="850" w:type="dxa"/>
          </w:tcPr>
          <w:p w14:paraId="542FEE56" w14:textId="77777777" w:rsidR="006F176A" w:rsidRPr="008C164C" w:rsidRDefault="006F176A" w:rsidP="00957257">
            <w:pPr>
              <w:keepNext/>
              <w:ind w:left="-108"/>
              <w:jc w:val="center"/>
              <w:rPr>
                <w:rFonts w:ascii="Arial Narrow" w:hAnsi="Arial Narrow"/>
                <w:strike/>
                <w:sz w:val="20"/>
                <w:szCs w:val="20"/>
              </w:rPr>
            </w:pPr>
            <w:r w:rsidRPr="008C164C">
              <w:rPr>
                <w:rFonts w:ascii="Arial Narrow" w:eastAsia="Calibri" w:hAnsi="Arial Narrow"/>
                <w:sz w:val="20"/>
                <w:szCs w:val="20"/>
              </w:rPr>
              <w:t>5</w:t>
            </w:r>
          </w:p>
        </w:tc>
        <w:tc>
          <w:tcPr>
            <w:tcW w:w="851" w:type="dxa"/>
          </w:tcPr>
          <w:p w14:paraId="4DD72CC9" w14:textId="77777777" w:rsidR="006F176A" w:rsidRPr="008C164C" w:rsidRDefault="006F176A" w:rsidP="00957257">
            <w:pPr>
              <w:keepNext/>
              <w:ind w:left="-108"/>
              <w:jc w:val="center"/>
              <w:rPr>
                <w:rFonts w:ascii="Arial Narrow" w:hAnsi="Arial Narrow"/>
                <w:strike/>
                <w:sz w:val="20"/>
                <w:szCs w:val="20"/>
              </w:rPr>
            </w:pPr>
            <w:r w:rsidRPr="008C164C">
              <w:rPr>
                <w:rFonts w:ascii="Arial Narrow" w:eastAsia="Calibri" w:hAnsi="Arial Narrow"/>
                <w:sz w:val="20"/>
                <w:szCs w:val="20"/>
              </w:rPr>
              <w:t>0</w:t>
            </w:r>
          </w:p>
        </w:tc>
        <w:tc>
          <w:tcPr>
            <w:tcW w:w="2409" w:type="dxa"/>
          </w:tcPr>
          <w:p w14:paraId="52DE092A" w14:textId="49E23140" w:rsidR="006F176A" w:rsidRPr="008C164C" w:rsidRDefault="006F176A" w:rsidP="00957257">
            <w:pPr>
              <w:keepNext/>
              <w:rPr>
                <w:rFonts w:ascii="Arial Narrow" w:hAnsi="Arial Narrow"/>
                <w:strike/>
                <w:sz w:val="20"/>
                <w:szCs w:val="20"/>
              </w:rPr>
            </w:pPr>
            <w:proofErr w:type="spellStart"/>
            <w:r w:rsidRPr="008C164C">
              <w:rPr>
                <w:rFonts w:ascii="Arial Narrow" w:eastAsia="Calibri" w:hAnsi="Arial Narrow"/>
                <w:sz w:val="20"/>
                <w:szCs w:val="20"/>
              </w:rPr>
              <w:t>Sunlenca</w:t>
            </w:r>
            <w:proofErr w:type="spellEnd"/>
            <w:r w:rsidRPr="008C164C">
              <w:rPr>
                <w:rFonts w:ascii="Arial Narrow" w:hAnsi="Arial Narrow"/>
                <w:strike/>
                <w:sz w:val="20"/>
                <w:szCs w:val="20"/>
                <w:vertAlign w:val="superscript"/>
              </w:rPr>
              <w:t>®</w:t>
            </w:r>
          </w:p>
        </w:tc>
      </w:tr>
      <w:tr w:rsidR="006F176A" w:rsidRPr="008C164C" w14:paraId="06CF6342" w14:textId="77777777" w:rsidTr="00957257">
        <w:trPr>
          <w:cantSplit/>
          <w:trHeight w:val="693"/>
        </w:trPr>
        <w:tc>
          <w:tcPr>
            <w:tcW w:w="2830" w:type="dxa"/>
          </w:tcPr>
          <w:p w14:paraId="7C8E51F9" w14:textId="77777777" w:rsidR="006F176A" w:rsidRPr="008C164C" w:rsidRDefault="006F176A" w:rsidP="00957257">
            <w:pPr>
              <w:keepNext/>
              <w:ind w:left="-108"/>
              <w:rPr>
                <w:rFonts w:ascii="Arial Narrow" w:hAnsi="Arial Narrow"/>
                <w:sz w:val="20"/>
                <w:szCs w:val="20"/>
              </w:rPr>
            </w:pPr>
            <w:r w:rsidRPr="008C164C">
              <w:rPr>
                <w:rFonts w:ascii="Arial Narrow" w:hAnsi="Arial Narrow"/>
                <w:sz w:val="20"/>
                <w:szCs w:val="20"/>
              </w:rPr>
              <w:t>LENACAPAVIR</w:t>
            </w:r>
          </w:p>
          <w:p w14:paraId="7AEBCAD8" w14:textId="77777777" w:rsidR="006F176A" w:rsidRPr="008C164C" w:rsidRDefault="006F176A" w:rsidP="00957257">
            <w:pPr>
              <w:keepNext/>
              <w:ind w:left="-108"/>
              <w:rPr>
                <w:rFonts w:ascii="Arial Narrow" w:hAnsi="Arial Narrow"/>
                <w:sz w:val="20"/>
                <w:szCs w:val="20"/>
              </w:rPr>
            </w:pPr>
            <w:proofErr w:type="spellStart"/>
            <w:r w:rsidRPr="008C164C">
              <w:rPr>
                <w:rFonts w:ascii="Arial Narrow" w:hAnsi="Arial Narrow"/>
                <w:sz w:val="20"/>
                <w:szCs w:val="20"/>
              </w:rPr>
              <w:t>lenacapavir</w:t>
            </w:r>
            <w:proofErr w:type="spellEnd"/>
            <w:r w:rsidRPr="008C164C">
              <w:rPr>
                <w:rFonts w:ascii="Arial Narrow" w:hAnsi="Arial Narrow"/>
                <w:sz w:val="20"/>
                <w:szCs w:val="20"/>
              </w:rPr>
              <w:t xml:space="preserve"> sodium 464 mg/1.5 mL injection, 2 x 1.5 mL vials</w:t>
            </w:r>
          </w:p>
        </w:tc>
        <w:tc>
          <w:tcPr>
            <w:tcW w:w="1134" w:type="dxa"/>
          </w:tcPr>
          <w:p w14:paraId="42D1B761" w14:textId="77777777" w:rsidR="006F176A" w:rsidRPr="008C164C" w:rsidRDefault="006F176A" w:rsidP="00957257">
            <w:pPr>
              <w:keepNext/>
              <w:ind w:left="-108"/>
              <w:jc w:val="center"/>
              <w:rPr>
                <w:rFonts w:ascii="Arial Narrow" w:hAnsi="Arial Narrow"/>
                <w:sz w:val="20"/>
                <w:szCs w:val="20"/>
              </w:rPr>
            </w:pPr>
          </w:p>
          <w:p w14:paraId="0274E846" w14:textId="140CC304" w:rsidR="006F176A" w:rsidRPr="008C164C" w:rsidRDefault="006F176A" w:rsidP="00957257">
            <w:pPr>
              <w:keepNext/>
              <w:ind w:left="-108"/>
              <w:jc w:val="center"/>
              <w:rPr>
                <w:rFonts w:ascii="Arial Narrow" w:hAnsi="Arial Narrow"/>
                <w:sz w:val="20"/>
                <w:szCs w:val="20"/>
              </w:rPr>
            </w:pPr>
            <w:r w:rsidRPr="008C164C">
              <w:rPr>
                <w:rFonts w:ascii="Arial Narrow" w:hAnsi="Arial Narrow"/>
                <w:sz w:val="20"/>
                <w:szCs w:val="20"/>
              </w:rPr>
              <w:t>NEW 2</w:t>
            </w:r>
          </w:p>
        </w:tc>
        <w:tc>
          <w:tcPr>
            <w:tcW w:w="851" w:type="dxa"/>
          </w:tcPr>
          <w:p w14:paraId="59FF6559" w14:textId="77777777" w:rsidR="006F176A" w:rsidRPr="008C164C" w:rsidRDefault="006F176A" w:rsidP="00957257">
            <w:pPr>
              <w:keepNext/>
              <w:ind w:left="-108"/>
              <w:jc w:val="center"/>
              <w:rPr>
                <w:rFonts w:ascii="Arial Narrow" w:hAnsi="Arial Narrow"/>
                <w:sz w:val="20"/>
                <w:szCs w:val="20"/>
              </w:rPr>
            </w:pPr>
          </w:p>
          <w:p w14:paraId="35DFEFB6" w14:textId="77777777" w:rsidR="006F176A" w:rsidRPr="008C164C" w:rsidRDefault="006F176A" w:rsidP="00957257">
            <w:pPr>
              <w:keepNext/>
              <w:jc w:val="center"/>
              <w:rPr>
                <w:rFonts w:ascii="Arial Narrow" w:hAnsi="Arial Narrow"/>
                <w:sz w:val="20"/>
                <w:szCs w:val="20"/>
              </w:rPr>
            </w:pPr>
            <w:r w:rsidRPr="008C164C">
              <w:rPr>
                <w:rFonts w:ascii="Arial Narrow" w:hAnsi="Arial Narrow"/>
                <w:sz w:val="20"/>
                <w:szCs w:val="20"/>
              </w:rPr>
              <w:t>1</w:t>
            </w:r>
          </w:p>
        </w:tc>
        <w:tc>
          <w:tcPr>
            <w:tcW w:w="850" w:type="dxa"/>
          </w:tcPr>
          <w:p w14:paraId="6AFBE491" w14:textId="77777777" w:rsidR="006F176A" w:rsidRPr="008C164C" w:rsidRDefault="006F176A" w:rsidP="00957257">
            <w:pPr>
              <w:keepNext/>
              <w:ind w:left="-108"/>
              <w:jc w:val="center"/>
              <w:rPr>
                <w:rFonts w:ascii="Arial Narrow" w:hAnsi="Arial Narrow"/>
                <w:sz w:val="20"/>
                <w:szCs w:val="20"/>
              </w:rPr>
            </w:pPr>
          </w:p>
          <w:p w14:paraId="5C7C8B81" w14:textId="77777777" w:rsidR="006F176A" w:rsidRPr="008C164C" w:rsidRDefault="006F176A" w:rsidP="00957257">
            <w:pPr>
              <w:keepNext/>
              <w:ind w:left="-108"/>
              <w:jc w:val="center"/>
              <w:rPr>
                <w:rFonts w:ascii="Arial Narrow" w:hAnsi="Arial Narrow"/>
                <w:sz w:val="20"/>
                <w:szCs w:val="20"/>
              </w:rPr>
            </w:pPr>
            <w:r w:rsidRPr="008C164C">
              <w:rPr>
                <w:rFonts w:ascii="Arial Narrow" w:hAnsi="Arial Narrow"/>
                <w:sz w:val="20"/>
                <w:szCs w:val="20"/>
              </w:rPr>
              <w:t>2</w:t>
            </w:r>
          </w:p>
        </w:tc>
        <w:tc>
          <w:tcPr>
            <w:tcW w:w="851" w:type="dxa"/>
          </w:tcPr>
          <w:p w14:paraId="3100C562" w14:textId="77777777" w:rsidR="006F176A" w:rsidRPr="008C164C" w:rsidRDefault="006F176A" w:rsidP="00957257">
            <w:pPr>
              <w:keepNext/>
              <w:ind w:left="-108"/>
              <w:jc w:val="center"/>
              <w:rPr>
                <w:rFonts w:ascii="Arial Narrow" w:hAnsi="Arial Narrow"/>
                <w:sz w:val="20"/>
                <w:szCs w:val="20"/>
              </w:rPr>
            </w:pPr>
          </w:p>
          <w:p w14:paraId="05A0FB33" w14:textId="77777777" w:rsidR="006F176A" w:rsidRPr="008C164C" w:rsidRDefault="006F176A" w:rsidP="00957257">
            <w:pPr>
              <w:keepNext/>
              <w:ind w:left="-108"/>
              <w:jc w:val="center"/>
              <w:rPr>
                <w:rFonts w:ascii="Arial Narrow" w:hAnsi="Arial Narrow"/>
                <w:sz w:val="20"/>
                <w:szCs w:val="20"/>
              </w:rPr>
            </w:pPr>
            <w:r w:rsidRPr="008C164C">
              <w:rPr>
                <w:rFonts w:ascii="Arial Narrow" w:hAnsi="Arial Narrow"/>
                <w:sz w:val="20"/>
                <w:szCs w:val="20"/>
              </w:rPr>
              <w:t>0</w:t>
            </w:r>
          </w:p>
        </w:tc>
        <w:tc>
          <w:tcPr>
            <w:tcW w:w="2409" w:type="dxa"/>
          </w:tcPr>
          <w:p w14:paraId="0BD188A8" w14:textId="77777777" w:rsidR="006F176A" w:rsidRPr="008C164C" w:rsidRDefault="006F176A" w:rsidP="00957257">
            <w:pPr>
              <w:keepNext/>
              <w:rPr>
                <w:rFonts w:ascii="Arial Narrow" w:hAnsi="Arial Narrow"/>
                <w:sz w:val="20"/>
                <w:szCs w:val="20"/>
              </w:rPr>
            </w:pPr>
          </w:p>
          <w:p w14:paraId="00744032" w14:textId="77777777" w:rsidR="006F176A" w:rsidRPr="008C164C" w:rsidRDefault="006F176A" w:rsidP="00957257">
            <w:pPr>
              <w:keepNext/>
              <w:rPr>
                <w:rFonts w:ascii="Arial Narrow" w:hAnsi="Arial Narrow"/>
                <w:sz w:val="20"/>
                <w:szCs w:val="20"/>
              </w:rPr>
            </w:pPr>
            <w:proofErr w:type="spellStart"/>
            <w:r w:rsidRPr="008C164C">
              <w:rPr>
                <w:rFonts w:ascii="Arial Narrow" w:hAnsi="Arial Narrow"/>
                <w:sz w:val="20"/>
                <w:szCs w:val="20"/>
              </w:rPr>
              <w:t>Sunlenca</w:t>
            </w:r>
            <w:proofErr w:type="spellEnd"/>
            <w:r w:rsidRPr="008C164C">
              <w:rPr>
                <w:rFonts w:ascii="Arial Narrow" w:hAnsi="Arial Narrow"/>
                <w:sz w:val="20"/>
                <w:szCs w:val="20"/>
                <w:vertAlign w:val="superscript"/>
              </w:rPr>
              <w:t>®</w:t>
            </w:r>
          </w:p>
        </w:tc>
      </w:tr>
    </w:tbl>
    <w:p w14:paraId="5D1F8B15" w14:textId="77777777" w:rsidR="006F176A" w:rsidRPr="008C164C" w:rsidRDefault="006F176A" w:rsidP="006F176A">
      <w:pPr>
        <w:rPr>
          <w:rFonts w:ascii="Arial Narrow" w:hAnsi="Arial Narrow"/>
          <w:b/>
          <w:sz w:val="20"/>
          <w:szCs w:val="2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6F176A" w:rsidRPr="008C164C" w14:paraId="338178E5" w14:textId="77777777" w:rsidTr="00957257">
        <w:tc>
          <w:tcPr>
            <w:tcW w:w="553" w:type="pct"/>
            <w:tcBorders>
              <w:top w:val="single" w:sz="4" w:space="0" w:color="auto"/>
              <w:left w:val="single" w:sz="4" w:space="0" w:color="auto"/>
              <w:bottom w:val="single" w:sz="4" w:space="0" w:color="auto"/>
              <w:right w:val="single" w:sz="4" w:space="0" w:color="auto"/>
            </w:tcBorders>
          </w:tcPr>
          <w:p w14:paraId="1E277B23" w14:textId="371DD6C3" w:rsidR="006F176A" w:rsidRPr="008C164C" w:rsidRDefault="006F176A" w:rsidP="00957257">
            <w:pPr>
              <w:jc w:val="center"/>
              <w:rPr>
                <w:rFonts w:ascii="Arial Narrow" w:hAnsi="Arial Narrow"/>
                <w:b/>
                <w:sz w:val="20"/>
                <w:szCs w:val="20"/>
              </w:rPr>
            </w:pPr>
          </w:p>
        </w:tc>
        <w:tc>
          <w:tcPr>
            <w:tcW w:w="4447" w:type="pct"/>
            <w:tcBorders>
              <w:top w:val="single" w:sz="4" w:space="0" w:color="auto"/>
              <w:left w:val="single" w:sz="4" w:space="0" w:color="auto"/>
              <w:bottom w:val="single" w:sz="4" w:space="0" w:color="auto"/>
              <w:right w:val="single" w:sz="4" w:space="0" w:color="auto"/>
            </w:tcBorders>
          </w:tcPr>
          <w:p w14:paraId="6BABA90E" w14:textId="77777777" w:rsidR="006F176A" w:rsidRPr="008C164C" w:rsidRDefault="006F176A" w:rsidP="00957257">
            <w:pPr>
              <w:rPr>
                <w:rFonts w:ascii="Arial Narrow" w:hAnsi="Arial Narrow"/>
                <w:sz w:val="20"/>
                <w:szCs w:val="20"/>
              </w:rPr>
            </w:pPr>
            <w:r w:rsidRPr="008C164C">
              <w:rPr>
                <w:rFonts w:ascii="Arial Narrow" w:hAnsi="Arial Narrow"/>
                <w:b/>
                <w:sz w:val="20"/>
                <w:szCs w:val="20"/>
              </w:rPr>
              <w:t xml:space="preserve">Category / Program: </w:t>
            </w:r>
            <w:r w:rsidRPr="008C164C">
              <w:rPr>
                <w:rFonts w:ascii="Arial Narrow" w:hAnsi="Arial Narrow"/>
                <w:sz w:val="20"/>
                <w:szCs w:val="20"/>
              </w:rPr>
              <w:t xml:space="preserve">Section 100 – Highly Specialised Drugs Program {Community Access} </w:t>
            </w:r>
          </w:p>
        </w:tc>
      </w:tr>
      <w:tr w:rsidR="006F176A" w:rsidRPr="008C164C" w14:paraId="122C5E57" w14:textId="77777777" w:rsidTr="00957257">
        <w:trPr>
          <w:trHeight w:val="88"/>
        </w:trPr>
        <w:tc>
          <w:tcPr>
            <w:tcW w:w="553" w:type="pct"/>
            <w:tcBorders>
              <w:top w:val="single" w:sz="4" w:space="0" w:color="auto"/>
              <w:left w:val="single" w:sz="4" w:space="0" w:color="auto"/>
              <w:bottom w:val="single" w:sz="4" w:space="0" w:color="auto"/>
              <w:right w:val="single" w:sz="4" w:space="0" w:color="auto"/>
            </w:tcBorders>
          </w:tcPr>
          <w:p w14:paraId="0907B7F2" w14:textId="77777777" w:rsidR="006F176A" w:rsidRPr="008C164C" w:rsidRDefault="006F176A" w:rsidP="00957257">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08286EB9" w14:textId="77777777" w:rsidR="006F176A" w:rsidRPr="008C164C" w:rsidRDefault="006F176A" w:rsidP="00957257">
            <w:pPr>
              <w:rPr>
                <w:rFonts w:ascii="Arial Narrow" w:hAnsi="Arial Narrow"/>
                <w:sz w:val="20"/>
                <w:szCs w:val="20"/>
              </w:rPr>
            </w:pPr>
            <w:r w:rsidRPr="008C164C">
              <w:rPr>
                <w:rFonts w:ascii="Arial Narrow" w:hAnsi="Arial Narrow"/>
                <w:b/>
                <w:sz w:val="20"/>
                <w:szCs w:val="20"/>
              </w:rPr>
              <w:t xml:space="preserve">Prescriber type:  </w:t>
            </w:r>
            <w:r w:rsidRPr="008C164C">
              <w:rPr>
                <w:rFonts w:ascii="Arial Narrow" w:hAnsi="Arial Narrow"/>
                <w:sz w:val="20"/>
                <w:szCs w:val="20"/>
              </w:rPr>
              <w:fldChar w:fldCharType="begin" w:fldLock="1">
                <w:ffData>
                  <w:name w:val=""/>
                  <w:enabled/>
                  <w:calcOnExit w:val="0"/>
                  <w:checkBox>
                    <w:sizeAuto/>
                    <w:default w:val="1"/>
                  </w:checkBox>
                </w:ffData>
              </w:fldChar>
            </w:r>
            <w:r w:rsidRPr="008C164C">
              <w:rPr>
                <w:rFonts w:ascii="Arial Narrow" w:hAnsi="Arial Narrow"/>
                <w:sz w:val="20"/>
                <w:szCs w:val="20"/>
              </w:rPr>
              <w:instrText xml:space="preserve"> FORMCHECKBOX </w:instrText>
            </w:r>
            <w:r w:rsidR="00B25BFE">
              <w:rPr>
                <w:rFonts w:ascii="Arial Narrow" w:hAnsi="Arial Narrow"/>
                <w:sz w:val="20"/>
                <w:szCs w:val="20"/>
              </w:rPr>
            </w:r>
            <w:r w:rsidR="00B25BFE">
              <w:rPr>
                <w:rFonts w:ascii="Arial Narrow" w:hAnsi="Arial Narrow"/>
                <w:sz w:val="20"/>
                <w:szCs w:val="20"/>
              </w:rPr>
              <w:fldChar w:fldCharType="separate"/>
            </w:r>
            <w:r w:rsidRPr="008C164C">
              <w:rPr>
                <w:rFonts w:ascii="Arial Narrow" w:hAnsi="Arial Narrow"/>
                <w:sz w:val="20"/>
                <w:szCs w:val="20"/>
              </w:rPr>
              <w:fldChar w:fldCharType="end"/>
            </w:r>
            <w:r w:rsidRPr="008C164C">
              <w:rPr>
                <w:rFonts w:ascii="Arial Narrow" w:hAnsi="Arial Narrow"/>
                <w:sz w:val="20"/>
                <w:szCs w:val="20"/>
              </w:rPr>
              <w:t xml:space="preserve">Medical Practitioners  </w:t>
            </w:r>
            <w:r w:rsidRPr="008C164C">
              <w:rPr>
                <w:rFonts w:ascii="Arial Narrow" w:hAnsi="Arial Narrow"/>
                <w:sz w:val="20"/>
                <w:szCs w:val="20"/>
              </w:rPr>
              <w:fldChar w:fldCharType="begin" w:fldLock="1">
                <w:ffData>
                  <w:name w:val="Check3"/>
                  <w:enabled/>
                  <w:calcOnExit w:val="0"/>
                  <w:checkBox>
                    <w:sizeAuto/>
                    <w:default w:val="1"/>
                  </w:checkBox>
                </w:ffData>
              </w:fldChar>
            </w:r>
            <w:r w:rsidRPr="008C164C">
              <w:rPr>
                <w:rFonts w:ascii="Arial Narrow" w:hAnsi="Arial Narrow"/>
                <w:sz w:val="20"/>
                <w:szCs w:val="20"/>
              </w:rPr>
              <w:instrText xml:space="preserve"> FORMCHECKBOX </w:instrText>
            </w:r>
            <w:r w:rsidR="00B25BFE">
              <w:rPr>
                <w:rFonts w:ascii="Arial Narrow" w:hAnsi="Arial Narrow"/>
                <w:sz w:val="20"/>
                <w:szCs w:val="20"/>
              </w:rPr>
            </w:r>
            <w:r w:rsidR="00B25BFE">
              <w:rPr>
                <w:rFonts w:ascii="Arial Narrow" w:hAnsi="Arial Narrow"/>
                <w:sz w:val="20"/>
                <w:szCs w:val="20"/>
              </w:rPr>
              <w:fldChar w:fldCharType="separate"/>
            </w:r>
            <w:r w:rsidRPr="008C164C">
              <w:rPr>
                <w:rFonts w:ascii="Arial Narrow" w:hAnsi="Arial Narrow"/>
                <w:sz w:val="20"/>
                <w:szCs w:val="20"/>
              </w:rPr>
              <w:fldChar w:fldCharType="end"/>
            </w:r>
            <w:r w:rsidRPr="008C164C">
              <w:rPr>
                <w:rFonts w:ascii="Arial Narrow" w:hAnsi="Arial Narrow"/>
                <w:sz w:val="20"/>
                <w:szCs w:val="20"/>
              </w:rPr>
              <w:t xml:space="preserve">Nurse practitioners </w:t>
            </w:r>
          </w:p>
        </w:tc>
      </w:tr>
      <w:tr w:rsidR="006F176A" w:rsidRPr="008C164C" w14:paraId="2916B542" w14:textId="77777777" w:rsidTr="00957257">
        <w:tc>
          <w:tcPr>
            <w:tcW w:w="553" w:type="pct"/>
            <w:tcBorders>
              <w:top w:val="single" w:sz="4" w:space="0" w:color="auto"/>
              <w:left w:val="single" w:sz="4" w:space="0" w:color="auto"/>
              <w:bottom w:val="single" w:sz="4" w:space="0" w:color="auto"/>
              <w:right w:val="single" w:sz="4" w:space="0" w:color="auto"/>
            </w:tcBorders>
          </w:tcPr>
          <w:p w14:paraId="4B2BECBF" w14:textId="77777777" w:rsidR="006F176A" w:rsidRPr="008C164C" w:rsidRDefault="006F176A" w:rsidP="00957257">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6F263D9D" w14:textId="77777777" w:rsidR="006F176A" w:rsidRPr="008C164C" w:rsidRDefault="006F176A" w:rsidP="00957257">
            <w:pPr>
              <w:rPr>
                <w:rFonts w:ascii="Arial Narrow" w:hAnsi="Arial Narrow"/>
                <w:sz w:val="20"/>
                <w:szCs w:val="20"/>
              </w:rPr>
            </w:pPr>
            <w:r w:rsidRPr="008C164C">
              <w:rPr>
                <w:rFonts w:ascii="Arial Narrow" w:hAnsi="Arial Narrow"/>
                <w:b/>
                <w:sz w:val="20"/>
                <w:szCs w:val="20"/>
              </w:rPr>
              <w:t xml:space="preserve">Restriction Level / Method: </w:t>
            </w:r>
            <w:r w:rsidRPr="008C164C">
              <w:rPr>
                <w:rFonts w:ascii="Arial Narrow" w:hAnsi="Arial Narrow"/>
                <w:sz w:val="20"/>
                <w:szCs w:val="20"/>
              </w:rPr>
              <w:fldChar w:fldCharType="begin" w:fldLock="1">
                <w:ffData>
                  <w:name w:val=""/>
                  <w:enabled/>
                  <w:calcOnExit w:val="0"/>
                  <w:checkBox>
                    <w:sizeAuto/>
                    <w:default w:val="1"/>
                  </w:checkBox>
                </w:ffData>
              </w:fldChar>
            </w:r>
            <w:r w:rsidRPr="008C164C">
              <w:rPr>
                <w:rFonts w:ascii="Arial Narrow" w:hAnsi="Arial Narrow"/>
                <w:sz w:val="20"/>
                <w:szCs w:val="20"/>
              </w:rPr>
              <w:instrText xml:space="preserve"> FORMCHECKBOX </w:instrText>
            </w:r>
            <w:r w:rsidR="00B25BFE">
              <w:rPr>
                <w:rFonts w:ascii="Arial Narrow" w:hAnsi="Arial Narrow"/>
                <w:sz w:val="20"/>
                <w:szCs w:val="20"/>
              </w:rPr>
            </w:r>
            <w:r w:rsidR="00B25BFE">
              <w:rPr>
                <w:rFonts w:ascii="Arial Narrow" w:hAnsi="Arial Narrow"/>
                <w:sz w:val="20"/>
                <w:szCs w:val="20"/>
              </w:rPr>
              <w:fldChar w:fldCharType="separate"/>
            </w:r>
            <w:r w:rsidRPr="008C164C">
              <w:rPr>
                <w:rFonts w:ascii="Arial Narrow" w:hAnsi="Arial Narrow"/>
                <w:sz w:val="20"/>
                <w:szCs w:val="20"/>
              </w:rPr>
              <w:fldChar w:fldCharType="end"/>
            </w:r>
            <w:r w:rsidRPr="008C164C">
              <w:rPr>
                <w:rFonts w:ascii="Arial Narrow" w:hAnsi="Arial Narrow"/>
                <w:sz w:val="20"/>
                <w:szCs w:val="20"/>
              </w:rPr>
              <w:t>Authority Required (Streamlined) [code new 2B]</w:t>
            </w:r>
          </w:p>
        </w:tc>
      </w:tr>
      <w:tr w:rsidR="006F176A" w:rsidRPr="008C164C" w14:paraId="6D93B9A0" w14:textId="77777777" w:rsidTr="00957257">
        <w:tc>
          <w:tcPr>
            <w:tcW w:w="553" w:type="pct"/>
            <w:vAlign w:val="center"/>
          </w:tcPr>
          <w:p w14:paraId="67347D51" w14:textId="0EC4B5A2" w:rsidR="006F176A" w:rsidRPr="008C164C" w:rsidRDefault="006F176A" w:rsidP="00957257">
            <w:pPr>
              <w:jc w:val="center"/>
              <w:rPr>
                <w:rFonts w:ascii="Arial Narrow" w:hAnsi="Arial Narrow"/>
                <w:color w:val="333333"/>
                <w:sz w:val="20"/>
                <w:szCs w:val="20"/>
              </w:rPr>
            </w:pPr>
          </w:p>
        </w:tc>
        <w:tc>
          <w:tcPr>
            <w:tcW w:w="4447" w:type="pct"/>
            <w:vAlign w:val="center"/>
          </w:tcPr>
          <w:p w14:paraId="63B86C2F" w14:textId="77777777" w:rsidR="006F176A" w:rsidRPr="008C164C" w:rsidRDefault="006F176A" w:rsidP="00957257">
            <w:pPr>
              <w:rPr>
                <w:rFonts w:ascii="Arial Narrow" w:hAnsi="Arial Narrow"/>
                <w:color w:val="333333"/>
                <w:sz w:val="20"/>
                <w:szCs w:val="20"/>
              </w:rPr>
            </w:pPr>
            <w:r w:rsidRPr="008C164C">
              <w:rPr>
                <w:rFonts w:ascii="Arial Narrow" w:hAnsi="Arial Narrow"/>
                <w:b/>
                <w:bCs/>
                <w:color w:val="333333"/>
                <w:sz w:val="20"/>
                <w:szCs w:val="20"/>
              </w:rPr>
              <w:t>Administrative Advice:</w:t>
            </w:r>
          </w:p>
          <w:p w14:paraId="351B2629" w14:textId="77777777" w:rsidR="006F176A" w:rsidRPr="008C164C" w:rsidRDefault="006F176A" w:rsidP="00957257">
            <w:pPr>
              <w:rPr>
                <w:rFonts w:ascii="Arial Narrow" w:hAnsi="Arial Narrow"/>
                <w:color w:val="333333"/>
                <w:sz w:val="20"/>
                <w:szCs w:val="20"/>
              </w:rPr>
            </w:pPr>
            <w:r w:rsidRPr="008C164C">
              <w:rPr>
                <w:rFonts w:ascii="Arial Narrow" w:hAnsi="Arial Narrow"/>
                <w:color w:val="333333"/>
                <w:sz w:val="20"/>
                <w:szCs w:val="20"/>
              </w:rPr>
              <w:t>No increase in the maximum quantity or number of units may be authorised.</w:t>
            </w:r>
          </w:p>
        </w:tc>
      </w:tr>
      <w:tr w:rsidR="006F176A" w:rsidRPr="008C164C" w14:paraId="76EDFAFA" w14:textId="77777777" w:rsidTr="00957257">
        <w:tc>
          <w:tcPr>
            <w:tcW w:w="553" w:type="pct"/>
            <w:vAlign w:val="center"/>
          </w:tcPr>
          <w:p w14:paraId="57451AF2" w14:textId="2B78C392" w:rsidR="006F176A" w:rsidRPr="008C164C" w:rsidRDefault="006F176A" w:rsidP="00957257">
            <w:pPr>
              <w:jc w:val="center"/>
              <w:rPr>
                <w:rFonts w:ascii="Arial Narrow" w:hAnsi="Arial Narrow"/>
                <w:color w:val="333333"/>
                <w:sz w:val="20"/>
                <w:szCs w:val="20"/>
              </w:rPr>
            </w:pPr>
          </w:p>
        </w:tc>
        <w:tc>
          <w:tcPr>
            <w:tcW w:w="4447" w:type="pct"/>
            <w:vAlign w:val="center"/>
          </w:tcPr>
          <w:p w14:paraId="11279E71" w14:textId="77777777" w:rsidR="006F176A" w:rsidRPr="008C164C" w:rsidRDefault="006F176A" w:rsidP="00957257">
            <w:pPr>
              <w:rPr>
                <w:rFonts w:ascii="Arial Narrow" w:hAnsi="Arial Narrow"/>
                <w:color w:val="333333"/>
                <w:sz w:val="20"/>
                <w:szCs w:val="20"/>
              </w:rPr>
            </w:pPr>
            <w:r w:rsidRPr="008C164C">
              <w:rPr>
                <w:rFonts w:ascii="Arial Narrow" w:hAnsi="Arial Narrow"/>
                <w:b/>
                <w:bCs/>
                <w:color w:val="333333"/>
                <w:sz w:val="20"/>
                <w:szCs w:val="20"/>
              </w:rPr>
              <w:t>Administrative Advice:</w:t>
            </w:r>
          </w:p>
          <w:p w14:paraId="37F61770" w14:textId="77777777" w:rsidR="006F176A" w:rsidRPr="008C164C" w:rsidRDefault="006F176A" w:rsidP="00957257">
            <w:pPr>
              <w:rPr>
                <w:rFonts w:ascii="Arial Narrow" w:hAnsi="Arial Narrow"/>
                <w:b/>
                <w:bCs/>
                <w:color w:val="333333"/>
                <w:sz w:val="20"/>
                <w:szCs w:val="20"/>
              </w:rPr>
            </w:pPr>
            <w:r w:rsidRPr="008C164C">
              <w:rPr>
                <w:rFonts w:ascii="Arial Narrow" w:hAnsi="Arial Narrow"/>
                <w:color w:val="333333"/>
                <w:sz w:val="20"/>
                <w:szCs w:val="20"/>
              </w:rPr>
              <w:t>No increase in the maximum number of repeats may be authorised.</w:t>
            </w:r>
          </w:p>
        </w:tc>
      </w:tr>
      <w:tr w:rsidR="006F176A" w:rsidRPr="008C164C" w14:paraId="34A5005E" w14:textId="77777777" w:rsidTr="00957257">
        <w:trPr>
          <w:trHeight w:val="277"/>
        </w:trPr>
        <w:tc>
          <w:tcPr>
            <w:tcW w:w="553" w:type="pct"/>
            <w:vAlign w:val="center"/>
          </w:tcPr>
          <w:p w14:paraId="22C23A1D" w14:textId="52F388F6" w:rsidR="006F176A" w:rsidRPr="008C164C" w:rsidRDefault="006F176A" w:rsidP="00957257">
            <w:pPr>
              <w:jc w:val="center"/>
              <w:rPr>
                <w:rFonts w:ascii="Arial Narrow" w:hAnsi="Arial Narrow"/>
                <w:color w:val="333333"/>
                <w:sz w:val="20"/>
                <w:szCs w:val="20"/>
              </w:rPr>
            </w:pPr>
          </w:p>
        </w:tc>
        <w:tc>
          <w:tcPr>
            <w:tcW w:w="4447" w:type="pct"/>
            <w:vAlign w:val="center"/>
          </w:tcPr>
          <w:p w14:paraId="103C3697" w14:textId="77777777" w:rsidR="006F176A" w:rsidRPr="008C164C" w:rsidRDefault="006F176A" w:rsidP="00957257">
            <w:pPr>
              <w:rPr>
                <w:rFonts w:ascii="Arial Narrow" w:hAnsi="Arial Narrow"/>
                <w:color w:val="333333"/>
                <w:sz w:val="20"/>
                <w:szCs w:val="20"/>
              </w:rPr>
            </w:pPr>
            <w:r w:rsidRPr="008C164C">
              <w:rPr>
                <w:rFonts w:ascii="Arial Narrow" w:hAnsi="Arial Narrow"/>
                <w:b/>
                <w:bCs/>
                <w:color w:val="333333"/>
                <w:sz w:val="20"/>
                <w:szCs w:val="20"/>
              </w:rPr>
              <w:t>Administrative Advice:</w:t>
            </w:r>
          </w:p>
          <w:p w14:paraId="71070057" w14:textId="77777777" w:rsidR="006F176A" w:rsidRPr="008C164C" w:rsidRDefault="006F176A" w:rsidP="00957257">
            <w:pPr>
              <w:rPr>
                <w:rFonts w:ascii="Arial Narrow" w:hAnsi="Arial Narrow"/>
                <w:b/>
                <w:bCs/>
                <w:color w:val="333333"/>
                <w:sz w:val="20"/>
                <w:szCs w:val="20"/>
              </w:rPr>
            </w:pPr>
            <w:r w:rsidRPr="008C164C">
              <w:rPr>
                <w:rFonts w:ascii="Arial Narrow" w:hAnsi="Arial Narrow"/>
                <w:color w:val="333333"/>
                <w:sz w:val="20"/>
                <w:szCs w:val="20"/>
              </w:rPr>
              <w:t>Special Pricing Arrangements apply.</w:t>
            </w:r>
          </w:p>
        </w:tc>
      </w:tr>
      <w:tr w:rsidR="006F176A" w:rsidRPr="008C164C" w14:paraId="656414FC" w14:textId="77777777" w:rsidTr="00D66751">
        <w:tc>
          <w:tcPr>
            <w:tcW w:w="553" w:type="pct"/>
            <w:vAlign w:val="center"/>
          </w:tcPr>
          <w:p w14:paraId="390BEC3E" w14:textId="63DA25CC" w:rsidR="006F176A" w:rsidRPr="008C164C" w:rsidRDefault="006F176A" w:rsidP="00957257">
            <w:pPr>
              <w:jc w:val="center"/>
              <w:rPr>
                <w:rFonts w:ascii="Arial Narrow" w:hAnsi="Arial Narrow"/>
                <w:color w:val="333333"/>
                <w:sz w:val="20"/>
                <w:szCs w:val="20"/>
              </w:rPr>
            </w:pPr>
          </w:p>
        </w:tc>
        <w:tc>
          <w:tcPr>
            <w:tcW w:w="4447" w:type="pct"/>
            <w:vAlign w:val="center"/>
            <w:hideMark/>
          </w:tcPr>
          <w:p w14:paraId="1972D50D" w14:textId="77777777" w:rsidR="006F176A" w:rsidRPr="008C164C" w:rsidRDefault="006F176A" w:rsidP="00957257">
            <w:pPr>
              <w:rPr>
                <w:rFonts w:ascii="Arial Narrow" w:hAnsi="Arial Narrow"/>
                <w:color w:val="333333"/>
                <w:sz w:val="20"/>
                <w:szCs w:val="20"/>
              </w:rPr>
            </w:pPr>
            <w:r w:rsidRPr="008C164C">
              <w:rPr>
                <w:rFonts w:ascii="Arial Narrow" w:hAnsi="Arial Narrow"/>
                <w:b/>
                <w:bCs/>
                <w:color w:val="333333"/>
                <w:sz w:val="20"/>
                <w:szCs w:val="20"/>
              </w:rPr>
              <w:t>Indication:</w:t>
            </w:r>
            <w:r w:rsidRPr="008C164C">
              <w:rPr>
                <w:rFonts w:ascii="Arial Narrow" w:hAnsi="Arial Narrow"/>
                <w:color w:val="333333"/>
                <w:sz w:val="20"/>
                <w:szCs w:val="20"/>
              </w:rPr>
              <w:t xml:space="preserve"> Human immunodeficiency virus (HIV) </w:t>
            </w:r>
          </w:p>
        </w:tc>
      </w:tr>
      <w:tr w:rsidR="006F176A" w:rsidRPr="008C164C" w14:paraId="30DA48A6" w14:textId="77777777" w:rsidTr="00957257">
        <w:tc>
          <w:tcPr>
            <w:tcW w:w="553" w:type="pct"/>
            <w:vAlign w:val="center"/>
          </w:tcPr>
          <w:p w14:paraId="315E803B" w14:textId="77777777" w:rsidR="006F176A" w:rsidRPr="008C164C" w:rsidRDefault="006F176A" w:rsidP="00957257">
            <w:pPr>
              <w:jc w:val="center"/>
              <w:rPr>
                <w:rFonts w:ascii="Arial Narrow" w:hAnsi="Arial Narrow"/>
                <w:strike/>
                <w:color w:val="333333"/>
                <w:sz w:val="20"/>
                <w:szCs w:val="20"/>
              </w:rPr>
            </w:pPr>
          </w:p>
        </w:tc>
        <w:tc>
          <w:tcPr>
            <w:tcW w:w="4447" w:type="pct"/>
            <w:vAlign w:val="center"/>
          </w:tcPr>
          <w:p w14:paraId="116A2A02" w14:textId="77777777" w:rsidR="006F176A" w:rsidRPr="008C164C" w:rsidRDefault="006F176A" w:rsidP="00957257">
            <w:pPr>
              <w:rPr>
                <w:rFonts w:ascii="Arial Narrow" w:hAnsi="Arial Narrow"/>
                <w:color w:val="333333"/>
                <w:sz w:val="20"/>
                <w:szCs w:val="20"/>
              </w:rPr>
            </w:pPr>
            <w:r w:rsidRPr="008C164C">
              <w:rPr>
                <w:rFonts w:ascii="Arial Narrow" w:hAnsi="Arial Narrow"/>
                <w:b/>
                <w:bCs/>
                <w:color w:val="333333"/>
                <w:sz w:val="20"/>
                <w:szCs w:val="20"/>
              </w:rPr>
              <w:t xml:space="preserve">Clinical criteria: </w:t>
            </w:r>
          </w:p>
        </w:tc>
      </w:tr>
      <w:tr w:rsidR="006F176A" w:rsidRPr="008C164C" w14:paraId="6AA8180D" w14:textId="77777777" w:rsidTr="00957257">
        <w:tc>
          <w:tcPr>
            <w:tcW w:w="553" w:type="pct"/>
            <w:vAlign w:val="center"/>
          </w:tcPr>
          <w:p w14:paraId="4121CB71" w14:textId="42E8FA8C" w:rsidR="006F176A" w:rsidRPr="00A4090B" w:rsidRDefault="006F176A" w:rsidP="00957257">
            <w:pPr>
              <w:jc w:val="center"/>
              <w:rPr>
                <w:rFonts w:ascii="Arial Narrow" w:hAnsi="Arial Narrow"/>
                <w:color w:val="333333"/>
                <w:sz w:val="20"/>
                <w:szCs w:val="20"/>
              </w:rPr>
            </w:pPr>
          </w:p>
        </w:tc>
        <w:tc>
          <w:tcPr>
            <w:tcW w:w="4447" w:type="pct"/>
            <w:vAlign w:val="center"/>
          </w:tcPr>
          <w:p w14:paraId="48867E4C" w14:textId="6264902E" w:rsidR="006F176A" w:rsidRPr="00A4090B" w:rsidRDefault="00A4090B" w:rsidP="00957257">
            <w:pPr>
              <w:rPr>
                <w:rFonts w:ascii="Arial Narrow" w:hAnsi="Arial Narrow"/>
                <w:color w:val="333333"/>
                <w:sz w:val="20"/>
                <w:szCs w:val="20"/>
              </w:rPr>
            </w:pPr>
            <w:r w:rsidRPr="00A4090B">
              <w:rPr>
                <w:rFonts w:ascii="Arial Narrow" w:hAnsi="Arial Narrow"/>
                <w:color w:val="333333"/>
                <w:sz w:val="20"/>
                <w:szCs w:val="20"/>
              </w:rPr>
              <w:t>Patient must have known multi-drug resistant HIV-1 infection to the main antiretroviral drug classes, and require this treatment to construct a suppressive anti-viral regimen.</w:t>
            </w:r>
          </w:p>
        </w:tc>
      </w:tr>
      <w:tr w:rsidR="006F176A" w:rsidRPr="008C164C" w14:paraId="74EA4C9B" w14:textId="77777777" w:rsidTr="00957257">
        <w:tc>
          <w:tcPr>
            <w:tcW w:w="553" w:type="pct"/>
            <w:vAlign w:val="center"/>
          </w:tcPr>
          <w:p w14:paraId="4DAFA0E2" w14:textId="77777777" w:rsidR="006F176A" w:rsidRPr="008C164C" w:rsidRDefault="006F176A" w:rsidP="00957257">
            <w:pPr>
              <w:jc w:val="center"/>
              <w:rPr>
                <w:rFonts w:ascii="Arial Narrow" w:hAnsi="Arial Narrow"/>
                <w:color w:val="333333"/>
                <w:sz w:val="20"/>
                <w:szCs w:val="20"/>
              </w:rPr>
            </w:pPr>
          </w:p>
        </w:tc>
        <w:tc>
          <w:tcPr>
            <w:tcW w:w="4447" w:type="pct"/>
            <w:vAlign w:val="center"/>
            <w:hideMark/>
          </w:tcPr>
          <w:p w14:paraId="65BBE919" w14:textId="77777777" w:rsidR="006F176A" w:rsidRPr="008C164C" w:rsidRDefault="006F176A" w:rsidP="00957257">
            <w:pPr>
              <w:rPr>
                <w:rFonts w:ascii="Arial Narrow" w:hAnsi="Arial Narrow"/>
                <w:color w:val="333333"/>
                <w:sz w:val="20"/>
                <w:szCs w:val="20"/>
              </w:rPr>
            </w:pPr>
            <w:r w:rsidRPr="008C164C">
              <w:rPr>
                <w:rFonts w:ascii="Arial Narrow" w:hAnsi="Arial Narrow"/>
                <w:b/>
                <w:bCs/>
                <w:color w:val="333333"/>
                <w:sz w:val="20"/>
                <w:szCs w:val="20"/>
              </w:rPr>
              <w:t>AND</w:t>
            </w:r>
          </w:p>
        </w:tc>
      </w:tr>
      <w:tr w:rsidR="006F176A" w:rsidRPr="008C164C" w14:paraId="3F17F8B2" w14:textId="77777777" w:rsidTr="00957257">
        <w:tc>
          <w:tcPr>
            <w:tcW w:w="553" w:type="pct"/>
            <w:vAlign w:val="center"/>
          </w:tcPr>
          <w:p w14:paraId="5B89BF0F" w14:textId="7EE094DD" w:rsidR="006F176A" w:rsidRPr="008C164C" w:rsidRDefault="006F176A" w:rsidP="00957257">
            <w:pPr>
              <w:jc w:val="center"/>
              <w:rPr>
                <w:rFonts w:ascii="Arial Narrow" w:hAnsi="Arial Narrow"/>
                <w:color w:val="333333"/>
                <w:sz w:val="20"/>
                <w:szCs w:val="20"/>
              </w:rPr>
            </w:pPr>
          </w:p>
        </w:tc>
        <w:tc>
          <w:tcPr>
            <w:tcW w:w="4447" w:type="pct"/>
            <w:vAlign w:val="center"/>
            <w:hideMark/>
          </w:tcPr>
          <w:p w14:paraId="4E7379E4" w14:textId="77777777" w:rsidR="006F176A" w:rsidRPr="008C164C" w:rsidRDefault="006F176A" w:rsidP="00957257">
            <w:pPr>
              <w:rPr>
                <w:rFonts w:ascii="Arial Narrow" w:hAnsi="Arial Narrow"/>
                <w:color w:val="333333"/>
                <w:sz w:val="20"/>
                <w:szCs w:val="20"/>
              </w:rPr>
            </w:pPr>
            <w:r w:rsidRPr="008C164C">
              <w:rPr>
                <w:rFonts w:ascii="Arial Narrow" w:hAnsi="Arial Narrow"/>
                <w:b/>
                <w:bCs/>
                <w:color w:val="333333"/>
                <w:sz w:val="20"/>
                <w:szCs w:val="20"/>
              </w:rPr>
              <w:t>Clinical criteria:</w:t>
            </w:r>
          </w:p>
        </w:tc>
      </w:tr>
      <w:tr w:rsidR="006F176A" w:rsidRPr="008C164C" w14:paraId="6DC3A14D" w14:textId="77777777" w:rsidTr="00957257">
        <w:tc>
          <w:tcPr>
            <w:tcW w:w="553" w:type="pct"/>
            <w:vAlign w:val="center"/>
          </w:tcPr>
          <w:p w14:paraId="15AC887A" w14:textId="08BBD17C" w:rsidR="006F176A" w:rsidRPr="008C164C" w:rsidRDefault="006F176A" w:rsidP="00957257">
            <w:pPr>
              <w:jc w:val="center"/>
              <w:rPr>
                <w:rFonts w:ascii="Arial Narrow" w:hAnsi="Arial Narrow"/>
                <w:color w:val="333333"/>
                <w:sz w:val="20"/>
                <w:szCs w:val="20"/>
              </w:rPr>
            </w:pPr>
          </w:p>
        </w:tc>
        <w:tc>
          <w:tcPr>
            <w:tcW w:w="4447" w:type="pct"/>
            <w:vAlign w:val="center"/>
            <w:hideMark/>
          </w:tcPr>
          <w:p w14:paraId="16FC728F" w14:textId="77777777" w:rsidR="006F176A" w:rsidRPr="008C164C" w:rsidRDefault="006F176A" w:rsidP="00957257">
            <w:pPr>
              <w:autoSpaceDE w:val="0"/>
              <w:autoSpaceDN w:val="0"/>
              <w:adjustRightInd w:val="0"/>
              <w:rPr>
                <w:rFonts w:ascii="Arial Narrow" w:hAnsi="Arial Narrow" w:cs="Arial Narrow"/>
                <w:sz w:val="20"/>
                <w:szCs w:val="20"/>
              </w:rPr>
            </w:pPr>
            <w:r w:rsidRPr="008C164C">
              <w:rPr>
                <w:rFonts w:ascii="Arial Narrow" w:hAnsi="Arial Narrow" w:cs="Arial Narrow"/>
                <w:sz w:val="20"/>
                <w:szCs w:val="20"/>
              </w:rPr>
              <w:t>The treatment must be in addition to optimised background therapy.</w:t>
            </w:r>
          </w:p>
        </w:tc>
      </w:tr>
      <w:tr w:rsidR="006F176A" w:rsidRPr="008C164C" w14:paraId="32347937" w14:textId="77777777" w:rsidTr="00957257">
        <w:tc>
          <w:tcPr>
            <w:tcW w:w="553" w:type="pct"/>
            <w:vAlign w:val="center"/>
          </w:tcPr>
          <w:p w14:paraId="05100083" w14:textId="704FB686" w:rsidR="0016310A" w:rsidRPr="008C164C" w:rsidRDefault="0016310A" w:rsidP="00957257">
            <w:pPr>
              <w:jc w:val="center"/>
              <w:rPr>
                <w:rFonts w:ascii="Arial Narrow" w:hAnsi="Arial Narrow"/>
                <w:color w:val="333333"/>
                <w:sz w:val="20"/>
                <w:szCs w:val="20"/>
              </w:rPr>
            </w:pPr>
          </w:p>
        </w:tc>
        <w:tc>
          <w:tcPr>
            <w:tcW w:w="4447" w:type="pct"/>
            <w:vAlign w:val="center"/>
          </w:tcPr>
          <w:p w14:paraId="0F612F58" w14:textId="14B20FB4" w:rsidR="0016310A" w:rsidRPr="008C164C" w:rsidRDefault="0016310A" w:rsidP="0016310A">
            <w:pPr>
              <w:autoSpaceDE w:val="0"/>
              <w:autoSpaceDN w:val="0"/>
              <w:adjustRightInd w:val="0"/>
              <w:rPr>
                <w:rFonts w:ascii="Arial Narrow" w:hAnsi="Arial Narrow" w:cs="Arial Narrow"/>
                <w:b/>
                <w:bCs/>
                <w:sz w:val="20"/>
                <w:szCs w:val="20"/>
              </w:rPr>
            </w:pPr>
            <w:r w:rsidRPr="008C164C">
              <w:rPr>
                <w:rFonts w:ascii="Arial Narrow" w:hAnsi="Arial Narrow" w:cs="Arial Narrow"/>
                <w:b/>
                <w:bCs/>
                <w:sz w:val="20"/>
                <w:szCs w:val="20"/>
              </w:rPr>
              <w:t>Prescribing Instructions:</w:t>
            </w:r>
          </w:p>
          <w:p w14:paraId="09D457AF" w14:textId="77A85382" w:rsidR="0016310A" w:rsidRPr="008C164C" w:rsidRDefault="0016310A" w:rsidP="00957257">
            <w:pPr>
              <w:autoSpaceDE w:val="0"/>
              <w:autoSpaceDN w:val="0"/>
              <w:adjustRightInd w:val="0"/>
              <w:rPr>
                <w:rFonts w:ascii="Arial Narrow" w:hAnsi="Arial Narrow" w:cs="Arial Narrow"/>
                <w:sz w:val="20"/>
                <w:szCs w:val="20"/>
              </w:rPr>
            </w:pPr>
            <w:r w:rsidRPr="008C164C">
              <w:rPr>
                <w:rFonts w:ascii="Arial Narrow" w:hAnsi="Arial Narrow" w:cs="Arial Narrow"/>
                <w:sz w:val="20"/>
                <w:szCs w:val="20"/>
              </w:rPr>
              <w:t xml:space="preserve">Virological failure is defined as a viral load greater than </w:t>
            </w:r>
            <w:r w:rsidR="008F0B2F" w:rsidRPr="008C164C">
              <w:rPr>
                <w:rFonts w:ascii="Arial Narrow" w:hAnsi="Arial Narrow" w:cs="Arial Narrow"/>
                <w:sz w:val="20"/>
                <w:szCs w:val="20"/>
              </w:rPr>
              <w:t>2</w:t>
            </w:r>
            <w:r w:rsidRPr="008C164C">
              <w:rPr>
                <w:rFonts w:ascii="Arial Narrow" w:hAnsi="Arial Narrow" w:cs="Arial Narrow"/>
                <w:sz w:val="20"/>
                <w:szCs w:val="20"/>
              </w:rPr>
              <w:t>00 copies per mL on two consecutive occasions, while clinical failure is linked to emerging signs and symptoms of progressing HIV infection or treatment-limiting toxicity.</w:t>
            </w:r>
          </w:p>
        </w:tc>
      </w:tr>
      <w:tr w:rsidR="006F176A" w:rsidRPr="008C164C" w14:paraId="0D2F03B6" w14:textId="77777777" w:rsidTr="00D66751">
        <w:tc>
          <w:tcPr>
            <w:tcW w:w="553" w:type="pct"/>
            <w:vAlign w:val="center"/>
          </w:tcPr>
          <w:p w14:paraId="221B0601" w14:textId="28602471" w:rsidR="006F176A" w:rsidRPr="008C164C" w:rsidRDefault="006F176A" w:rsidP="00957257">
            <w:pPr>
              <w:jc w:val="center"/>
              <w:rPr>
                <w:rFonts w:ascii="Arial Narrow" w:hAnsi="Arial Narrow"/>
                <w:color w:val="333333"/>
                <w:sz w:val="20"/>
                <w:szCs w:val="20"/>
              </w:rPr>
            </w:pPr>
          </w:p>
        </w:tc>
        <w:tc>
          <w:tcPr>
            <w:tcW w:w="4447" w:type="pct"/>
            <w:vAlign w:val="center"/>
            <w:hideMark/>
          </w:tcPr>
          <w:p w14:paraId="01C211BC" w14:textId="6B36E63F" w:rsidR="0016310A" w:rsidRPr="008C164C" w:rsidRDefault="0016310A" w:rsidP="00957257">
            <w:pPr>
              <w:autoSpaceDE w:val="0"/>
              <w:autoSpaceDN w:val="0"/>
              <w:adjustRightInd w:val="0"/>
              <w:rPr>
                <w:rFonts w:ascii="Arial Narrow" w:hAnsi="Arial Narrow"/>
                <w:color w:val="333333"/>
                <w:sz w:val="20"/>
                <w:szCs w:val="20"/>
              </w:rPr>
            </w:pPr>
            <w:r w:rsidRPr="008C164C">
              <w:rPr>
                <w:rFonts w:ascii="Arial Narrow" w:hAnsi="Arial Narrow"/>
                <w:b/>
                <w:bCs/>
                <w:color w:val="333333"/>
                <w:sz w:val="20"/>
                <w:szCs w:val="20"/>
              </w:rPr>
              <w:t>Prescribing Instructions</w:t>
            </w:r>
            <w:r w:rsidR="006F176A" w:rsidRPr="008C164C">
              <w:rPr>
                <w:rFonts w:ascii="Arial Narrow" w:hAnsi="Arial Narrow"/>
                <w:b/>
                <w:bCs/>
                <w:color w:val="333333"/>
                <w:sz w:val="20"/>
                <w:szCs w:val="20"/>
              </w:rPr>
              <w:t>:</w:t>
            </w:r>
            <w:r w:rsidR="006F176A" w:rsidRPr="008C164C">
              <w:rPr>
                <w:rFonts w:ascii="Arial Narrow" w:hAnsi="Arial Narrow"/>
                <w:bCs/>
                <w:color w:val="333333"/>
                <w:sz w:val="20"/>
                <w:szCs w:val="20"/>
              </w:rPr>
              <w:t xml:space="preserve">  </w:t>
            </w:r>
            <w:r w:rsidR="006F176A" w:rsidRPr="008C164C">
              <w:rPr>
                <w:rFonts w:ascii="Arial Narrow" w:hAnsi="Arial Narrow"/>
                <w:color w:val="333333"/>
                <w:sz w:val="20"/>
                <w:szCs w:val="20"/>
              </w:rPr>
              <w:t xml:space="preserve">Genotypic resistance to individual anti-retroviral drugs </w:t>
            </w:r>
            <w:r w:rsidRPr="008C164C">
              <w:rPr>
                <w:rFonts w:ascii="Arial Narrow" w:hAnsi="Arial Narrow"/>
                <w:color w:val="333333"/>
                <w:sz w:val="20"/>
                <w:szCs w:val="20"/>
              </w:rPr>
              <w:t xml:space="preserve">is to </w:t>
            </w:r>
            <w:r w:rsidR="006F176A" w:rsidRPr="008C164C">
              <w:rPr>
                <w:rFonts w:ascii="Arial Narrow" w:hAnsi="Arial Narrow"/>
                <w:color w:val="333333"/>
                <w:sz w:val="20"/>
                <w:szCs w:val="20"/>
              </w:rPr>
              <w:t>be determined by genotypic testing.</w:t>
            </w:r>
          </w:p>
        </w:tc>
      </w:tr>
      <w:tr w:rsidR="006F176A" w:rsidRPr="008C164C" w14:paraId="1DA55F38" w14:textId="77777777" w:rsidTr="00D66751">
        <w:tc>
          <w:tcPr>
            <w:tcW w:w="553" w:type="pct"/>
            <w:vAlign w:val="center"/>
          </w:tcPr>
          <w:p w14:paraId="5FAE0940" w14:textId="0B62C4D7" w:rsidR="006F176A" w:rsidRPr="008C164C" w:rsidRDefault="006F176A" w:rsidP="00957257">
            <w:pPr>
              <w:jc w:val="center"/>
              <w:rPr>
                <w:rFonts w:ascii="Arial Narrow" w:hAnsi="Arial Narrow"/>
                <w:color w:val="333333"/>
                <w:sz w:val="20"/>
                <w:szCs w:val="20"/>
              </w:rPr>
            </w:pPr>
          </w:p>
        </w:tc>
        <w:tc>
          <w:tcPr>
            <w:tcW w:w="4447" w:type="pct"/>
            <w:vAlign w:val="center"/>
            <w:hideMark/>
          </w:tcPr>
          <w:p w14:paraId="32A5CC8F" w14:textId="535AA828" w:rsidR="006F176A" w:rsidRPr="008C164C" w:rsidRDefault="006F176A" w:rsidP="00957257">
            <w:pPr>
              <w:autoSpaceDE w:val="0"/>
              <w:autoSpaceDN w:val="0"/>
              <w:adjustRightInd w:val="0"/>
              <w:rPr>
                <w:rFonts w:ascii="Arial Narrow" w:hAnsi="Arial Narrow" w:cs="Arial Narrow"/>
                <w:b/>
                <w:bCs/>
                <w:sz w:val="20"/>
                <w:szCs w:val="20"/>
              </w:rPr>
            </w:pPr>
            <w:r w:rsidRPr="008C164C">
              <w:rPr>
                <w:rFonts w:ascii="Arial Narrow" w:hAnsi="Arial Narrow"/>
                <w:b/>
                <w:bCs/>
                <w:color w:val="333333"/>
                <w:sz w:val="20"/>
                <w:szCs w:val="20"/>
              </w:rPr>
              <w:t>Administrative Advice:</w:t>
            </w:r>
            <w:r w:rsidRPr="008C164C">
              <w:rPr>
                <w:rFonts w:ascii="Arial Narrow" w:hAnsi="Arial Narrow"/>
                <w:bCs/>
                <w:color w:val="333333"/>
                <w:sz w:val="20"/>
                <w:szCs w:val="20"/>
              </w:rPr>
              <w:t xml:space="preserve">  </w:t>
            </w:r>
            <w:r w:rsidRPr="008C164C">
              <w:rPr>
                <w:rFonts w:ascii="Arial Narrow" w:hAnsi="Arial Narrow"/>
                <w:color w:val="333333"/>
                <w:sz w:val="20"/>
                <w:szCs w:val="20"/>
              </w:rPr>
              <w:t>For the purposes of this restriction, the main antiretroviral classes include nucleotide/nucleoside reverse transcriptase inhibitors (NRTIs), non-nucleoside reverse transcriptase inhibitors (NNRTIs), integrase strand transfer inhibitors (INTSIs) and protease inhibitors (PIs).</w:t>
            </w:r>
          </w:p>
        </w:tc>
      </w:tr>
    </w:tbl>
    <w:p w14:paraId="621858CD" w14:textId="64B8C415" w:rsidR="008F0B2F" w:rsidRPr="008C164C" w:rsidRDefault="008F0B2F" w:rsidP="000D1BFB">
      <w:pPr>
        <w:pStyle w:val="3-BodyText"/>
        <w:numPr>
          <w:ilvl w:val="0"/>
          <w:numId w:val="0"/>
        </w:numPr>
        <w:spacing w:after="0"/>
        <w:ind w:left="720" w:hanging="720"/>
      </w:pPr>
    </w:p>
    <w:p w14:paraId="60DD9A96" w14:textId="7822C32E" w:rsidR="00010DEF" w:rsidRPr="008C164C" w:rsidRDefault="00010DEF" w:rsidP="00010DEF">
      <w:pPr>
        <w:jc w:val="left"/>
        <w:rPr>
          <w:rFonts w:asciiTheme="minorHAnsi" w:hAnsiTheme="minorHAnsi" w:cstheme="minorHAnsi"/>
          <w:b/>
          <w:bCs/>
          <w:i/>
          <w:iCs/>
        </w:rPr>
      </w:pPr>
      <w:r w:rsidRPr="008C164C">
        <w:rPr>
          <w:rFonts w:asciiTheme="minorHAnsi" w:hAnsiTheme="minorHAnsi" w:cstheme="minorHAnsi"/>
          <w:b/>
          <w:bCs/>
          <w:i/>
          <w:iCs/>
        </w:rPr>
        <w:t>This restriction may be subject to further review. Should there be any changes made to the restriction the Sponsor will be informed.</w:t>
      </w:r>
    </w:p>
    <w:p w14:paraId="1F4733C5" w14:textId="35E9F79B" w:rsidR="00010DEF" w:rsidRPr="008C164C" w:rsidRDefault="00010DEF" w:rsidP="000D1BFB">
      <w:pPr>
        <w:pStyle w:val="3-BodyText"/>
        <w:numPr>
          <w:ilvl w:val="0"/>
          <w:numId w:val="0"/>
        </w:numPr>
        <w:spacing w:after="0"/>
        <w:ind w:left="720" w:hanging="720"/>
      </w:pPr>
    </w:p>
    <w:p w14:paraId="6BCCB9A4" w14:textId="13FE8EBE" w:rsidR="00326982" w:rsidRPr="008773EC" w:rsidRDefault="00326982" w:rsidP="008F0B2F">
      <w:pPr>
        <w:pStyle w:val="3-BodyText"/>
        <w:numPr>
          <w:ilvl w:val="0"/>
          <w:numId w:val="0"/>
        </w:numPr>
        <w:ind w:left="720" w:hanging="720"/>
        <w:rPr>
          <w:b/>
          <w:bCs/>
        </w:rPr>
      </w:pPr>
      <w:r w:rsidRPr="008773EC">
        <w:rPr>
          <w:b/>
          <w:bCs/>
        </w:rPr>
        <w:t xml:space="preserve">Flow-on restriction changes: </w:t>
      </w:r>
    </w:p>
    <w:p w14:paraId="187A3AEA" w14:textId="1CAF220C" w:rsidR="00F05EE4" w:rsidRPr="008C164C" w:rsidRDefault="008F0B2F" w:rsidP="00F05EE4">
      <w:pPr>
        <w:rPr>
          <w:rFonts w:asciiTheme="minorHAnsi" w:hAnsiTheme="minorHAnsi"/>
          <w:bCs/>
          <w:snapToGrid w:val="0"/>
        </w:rPr>
      </w:pPr>
      <w:r w:rsidRPr="008773EC">
        <w:rPr>
          <w:rFonts w:asciiTheme="minorHAnsi" w:hAnsiTheme="minorHAnsi"/>
          <w:bCs/>
          <w:snapToGrid w:val="0"/>
        </w:rPr>
        <w:t>As per</w:t>
      </w:r>
      <w:r w:rsidR="00AA6CA0" w:rsidRPr="008773EC">
        <w:rPr>
          <w:rFonts w:asciiTheme="minorHAnsi" w:hAnsiTheme="minorHAnsi"/>
          <w:bCs/>
          <w:snapToGrid w:val="0"/>
        </w:rPr>
        <w:t xml:space="preserve"> paragraph</w:t>
      </w:r>
      <w:r w:rsidRPr="008773EC">
        <w:rPr>
          <w:rFonts w:asciiTheme="minorHAnsi" w:hAnsiTheme="minorHAnsi"/>
          <w:bCs/>
          <w:snapToGrid w:val="0"/>
        </w:rPr>
        <w:t xml:space="preserve"> 7.1</w:t>
      </w:r>
      <w:r w:rsidR="008773EC">
        <w:rPr>
          <w:rFonts w:asciiTheme="minorHAnsi" w:hAnsiTheme="minorHAnsi"/>
          <w:bCs/>
          <w:snapToGrid w:val="0"/>
        </w:rPr>
        <w:t>8</w:t>
      </w:r>
      <w:r w:rsidRPr="008773EC">
        <w:rPr>
          <w:rFonts w:asciiTheme="minorHAnsi" w:hAnsiTheme="minorHAnsi"/>
          <w:bCs/>
          <w:snapToGrid w:val="0"/>
        </w:rPr>
        <w:t>, amend</w:t>
      </w:r>
      <w:r w:rsidRPr="008C164C">
        <w:rPr>
          <w:rFonts w:asciiTheme="minorHAnsi" w:hAnsiTheme="minorHAnsi"/>
          <w:bCs/>
          <w:snapToGrid w:val="0"/>
        </w:rPr>
        <w:t xml:space="preserve"> the definition of virologic failure from</w:t>
      </w:r>
      <w:r w:rsidR="00326982" w:rsidRPr="008C164C">
        <w:rPr>
          <w:rFonts w:asciiTheme="minorHAnsi" w:hAnsiTheme="minorHAnsi"/>
          <w:bCs/>
          <w:snapToGrid w:val="0"/>
        </w:rPr>
        <w:t xml:space="preserve"> </w:t>
      </w:r>
      <w:r w:rsidRPr="008C164C">
        <w:rPr>
          <w:rFonts w:asciiTheme="minorHAnsi" w:hAnsiTheme="minorHAnsi"/>
          <w:bCs/>
          <w:snapToGrid w:val="0"/>
        </w:rPr>
        <w:t>greater than 400 copies per mL to greater than 200 copies per mL for applicable PBS listings – maraviroc, etravirine, darunavir and the combination drugs darunavir + cobicistat and darunavir + cobicistat + emtricitabine + tenofovir alafenamide.</w:t>
      </w:r>
    </w:p>
    <w:p w14:paraId="3CF7217D" w14:textId="05B9F470" w:rsidR="00F05EE4" w:rsidRPr="008C164C" w:rsidRDefault="00F05EE4" w:rsidP="00F05EE4">
      <w:pPr>
        <w:pStyle w:val="ListParagraph"/>
        <w:numPr>
          <w:ilvl w:val="0"/>
          <w:numId w:val="8"/>
        </w:numPr>
        <w:rPr>
          <w:bCs/>
          <w:i/>
          <w:iCs/>
          <w:sz w:val="22"/>
          <w:szCs w:val="22"/>
        </w:rPr>
      </w:pPr>
      <w:r w:rsidRPr="008C164C">
        <w:rPr>
          <w:bCs/>
          <w:i/>
          <w:iCs/>
          <w:sz w:val="22"/>
          <w:szCs w:val="22"/>
        </w:rPr>
        <w:lastRenderedPageBreak/>
        <w:t xml:space="preserve"> “Virological failure is defined as a viral load greater than </w:t>
      </w:r>
      <w:r w:rsidRPr="008C164C">
        <w:rPr>
          <w:b/>
          <w:i/>
          <w:iCs/>
          <w:sz w:val="22"/>
          <w:szCs w:val="22"/>
        </w:rPr>
        <w:t>400 copies</w:t>
      </w:r>
      <w:r w:rsidRPr="008C164C">
        <w:rPr>
          <w:bCs/>
          <w:i/>
          <w:iCs/>
          <w:sz w:val="22"/>
          <w:szCs w:val="22"/>
        </w:rPr>
        <w:t xml:space="preserve"> per mL on two consecutive occasions, while clinical failure is linked to emerging signs and symptoms of progressing HIV infection or treatment-limiting toxicity.” </w:t>
      </w:r>
    </w:p>
    <w:p w14:paraId="24FC77E8" w14:textId="49E32A81" w:rsidR="00F05EE4" w:rsidRPr="008C164C" w:rsidRDefault="00F05EE4" w:rsidP="00F05EE4">
      <w:pPr>
        <w:pStyle w:val="ListParagraph"/>
        <w:numPr>
          <w:ilvl w:val="0"/>
          <w:numId w:val="8"/>
        </w:numPr>
        <w:rPr>
          <w:bCs/>
          <w:i/>
          <w:iCs/>
          <w:sz w:val="22"/>
          <w:szCs w:val="22"/>
        </w:rPr>
      </w:pPr>
      <w:r w:rsidRPr="008C164C">
        <w:rPr>
          <w:i/>
          <w:iCs/>
          <w:sz w:val="22"/>
          <w:szCs w:val="22"/>
        </w:rPr>
        <w:t xml:space="preserve">New: </w:t>
      </w:r>
      <w:r w:rsidRPr="008C164C">
        <w:rPr>
          <w:bCs/>
          <w:i/>
          <w:iCs/>
          <w:sz w:val="22"/>
          <w:szCs w:val="22"/>
        </w:rPr>
        <w:t xml:space="preserve">“Virological failure is defined as a viral load greater than </w:t>
      </w:r>
      <w:r w:rsidRPr="008C164C">
        <w:rPr>
          <w:b/>
          <w:i/>
          <w:iCs/>
          <w:sz w:val="22"/>
          <w:szCs w:val="22"/>
        </w:rPr>
        <w:t>200 copies</w:t>
      </w:r>
      <w:r w:rsidRPr="008C164C">
        <w:rPr>
          <w:bCs/>
          <w:i/>
          <w:iCs/>
          <w:sz w:val="22"/>
          <w:szCs w:val="22"/>
        </w:rPr>
        <w:t xml:space="preserve"> per mL on two consecutive occasions, while clinical failure is linked to emerging signs and symptoms of progressing HIV infection or treatment-limiting toxicity.” </w:t>
      </w:r>
    </w:p>
    <w:p w14:paraId="7386BF5C" w14:textId="2AE26B16" w:rsidR="008F0B2F" w:rsidRPr="008C164C" w:rsidRDefault="00F05EE4" w:rsidP="008F0B2F">
      <w:pPr>
        <w:pStyle w:val="ListBullet"/>
        <w:numPr>
          <w:ilvl w:val="0"/>
          <w:numId w:val="8"/>
        </w:numPr>
        <w:rPr>
          <w:i/>
          <w:iCs/>
          <w:sz w:val="22"/>
          <w:szCs w:val="22"/>
        </w:rPr>
      </w:pPr>
      <w:r w:rsidRPr="008C164C">
        <w:rPr>
          <w:i/>
          <w:iCs/>
          <w:sz w:val="22"/>
          <w:szCs w:val="22"/>
        </w:rPr>
        <w:t xml:space="preserve">Relevant PBS item codes: </w:t>
      </w:r>
    </w:p>
    <w:p w14:paraId="72EC333C" w14:textId="77777777" w:rsidR="00F05EE4" w:rsidRPr="008C164C" w:rsidRDefault="00F05EE4" w:rsidP="00F05EE4">
      <w:pPr>
        <w:pStyle w:val="ListBullet"/>
        <w:ind w:left="720"/>
        <w:rPr>
          <w:i/>
          <w:iCs/>
          <w:sz w:val="22"/>
          <w:szCs w:val="22"/>
        </w:rPr>
      </w:pPr>
      <w:r w:rsidRPr="008C164C">
        <w:rPr>
          <w:i/>
          <w:iCs/>
          <w:sz w:val="22"/>
          <w:szCs w:val="22"/>
        </w:rPr>
        <w:t>10329P / darunavir 600 mg tablet, 60</w:t>
      </w:r>
      <w:r w:rsidRPr="008C164C">
        <w:rPr>
          <w:i/>
          <w:iCs/>
          <w:sz w:val="22"/>
          <w:szCs w:val="22"/>
        </w:rPr>
        <w:tab/>
      </w:r>
    </w:p>
    <w:p w14:paraId="6A7674F6" w14:textId="77777777" w:rsidR="00F05EE4" w:rsidRPr="008C164C" w:rsidRDefault="00F05EE4" w:rsidP="00F05EE4">
      <w:pPr>
        <w:pStyle w:val="ListBullet"/>
        <w:ind w:left="720"/>
        <w:rPr>
          <w:i/>
          <w:iCs/>
          <w:sz w:val="22"/>
          <w:szCs w:val="22"/>
        </w:rPr>
      </w:pPr>
      <w:r w:rsidRPr="008C164C">
        <w:rPr>
          <w:i/>
          <w:iCs/>
          <w:sz w:val="22"/>
          <w:szCs w:val="22"/>
        </w:rPr>
        <w:t>10367P / darunavir 800 mg tablet, 30</w:t>
      </w:r>
    </w:p>
    <w:p w14:paraId="5D71FE6C" w14:textId="77777777" w:rsidR="00F05EE4" w:rsidRPr="008C164C" w:rsidRDefault="00F05EE4" w:rsidP="00F05EE4">
      <w:pPr>
        <w:pStyle w:val="ListBullet"/>
        <w:ind w:left="720"/>
        <w:rPr>
          <w:i/>
          <w:iCs/>
          <w:sz w:val="22"/>
          <w:szCs w:val="22"/>
        </w:rPr>
      </w:pPr>
      <w:r w:rsidRPr="008C164C">
        <w:rPr>
          <w:i/>
          <w:iCs/>
          <w:sz w:val="22"/>
          <w:szCs w:val="22"/>
        </w:rPr>
        <w:t>10301E / etravirine 200 mg tablet, 60</w:t>
      </w:r>
      <w:r w:rsidRPr="008C164C">
        <w:rPr>
          <w:i/>
          <w:iCs/>
          <w:sz w:val="22"/>
          <w:szCs w:val="22"/>
        </w:rPr>
        <w:tab/>
      </w:r>
    </w:p>
    <w:p w14:paraId="793A5524" w14:textId="77777777" w:rsidR="00F05EE4" w:rsidRPr="008C164C" w:rsidRDefault="00F05EE4" w:rsidP="00F05EE4">
      <w:pPr>
        <w:pStyle w:val="ListBullet"/>
        <w:ind w:left="720"/>
        <w:rPr>
          <w:i/>
          <w:iCs/>
          <w:sz w:val="22"/>
          <w:szCs w:val="22"/>
        </w:rPr>
      </w:pPr>
      <w:r w:rsidRPr="008C164C">
        <w:rPr>
          <w:i/>
          <w:iCs/>
          <w:sz w:val="22"/>
          <w:szCs w:val="22"/>
        </w:rPr>
        <w:t>10318C / maraviroc 150 mg tablet, 60</w:t>
      </w:r>
      <w:r w:rsidRPr="008C164C">
        <w:rPr>
          <w:i/>
          <w:iCs/>
          <w:sz w:val="22"/>
          <w:szCs w:val="22"/>
        </w:rPr>
        <w:tab/>
      </w:r>
    </w:p>
    <w:p w14:paraId="4DE13319" w14:textId="77777777" w:rsidR="00F05EE4" w:rsidRPr="008C164C" w:rsidRDefault="00F05EE4" w:rsidP="00F05EE4">
      <w:pPr>
        <w:pStyle w:val="ListBullet"/>
        <w:ind w:left="720"/>
        <w:rPr>
          <w:i/>
          <w:iCs/>
          <w:sz w:val="22"/>
          <w:szCs w:val="22"/>
        </w:rPr>
      </w:pPr>
      <w:r w:rsidRPr="008C164C">
        <w:rPr>
          <w:i/>
          <w:iCs/>
          <w:sz w:val="22"/>
          <w:szCs w:val="22"/>
        </w:rPr>
        <w:t>10355B / maraviroc 300 mg tablet, 60</w:t>
      </w:r>
    </w:p>
    <w:p w14:paraId="53722B02" w14:textId="77777777" w:rsidR="00F05EE4" w:rsidRPr="008C164C" w:rsidRDefault="00F05EE4" w:rsidP="00F05EE4">
      <w:pPr>
        <w:pStyle w:val="ListBullet"/>
        <w:ind w:left="720"/>
        <w:rPr>
          <w:i/>
          <w:iCs/>
          <w:sz w:val="22"/>
          <w:szCs w:val="22"/>
        </w:rPr>
      </w:pPr>
      <w:r w:rsidRPr="008C164C">
        <w:rPr>
          <w:i/>
          <w:iCs/>
          <w:sz w:val="22"/>
          <w:szCs w:val="22"/>
        </w:rPr>
        <w:t>10903W / darunavir 800 mg + cobicistat 150 mg tablet, 30</w:t>
      </w:r>
      <w:r w:rsidRPr="008C164C">
        <w:rPr>
          <w:i/>
          <w:iCs/>
          <w:sz w:val="22"/>
          <w:szCs w:val="22"/>
        </w:rPr>
        <w:tab/>
      </w:r>
      <w:r w:rsidRPr="008C164C">
        <w:rPr>
          <w:i/>
          <w:iCs/>
          <w:sz w:val="22"/>
          <w:szCs w:val="22"/>
        </w:rPr>
        <w:tab/>
      </w:r>
    </w:p>
    <w:p w14:paraId="5DE8DF44" w14:textId="77777777" w:rsidR="00F05EE4" w:rsidRPr="008C164C" w:rsidRDefault="00F05EE4" w:rsidP="00F05EE4">
      <w:pPr>
        <w:pStyle w:val="ListBullet"/>
        <w:ind w:left="720"/>
        <w:rPr>
          <w:i/>
          <w:iCs/>
          <w:sz w:val="22"/>
          <w:szCs w:val="22"/>
        </w:rPr>
      </w:pPr>
      <w:r w:rsidRPr="008C164C">
        <w:rPr>
          <w:i/>
          <w:iCs/>
          <w:sz w:val="22"/>
          <w:szCs w:val="22"/>
        </w:rPr>
        <w:t>11955F / darunavir 800 mg + cobicistat 150 mg + emtricitabine 200 mg + tenofovir alafenamide 10 mg tablet, 30</w:t>
      </w:r>
      <w:r w:rsidRPr="008C164C">
        <w:rPr>
          <w:i/>
          <w:iCs/>
          <w:sz w:val="22"/>
          <w:szCs w:val="22"/>
        </w:rPr>
        <w:tab/>
      </w:r>
      <w:r w:rsidRPr="008C164C">
        <w:rPr>
          <w:i/>
          <w:iCs/>
          <w:sz w:val="22"/>
          <w:szCs w:val="22"/>
        </w:rPr>
        <w:tab/>
      </w:r>
    </w:p>
    <w:p w14:paraId="49CA10FD" w14:textId="77777777" w:rsidR="00F05EE4" w:rsidRPr="008C164C" w:rsidRDefault="00F05EE4" w:rsidP="00F05EE4">
      <w:pPr>
        <w:pStyle w:val="ListBullet"/>
        <w:ind w:left="720"/>
        <w:rPr>
          <w:i/>
          <w:iCs/>
          <w:sz w:val="22"/>
          <w:szCs w:val="22"/>
        </w:rPr>
      </w:pPr>
      <w:r w:rsidRPr="008C164C">
        <w:rPr>
          <w:i/>
          <w:iCs/>
          <w:sz w:val="22"/>
          <w:szCs w:val="22"/>
        </w:rPr>
        <w:t>12111K / darunavir 800 mg tablet, 30</w:t>
      </w:r>
      <w:r w:rsidRPr="008C164C">
        <w:rPr>
          <w:i/>
          <w:iCs/>
          <w:sz w:val="22"/>
          <w:szCs w:val="22"/>
        </w:rPr>
        <w:tab/>
      </w:r>
    </w:p>
    <w:p w14:paraId="3B5D2A45" w14:textId="0B035D83" w:rsidR="00F05EE4" w:rsidRPr="008C164C" w:rsidRDefault="00F05EE4" w:rsidP="00F05EE4">
      <w:pPr>
        <w:pStyle w:val="ListBullet"/>
        <w:ind w:left="720"/>
        <w:rPr>
          <w:i/>
          <w:iCs/>
          <w:sz w:val="22"/>
          <w:szCs w:val="22"/>
        </w:rPr>
      </w:pPr>
      <w:r w:rsidRPr="008C164C">
        <w:rPr>
          <w:i/>
          <w:iCs/>
          <w:sz w:val="22"/>
          <w:szCs w:val="22"/>
        </w:rPr>
        <w:t>12946J / darunavir 600 mg tablet, 2 x 30</w:t>
      </w:r>
    </w:p>
    <w:bookmarkEnd w:id="95"/>
    <w:p w14:paraId="3E567E8E" w14:textId="7ECAA4D5" w:rsidR="002C5099" w:rsidRDefault="002C5099" w:rsidP="00D66751">
      <w:pPr>
        <w:pStyle w:val="3-BodyText"/>
        <w:numPr>
          <w:ilvl w:val="0"/>
          <w:numId w:val="0"/>
        </w:numPr>
        <w:ind w:left="720" w:hanging="720"/>
      </w:pPr>
    </w:p>
    <w:p w14:paraId="2768E131" w14:textId="77777777" w:rsidR="00D66751" w:rsidRDefault="00D66751" w:rsidP="00D66751">
      <w:pPr>
        <w:pStyle w:val="COMH1numbered"/>
        <w:numPr>
          <w:ilvl w:val="0"/>
          <w:numId w:val="0"/>
        </w:numPr>
        <w:ind w:left="720" w:hanging="720"/>
        <w:rPr>
          <w:bCs/>
          <w:lang w:val="en-GB"/>
        </w:rPr>
      </w:pPr>
      <w:r w:rsidRPr="00C07617">
        <w:t>9</w:t>
      </w:r>
      <w:r w:rsidRPr="00C07617">
        <w:tab/>
        <w:t>Context for Decision</w:t>
      </w:r>
    </w:p>
    <w:p w14:paraId="7D93D649" w14:textId="77777777" w:rsidR="00D66751" w:rsidRPr="00311EEF" w:rsidRDefault="00D66751" w:rsidP="00D66751">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B90A548" w14:textId="77777777" w:rsidR="00D66751" w:rsidRPr="00311EEF" w:rsidRDefault="00D66751" w:rsidP="00D66751">
      <w:pPr>
        <w:pStyle w:val="COMH1numbered"/>
        <w:numPr>
          <w:ilvl w:val="0"/>
          <w:numId w:val="0"/>
        </w:numPr>
        <w:ind w:left="720" w:hanging="720"/>
      </w:pPr>
      <w:r w:rsidRPr="00311EEF">
        <w:t>10</w:t>
      </w:r>
      <w:r>
        <w:tab/>
      </w:r>
      <w:r w:rsidRPr="00311EEF">
        <w:t>Sponsor’s Comment</w:t>
      </w:r>
    </w:p>
    <w:p w14:paraId="0DCE12C7" w14:textId="77777777" w:rsidR="00D66751" w:rsidRPr="001179AC" w:rsidRDefault="00D66751" w:rsidP="00D66751">
      <w:pPr>
        <w:spacing w:after="120"/>
        <w:ind w:left="720"/>
        <w:rPr>
          <w:rFonts w:asciiTheme="minorHAnsi" w:hAnsiTheme="minorHAnsi"/>
          <w:bCs/>
        </w:rPr>
      </w:pPr>
      <w:r w:rsidRPr="00C07617">
        <w:rPr>
          <w:rFonts w:asciiTheme="minorHAnsi" w:hAnsiTheme="minorHAnsi"/>
          <w:bCs/>
        </w:rPr>
        <w:t>The sponsor had no comment.</w:t>
      </w:r>
    </w:p>
    <w:p w14:paraId="3F22717F" w14:textId="77777777" w:rsidR="00D66751" w:rsidRPr="008C164C" w:rsidRDefault="00D66751" w:rsidP="00D66751">
      <w:pPr>
        <w:pStyle w:val="3-BodyText"/>
        <w:numPr>
          <w:ilvl w:val="0"/>
          <w:numId w:val="0"/>
        </w:numPr>
        <w:ind w:left="720" w:hanging="720"/>
      </w:pPr>
    </w:p>
    <w:sectPr w:rsidR="00D66751" w:rsidRPr="008C164C" w:rsidSect="00BB65CB">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25F5" w14:textId="77777777" w:rsidR="00284612" w:rsidRDefault="00284612" w:rsidP="00124A51">
      <w:r>
        <w:separator/>
      </w:r>
    </w:p>
    <w:p w14:paraId="2BB7030B" w14:textId="77777777" w:rsidR="00284612" w:rsidRDefault="00284612"/>
  </w:endnote>
  <w:endnote w:type="continuationSeparator" w:id="0">
    <w:p w14:paraId="417015B8" w14:textId="77777777" w:rsidR="00284612" w:rsidRDefault="00284612" w:rsidP="00124A51">
      <w:r>
        <w:continuationSeparator/>
      </w:r>
    </w:p>
    <w:p w14:paraId="03FE0811" w14:textId="77777777" w:rsidR="00284612" w:rsidRDefault="00284612"/>
  </w:endnote>
  <w:endnote w:type="continuationNotice" w:id="1">
    <w:p w14:paraId="5A57787A" w14:textId="77777777" w:rsidR="00284612" w:rsidRDefault="00284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35D0" w14:textId="77777777" w:rsidR="00851D33" w:rsidRDefault="00851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9F75" w14:textId="77777777" w:rsidR="00240629" w:rsidRDefault="00240629" w:rsidP="007346A3">
    <w:pPr>
      <w:pStyle w:val="Footer"/>
      <w:jc w:val="center"/>
    </w:pPr>
  </w:p>
  <w:bookmarkStart w:id="104" w:name="_Hlk76375156"/>
  <w:p w14:paraId="1A98ADC4" w14:textId="3D6CAB1C" w:rsidR="003F7539" w:rsidRPr="003E6A5A" w:rsidRDefault="00483F2D" w:rsidP="003E6A5A">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10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AEFB" w14:textId="77777777" w:rsidR="00851D33" w:rsidRDefault="00851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0D3E" w14:textId="77777777" w:rsidR="00284612" w:rsidRDefault="00284612" w:rsidP="00124A51">
      <w:r>
        <w:separator/>
      </w:r>
    </w:p>
    <w:p w14:paraId="5C18DB7D" w14:textId="77777777" w:rsidR="00284612" w:rsidRDefault="00284612"/>
  </w:footnote>
  <w:footnote w:type="continuationSeparator" w:id="0">
    <w:p w14:paraId="354AACA1" w14:textId="77777777" w:rsidR="00284612" w:rsidRDefault="00284612" w:rsidP="00124A51">
      <w:r>
        <w:continuationSeparator/>
      </w:r>
    </w:p>
    <w:p w14:paraId="0CCD615A" w14:textId="77777777" w:rsidR="00284612" w:rsidRDefault="00284612"/>
  </w:footnote>
  <w:footnote w:type="continuationNotice" w:id="1">
    <w:p w14:paraId="632AA770" w14:textId="77777777" w:rsidR="00284612" w:rsidRDefault="00284612"/>
  </w:footnote>
  <w:footnote w:id="2">
    <w:p w14:paraId="1A90E08A" w14:textId="77777777" w:rsidR="00240629" w:rsidRPr="00715733" w:rsidRDefault="00240629" w:rsidP="005B4078">
      <w:pPr>
        <w:pStyle w:val="FootnoteText"/>
        <w:rPr>
          <w:rFonts w:asciiTheme="minorHAnsi" w:hAnsiTheme="minorHAnsi" w:cstheme="minorHAnsi"/>
        </w:rPr>
      </w:pPr>
      <w:r w:rsidRPr="00715733">
        <w:rPr>
          <w:rStyle w:val="FootnoteReference"/>
          <w:rFonts w:asciiTheme="minorHAnsi" w:hAnsiTheme="minorHAnsi" w:cstheme="minorHAnsi"/>
        </w:rPr>
        <w:footnoteRef/>
      </w:r>
      <w:r w:rsidRPr="00715733">
        <w:rPr>
          <w:rFonts w:asciiTheme="minorHAnsi" w:hAnsiTheme="minorHAnsi" w:cstheme="minorHAnsi"/>
        </w:rPr>
        <w:t xml:space="preserve"> RR of 3.828 based on Cohort 1A vs OBR base case in Table 7, pg. 21 of the lenacapavir November 2022 PSD.</w:t>
      </w:r>
    </w:p>
  </w:footnote>
  <w:footnote w:id="3">
    <w:p w14:paraId="118A0F8E" w14:textId="45F5B71C" w:rsidR="000626A6" w:rsidRPr="000626A6" w:rsidRDefault="000626A6">
      <w:pPr>
        <w:pStyle w:val="FootnoteText"/>
        <w:rPr>
          <w:rFonts w:asciiTheme="minorHAnsi" w:hAnsiTheme="minorHAnsi" w:cstheme="minorHAnsi"/>
          <w:sz w:val="18"/>
          <w:szCs w:val="18"/>
        </w:rPr>
      </w:pPr>
      <w:r w:rsidRPr="000626A6">
        <w:rPr>
          <w:rStyle w:val="FootnoteReference"/>
          <w:rFonts w:asciiTheme="minorHAnsi" w:hAnsiTheme="minorHAnsi" w:cstheme="minorHAnsi"/>
          <w:sz w:val="18"/>
          <w:szCs w:val="18"/>
        </w:rPr>
        <w:footnoteRef/>
      </w:r>
      <w:r w:rsidRPr="000626A6">
        <w:rPr>
          <w:rFonts w:asciiTheme="minorHAnsi" w:hAnsiTheme="minorHAnsi" w:cstheme="minorHAnsi"/>
          <w:sz w:val="18"/>
          <w:szCs w:val="18"/>
        </w:rPr>
        <w:t xml:space="preserve"> https://www.pbs.gov.au/info/industry/listing/elements/pbac-meetings/psd/2009-11/pbac-psd-Maraviroc-nov09</w:t>
      </w:r>
    </w:p>
  </w:footnote>
  <w:footnote w:id="4">
    <w:p w14:paraId="60E99226" w14:textId="7DB66386" w:rsidR="000626A6" w:rsidRDefault="000626A6">
      <w:pPr>
        <w:pStyle w:val="FootnoteText"/>
      </w:pPr>
      <w:r w:rsidRPr="000626A6">
        <w:rPr>
          <w:rStyle w:val="FootnoteReference"/>
          <w:rFonts w:asciiTheme="minorHAnsi" w:hAnsiTheme="minorHAnsi" w:cstheme="minorHAnsi"/>
          <w:sz w:val="18"/>
          <w:szCs w:val="18"/>
        </w:rPr>
        <w:footnoteRef/>
      </w:r>
      <w:r w:rsidRPr="000626A6">
        <w:rPr>
          <w:rFonts w:asciiTheme="minorHAnsi" w:hAnsiTheme="minorHAnsi" w:cstheme="minorHAnsi"/>
          <w:sz w:val="18"/>
          <w:szCs w:val="18"/>
        </w:rPr>
        <w:t xml:space="preserve"> https://www.pbs.gov.au/info/industry/listing/elements/pbac-meetings/psd/2007-07/pbac-psd-darunavir-ethanolate-july07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C5DE" w14:textId="77777777" w:rsidR="00851D33" w:rsidRDefault="00851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224E" w14:textId="2501B79D" w:rsidR="00483F2D" w:rsidRPr="00056684" w:rsidRDefault="00D66751" w:rsidP="00483F2D">
    <w:pPr>
      <w:pStyle w:val="Header"/>
      <w:ind w:left="360"/>
      <w:rPr>
        <w:rFonts w:asciiTheme="minorHAnsi" w:hAnsiTheme="minorHAnsi"/>
        <w:i/>
        <w:color w:val="808080"/>
      </w:rPr>
    </w:pPr>
    <w:bookmarkStart w:id="103" w:name="_Hlk76375146"/>
    <w:r>
      <w:rPr>
        <w:rFonts w:asciiTheme="minorHAnsi" w:hAnsiTheme="minorHAnsi"/>
        <w:i/>
        <w:color w:val="808080"/>
      </w:rPr>
      <w:t>Public Summary Document</w:t>
    </w:r>
    <w:r w:rsidR="00483F2D" w:rsidRPr="00056684">
      <w:rPr>
        <w:rFonts w:asciiTheme="minorHAnsi" w:hAnsiTheme="minorHAnsi"/>
        <w:i/>
        <w:color w:val="808080"/>
      </w:rPr>
      <w:t xml:space="preserve"> – </w:t>
    </w:r>
    <w:r w:rsidR="00483F2D">
      <w:rPr>
        <w:rFonts w:asciiTheme="minorHAnsi" w:hAnsiTheme="minorHAnsi"/>
        <w:i/>
        <w:color w:val="808080"/>
      </w:rPr>
      <w:t>November 2023</w:t>
    </w:r>
    <w:r w:rsidR="00483F2D" w:rsidRPr="00056684">
      <w:rPr>
        <w:rFonts w:asciiTheme="minorHAnsi" w:hAnsiTheme="minorHAnsi"/>
        <w:i/>
        <w:color w:val="808080"/>
      </w:rPr>
      <w:t xml:space="preserve"> PBAC Meeting</w:t>
    </w:r>
  </w:p>
  <w:bookmarkEnd w:id="103"/>
  <w:p w14:paraId="6CDE527E" w14:textId="541C44FF" w:rsidR="00240629" w:rsidRPr="00C90308" w:rsidRDefault="00240629" w:rsidP="00C90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39EE" w14:textId="77777777" w:rsidR="00240629" w:rsidRDefault="00240629" w:rsidP="00240629">
    <w:proofErr w:type="spellStart"/>
    <w:r>
      <w:t>Lenacapavir</w:t>
    </w:r>
    <w:proofErr w:type="spellEnd"/>
    <w:r>
      <w:t xml:space="preserve"> </w:t>
    </w:r>
    <w:r w:rsidRPr="00446645">
      <w:t>(</w:t>
    </w:r>
    <w:proofErr w:type="spellStart"/>
    <w:r>
      <w:t>Sunlenca</w:t>
    </w:r>
    <w:proofErr w:type="spellEnd"/>
    <w:r>
      <w:rPr>
        <w:rFonts w:cs="Calibri"/>
      </w:rPr>
      <w:t>®</w:t>
    </w:r>
    <w:r w:rsidRPr="00446645">
      <w:t>)</w:t>
    </w:r>
    <w:r>
      <w:tab/>
    </w:r>
    <w:r w:rsidRPr="00015292">
      <w:t>November 2022</w:t>
    </w:r>
    <w:r>
      <w:t xml:space="preserve"> PBAC Resubmission</w:t>
    </w:r>
    <w:r>
      <w:tab/>
      <w:t>Section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D4F6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0327B94"/>
    <w:multiLevelType w:val="hybridMultilevel"/>
    <w:tmpl w:val="6CA2EA9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19866838"/>
    <w:multiLevelType w:val="hybridMultilevel"/>
    <w:tmpl w:val="2E5CFC8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8660F"/>
    <w:multiLevelType w:val="hybridMultilevel"/>
    <w:tmpl w:val="51F45F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FC164C2"/>
    <w:multiLevelType w:val="multilevel"/>
    <w:tmpl w:val="45FC285E"/>
    <w:styleLink w:val="CurrentList1"/>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E566423"/>
    <w:multiLevelType w:val="hybridMultilevel"/>
    <w:tmpl w:val="DDC2FD34"/>
    <w:lvl w:ilvl="0" w:tplc="05A83D52">
      <w:start w:val="1"/>
      <w:numFmt w:val="lowerLetter"/>
      <w:lvlText w:val="%1."/>
      <w:lvlJc w:val="left"/>
      <w:pPr>
        <w:ind w:left="720" w:hanging="360"/>
      </w:pPr>
      <w:rPr>
        <w:rFonts w:hint="default"/>
        <w:color w:val="403152" w:themeColor="accent4"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A42D5"/>
    <w:multiLevelType w:val="hybridMultilevel"/>
    <w:tmpl w:val="5BB0C5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280F94"/>
    <w:multiLevelType w:val="hybridMultilevel"/>
    <w:tmpl w:val="F084A0C4"/>
    <w:lvl w:ilvl="0" w:tplc="04090001">
      <w:start w:val="1"/>
      <w:numFmt w:val="bullet"/>
      <w:lvlText w:val=""/>
      <w:lvlJc w:val="left"/>
      <w:pPr>
        <w:ind w:left="720" w:hanging="360"/>
      </w:pPr>
      <w:rPr>
        <w:rFonts w:ascii="Symbol" w:hAnsi="Symbol" w:hint="default"/>
      </w:rPr>
    </w:lvl>
    <w:lvl w:ilvl="1" w:tplc="13AC0DE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76C72"/>
    <w:multiLevelType w:val="hybridMultilevel"/>
    <w:tmpl w:val="C3B0E216"/>
    <w:lvl w:ilvl="0" w:tplc="0B4EF88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8120D7"/>
    <w:multiLevelType w:val="hybridMultilevel"/>
    <w:tmpl w:val="42B814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2A45D53"/>
    <w:multiLevelType w:val="multilevel"/>
    <w:tmpl w:val="F0FA40EA"/>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984927"/>
    <w:multiLevelType w:val="hybridMultilevel"/>
    <w:tmpl w:val="2056DA9C"/>
    <w:lvl w:ilvl="0" w:tplc="0C090003">
      <w:start w:val="1"/>
      <w:numFmt w:val="bullet"/>
      <w:lvlText w:val="o"/>
      <w:lvlJc w:val="left"/>
      <w:pPr>
        <w:ind w:left="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E010D4"/>
    <w:multiLevelType w:val="hybridMultilevel"/>
    <w:tmpl w:val="B1C67562"/>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84D033C"/>
    <w:multiLevelType w:val="multilevel"/>
    <w:tmpl w:val="4C6AEDB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2" w15:restartNumberingAfterBreak="0">
    <w:nsid w:val="7FB5218C"/>
    <w:multiLevelType w:val="hybridMultilevel"/>
    <w:tmpl w:val="3E42D7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88108978">
    <w:abstractNumId w:val="19"/>
  </w:num>
  <w:num w:numId="2" w16cid:durableId="1160461607">
    <w:abstractNumId w:val="13"/>
  </w:num>
  <w:num w:numId="3" w16cid:durableId="919218135">
    <w:abstractNumId w:val="19"/>
  </w:num>
  <w:num w:numId="4" w16cid:durableId="331376925">
    <w:abstractNumId w:val="20"/>
  </w:num>
  <w:num w:numId="5" w16cid:durableId="781195682">
    <w:abstractNumId w:val="10"/>
  </w:num>
  <w:num w:numId="6" w16cid:durableId="1695958008">
    <w:abstractNumId w:val="14"/>
  </w:num>
  <w:num w:numId="7" w16cid:durableId="603804930">
    <w:abstractNumId w:val="7"/>
  </w:num>
  <w:num w:numId="8" w16cid:durableId="30344809">
    <w:abstractNumId w:val="9"/>
  </w:num>
  <w:num w:numId="9" w16cid:durableId="761798396">
    <w:abstractNumId w:val="22"/>
  </w:num>
  <w:num w:numId="10" w16cid:durableId="1113939611">
    <w:abstractNumId w:val="5"/>
  </w:num>
  <w:num w:numId="11" w16cid:durableId="605190642">
    <w:abstractNumId w:val="19"/>
    <w:lvlOverride w:ilvl="0">
      <w:startOverride w:val="4"/>
    </w:lvlOverride>
    <w:lvlOverride w:ilvl="1">
      <w:startOverride w:val="1"/>
    </w:lvlOverride>
  </w:num>
  <w:num w:numId="12" w16cid:durableId="21633883">
    <w:abstractNumId w:val="2"/>
  </w:num>
  <w:num w:numId="13" w16cid:durableId="1887176610">
    <w:abstractNumId w:val="3"/>
  </w:num>
  <w:num w:numId="14" w16cid:durableId="1388796573">
    <w:abstractNumId w:val="21"/>
  </w:num>
  <w:num w:numId="15" w16cid:durableId="245651526">
    <w:abstractNumId w:val="8"/>
  </w:num>
  <w:num w:numId="16" w16cid:durableId="2072264194">
    <w:abstractNumId w:val="15"/>
  </w:num>
  <w:num w:numId="17" w16cid:durableId="1128818037">
    <w:abstractNumId w:val="18"/>
  </w:num>
  <w:num w:numId="18" w16cid:durableId="1760251340">
    <w:abstractNumId w:val="11"/>
  </w:num>
  <w:num w:numId="19" w16cid:durableId="546257212">
    <w:abstractNumId w:val="16"/>
  </w:num>
  <w:num w:numId="20" w16cid:durableId="980572333">
    <w:abstractNumId w:val="6"/>
  </w:num>
  <w:num w:numId="21" w16cid:durableId="1426074951">
    <w:abstractNumId w:val="17"/>
  </w:num>
  <w:num w:numId="22" w16cid:durableId="1887519573">
    <w:abstractNumId w:val="19"/>
  </w:num>
  <w:num w:numId="23" w16cid:durableId="743189408">
    <w:abstractNumId w:val="19"/>
  </w:num>
  <w:num w:numId="24" w16cid:durableId="1099179387">
    <w:abstractNumId w:val="0"/>
  </w:num>
  <w:num w:numId="25" w16cid:durableId="1587806481">
    <w:abstractNumId w:val="4"/>
  </w:num>
  <w:num w:numId="26" w16cid:durableId="1244101011">
    <w:abstractNumId w:val="19"/>
  </w:num>
  <w:num w:numId="27" w16cid:durableId="442261417">
    <w:abstractNumId w:val="19"/>
  </w:num>
  <w:num w:numId="28" w16cid:durableId="1256981325">
    <w:abstractNumId w:val="1"/>
  </w:num>
  <w:num w:numId="29" w16cid:durableId="191712767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2EC"/>
    <w:rsid w:val="00000790"/>
    <w:rsid w:val="00000AAF"/>
    <w:rsid w:val="00000D06"/>
    <w:rsid w:val="0000110B"/>
    <w:rsid w:val="00001EE7"/>
    <w:rsid w:val="0000211C"/>
    <w:rsid w:val="00002487"/>
    <w:rsid w:val="0000322A"/>
    <w:rsid w:val="00003499"/>
    <w:rsid w:val="000039B7"/>
    <w:rsid w:val="00004BAD"/>
    <w:rsid w:val="0000513D"/>
    <w:rsid w:val="000056B9"/>
    <w:rsid w:val="00006191"/>
    <w:rsid w:val="0000639A"/>
    <w:rsid w:val="00006DDA"/>
    <w:rsid w:val="00007B32"/>
    <w:rsid w:val="00007D29"/>
    <w:rsid w:val="00010DEF"/>
    <w:rsid w:val="000112B0"/>
    <w:rsid w:val="00012423"/>
    <w:rsid w:val="00012C5D"/>
    <w:rsid w:val="00013247"/>
    <w:rsid w:val="00013571"/>
    <w:rsid w:val="00014486"/>
    <w:rsid w:val="00015886"/>
    <w:rsid w:val="00015E9B"/>
    <w:rsid w:val="000162EF"/>
    <w:rsid w:val="0001728D"/>
    <w:rsid w:val="00017371"/>
    <w:rsid w:val="000207C9"/>
    <w:rsid w:val="0002225F"/>
    <w:rsid w:val="000223F8"/>
    <w:rsid w:val="0002258E"/>
    <w:rsid w:val="00022655"/>
    <w:rsid w:val="00022DEC"/>
    <w:rsid w:val="00022E56"/>
    <w:rsid w:val="00023763"/>
    <w:rsid w:val="00024747"/>
    <w:rsid w:val="00024955"/>
    <w:rsid w:val="00024EB5"/>
    <w:rsid w:val="0002567F"/>
    <w:rsid w:val="00025BD4"/>
    <w:rsid w:val="000264E7"/>
    <w:rsid w:val="00026B23"/>
    <w:rsid w:val="000274B8"/>
    <w:rsid w:val="00027C63"/>
    <w:rsid w:val="000309C6"/>
    <w:rsid w:val="000330C7"/>
    <w:rsid w:val="00033863"/>
    <w:rsid w:val="000348FA"/>
    <w:rsid w:val="00034A6C"/>
    <w:rsid w:val="00035B86"/>
    <w:rsid w:val="00035DC0"/>
    <w:rsid w:val="00036829"/>
    <w:rsid w:val="000370B7"/>
    <w:rsid w:val="0003777D"/>
    <w:rsid w:val="00040895"/>
    <w:rsid w:val="000410A0"/>
    <w:rsid w:val="000435EE"/>
    <w:rsid w:val="00043C37"/>
    <w:rsid w:val="00045017"/>
    <w:rsid w:val="00045546"/>
    <w:rsid w:val="00045A2B"/>
    <w:rsid w:val="0004698F"/>
    <w:rsid w:val="00046D64"/>
    <w:rsid w:val="0004718F"/>
    <w:rsid w:val="000508C2"/>
    <w:rsid w:val="0005090C"/>
    <w:rsid w:val="00051510"/>
    <w:rsid w:val="00051B5C"/>
    <w:rsid w:val="00051CC4"/>
    <w:rsid w:val="000520BC"/>
    <w:rsid w:val="000525E5"/>
    <w:rsid w:val="00052A23"/>
    <w:rsid w:val="0005312A"/>
    <w:rsid w:val="000539D0"/>
    <w:rsid w:val="00054621"/>
    <w:rsid w:val="0005466D"/>
    <w:rsid w:val="000546D7"/>
    <w:rsid w:val="00054A8D"/>
    <w:rsid w:val="00054FFE"/>
    <w:rsid w:val="0005673C"/>
    <w:rsid w:val="00056ECF"/>
    <w:rsid w:val="0005719C"/>
    <w:rsid w:val="00057A39"/>
    <w:rsid w:val="000604DF"/>
    <w:rsid w:val="000626A6"/>
    <w:rsid w:val="00063A51"/>
    <w:rsid w:val="000653B5"/>
    <w:rsid w:val="0006608B"/>
    <w:rsid w:val="00066360"/>
    <w:rsid w:val="00066AF8"/>
    <w:rsid w:val="00066D24"/>
    <w:rsid w:val="0006776A"/>
    <w:rsid w:val="00070F39"/>
    <w:rsid w:val="00071248"/>
    <w:rsid w:val="00071D84"/>
    <w:rsid w:val="000720B9"/>
    <w:rsid w:val="000737F7"/>
    <w:rsid w:val="00073C52"/>
    <w:rsid w:val="00074C07"/>
    <w:rsid w:val="00076045"/>
    <w:rsid w:val="0007672F"/>
    <w:rsid w:val="000769B6"/>
    <w:rsid w:val="00076B54"/>
    <w:rsid w:val="00076C4F"/>
    <w:rsid w:val="00077266"/>
    <w:rsid w:val="0007726D"/>
    <w:rsid w:val="00077490"/>
    <w:rsid w:val="000774F0"/>
    <w:rsid w:val="00077DA5"/>
    <w:rsid w:val="00080173"/>
    <w:rsid w:val="00080909"/>
    <w:rsid w:val="00081233"/>
    <w:rsid w:val="000812CA"/>
    <w:rsid w:val="00081E63"/>
    <w:rsid w:val="0008258D"/>
    <w:rsid w:val="00082A4A"/>
    <w:rsid w:val="000834A9"/>
    <w:rsid w:val="00083B7F"/>
    <w:rsid w:val="00083E99"/>
    <w:rsid w:val="00084CCA"/>
    <w:rsid w:val="00084FA8"/>
    <w:rsid w:val="000856C5"/>
    <w:rsid w:val="00085BE8"/>
    <w:rsid w:val="00085C31"/>
    <w:rsid w:val="00085E7F"/>
    <w:rsid w:val="00086097"/>
    <w:rsid w:val="000877E3"/>
    <w:rsid w:val="000902D9"/>
    <w:rsid w:val="00090C7E"/>
    <w:rsid w:val="000911AC"/>
    <w:rsid w:val="000924EB"/>
    <w:rsid w:val="00092600"/>
    <w:rsid w:val="0009262B"/>
    <w:rsid w:val="000929A1"/>
    <w:rsid w:val="0009314A"/>
    <w:rsid w:val="00093310"/>
    <w:rsid w:val="00093564"/>
    <w:rsid w:val="00093EE3"/>
    <w:rsid w:val="00093F37"/>
    <w:rsid w:val="00093F3D"/>
    <w:rsid w:val="0009445C"/>
    <w:rsid w:val="00095200"/>
    <w:rsid w:val="000954BE"/>
    <w:rsid w:val="0009578A"/>
    <w:rsid w:val="00095FE5"/>
    <w:rsid w:val="0009612C"/>
    <w:rsid w:val="00096284"/>
    <w:rsid w:val="00096392"/>
    <w:rsid w:val="000A1BC0"/>
    <w:rsid w:val="000A2D52"/>
    <w:rsid w:val="000A2F9E"/>
    <w:rsid w:val="000A3959"/>
    <w:rsid w:val="000A3E47"/>
    <w:rsid w:val="000A522B"/>
    <w:rsid w:val="000A6039"/>
    <w:rsid w:val="000A7453"/>
    <w:rsid w:val="000A7D08"/>
    <w:rsid w:val="000B0121"/>
    <w:rsid w:val="000B01F1"/>
    <w:rsid w:val="000B0670"/>
    <w:rsid w:val="000B0E75"/>
    <w:rsid w:val="000B1372"/>
    <w:rsid w:val="000B1846"/>
    <w:rsid w:val="000B2DCB"/>
    <w:rsid w:val="000B2DD0"/>
    <w:rsid w:val="000B321A"/>
    <w:rsid w:val="000B3D01"/>
    <w:rsid w:val="000B4C64"/>
    <w:rsid w:val="000B5873"/>
    <w:rsid w:val="000B5CE0"/>
    <w:rsid w:val="000B64E3"/>
    <w:rsid w:val="000B6CAC"/>
    <w:rsid w:val="000B7117"/>
    <w:rsid w:val="000B7612"/>
    <w:rsid w:val="000B78AE"/>
    <w:rsid w:val="000B7D77"/>
    <w:rsid w:val="000C0F1A"/>
    <w:rsid w:val="000C24D1"/>
    <w:rsid w:val="000C2B3E"/>
    <w:rsid w:val="000C3DF9"/>
    <w:rsid w:val="000C4CF2"/>
    <w:rsid w:val="000C556E"/>
    <w:rsid w:val="000C55D8"/>
    <w:rsid w:val="000C5D37"/>
    <w:rsid w:val="000C6713"/>
    <w:rsid w:val="000C695F"/>
    <w:rsid w:val="000C701A"/>
    <w:rsid w:val="000C7A4C"/>
    <w:rsid w:val="000C7D51"/>
    <w:rsid w:val="000D0983"/>
    <w:rsid w:val="000D0CA2"/>
    <w:rsid w:val="000D1BFB"/>
    <w:rsid w:val="000D1BFC"/>
    <w:rsid w:val="000D1D5D"/>
    <w:rsid w:val="000D2231"/>
    <w:rsid w:val="000D281A"/>
    <w:rsid w:val="000D2848"/>
    <w:rsid w:val="000D326A"/>
    <w:rsid w:val="000D46CC"/>
    <w:rsid w:val="000D51FB"/>
    <w:rsid w:val="000D6AA9"/>
    <w:rsid w:val="000D7CBC"/>
    <w:rsid w:val="000E0640"/>
    <w:rsid w:val="000E1056"/>
    <w:rsid w:val="000E135D"/>
    <w:rsid w:val="000E1D38"/>
    <w:rsid w:val="000E1D61"/>
    <w:rsid w:val="000E1FEE"/>
    <w:rsid w:val="000E2305"/>
    <w:rsid w:val="000E3775"/>
    <w:rsid w:val="000E393F"/>
    <w:rsid w:val="000E52C6"/>
    <w:rsid w:val="000E535D"/>
    <w:rsid w:val="000E5AEE"/>
    <w:rsid w:val="000E5B15"/>
    <w:rsid w:val="000E5C1B"/>
    <w:rsid w:val="000F00BA"/>
    <w:rsid w:val="000F06D7"/>
    <w:rsid w:val="000F0A65"/>
    <w:rsid w:val="000F1708"/>
    <w:rsid w:val="000F212C"/>
    <w:rsid w:val="000F23B9"/>
    <w:rsid w:val="000F316A"/>
    <w:rsid w:val="000F3572"/>
    <w:rsid w:val="000F3847"/>
    <w:rsid w:val="000F3C29"/>
    <w:rsid w:val="000F3C74"/>
    <w:rsid w:val="000F45A5"/>
    <w:rsid w:val="000F46EF"/>
    <w:rsid w:val="000F4BB8"/>
    <w:rsid w:val="000F4FA9"/>
    <w:rsid w:val="000F5220"/>
    <w:rsid w:val="000F53FB"/>
    <w:rsid w:val="000F6857"/>
    <w:rsid w:val="000F7127"/>
    <w:rsid w:val="000F7262"/>
    <w:rsid w:val="000F7B54"/>
    <w:rsid w:val="001000B3"/>
    <w:rsid w:val="00100F8A"/>
    <w:rsid w:val="00101B7A"/>
    <w:rsid w:val="00101DBD"/>
    <w:rsid w:val="00102A84"/>
    <w:rsid w:val="0010393B"/>
    <w:rsid w:val="0010452E"/>
    <w:rsid w:val="00104C1C"/>
    <w:rsid w:val="001051C1"/>
    <w:rsid w:val="00105AE2"/>
    <w:rsid w:val="00105F49"/>
    <w:rsid w:val="001060C6"/>
    <w:rsid w:val="001069BC"/>
    <w:rsid w:val="00106B80"/>
    <w:rsid w:val="0011032E"/>
    <w:rsid w:val="00110955"/>
    <w:rsid w:val="00111389"/>
    <w:rsid w:val="001116D0"/>
    <w:rsid w:val="0011348B"/>
    <w:rsid w:val="00114F39"/>
    <w:rsid w:val="00115982"/>
    <w:rsid w:val="00115986"/>
    <w:rsid w:val="00116BF9"/>
    <w:rsid w:val="00116C53"/>
    <w:rsid w:val="0012032F"/>
    <w:rsid w:val="00120CD9"/>
    <w:rsid w:val="00121776"/>
    <w:rsid w:val="00121799"/>
    <w:rsid w:val="001222FC"/>
    <w:rsid w:val="00123902"/>
    <w:rsid w:val="00123D83"/>
    <w:rsid w:val="00124A51"/>
    <w:rsid w:val="00124B4F"/>
    <w:rsid w:val="001265ED"/>
    <w:rsid w:val="00126621"/>
    <w:rsid w:val="00126B1D"/>
    <w:rsid w:val="00126C16"/>
    <w:rsid w:val="001277AB"/>
    <w:rsid w:val="001301E9"/>
    <w:rsid w:val="0013040D"/>
    <w:rsid w:val="00130B85"/>
    <w:rsid w:val="001317BB"/>
    <w:rsid w:val="00131CBB"/>
    <w:rsid w:val="00131D82"/>
    <w:rsid w:val="00132B22"/>
    <w:rsid w:val="00133D36"/>
    <w:rsid w:val="00137645"/>
    <w:rsid w:val="0014015A"/>
    <w:rsid w:val="001401BA"/>
    <w:rsid w:val="00140E99"/>
    <w:rsid w:val="00140FCB"/>
    <w:rsid w:val="0014207D"/>
    <w:rsid w:val="001421FF"/>
    <w:rsid w:val="001425C4"/>
    <w:rsid w:val="00142ABC"/>
    <w:rsid w:val="00143F67"/>
    <w:rsid w:val="001444A8"/>
    <w:rsid w:val="0014521F"/>
    <w:rsid w:val="00145234"/>
    <w:rsid w:val="00145540"/>
    <w:rsid w:val="001456B0"/>
    <w:rsid w:val="00146098"/>
    <w:rsid w:val="0014624B"/>
    <w:rsid w:val="00150175"/>
    <w:rsid w:val="00150D81"/>
    <w:rsid w:val="001517A0"/>
    <w:rsid w:val="00151D30"/>
    <w:rsid w:val="00151E69"/>
    <w:rsid w:val="00152FE7"/>
    <w:rsid w:val="00153E31"/>
    <w:rsid w:val="001547AB"/>
    <w:rsid w:val="00155607"/>
    <w:rsid w:val="00156F8F"/>
    <w:rsid w:val="00157130"/>
    <w:rsid w:val="001576B1"/>
    <w:rsid w:val="001576CC"/>
    <w:rsid w:val="00160317"/>
    <w:rsid w:val="0016047B"/>
    <w:rsid w:val="00160A4C"/>
    <w:rsid w:val="00160D4C"/>
    <w:rsid w:val="00160DBF"/>
    <w:rsid w:val="00161178"/>
    <w:rsid w:val="00162913"/>
    <w:rsid w:val="00162D83"/>
    <w:rsid w:val="0016310A"/>
    <w:rsid w:val="00163EFF"/>
    <w:rsid w:val="00163F66"/>
    <w:rsid w:val="0016478E"/>
    <w:rsid w:val="0016532F"/>
    <w:rsid w:val="00165574"/>
    <w:rsid w:val="00165EC4"/>
    <w:rsid w:val="001661FB"/>
    <w:rsid w:val="0016655D"/>
    <w:rsid w:val="0016677D"/>
    <w:rsid w:val="001671A0"/>
    <w:rsid w:val="00167642"/>
    <w:rsid w:val="0016767F"/>
    <w:rsid w:val="00171277"/>
    <w:rsid w:val="00171B5A"/>
    <w:rsid w:val="00171BFC"/>
    <w:rsid w:val="00172690"/>
    <w:rsid w:val="00173565"/>
    <w:rsid w:val="00173A3A"/>
    <w:rsid w:val="00173B07"/>
    <w:rsid w:val="00174217"/>
    <w:rsid w:val="001751FA"/>
    <w:rsid w:val="001753F1"/>
    <w:rsid w:val="00176A5B"/>
    <w:rsid w:val="00176CA8"/>
    <w:rsid w:val="00176EEB"/>
    <w:rsid w:val="00177770"/>
    <w:rsid w:val="00177772"/>
    <w:rsid w:val="00177D5C"/>
    <w:rsid w:val="00177E17"/>
    <w:rsid w:val="00177FD6"/>
    <w:rsid w:val="00180F5E"/>
    <w:rsid w:val="00181950"/>
    <w:rsid w:val="00181C10"/>
    <w:rsid w:val="00181D9C"/>
    <w:rsid w:val="00182535"/>
    <w:rsid w:val="00182BB1"/>
    <w:rsid w:val="001837FF"/>
    <w:rsid w:val="001846A1"/>
    <w:rsid w:val="001847FC"/>
    <w:rsid w:val="00184B0E"/>
    <w:rsid w:val="001855C9"/>
    <w:rsid w:val="0018752F"/>
    <w:rsid w:val="00191819"/>
    <w:rsid w:val="001924CF"/>
    <w:rsid w:val="0019280F"/>
    <w:rsid w:val="00192A1B"/>
    <w:rsid w:val="00193838"/>
    <w:rsid w:val="00193D86"/>
    <w:rsid w:val="00194639"/>
    <w:rsid w:val="00194AD8"/>
    <w:rsid w:val="00194B9D"/>
    <w:rsid w:val="00195222"/>
    <w:rsid w:val="00195452"/>
    <w:rsid w:val="00195DAC"/>
    <w:rsid w:val="001975D8"/>
    <w:rsid w:val="001978AA"/>
    <w:rsid w:val="00197A58"/>
    <w:rsid w:val="001A0C6B"/>
    <w:rsid w:val="001A1285"/>
    <w:rsid w:val="001A178E"/>
    <w:rsid w:val="001A1897"/>
    <w:rsid w:val="001A1A3F"/>
    <w:rsid w:val="001A3C11"/>
    <w:rsid w:val="001A43F9"/>
    <w:rsid w:val="001A43FA"/>
    <w:rsid w:val="001A47C5"/>
    <w:rsid w:val="001A4850"/>
    <w:rsid w:val="001A59FB"/>
    <w:rsid w:val="001A5E9E"/>
    <w:rsid w:val="001A6354"/>
    <w:rsid w:val="001A6366"/>
    <w:rsid w:val="001A70D9"/>
    <w:rsid w:val="001A7377"/>
    <w:rsid w:val="001A7AE8"/>
    <w:rsid w:val="001A7BA9"/>
    <w:rsid w:val="001B03EF"/>
    <w:rsid w:val="001B06A1"/>
    <w:rsid w:val="001B0F58"/>
    <w:rsid w:val="001B12AF"/>
    <w:rsid w:val="001B1C37"/>
    <w:rsid w:val="001B204E"/>
    <w:rsid w:val="001B2372"/>
    <w:rsid w:val="001B2F41"/>
    <w:rsid w:val="001B30B6"/>
    <w:rsid w:val="001B33D5"/>
    <w:rsid w:val="001B3443"/>
    <w:rsid w:val="001B4D20"/>
    <w:rsid w:val="001B5120"/>
    <w:rsid w:val="001B6520"/>
    <w:rsid w:val="001B6858"/>
    <w:rsid w:val="001B7F84"/>
    <w:rsid w:val="001C0090"/>
    <w:rsid w:val="001C07EC"/>
    <w:rsid w:val="001C0AC0"/>
    <w:rsid w:val="001C2A9B"/>
    <w:rsid w:val="001C2B44"/>
    <w:rsid w:val="001C2CBF"/>
    <w:rsid w:val="001C33BC"/>
    <w:rsid w:val="001C3DD6"/>
    <w:rsid w:val="001C4299"/>
    <w:rsid w:val="001C42C5"/>
    <w:rsid w:val="001C4874"/>
    <w:rsid w:val="001C5F94"/>
    <w:rsid w:val="001C6E66"/>
    <w:rsid w:val="001D0AA7"/>
    <w:rsid w:val="001D1100"/>
    <w:rsid w:val="001D1391"/>
    <w:rsid w:val="001D1CBA"/>
    <w:rsid w:val="001D20C5"/>
    <w:rsid w:val="001D25D7"/>
    <w:rsid w:val="001D295B"/>
    <w:rsid w:val="001D2B97"/>
    <w:rsid w:val="001D316A"/>
    <w:rsid w:val="001D3385"/>
    <w:rsid w:val="001D339B"/>
    <w:rsid w:val="001D4003"/>
    <w:rsid w:val="001D4108"/>
    <w:rsid w:val="001D461F"/>
    <w:rsid w:val="001D50B2"/>
    <w:rsid w:val="001D52D3"/>
    <w:rsid w:val="001D5410"/>
    <w:rsid w:val="001D6A90"/>
    <w:rsid w:val="001D71BD"/>
    <w:rsid w:val="001D71F4"/>
    <w:rsid w:val="001D7645"/>
    <w:rsid w:val="001E0736"/>
    <w:rsid w:val="001E1E86"/>
    <w:rsid w:val="001E2046"/>
    <w:rsid w:val="001E238E"/>
    <w:rsid w:val="001E23CE"/>
    <w:rsid w:val="001E2483"/>
    <w:rsid w:val="001E2881"/>
    <w:rsid w:val="001E2B1E"/>
    <w:rsid w:val="001E2B50"/>
    <w:rsid w:val="001E2CFF"/>
    <w:rsid w:val="001E2F24"/>
    <w:rsid w:val="001E30D4"/>
    <w:rsid w:val="001E34DF"/>
    <w:rsid w:val="001E3DA4"/>
    <w:rsid w:val="001E48F7"/>
    <w:rsid w:val="001E4C89"/>
    <w:rsid w:val="001E52EB"/>
    <w:rsid w:val="001E5E19"/>
    <w:rsid w:val="001E61D2"/>
    <w:rsid w:val="001E668B"/>
    <w:rsid w:val="001E66B4"/>
    <w:rsid w:val="001E6EDF"/>
    <w:rsid w:val="001E740C"/>
    <w:rsid w:val="001E7921"/>
    <w:rsid w:val="001E7FEB"/>
    <w:rsid w:val="001F1235"/>
    <w:rsid w:val="001F1398"/>
    <w:rsid w:val="001F18ED"/>
    <w:rsid w:val="001F1A80"/>
    <w:rsid w:val="001F1CB3"/>
    <w:rsid w:val="001F2CC3"/>
    <w:rsid w:val="001F3102"/>
    <w:rsid w:val="001F3519"/>
    <w:rsid w:val="001F38B5"/>
    <w:rsid w:val="001F3C0A"/>
    <w:rsid w:val="001F4081"/>
    <w:rsid w:val="001F4964"/>
    <w:rsid w:val="001F4DCC"/>
    <w:rsid w:val="001F5093"/>
    <w:rsid w:val="001F5154"/>
    <w:rsid w:val="001F5DEC"/>
    <w:rsid w:val="001F66C8"/>
    <w:rsid w:val="001F7361"/>
    <w:rsid w:val="00200BBD"/>
    <w:rsid w:val="002011B0"/>
    <w:rsid w:val="00201B3B"/>
    <w:rsid w:val="00201E5D"/>
    <w:rsid w:val="0020210D"/>
    <w:rsid w:val="00203181"/>
    <w:rsid w:val="00203437"/>
    <w:rsid w:val="00203783"/>
    <w:rsid w:val="0020385F"/>
    <w:rsid w:val="002068A0"/>
    <w:rsid w:val="00207021"/>
    <w:rsid w:val="0020732F"/>
    <w:rsid w:val="00207D00"/>
    <w:rsid w:val="002105C1"/>
    <w:rsid w:val="002116FD"/>
    <w:rsid w:val="0021252B"/>
    <w:rsid w:val="00213EF5"/>
    <w:rsid w:val="0021425F"/>
    <w:rsid w:val="00214566"/>
    <w:rsid w:val="00214FD4"/>
    <w:rsid w:val="002151AE"/>
    <w:rsid w:val="0021546F"/>
    <w:rsid w:val="00216BF5"/>
    <w:rsid w:val="0021746D"/>
    <w:rsid w:val="00217556"/>
    <w:rsid w:val="00222090"/>
    <w:rsid w:val="00222A4F"/>
    <w:rsid w:val="002235AB"/>
    <w:rsid w:val="00223B49"/>
    <w:rsid w:val="00223D5A"/>
    <w:rsid w:val="00224DD4"/>
    <w:rsid w:val="00226D7F"/>
    <w:rsid w:val="00227449"/>
    <w:rsid w:val="002278A0"/>
    <w:rsid w:val="002309CC"/>
    <w:rsid w:val="00231BA9"/>
    <w:rsid w:val="00231C27"/>
    <w:rsid w:val="00231D2E"/>
    <w:rsid w:val="0023209F"/>
    <w:rsid w:val="002334A7"/>
    <w:rsid w:val="00233558"/>
    <w:rsid w:val="00233C01"/>
    <w:rsid w:val="0023413C"/>
    <w:rsid w:val="002346F0"/>
    <w:rsid w:val="002352C2"/>
    <w:rsid w:val="0023629D"/>
    <w:rsid w:val="002362EC"/>
    <w:rsid w:val="00237255"/>
    <w:rsid w:val="00237D9B"/>
    <w:rsid w:val="00240303"/>
    <w:rsid w:val="00240629"/>
    <w:rsid w:val="002408D8"/>
    <w:rsid w:val="0024138C"/>
    <w:rsid w:val="002424AF"/>
    <w:rsid w:val="00242647"/>
    <w:rsid w:val="00242C39"/>
    <w:rsid w:val="0024392C"/>
    <w:rsid w:val="002439DC"/>
    <w:rsid w:val="002441D2"/>
    <w:rsid w:val="00244743"/>
    <w:rsid w:val="00244DC8"/>
    <w:rsid w:val="002458BA"/>
    <w:rsid w:val="00245CE9"/>
    <w:rsid w:val="0024636C"/>
    <w:rsid w:val="00247925"/>
    <w:rsid w:val="00251006"/>
    <w:rsid w:val="00251258"/>
    <w:rsid w:val="002524D5"/>
    <w:rsid w:val="00252505"/>
    <w:rsid w:val="002525B1"/>
    <w:rsid w:val="00253B1D"/>
    <w:rsid w:val="00254DCF"/>
    <w:rsid w:val="00254EA7"/>
    <w:rsid w:val="0025519A"/>
    <w:rsid w:val="0025534B"/>
    <w:rsid w:val="00255BB7"/>
    <w:rsid w:val="00256AC7"/>
    <w:rsid w:val="00256F5D"/>
    <w:rsid w:val="00257425"/>
    <w:rsid w:val="00257541"/>
    <w:rsid w:val="00257A39"/>
    <w:rsid w:val="00257AC4"/>
    <w:rsid w:val="00257BBE"/>
    <w:rsid w:val="00257C2F"/>
    <w:rsid w:val="00260E7E"/>
    <w:rsid w:val="0026114B"/>
    <w:rsid w:val="00261434"/>
    <w:rsid w:val="002615FD"/>
    <w:rsid w:val="00261EEF"/>
    <w:rsid w:val="0026207D"/>
    <w:rsid w:val="00262A1A"/>
    <w:rsid w:val="00262A87"/>
    <w:rsid w:val="00263005"/>
    <w:rsid w:val="00264956"/>
    <w:rsid w:val="00264D26"/>
    <w:rsid w:val="002651CC"/>
    <w:rsid w:val="00267642"/>
    <w:rsid w:val="00267AEA"/>
    <w:rsid w:val="002700E6"/>
    <w:rsid w:val="00271720"/>
    <w:rsid w:val="0027256D"/>
    <w:rsid w:val="0027294B"/>
    <w:rsid w:val="00273EB4"/>
    <w:rsid w:val="00274682"/>
    <w:rsid w:val="00275158"/>
    <w:rsid w:val="00275C5A"/>
    <w:rsid w:val="002761FC"/>
    <w:rsid w:val="00276943"/>
    <w:rsid w:val="002803CC"/>
    <w:rsid w:val="00280A49"/>
    <w:rsid w:val="00281014"/>
    <w:rsid w:val="002815F5"/>
    <w:rsid w:val="00281ECD"/>
    <w:rsid w:val="00282733"/>
    <w:rsid w:val="0028296D"/>
    <w:rsid w:val="00283053"/>
    <w:rsid w:val="0028338E"/>
    <w:rsid w:val="00283767"/>
    <w:rsid w:val="00283872"/>
    <w:rsid w:val="00283A33"/>
    <w:rsid w:val="00283D59"/>
    <w:rsid w:val="00284612"/>
    <w:rsid w:val="00285BCE"/>
    <w:rsid w:val="0028665D"/>
    <w:rsid w:val="0028674A"/>
    <w:rsid w:val="00286CD2"/>
    <w:rsid w:val="0029023A"/>
    <w:rsid w:val="00290417"/>
    <w:rsid w:val="00292ADD"/>
    <w:rsid w:val="0029339E"/>
    <w:rsid w:val="00294CA8"/>
    <w:rsid w:val="00294D03"/>
    <w:rsid w:val="002970C8"/>
    <w:rsid w:val="00297D0D"/>
    <w:rsid w:val="00297DA5"/>
    <w:rsid w:val="00297DD0"/>
    <w:rsid w:val="002A00A1"/>
    <w:rsid w:val="002A09E9"/>
    <w:rsid w:val="002A14AB"/>
    <w:rsid w:val="002A2ADE"/>
    <w:rsid w:val="002A2F50"/>
    <w:rsid w:val="002A3B54"/>
    <w:rsid w:val="002A3F03"/>
    <w:rsid w:val="002A3FA4"/>
    <w:rsid w:val="002A570F"/>
    <w:rsid w:val="002A5775"/>
    <w:rsid w:val="002A5CEA"/>
    <w:rsid w:val="002A6937"/>
    <w:rsid w:val="002A7943"/>
    <w:rsid w:val="002B05A1"/>
    <w:rsid w:val="002B09A4"/>
    <w:rsid w:val="002B14DD"/>
    <w:rsid w:val="002B1B08"/>
    <w:rsid w:val="002B1C1F"/>
    <w:rsid w:val="002B2983"/>
    <w:rsid w:val="002B2E40"/>
    <w:rsid w:val="002B3570"/>
    <w:rsid w:val="002B428C"/>
    <w:rsid w:val="002B432F"/>
    <w:rsid w:val="002B5AF0"/>
    <w:rsid w:val="002B62B3"/>
    <w:rsid w:val="002B6754"/>
    <w:rsid w:val="002B6BAE"/>
    <w:rsid w:val="002B6CCE"/>
    <w:rsid w:val="002B6D78"/>
    <w:rsid w:val="002C00EC"/>
    <w:rsid w:val="002C0C08"/>
    <w:rsid w:val="002C15BF"/>
    <w:rsid w:val="002C1DD5"/>
    <w:rsid w:val="002C2510"/>
    <w:rsid w:val="002C2775"/>
    <w:rsid w:val="002C27C1"/>
    <w:rsid w:val="002C36E3"/>
    <w:rsid w:val="002C3A7E"/>
    <w:rsid w:val="002C3EBA"/>
    <w:rsid w:val="002C48C8"/>
    <w:rsid w:val="002C5099"/>
    <w:rsid w:val="002C5889"/>
    <w:rsid w:val="002C5AFD"/>
    <w:rsid w:val="002C64EF"/>
    <w:rsid w:val="002C656A"/>
    <w:rsid w:val="002C6CCD"/>
    <w:rsid w:val="002C6F64"/>
    <w:rsid w:val="002C7017"/>
    <w:rsid w:val="002C71CE"/>
    <w:rsid w:val="002D08C7"/>
    <w:rsid w:val="002D08F8"/>
    <w:rsid w:val="002D0925"/>
    <w:rsid w:val="002D4273"/>
    <w:rsid w:val="002D4CAD"/>
    <w:rsid w:val="002D5723"/>
    <w:rsid w:val="002D577C"/>
    <w:rsid w:val="002D5A6A"/>
    <w:rsid w:val="002D7204"/>
    <w:rsid w:val="002D7832"/>
    <w:rsid w:val="002E0AE2"/>
    <w:rsid w:val="002E0B4F"/>
    <w:rsid w:val="002E1071"/>
    <w:rsid w:val="002E15B9"/>
    <w:rsid w:val="002E2004"/>
    <w:rsid w:val="002E2133"/>
    <w:rsid w:val="002E2158"/>
    <w:rsid w:val="002E4F02"/>
    <w:rsid w:val="002E6EEC"/>
    <w:rsid w:val="002E7222"/>
    <w:rsid w:val="002E72E0"/>
    <w:rsid w:val="002E7722"/>
    <w:rsid w:val="002F068E"/>
    <w:rsid w:val="002F07BA"/>
    <w:rsid w:val="002F0879"/>
    <w:rsid w:val="002F09CC"/>
    <w:rsid w:val="002F0DA9"/>
    <w:rsid w:val="002F1014"/>
    <w:rsid w:val="002F19F8"/>
    <w:rsid w:val="002F1E3B"/>
    <w:rsid w:val="002F24D3"/>
    <w:rsid w:val="002F3708"/>
    <w:rsid w:val="002F3B2B"/>
    <w:rsid w:val="002F3C1A"/>
    <w:rsid w:val="002F417A"/>
    <w:rsid w:val="002F432E"/>
    <w:rsid w:val="002F46BD"/>
    <w:rsid w:val="002F4D30"/>
    <w:rsid w:val="002F4E4E"/>
    <w:rsid w:val="002F5D8C"/>
    <w:rsid w:val="002F643C"/>
    <w:rsid w:val="002F6545"/>
    <w:rsid w:val="002F6FCB"/>
    <w:rsid w:val="002F71C0"/>
    <w:rsid w:val="002F74F1"/>
    <w:rsid w:val="003002AA"/>
    <w:rsid w:val="00301017"/>
    <w:rsid w:val="0030155F"/>
    <w:rsid w:val="00303291"/>
    <w:rsid w:val="00304365"/>
    <w:rsid w:val="00304AFF"/>
    <w:rsid w:val="00305244"/>
    <w:rsid w:val="0030587B"/>
    <w:rsid w:val="00305D00"/>
    <w:rsid w:val="00305FC8"/>
    <w:rsid w:val="00306057"/>
    <w:rsid w:val="00306783"/>
    <w:rsid w:val="00306D98"/>
    <w:rsid w:val="00306F3D"/>
    <w:rsid w:val="0030786C"/>
    <w:rsid w:val="0031031A"/>
    <w:rsid w:val="0031067F"/>
    <w:rsid w:val="00310981"/>
    <w:rsid w:val="00311D9B"/>
    <w:rsid w:val="00312013"/>
    <w:rsid w:val="003124D9"/>
    <w:rsid w:val="00312594"/>
    <w:rsid w:val="00312DE1"/>
    <w:rsid w:val="00313499"/>
    <w:rsid w:val="00315498"/>
    <w:rsid w:val="00315B47"/>
    <w:rsid w:val="00315EA6"/>
    <w:rsid w:val="00316474"/>
    <w:rsid w:val="003172C7"/>
    <w:rsid w:val="003178C8"/>
    <w:rsid w:val="003203E1"/>
    <w:rsid w:val="003216FD"/>
    <w:rsid w:val="003217E0"/>
    <w:rsid w:val="0032180F"/>
    <w:rsid w:val="00322107"/>
    <w:rsid w:val="00322355"/>
    <w:rsid w:val="00322846"/>
    <w:rsid w:val="00322F6D"/>
    <w:rsid w:val="003235F1"/>
    <w:rsid w:val="0032403E"/>
    <w:rsid w:val="00324E41"/>
    <w:rsid w:val="00325433"/>
    <w:rsid w:val="00325617"/>
    <w:rsid w:val="00325D04"/>
    <w:rsid w:val="00326982"/>
    <w:rsid w:val="00326DA7"/>
    <w:rsid w:val="003270E4"/>
    <w:rsid w:val="003275A0"/>
    <w:rsid w:val="003303EC"/>
    <w:rsid w:val="00330DAA"/>
    <w:rsid w:val="00330F5C"/>
    <w:rsid w:val="003312A1"/>
    <w:rsid w:val="003325BE"/>
    <w:rsid w:val="00332B63"/>
    <w:rsid w:val="00333A67"/>
    <w:rsid w:val="003345D7"/>
    <w:rsid w:val="003366C9"/>
    <w:rsid w:val="003371B0"/>
    <w:rsid w:val="0033728C"/>
    <w:rsid w:val="003379E8"/>
    <w:rsid w:val="00340DF1"/>
    <w:rsid w:val="00345584"/>
    <w:rsid w:val="003457B3"/>
    <w:rsid w:val="00346712"/>
    <w:rsid w:val="00346A7B"/>
    <w:rsid w:val="00347E3C"/>
    <w:rsid w:val="00350702"/>
    <w:rsid w:val="00350F8C"/>
    <w:rsid w:val="003517F9"/>
    <w:rsid w:val="00351BA9"/>
    <w:rsid w:val="00353625"/>
    <w:rsid w:val="00354F64"/>
    <w:rsid w:val="00355335"/>
    <w:rsid w:val="0035620E"/>
    <w:rsid w:val="0035689D"/>
    <w:rsid w:val="0035690B"/>
    <w:rsid w:val="00356961"/>
    <w:rsid w:val="003573B0"/>
    <w:rsid w:val="003575BE"/>
    <w:rsid w:val="00360345"/>
    <w:rsid w:val="00360C0C"/>
    <w:rsid w:val="00361A05"/>
    <w:rsid w:val="00361C51"/>
    <w:rsid w:val="003622F8"/>
    <w:rsid w:val="003624C4"/>
    <w:rsid w:val="00362E5A"/>
    <w:rsid w:val="00362F9B"/>
    <w:rsid w:val="00363148"/>
    <w:rsid w:val="00363318"/>
    <w:rsid w:val="003636D3"/>
    <w:rsid w:val="00363B00"/>
    <w:rsid w:val="00363FE1"/>
    <w:rsid w:val="003654AC"/>
    <w:rsid w:val="00365F75"/>
    <w:rsid w:val="00367B26"/>
    <w:rsid w:val="00370F1A"/>
    <w:rsid w:val="0037108F"/>
    <w:rsid w:val="003710CF"/>
    <w:rsid w:val="003712C2"/>
    <w:rsid w:val="00371D87"/>
    <w:rsid w:val="00372AFC"/>
    <w:rsid w:val="00372FFE"/>
    <w:rsid w:val="003730FD"/>
    <w:rsid w:val="0037358A"/>
    <w:rsid w:val="00373FCB"/>
    <w:rsid w:val="003750F6"/>
    <w:rsid w:val="00375777"/>
    <w:rsid w:val="003760FC"/>
    <w:rsid w:val="00380876"/>
    <w:rsid w:val="00381084"/>
    <w:rsid w:val="003820CC"/>
    <w:rsid w:val="003821F8"/>
    <w:rsid w:val="00382EA3"/>
    <w:rsid w:val="00383632"/>
    <w:rsid w:val="0038365C"/>
    <w:rsid w:val="0038369B"/>
    <w:rsid w:val="00383B78"/>
    <w:rsid w:val="00385A9D"/>
    <w:rsid w:val="003866F5"/>
    <w:rsid w:val="00387121"/>
    <w:rsid w:val="003900D8"/>
    <w:rsid w:val="003902B1"/>
    <w:rsid w:val="00391615"/>
    <w:rsid w:val="0039179C"/>
    <w:rsid w:val="003919DF"/>
    <w:rsid w:val="00391D01"/>
    <w:rsid w:val="00391D24"/>
    <w:rsid w:val="00392574"/>
    <w:rsid w:val="00394752"/>
    <w:rsid w:val="00394C2F"/>
    <w:rsid w:val="00395904"/>
    <w:rsid w:val="00395EDD"/>
    <w:rsid w:val="0039685E"/>
    <w:rsid w:val="00396896"/>
    <w:rsid w:val="00396FD0"/>
    <w:rsid w:val="003A0726"/>
    <w:rsid w:val="003A0FB9"/>
    <w:rsid w:val="003A1A7A"/>
    <w:rsid w:val="003A2392"/>
    <w:rsid w:val="003A27DA"/>
    <w:rsid w:val="003A2831"/>
    <w:rsid w:val="003A360F"/>
    <w:rsid w:val="003A372B"/>
    <w:rsid w:val="003A3CB6"/>
    <w:rsid w:val="003A3ED1"/>
    <w:rsid w:val="003A44DB"/>
    <w:rsid w:val="003A4C14"/>
    <w:rsid w:val="003A4F78"/>
    <w:rsid w:val="003A6CEA"/>
    <w:rsid w:val="003A6EEF"/>
    <w:rsid w:val="003A6F69"/>
    <w:rsid w:val="003B0DCF"/>
    <w:rsid w:val="003B0E58"/>
    <w:rsid w:val="003B28FA"/>
    <w:rsid w:val="003B3971"/>
    <w:rsid w:val="003B4432"/>
    <w:rsid w:val="003B4958"/>
    <w:rsid w:val="003B52BB"/>
    <w:rsid w:val="003B5424"/>
    <w:rsid w:val="003B55D1"/>
    <w:rsid w:val="003B5780"/>
    <w:rsid w:val="003B5B61"/>
    <w:rsid w:val="003B6698"/>
    <w:rsid w:val="003B6D07"/>
    <w:rsid w:val="003B7225"/>
    <w:rsid w:val="003C0DEE"/>
    <w:rsid w:val="003C1031"/>
    <w:rsid w:val="003C1654"/>
    <w:rsid w:val="003C2E24"/>
    <w:rsid w:val="003C31CC"/>
    <w:rsid w:val="003C3329"/>
    <w:rsid w:val="003C5542"/>
    <w:rsid w:val="003C57F2"/>
    <w:rsid w:val="003C5D26"/>
    <w:rsid w:val="003C6656"/>
    <w:rsid w:val="003C6685"/>
    <w:rsid w:val="003C75CF"/>
    <w:rsid w:val="003C7C15"/>
    <w:rsid w:val="003C7D19"/>
    <w:rsid w:val="003C7D2F"/>
    <w:rsid w:val="003D00F6"/>
    <w:rsid w:val="003D081C"/>
    <w:rsid w:val="003D08A9"/>
    <w:rsid w:val="003D08B3"/>
    <w:rsid w:val="003D0C5A"/>
    <w:rsid w:val="003D1828"/>
    <w:rsid w:val="003D1DE4"/>
    <w:rsid w:val="003D1E9A"/>
    <w:rsid w:val="003D2422"/>
    <w:rsid w:val="003D2614"/>
    <w:rsid w:val="003D354D"/>
    <w:rsid w:val="003D39A1"/>
    <w:rsid w:val="003D3FBF"/>
    <w:rsid w:val="003D4A30"/>
    <w:rsid w:val="003D7452"/>
    <w:rsid w:val="003D79BB"/>
    <w:rsid w:val="003D7C98"/>
    <w:rsid w:val="003D7D9D"/>
    <w:rsid w:val="003D7FF8"/>
    <w:rsid w:val="003E0543"/>
    <w:rsid w:val="003E2987"/>
    <w:rsid w:val="003E3CF9"/>
    <w:rsid w:val="003E48DE"/>
    <w:rsid w:val="003E4C45"/>
    <w:rsid w:val="003E4E80"/>
    <w:rsid w:val="003E4EE9"/>
    <w:rsid w:val="003E5603"/>
    <w:rsid w:val="003E6A5A"/>
    <w:rsid w:val="003E749E"/>
    <w:rsid w:val="003E7C15"/>
    <w:rsid w:val="003F08E9"/>
    <w:rsid w:val="003F0F84"/>
    <w:rsid w:val="003F248C"/>
    <w:rsid w:val="003F26E0"/>
    <w:rsid w:val="003F2A9E"/>
    <w:rsid w:val="003F39C3"/>
    <w:rsid w:val="003F4156"/>
    <w:rsid w:val="003F41D9"/>
    <w:rsid w:val="003F4662"/>
    <w:rsid w:val="003F579D"/>
    <w:rsid w:val="003F5ADF"/>
    <w:rsid w:val="003F5BA0"/>
    <w:rsid w:val="003F63F8"/>
    <w:rsid w:val="003F7539"/>
    <w:rsid w:val="003F783F"/>
    <w:rsid w:val="00400600"/>
    <w:rsid w:val="00400A35"/>
    <w:rsid w:val="00400B29"/>
    <w:rsid w:val="00401B94"/>
    <w:rsid w:val="00402656"/>
    <w:rsid w:val="00402812"/>
    <w:rsid w:val="00402D5F"/>
    <w:rsid w:val="004033F6"/>
    <w:rsid w:val="004036DF"/>
    <w:rsid w:val="00403D85"/>
    <w:rsid w:val="0040412F"/>
    <w:rsid w:val="00404F8F"/>
    <w:rsid w:val="00405039"/>
    <w:rsid w:val="0040504B"/>
    <w:rsid w:val="004051CC"/>
    <w:rsid w:val="004059F4"/>
    <w:rsid w:val="00406278"/>
    <w:rsid w:val="004066C5"/>
    <w:rsid w:val="0040741D"/>
    <w:rsid w:val="004074BE"/>
    <w:rsid w:val="0040795D"/>
    <w:rsid w:val="00407FE5"/>
    <w:rsid w:val="004101B0"/>
    <w:rsid w:val="00410326"/>
    <w:rsid w:val="00410708"/>
    <w:rsid w:val="00410EC7"/>
    <w:rsid w:val="00411B39"/>
    <w:rsid w:val="00411DE5"/>
    <w:rsid w:val="004127A7"/>
    <w:rsid w:val="004139E7"/>
    <w:rsid w:val="00413A1E"/>
    <w:rsid w:val="00413FBF"/>
    <w:rsid w:val="00414476"/>
    <w:rsid w:val="004148CC"/>
    <w:rsid w:val="00414C2E"/>
    <w:rsid w:val="00414DFA"/>
    <w:rsid w:val="004151CF"/>
    <w:rsid w:val="00416364"/>
    <w:rsid w:val="004165E0"/>
    <w:rsid w:val="00416C6C"/>
    <w:rsid w:val="00416D80"/>
    <w:rsid w:val="00417E16"/>
    <w:rsid w:val="0042043A"/>
    <w:rsid w:val="0042047F"/>
    <w:rsid w:val="00420AA6"/>
    <w:rsid w:val="00420B9F"/>
    <w:rsid w:val="0042192C"/>
    <w:rsid w:val="00422260"/>
    <w:rsid w:val="0042413F"/>
    <w:rsid w:val="0042529C"/>
    <w:rsid w:val="00426808"/>
    <w:rsid w:val="00426CF1"/>
    <w:rsid w:val="0042709F"/>
    <w:rsid w:val="00430563"/>
    <w:rsid w:val="004319F8"/>
    <w:rsid w:val="00431E55"/>
    <w:rsid w:val="00431F4A"/>
    <w:rsid w:val="00432001"/>
    <w:rsid w:val="004321F6"/>
    <w:rsid w:val="00433044"/>
    <w:rsid w:val="00434088"/>
    <w:rsid w:val="0043465B"/>
    <w:rsid w:val="00434A76"/>
    <w:rsid w:val="00435054"/>
    <w:rsid w:val="004375B9"/>
    <w:rsid w:val="00440BB7"/>
    <w:rsid w:val="0044274C"/>
    <w:rsid w:val="00442840"/>
    <w:rsid w:val="004428D0"/>
    <w:rsid w:val="00442A12"/>
    <w:rsid w:val="004433ED"/>
    <w:rsid w:val="00444185"/>
    <w:rsid w:val="004443A7"/>
    <w:rsid w:val="0044442C"/>
    <w:rsid w:val="00444B8F"/>
    <w:rsid w:val="0044543D"/>
    <w:rsid w:val="00445941"/>
    <w:rsid w:val="004464EB"/>
    <w:rsid w:val="00446511"/>
    <w:rsid w:val="00446566"/>
    <w:rsid w:val="00446A40"/>
    <w:rsid w:val="00446FCA"/>
    <w:rsid w:val="00447D26"/>
    <w:rsid w:val="00447DFC"/>
    <w:rsid w:val="00447F0B"/>
    <w:rsid w:val="00451EE9"/>
    <w:rsid w:val="00452303"/>
    <w:rsid w:val="0045231A"/>
    <w:rsid w:val="0045256C"/>
    <w:rsid w:val="00453367"/>
    <w:rsid w:val="0045555D"/>
    <w:rsid w:val="004555F7"/>
    <w:rsid w:val="00455659"/>
    <w:rsid w:val="00455D45"/>
    <w:rsid w:val="00456628"/>
    <w:rsid w:val="00456D4A"/>
    <w:rsid w:val="004577F0"/>
    <w:rsid w:val="004600B6"/>
    <w:rsid w:val="00461A88"/>
    <w:rsid w:val="00462110"/>
    <w:rsid w:val="004629C7"/>
    <w:rsid w:val="00462AA7"/>
    <w:rsid w:val="00463318"/>
    <w:rsid w:val="004640C5"/>
    <w:rsid w:val="00464595"/>
    <w:rsid w:val="00464B6E"/>
    <w:rsid w:val="004650DB"/>
    <w:rsid w:val="004658B5"/>
    <w:rsid w:val="00465A67"/>
    <w:rsid w:val="00466047"/>
    <w:rsid w:val="00466A62"/>
    <w:rsid w:val="00467C00"/>
    <w:rsid w:val="00470DED"/>
    <w:rsid w:val="00471758"/>
    <w:rsid w:val="0047192E"/>
    <w:rsid w:val="00471EA5"/>
    <w:rsid w:val="00472A79"/>
    <w:rsid w:val="00473022"/>
    <w:rsid w:val="00473F19"/>
    <w:rsid w:val="00475B3A"/>
    <w:rsid w:val="00475E22"/>
    <w:rsid w:val="00476877"/>
    <w:rsid w:val="0048088E"/>
    <w:rsid w:val="00480A07"/>
    <w:rsid w:val="00480F2B"/>
    <w:rsid w:val="00482720"/>
    <w:rsid w:val="004835E7"/>
    <w:rsid w:val="00483F2D"/>
    <w:rsid w:val="004859E1"/>
    <w:rsid w:val="00485F8D"/>
    <w:rsid w:val="00486432"/>
    <w:rsid w:val="004867E2"/>
    <w:rsid w:val="00487ED7"/>
    <w:rsid w:val="004901CA"/>
    <w:rsid w:val="0049086D"/>
    <w:rsid w:val="00490B17"/>
    <w:rsid w:val="00490DF8"/>
    <w:rsid w:val="004919CD"/>
    <w:rsid w:val="00491AD0"/>
    <w:rsid w:val="00491B3A"/>
    <w:rsid w:val="00492867"/>
    <w:rsid w:val="00492CFD"/>
    <w:rsid w:val="0049315E"/>
    <w:rsid w:val="00494207"/>
    <w:rsid w:val="0049480F"/>
    <w:rsid w:val="00494DD5"/>
    <w:rsid w:val="00494E8D"/>
    <w:rsid w:val="004962D2"/>
    <w:rsid w:val="00496745"/>
    <w:rsid w:val="004A0DA1"/>
    <w:rsid w:val="004A1028"/>
    <w:rsid w:val="004A13D6"/>
    <w:rsid w:val="004A1DD2"/>
    <w:rsid w:val="004A25F4"/>
    <w:rsid w:val="004A4A85"/>
    <w:rsid w:val="004A4F02"/>
    <w:rsid w:val="004A52E9"/>
    <w:rsid w:val="004A6040"/>
    <w:rsid w:val="004A6597"/>
    <w:rsid w:val="004A6C4D"/>
    <w:rsid w:val="004A7848"/>
    <w:rsid w:val="004A793B"/>
    <w:rsid w:val="004B00AD"/>
    <w:rsid w:val="004B0856"/>
    <w:rsid w:val="004B14B7"/>
    <w:rsid w:val="004B1CB4"/>
    <w:rsid w:val="004B1CBE"/>
    <w:rsid w:val="004B28ED"/>
    <w:rsid w:val="004B2F18"/>
    <w:rsid w:val="004B3DDB"/>
    <w:rsid w:val="004B3E8E"/>
    <w:rsid w:val="004B3F5A"/>
    <w:rsid w:val="004B44FD"/>
    <w:rsid w:val="004B4BBB"/>
    <w:rsid w:val="004B5CFC"/>
    <w:rsid w:val="004B64EC"/>
    <w:rsid w:val="004B6B0B"/>
    <w:rsid w:val="004B6DF8"/>
    <w:rsid w:val="004B6F79"/>
    <w:rsid w:val="004B774D"/>
    <w:rsid w:val="004C16A8"/>
    <w:rsid w:val="004C187B"/>
    <w:rsid w:val="004C2602"/>
    <w:rsid w:val="004C2AC2"/>
    <w:rsid w:val="004C340A"/>
    <w:rsid w:val="004C499B"/>
    <w:rsid w:val="004C4AED"/>
    <w:rsid w:val="004C4F3B"/>
    <w:rsid w:val="004C5227"/>
    <w:rsid w:val="004C5450"/>
    <w:rsid w:val="004C6B3A"/>
    <w:rsid w:val="004C711F"/>
    <w:rsid w:val="004D00A1"/>
    <w:rsid w:val="004D26D9"/>
    <w:rsid w:val="004D2C2D"/>
    <w:rsid w:val="004D2E67"/>
    <w:rsid w:val="004D3714"/>
    <w:rsid w:val="004D4C2A"/>
    <w:rsid w:val="004D55CA"/>
    <w:rsid w:val="004D589F"/>
    <w:rsid w:val="004D5DB4"/>
    <w:rsid w:val="004D5F63"/>
    <w:rsid w:val="004D69B5"/>
    <w:rsid w:val="004D6EEA"/>
    <w:rsid w:val="004D7091"/>
    <w:rsid w:val="004D7227"/>
    <w:rsid w:val="004D7B5E"/>
    <w:rsid w:val="004E0825"/>
    <w:rsid w:val="004E0E7F"/>
    <w:rsid w:val="004E0EB8"/>
    <w:rsid w:val="004E18E9"/>
    <w:rsid w:val="004E2ADC"/>
    <w:rsid w:val="004E4090"/>
    <w:rsid w:val="004E43B2"/>
    <w:rsid w:val="004E4663"/>
    <w:rsid w:val="004E4AAB"/>
    <w:rsid w:val="004E4E07"/>
    <w:rsid w:val="004E5176"/>
    <w:rsid w:val="004E5AB2"/>
    <w:rsid w:val="004E7754"/>
    <w:rsid w:val="004E7F9B"/>
    <w:rsid w:val="004F008A"/>
    <w:rsid w:val="004F1D02"/>
    <w:rsid w:val="004F25A1"/>
    <w:rsid w:val="004F2679"/>
    <w:rsid w:val="004F2D22"/>
    <w:rsid w:val="004F2F21"/>
    <w:rsid w:val="004F3DE5"/>
    <w:rsid w:val="004F3EBB"/>
    <w:rsid w:val="004F4624"/>
    <w:rsid w:val="004F6913"/>
    <w:rsid w:val="004F7865"/>
    <w:rsid w:val="00500EF2"/>
    <w:rsid w:val="0050174E"/>
    <w:rsid w:val="00501854"/>
    <w:rsid w:val="00501922"/>
    <w:rsid w:val="005019B0"/>
    <w:rsid w:val="0050219B"/>
    <w:rsid w:val="005027A0"/>
    <w:rsid w:val="00502BCB"/>
    <w:rsid w:val="0050392E"/>
    <w:rsid w:val="00503BF7"/>
    <w:rsid w:val="00503F17"/>
    <w:rsid w:val="00503F3A"/>
    <w:rsid w:val="00503FC4"/>
    <w:rsid w:val="00504512"/>
    <w:rsid w:val="00504B6F"/>
    <w:rsid w:val="005063A2"/>
    <w:rsid w:val="00506928"/>
    <w:rsid w:val="00506F9D"/>
    <w:rsid w:val="005077EF"/>
    <w:rsid w:val="00510CC8"/>
    <w:rsid w:val="00511A1C"/>
    <w:rsid w:val="00511AD5"/>
    <w:rsid w:val="00511B53"/>
    <w:rsid w:val="00511DC7"/>
    <w:rsid w:val="00512CF4"/>
    <w:rsid w:val="005142C5"/>
    <w:rsid w:val="0051501B"/>
    <w:rsid w:val="005152B5"/>
    <w:rsid w:val="00515886"/>
    <w:rsid w:val="005160E7"/>
    <w:rsid w:val="0052089D"/>
    <w:rsid w:val="0052089E"/>
    <w:rsid w:val="00520DFD"/>
    <w:rsid w:val="0052123C"/>
    <w:rsid w:val="0052129D"/>
    <w:rsid w:val="00521319"/>
    <w:rsid w:val="005215F3"/>
    <w:rsid w:val="00521813"/>
    <w:rsid w:val="00521829"/>
    <w:rsid w:val="00521BDB"/>
    <w:rsid w:val="00522BC8"/>
    <w:rsid w:val="00522D95"/>
    <w:rsid w:val="00522DD5"/>
    <w:rsid w:val="00523C28"/>
    <w:rsid w:val="0052666E"/>
    <w:rsid w:val="00526870"/>
    <w:rsid w:val="00526E63"/>
    <w:rsid w:val="0052732A"/>
    <w:rsid w:val="005273FF"/>
    <w:rsid w:val="0052753D"/>
    <w:rsid w:val="00530222"/>
    <w:rsid w:val="00530AA9"/>
    <w:rsid w:val="0053176B"/>
    <w:rsid w:val="00531FAC"/>
    <w:rsid w:val="00533B2C"/>
    <w:rsid w:val="005341B3"/>
    <w:rsid w:val="00534B75"/>
    <w:rsid w:val="005354A4"/>
    <w:rsid w:val="00535843"/>
    <w:rsid w:val="00535E10"/>
    <w:rsid w:val="00536240"/>
    <w:rsid w:val="00536EFE"/>
    <w:rsid w:val="00536F42"/>
    <w:rsid w:val="00537182"/>
    <w:rsid w:val="00537450"/>
    <w:rsid w:val="00541EDD"/>
    <w:rsid w:val="00542743"/>
    <w:rsid w:val="00542C2D"/>
    <w:rsid w:val="00544C0E"/>
    <w:rsid w:val="005471D2"/>
    <w:rsid w:val="005478BD"/>
    <w:rsid w:val="005479E3"/>
    <w:rsid w:val="00551508"/>
    <w:rsid w:val="00551985"/>
    <w:rsid w:val="00552BD3"/>
    <w:rsid w:val="00552C01"/>
    <w:rsid w:val="0055303C"/>
    <w:rsid w:val="005532A0"/>
    <w:rsid w:val="00554817"/>
    <w:rsid w:val="00555109"/>
    <w:rsid w:val="00555CCC"/>
    <w:rsid w:val="00556635"/>
    <w:rsid w:val="0055677F"/>
    <w:rsid w:val="0055687D"/>
    <w:rsid w:val="00556B35"/>
    <w:rsid w:val="00556CCB"/>
    <w:rsid w:val="00557146"/>
    <w:rsid w:val="0055741A"/>
    <w:rsid w:val="00557FE4"/>
    <w:rsid w:val="00560458"/>
    <w:rsid w:val="00560C59"/>
    <w:rsid w:val="005610B1"/>
    <w:rsid w:val="005611B7"/>
    <w:rsid w:val="00561274"/>
    <w:rsid w:val="005618D4"/>
    <w:rsid w:val="00562258"/>
    <w:rsid w:val="00562D34"/>
    <w:rsid w:val="00563D9A"/>
    <w:rsid w:val="00564867"/>
    <w:rsid w:val="00564ADF"/>
    <w:rsid w:val="00564CB4"/>
    <w:rsid w:val="00564DFA"/>
    <w:rsid w:val="00565216"/>
    <w:rsid w:val="00565C79"/>
    <w:rsid w:val="00565DF0"/>
    <w:rsid w:val="00565FCC"/>
    <w:rsid w:val="0056696F"/>
    <w:rsid w:val="00567AE2"/>
    <w:rsid w:val="00567FFD"/>
    <w:rsid w:val="0057014B"/>
    <w:rsid w:val="005709F6"/>
    <w:rsid w:val="00572269"/>
    <w:rsid w:val="0057244A"/>
    <w:rsid w:val="00572F26"/>
    <w:rsid w:val="00574BFD"/>
    <w:rsid w:val="005750C5"/>
    <w:rsid w:val="005752DE"/>
    <w:rsid w:val="005758C6"/>
    <w:rsid w:val="00575D60"/>
    <w:rsid w:val="00575D8D"/>
    <w:rsid w:val="00576972"/>
    <w:rsid w:val="00577248"/>
    <w:rsid w:val="005774FF"/>
    <w:rsid w:val="00582872"/>
    <w:rsid w:val="00582891"/>
    <w:rsid w:val="00583699"/>
    <w:rsid w:val="00583E69"/>
    <w:rsid w:val="00585CDD"/>
    <w:rsid w:val="005863BA"/>
    <w:rsid w:val="0058679C"/>
    <w:rsid w:val="00587058"/>
    <w:rsid w:val="005872DB"/>
    <w:rsid w:val="00591957"/>
    <w:rsid w:val="0059219C"/>
    <w:rsid w:val="00593021"/>
    <w:rsid w:val="00595005"/>
    <w:rsid w:val="0059539C"/>
    <w:rsid w:val="00596CCE"/>
    <w:rsid w:val="0059793A"/>
    <w:rsid w:val="00597BF9"/>
    <w:rsid w:val="005A0C11"/>
    <w:rsid w:val="005A15AB"/>
    <w:rsid w:val="005A228B"/>
    <w:rsid w:val="005A2DED"/>
    <w:rsid w:val="005A309A"/>
    <w:rsid w:val="005A373D"/>
    <w:rsid w:val="005A3D4F"/>
    <w:rsid w:val="005A47F8"/>
    <w:rsid w:val="005A4992"/>
    <w:rsid w:val="005A5732"/>
    <w:rsid w:val="005A7F6B"/>
    <w:rsid w:val="005B0B58"/>
    <w:rsid w:val="005B1642"/>
    <w:rsid w:val="005B22E9"/>
    <w:rsid w:val="005B2428"/>
    <w:rsid w:val="005B247B"/>
    <w:rsid w:val="005B4078"/>
    <w:rsid w:val="005B48C6"/>
    <w:rsid w:val="005B4E53"/>
    <w:rsid w:val="005B5857"/>
    <w:rsid w:val="005B66B6"/>
    <w:rsid w:val="005B7CA5"/>
    <w:rsid w:val="005C19C4"/>
    <w:rsid w:val="005C1B83"/>
    <w:rsid w:val="005C2043"/>
    <w:rsid w:val="005C2333"/>
    <w:rsid w:val="005C25FF"/>
    <w:rsid w:val="005C2D55"/>
    <w:rsid w:val="005C2DE4"/>
    <w:rsid w:val="005C3263"/>
    <w:rsid w:val="005C346B"/>
    <w:rsid w:val="005C3A90"/>
    <w:rsid w:val="005C5ABC"/>
    <w:rsid w:val="005C62DF"/>
    <w:rsid w:val="005D01CF"/>
    <w:rsid w:val="005D044D"/>
    <w:rsid w:val="005D0A75"/>
    <w:rsid w:val="005D0ABD"/>
    <w:rsid w:val="005D155E"/>
    <w:rsid w:val="005D18AD"/>
    <w:rsid w:val="005D26B4"/>
    <w:rsid w:val="005D3C32"/>
    <w:rsid w:val="005D5F06"/>
    <w:rsid w:val="005D67EF"/>
    <w:rsid w:val="005E1995"/>
    <w:rsid w:val="005E1B3B"/>
    <w:rsid w:val="005E6CAB"/>
    <w:rsid w:val="005E6CBC"/>
    <w:rsid w:val="005E72FF"/>
    <w:rsid w:val="005E73C0"/>
    <w:rsid w:val="005E7DE3"/>
    <w:rsid w:val="005F07ED"/>
    <w:rsid w:val="005F09DC"/>
    <w:rsid w:val="005F0DA8"/>
    <w:rsid w:val="005F0E79"/>
    <w:rsid w:val="005F2706"/>
    <w:rsid w:val="005F2814"/>
    <w:rsid w:val="005F3473"/>
    <w:rsid w:val="005F507E"/>
    <w:rsid w:val="005F50EC"/>
    <w:rsid w:val="005F6782"/>
    <w:rsid w:val="005F6A8F"/>
    <w:rsid w:val="005F6BB7"/>
    <w:rsid w:val="005F6F81"/>
    <w:rsid w:val="005F7588"/>
    <w:rsid w:val="005F7E37"/>
    <w:rsid w:val="006017E3"/>
    <w:rsid w:val="00601A20"/>
    <w:rsid w:val="006033C8"/>
    <w:rsid w:val="00603BFE"/>
    <w:rsid w:val="00603DB9"/>
    <w:rsid w:val="006055BF"/>
    <w:rsid w:val="00605E42"/>
    <w:rsid w:val="006066A7"/>
    <w:rsid w:val="00606FBA"/>
    <w:rsid w:val="00607285"/>
    <w:rsid w:val="00607669"/>
    <w:rsid w:val="006076F4"/>
    <w:rsid w:val="00607AFD"/>
    <w:rsid w:val="00607B22"/>
    <w:rsid w:val="00610D1A"/>
    <w:rsid w:val="006110ED"/>
    <w:rsid w:val="00611B12"/>
    <w:rsid w:val="00612F97"/>
    <w:rsid w:val="0061345D"/>
    <w:rsid w:val="00613818"/>
    <w:rsid w:val="00613AF9"/>
    <w:rsid w:val="0061444B"/>
    <w:rsid w:val="0061549B"/>
    <w:rsid w:val="00615708"/>
    <w:rsid w:val="00616511"/>
    <w:rsid w:val="00616802"/>
    <w:rsid w:val="0061693E"/>
    <w:rsid w:val="0061698B"/>
    <w:rsid w:val="00617E12"/>
    <w:rsid w:val="00617FDC"/>
    <w:rsid w:val="006206CA"/>
    <w:rsid w:val="00620B43"/>
    <w:rsid w:val="00620C25"/>
    <w:rsid w:val="00621283"/>
    <w:rsid w:val="0062146E"/>
    <w:rsid w:val="00621477"/>
    <w:rsid w:val="00621ADA"/>
    <w:rsid w:val="00622F9A"/>
    <w:rsid w:val="00623342"/>
    <w:rsid w:val="006235BC"/>
    <w:rsid w:val="00623F7B"/>
    <w:rsid w:val="0062438F"/>
    <w:rsid w:val="00624BD4"/>
    <w:rsid w:val="0062592A"/>
    <w:rsid w:val="00627839"/>
    <w:rsid w:val="00630E9D"/>
    <w:rsid w:val="00630F48"/>
    <w:rsid w:val="00631526"/>
    <w:rsid w:val="0063158F"/>
    <w:rsid w:val="00631D6B"/>
    <w:rsid w:val="00632183"/>
    <w:rsid w:val="006330A1"/>
    <w:rsid w:val="00633772"/>
    <w:rsid w:val="0063421C"/>
    <w:rsid w:val="0063479F"/>
    <w:rsid w:val="006353F0"/>
    <w:rsid w:val="006357B5"/>
    <w:rsid w:val="00635D3E"/>
    <w:rsid w:val="00635D5C"/>
    <w:rsid w:val="006364A1"/>
    <w:rsid w:val="0063661C"/>
    <w:rsid w:val="0063678E"/>
    <w:rsid w:val="00636BB1"/>
    <w:rsid w:val="00636CB9"/>
    <w:rsid w:val="006374BC"/>
    <w:rsid w:val="00637B77"/>
    <w:rsid w:val="00637BFD"/>
    <w:rsid w:val="00637C5C"/>
    <w:rsid w:val="006409A5"/>
    <w:rsid w:val="006410B5"/>
    <w:rsid w:val="00641C4E"/>
    <w:rsid w:val="00641FB3"/>
    <w:rsid w:val="0064242C"/>
    <w:rsid w:val="0064434C"/>
    <w:rsid w:val="00644B72"/>
    <w:rsid w:val="006459CB"/>
    <w:rsid w:val="00646E93"/>
    <w:rsid w:val="006471CC"/>
    <w:rsid w:val="006472E4"/>
    <w:rsid w:val="006472FE"/>
    <w:rsid w:val="0064762C"/>
    <w:rsid w:val="00647A29"/>
    <w:rsid w:val="00647F13"/>
    <w:rsid w:val="006504A1"/>
    <w:rsid w:val="0065079F"/>
    <w:rsid w:val="00650883"/>
    <w:rsid w:val="0065171A"/>
    <w:rsid w:val="006519ED"/>
    <w:rsid w:val="00651B92"/>
    <w:rsid w:val="00652A28"/>
    <w:rsid w:val="00652C98"/>
    <w:rsid w:val="0065379F"/>
    <w:rsid w:val="00653D9F"/>
    <w:rsid w:val="00653EC9"/>
    <w:rsid w:val="006543D0"/>
    <w:rsid w:val="0065542A"/>
    <w:rsid w:val="00656188"/>
    <w:rsid w:val="0065715A"/>
    <w:rsid w:val="0066027C"/>
    <w:rsid w:val="006604EC"/>
    <w:rsid w:val="006610F1"/>
    <w:rsid w:val="00661319"/>
    <w:rsid w:val="00661C6B"/>
    <w:rsid w:val="00662999"/>
    <w:rsid w:val="00662D3E"/>
    <w:rsid w:val="006631F1"/>
    <w:rsid w:val="00663D76"/>
    <w:rsid w:val="00664329"/>
    <w:rsid w:val="006662DE"/>
    <w:rsid w:val="006667D2"/>
    <w:rsid w:val="00667BE3"/>
    <w:rsid w:val="00670376"/>
    <w:rsid w:val="00671004"/>
    <w:rsid w:val="006711F7"/>
    <w:rsid w:val="00671DD8"/>
    <w:rsid w:val="00672320"/>
    <w:rsid w:val="00672646"/>
    <w:rsid w:val="00673434"/>
    <w:rsid w:val="00674E42"/>
    <w:rsid w:val="00675625"/>
    <w:rsid w:val="00676065"/>
    <w:rsid w:val="00676246"/>
    <w:rsid w:val="006762D1"/>
    <w:rsid w:val="00676563"/>
    <w:rsid w:val="00677F1A"/>
    <w:rsid w:val="006810B3"/>
    <w:rsid w:val="006813F8"/>
    <w:rsid w:val="00682112"/>
    <w:rsid w:val="00682434"/>
    <w:rsid w:val="00682506"/>
    <w:rsid w:val="00682A10"/>
    <w:rsid w:val="00682BA6"/>
    <w:rsid w:val="00683CF0"/>
    <w:rsid w:val="00685012"/>
    <w:rsid w:val="00686957"/>
    <w:rsid w:val="006872BA"/>
    <w:rsid w:val="00690079"/>
    <w:rsid w:val="00690795"/>
    <w:rsid w:val="00690884"/>
    <w:rsid w:val="00691316"/>
    <w:rsid w:val="00691648"/>
    <w:rsid w:val="006917D7"/>
    <w:rsid w:val="006918FC"/>
    <w:rsid w:val="0069434C"/>
    <w:rsid w:val="00694F44"/>
    <w:rsid w:val="00695225"/>
    <w:rsid w:val="00695336"/>
    <w:rsid w:val="00696A68"/>
    <w:rsid w:val="00696EF9"/>
    <w:rsid w:val="00696F51"/>
    <w:rsid w:val="006979A5"/>
    <w:rsid w:val="006A016F"/>
    <w:rsid w:val="006A0D2D"/>
    <w:rsid w:val="006A0DF7"/>
    <w:rsid w:val="006A20EF"/>
    <w:rsid w:val="006A2107"/>
    <w:rsid w:val="006A31BD"/>
    <w:rsid w:val="006A4321"/>
    <w:rsid w:val="006A43D9"/>
    <w:rsid w:val="006A488E"/>
    <w:rsid w:val="006A54BD"/>
    <w:rsid w:val="006A6B99"/>
    <w:rsid w:val="006A6F10"/>
    <w:rsid w:val="006A787D"/>
    <w:rsid w:val="006A7E5F"/>
    <w:rsid w:val="006B0766"/>
    <w:rsid w:val="006B14E0"/>
    <w:rsid w:val="006B261B"/>
    <w:rsid w:val="006B2C90"/>
    <w:rsid w:val="006B33DD"/>
    <w:rsid w:val="006B35E6"/>
    <w:rsid w:val="006B3E51"/>
    <w:rsid w:val="006B465A"/>
    <w:rsid w:val="006B672B"/>
    <w:rsid w:val="006B6AD6"/>
    <w:rsid w:val="006B6DCC"/>
    <w:rsid w:val="006B6DD0"/>
    <w:rsid w:val="006C0399"/>
    <w:rsid w:val="006C0833"/>
    <w:rsid w:val="006C1A0B"/>
    <w:rsid w:val="006C2A8E"/>
    <w:rsid w:val="006C2C6D"/>
    <w:rsid w:val="006C2DCB"/>
    <w:rsid w:val="006C3255"/>
    <w:rsid w:val="006C3F26"/>
    <w:rsid w:val="006C71C9"/>
    <w:rsid w:val="006C7DAF"/>
    <w:rsid w:val="006D0B61"/>
    <w:rsid w:val="006D0D17"/>
    <w:rsid w:val="006D0EFA"/>
    <w:rsid w:val="006D1ED1"/>
    <w:rsid w:val="006D2DF4"/>
    <w:rsid w:val="006D3634"/>
    <w:rsid w:val="006D3C7D"/>
    <w:rsid w:val="006D4659"/>
    <w:rsid w:val="006D5B12"/>
    <w:rsid w:val="006D5D5F"/>
    <w:rsid w:val="006D675C"/>
    <w:rsid w:val="006D68FB"/>
    <w:rsid w:val="006D6909"/>
    <w:rsid w:val="006D7B9E"/>
    <w:rsid w:val="006E1123"/>
    <w:rsid w:val="006E1164"/>
    <w:rsid w:val="006E1DD4"/>
    <w:rsid w:val="006E2868"/>
    <w:rsid w:val="006E28BA"/>
    <w:rsid w:val="006E2D0E"/>
    <w:rsid w:val="006E30C5"/>
    <w:rsid w:val="006E3A93"/>
    <w:rsid w:val="006E3D87"/>
    <w:rsid w:val="006E3ECA"/>
    <w:rsid w:val="006E4895"/>
    <w:rsid w:val="006E49B0"/>
    <w:rsid w:val="006E4AD2"/>
    <w:rsid w:val="006E5CDD"/>
    <w:rsid w:val="006E613C"/>
    <w:rsid w:val="006E672A"/>
    <w:rsid w:val="006E74D7"/>
    <w:rsid w:val="006F011D"/>
    <w:rsid w:val="006F153D"/>
    <w:rsid w:val="006F176A"/>
    <w:rsid w:val="006F1AB3"/>
    <w:rsid w:val="006F1F18"/>
    <w:rsid w:val="006F22FE"/>
    <w:rsid w:val="006F2366"/>
    <w:rsid w:val="006F25FF"/>
    <w:rsid w:val="006F28D1"/>
    <w:rsid w:val="006F306C"/>
    <w:rsid w:val="006F33A0"/>
    <w:rsid w:val="006F40B9"/>
    <w:rsid w:val="006F4B31"/>
    <w:rsid w:val="006F509C"/>
    <w:rsid w:val="006F63A5"/>
    <w:rsid w:val="006F6C75"/>
    <w:rsid w:val="006F786B"/>
    <w:rsid w:val="00700292"/>
    <w:rsid w:val="007006BF"/>
    <w:rsid w:val="007010C6"/>
    <w:rsid w:val="0070142B"/>
    <w:rsid w:val="0070276E"/>
    <w:rsid w:val="00702F8F"/>
    <w:rsid w:val="00703ED7"/>
    <w:rsid w:val="007042EF"/>
    <w:rsid w:val="007045F5"/>
    <w:rsid w:val="00704759"/>
    <w:rsid w:val="0070557C"/>
    <w:rsid w:val="007065E7"/>
    <w:rsid w:val="007079F5"/>
    <w:rsid w:val="007079FC"/>
    <w:rsid w:val="00710AEF"/>
    <w:rsid w:val="00711A36"/>
    <w:rsid w:val="00711DFA"/>
    <w:rsid w:val="00711E92"/>
    <w:rsid w:val="007125D3"/>
    <w:rsid w:val="00712F7A"/>
    <w:rsid w:val="0071339D"/>
    <w:rsid w:val="00713B4E"/>
    <w:rsid w:val="00713EAD"/>
    <w:rsid w:val="00714987"/>
    <w:rsid w:val="00714C26"/>
    <w:rsid w:val="0071529C"/>
    <w:rsid w:val="0071549B"/>
    <w:rsid w:val="00715733"/>
    <w:rsid w:val="00715899"/>
    <w:rsid w:val="0071688D"/>
    <w:rsid w:val="007170DA"/>
    <w:rsid w:val="007172AD"/>
    <w:rsid w:val="00717546"/>
    <w:rsid w:val="00720801"/>
    <w:rsid w:val="007209D7"/>
    <w:rsid w:val="00720C2D"/>
    <w:rsid w:val="00720F98"/>
    <w:rsid w:val="00721DAD"/>
    <w:rsid w:val="0072210D"/>
    <w:rsid w:val="007224C3"/>
    <w:rsid w:val="00722B1B"/>
    <w:rsid w:val="00723254"/>
    <w:rsid w:val="00723A27"/>
    <w:rsid w:val="00723F52"/>
    <w:rsid w:val="00724024"/>
    <w:rsid w:val="0072416F"/>
    <w:rsid w:val="00724B24"/>
    <w:rsid w:val="007253E6"/>
    <w:rsid w:val="007256E7"/>
    <w:rsid w:val="0072575A"/>
    <w:rsid w:val="00725B34"/>
    <w:rsid w:val="007276EE"/>
    <w:rsid w:val="00727C94"/>
    <w:rsid w:val="007310E3"/>
    <w:rsid w:val="0073137A"/>
    <w:rsid w:val="00731B0A"/>
    <w:rsid w:val="00731EAE"/>
    <w:rsid w:val="007321C2"/>
    <w:rsid w:val="00732607"/>
    <w:rsid w:val="00732ACE"/>
    <w:rsid w:val="00732C82"/>
    <w:rsid w:val="00733073"/>
    <w:rsid w:val="00733FB1"/>
    <w:rsid w:val="007346A3"/>
    <w:rsid w:val="00735033"/>
    <w:rsid w:val="00735328"/>
    <w:rsid w:val="00735962"/>
    <w:rsid w:val="00735DF1"/>
    <w:rsid w:val="0073685B"/>
    <w:rsid w:val="00737417"/>
    <w:rsid w:val="0074056C"/>
    <w:rsid w:val="00740C61"/>
    <w:rsid w:val="00741507"/>
    <w:rsid w:val="00741C90"/>
    <w:rsid w:val="007438B3"/>
    <w:rsid w:val="0074494D"/>
    <w:rsid w:val="007449BF"/>
    <w:rsid w:val="007450A7"/>
    <w:rsid w:val="007463FE"/>
    <w:rsid w:val="00746A30"/>
    <w:rsid w:val="00746BC0"/>
    <w:rsid w:val="007510B4"/>
    <w:rsid w:val="00752142"/>
    <w:rsid w:val="007521AB"/>
    <w:rsid w:val="007523F9"/>
    <w:rsid w:val="0075289C"/>
    <w:rsid w:val="0075357E"/>
    <w:rsid w:val="00753B29"/>
    <w:rsid w:val="007541AD"/>
    <w:rsid w:val="007549D7"/>
    <w:rsid w:val="007560A8"/>
    <w:rsid w:val="00756C19"/>
    <w:rsid w:val="00757353"/>
    <w:rsid w:val="007573E8"/>
    <w:rsid w:val="0075767A"/>
    <w:rsid w:val="00760B4F"/>
    <w:rsid w:val="00760C4E"/>
    <w:rsid w:val="00760DD6"/>
    <w:rsid w:val="00760F9E"/>
    <w:rsid w:val="007616E6"/>
    <w:rsid w:val="007627BE"/>
    <w:rsid w:val="00762A0E"/>
    <w:rsid w:val="00764903"/>
    <w:rsid w:val="00764F03"/>
    <w:rsid w:val="00764F97"/>
    <w:rsid w:val="0076518C"/>
    <w:rsid w:val="00765B1A"/>
    <w:rsid w:val="00765DC1"/>
    <w:rsid w:val="00770FC8"/>
    <w:rsid w:val="0077242E"/>
    <w:rsid w:val="00776BF2"/>
    <w:rsid w:val="00777335"/>
    <w:rsid w:val="0077733F"/>
    <w:rsid w:val="007802F9"/>
    <w:rsid w:val="00780C91"/>
    <w:rsid w:val="0078127D"/>
    <w:rsid w:val="00781A56"/>
    <w:rsid w:val="007829BC"/>
    <w:rsid w:val="00783184"/>
    <w:rsid w:val="00783817"/>
    <w:rsid w:val="00783F39"/>
    <w:rsid w:val="007843F2"/>
    <w:rsid w:val="007846FA"/>
    <w:rsid w:val="00785447"/>
    <w:rsid w:val="00785A9F"/>
    <w:rsid w:val="00786A95"/>
    <w:rsid w:val="007879DD"/>
    <w:rsid w:val="00790B74"/>
    <w:rsid w:val="00791643"/>
    <w:rsid w:val="007925DF"/>
    <w:rsid w:val="00792B49"/>
    <w:rsid w:val="007951A5"/>
    <w:rsid w:val="00795A17"/>
    <w:rsid w:val="00797034"/>
    <w:rsid w:val="007A08AA"/>
    <w:rsid w:val="007A0A12"/>
    <w:rsid w:val="007A132D"/>
    <w:rsid w:val="007A1345"/>
    <w:rsid w:val="007A160B"/>
    <w:rsid w:val="007A1A15"/>
    <w:rsid w:val="007A26B1"/>
    <w:rsid w:val="007A270C"/>
    <w:rsid w:val="007A2B82"/>
    <w:rsid w:val="007A2DDB"/>
    <w:rsid w:val="007A3798"/>
    <w:rsid w:val="007A52C7"/>
    <w:rsid w:val="007A6142"/>
    <w:rsid w:val="007A70BA"/>
    <w:rsid w:val="007A71A9"/>
    <w:rsid w:val="007A7309"/>
    <w:rsid w:val="007A7B55"/>
    <w:rsid w:val="007B07D6"/>
    <w:rsid w:val="007B0D68"/>
    <w:rsid w:val="007B208E"/>
    <w:rsid w:val="007B241F"/>
    <w:rsid w:val="007B251D"/>
    <w:rsid w:val="007B3533"/>
    <w:rsid w:val="007B450C"/>
    <w:rsid w:val="007B4F58"/>
    <w:rsid w:val="007B528D"/>
    <w:rsid w:val="007B53F2"/>
    <w:rsid w:val="007B63CA"/>
    <w:rsid w:val="007B77D1"/>
    <w:rsid w:val="007C07C7"/>
    <w:rsid w:val="007C09B3"/>
    <w:rsid w:val="007C0D1E"/>
    <w:rsid w:val="007C0F62"/>
    <w:rsid w:val="007C1CD9"/>
    <w:rsid w:val="007C1D7B"/>
    <w:rsid w:val="007C2243"/>
    <w:rsid w:val="007C2618"/>
    <w:rsid w:val="007C32EF"/>
    <w:rsid w:val="007C361D"/>
    <w:rsid w:val="007C4717"/>
    <w:rsid w:val="007C4B84"/>
    <w:rsid w:val="007C5232"/>
    <w:rsid w:val="007C563B"/>
    <w:rsid w:val="007C5781"/>
    <w:rsid w:val="007C5A90"/>
    <w:rsid w:val="007C671D"/>
    <w:rsid w:val="007C691F"/>
    <w:rsid w:val="007C70FF"/>
    <w:rsid w:val="007C7C25"/>
    <w:rsid w:val="007D004F"/>
    <w:rsid w:val="007D035F"/>
    <w:rsid w:val="007D06B2"/>
    <w:rsid w:val="007D0B38"/>
    <w:rsid w:val="007D0CCA"/>
    <w:rsid w:val="007D2EC5"/>
    <w:rsid w:val="007D3233"/>
    <w:rsid w:val="007D3636"/>
    <w:rsid w:val="007D36F2"/>
    <w:rsid w:val="007D5440"/>
    <w:rsid w:val="007D69EB"/>
    <w:rsid w:val="007D71CD"/>
    <w:rsid w:val="007D7A64"/>
    <w:rsid w:val="007E09D7"/>
    <w:rsid w:val="007E128F"/>
    <w:rsid w:val="007E34C2"/>
    <w:rsid w:val="007E5782"/>
    <w:rsid w:val="007E5B8F"/>
    <w:rsid w:val="007E64FE"/>
    <w:rsid w:val="007E6A79"/>
    <w:rsid w:val="007E7023"/>
    <w:rsid w:val="007E7826"/>
    <w:rsid w:val="007F0509"/>
    <w:rsid w:val="007F0AE5"/>
    <w:rsid w:val="007F1017"/>
    <w:rsid w:val="007F1919"/>
    <w:rsid w:val="007F270F"/>
    <w:rsid w:val="007F3674"/>
    <w:rsid w:val="007F4A3F"/>
    <w:rsid w:val="007F4A61"/>
    <w:rsid w:val="007F5255"/>
    <w:rsid w:val="007F56CC"/>
    <w:rsid w:val="007F61C2"/>
    <w:rsid w:val="007F6B06"/>
    <w:rsid w:val="00800710"/>
    <w:rsid w:val="00802D6C"/>
    <w:rsid w:val="0080341B"/>
    <w:rsid w:val="0080364E"/>
    <w:rsid w:val="00803A32"/>
    <w:rsid w:val="00803F84"/>
    <w:rsid w:val="008044B9"/>
    <w:rsid w:val="00805142"/>
    <w:rsid w:val="00805FCE"/>
    <w:rsid w:val="008067CD"/>
    <w:rsid w:val="008079B3"/>
    <w:rsid w:val="00807A8B"/>
    <w:rsid w:val="00807B4D"/>
    <w:rsid w:val="00810BB0"/>
    <w:rsid w:val="00810CD3"/>
    <w:rsid w:val="00811383"/>
    <w:rsid w:val="00812149"/>
    <w:rsid w:val="00812CAC"/>
    <w:rsid w:val="00813340"/>
    <w:rsid w:val="008136FE"/>
    <w:rsid w:val="00813BCC"/>
    <w:rsid w:val="00813F05"/>
    <w:rsid w:val="00814990"/>
    <w:rsid w:val="00816361"/>
    <w:rsid w:val="008166A4"/>
    <w:rsid w:val="008166EF"/>
    <w:rsid w:val="00816FEF"/>
    <w:rsid w:val="00817941"/>
    <w:rsid w:val="00820A8C"/>
    <w:rsid w:val="008215FB"/>
    <w:rsid w:val="00821CF5"/>
    <w:rsid w:val="00821E27"/>
    <w:rsid w:val="008220CC"/>
    <w:rsid w:val="008229F1"/>
    <w:rsid w:val="00822A35"/>
    <w:rsid w:val="00822B64"/>
    <w:rsid w:val="00823174"/>
    <w:rsid w:val="00823751"/>
    <w:rsid w:val="008239C0"/>
    <w:rsid w:val="00825751"/>
    <w:rsid w:val="0082589F"/>
    <w:rsid w:val="008264EB"/>
    <w:rsid w:val="00826511"/>
    <w:rsid w:val="00826672"/>
    <w:rsid w:val="008268CE"/>
    <w:rsid w:val="00827852"/>
    <w:rsid w:val="00827A01"/>
    <w:rsid w:val="00827C23"/>
    <w:rsid w:val="0083000C"/>
    <w:rsid w:val="00831AED"/>
    <w:rsid w:val="008327BC"/>
    <w:rsid w:val="00832A99"/>
    <w:rsid w:val="00833195"/>
    <w:rsid w:val="00833B05"/>
    <w:rsid w:val="008354DC"/>
    <w:rsid w:val="00835FD4"/>
    <w:rsid w:val="008362B4"/>
    <w:rsid w:val="0083705A"/>
    <w:rsid w:val="008403CD"/>
    <w:rsid w:val="00840C35"/>
    <w:rsid w:val="00840CA2"/>
    <w:rsid w:val="00841302"/>
    <w:rsid w:val="00842C77"/>
    <w:rsid w:val="0084374F"/>
    <w:rsid w:val="00844577"/>
    <w:rsid w:val="00844A22"/>
    <w:rsid w:val="0084623B"/>
    <w:rsid w:val="00847703"/>
    <w:rsid w:val="00847DF5"/>
    <w:rsid w:val="00850503"/>
    <w:rsid w:val="00851D33"/>
    <w:rsid w:val="00851FD4"/>
    <w:rsid w:val="00852416"/>
    <w:rsid w:val="00852E0B"/>
    <w:rsid w:val="0085309D"/>
    <w:rsid w:val="00853B1D"/>
    <w:rsid w:val="008545CA"/>
    <w:rsid w:val="008546DB"/>
    <w:rsid w:val="0085499F"/>
    <w:rsid w:val="008554AC"/>
    <w:rsid w:val="00856897"/>
    <w:rsid w:val="00856A92"/>
    <w:rsid w:val="00856E9A"/>
    <w:rsid w:val="00857DB8"/>
    <w:rsid w:val="0086075D"/>
    <w:rsid w:val="00860B22"/>
    <w:rsid w:val="0086107C"/>
    <w:rsid w:val="0086235D"/>
    <w:rsid w:val="00862437"/>
    <w:rsid w:val="00862502"/>
    <w:rsid w:val="00862CC1"/>
    <w:rsid w:val="008642A7"/>
    <w:rsid w:val="008660D4"/>
    <w:rsid w:val="00866385"/>
    <w:rsid w:val="00866D4E"/>
    <w:rsid w:val="00866F91"/>
    <w:rsid w:val="0086742A"/>
    <w:rsid w:val="008711E9"/>
    <w:rsid w:val="00871CD8"/>
    <w:rsid w:val="00871FA9"/>
    <w:rsid w:val="008728E9"/>
    <w:rsid w:val="008735BF"/>
    <w:rsid w:val="00873A26"/>
    <w:rsid w:val="00874B40"/>
    <w:rsid w:val="00875416"/>
    <w:rsid w:val="008773EC"/>
    <w:rsid w:val="00877507"/>
    <w:rsid w:val="00877560"/>
    <w:rsid w:val="008775FF"/>
    <w:rsid w:val="00882087"/>
    <w:rsid w:val="00882874"/>
    <w:rsid w:val="00882E3C"/>
    <w:rsid w:val="0088308A"/>
    <w:rsid w:val="00883787"/>
    <w:rsid w:val="00883A8D"/>
    <w:rsid w:val="008855E4"/>
    <w:rsid w:val="00886CD2"/>
    <w:rsid w:val="008877BC"/>
    <w:rsid w:val="00891E6F"/>
    <w:rsid w:val="0089275D"/>
    <w:rsid w:val="00892A36"/>
    <w:rsid w:val="00892C2F"/>
    <w:rsid w:val="00893239"/>
    <w:rsid w:val="00893517"/>
    <w:rsid w:val="00894489"/>
    <w:rsid w:val="008948B6"/>
    <w:rsid w:val="00894CD6"/>
    <w:rsid w:val="0089567F"/>
    <w:rsid w:val="008957AD"/>
    <w:rsid w:val="00895DAE"/>
    <w:rsid w:val="008963A5"/>
    <w:rsid w:val="00896D5D"/>
    <w:rsid w:val="00897153"/>
    <w:rsid w:val="00897C3D"/>
    <w:rsid w:val="008A0A1F"/>
    <w:rsid w:val="008A0AF7"/>
    <w:rsid w:val="008A14B5"/>
    <w:rsid w:val="008A1C77"/>
    <w:rsid w:val="008A25A0"/>
    <w:rsid w:val="008A2777"/>
    <w:rsid w:val="008A3158"/>
    <w:rsid w:val="008A3363"/>
    <w:rsid w:val="008A3371"/>
    <w:rsid w:val="008A3688"/>
    <w:rsid w:val="008A3887"/>
    <w:rsid w:val="008A3AEA"/>
    <w:rsid w:val="008A3B81"/>
    <w:rsid w:val="008A3C3E"/>
    <w:rsid w:val="008A48D2"/>
    <w:rsid w:val="008A79DE"/>
    <w:rsid w:val="008B07D5"/>
    <w:rsid w:val="008B1757"/>
    <w:rsid w:val="008B1836"/>
    <w:rsid w:val="008B1A5E"/>
    <w:rsid w:val="008B1C33"/>
    <w:rsid w:val="008B1CA9"/>
    <w:rsid w:val="008B1F28"/>
    <w:rsid w:val="008B20B0"/>
    <w:rsid w:val="008B2B4A"/>
    <w:rsid w:val="008B339B"/>
    <w:rsid w:val="008B4B6F"/>
    <w:rsid w:val="008B5282"/>
    <w:rsid w:val="008B7170"/>
    <w:rsid w:val="008B722C"/>
    <w:rsid w:val="008B7992"/>
    <w:rsid w:val="008B7D7E"/>
    <w:rsid w:val="008C0A74"/>
    <w:rsid w:val="008C164C"/>
    <w:rsid w:val="008C18C8"/>
    <w:rsid w:val="008C18DE"/>
    <w:rsid w:val="008C19A6"/>
    <w:rsid w:val="008C1CFF"/>
    <w:rsid w:val="008C2563"/>
    <w:rsid w:val="008C311D"/>
    <w:rsid w:val="008C4724"/>
    <w:rsid w:val="008C517F"/>
    <w:rsid w:val="008C5610"/>
    <w:rsid w:val="008C5739"/>
    <w:rsid w:val="008C5A2C"/>
    <w:rsid w:val="008C66A7"/>
    <w:rsid w:val="008C7282"/>
    <w:rsid w:val="008C7ECB"/>
    <w:rsid w:val="008D17C8"/>
    <w:rsid w:val="008D3B86"/>
    <w:rsid w:val="008D43FD"/>
    <w:rsid w:val="008D4755"/>
    <w:rsid w:val="008D4C3D"/>
    <w:rsid w:val="008D5859"/>
    <w:rsid w:val="008D743C"/>
    <w:rsid w:val="008D7540"/>
    <w:rsid w:val="008E0171"/>
    <w:rsid w:val="008E0433"/>
    <w:rsid w:val="008E0993"/>
    <w:rsid w:val="008E0D3C"/>
    <w:rsid w:val="008E0FB7"/>
    <w:rsid w:val="008E1B9E"/>
    <w:rsid w:val="008E2C45"/>
    <w:rsid w:val="008E366C"/>
    <w:rsid w:val="008E4212"/>
    <w:rsid w:val="008E4270"/>
    <w:rsid w:val="008E456B"/>
    <w:rsid w:val="008E4573"/>
    <w:rsid w:val="008E4F4C"/>
    <w:rsid w:val="008E5253"/>
    <w:rsid w:val="008E55AB"/>
    <w:rsid w:val="008E7646"/>
    <w:rsid w:val="008F0B2F"/>
    <w:rsid w:val="008F120A"/>
    <w:rsid w:val="008F1CA0"/>
    <w:rsid w:val="008F22F4"/>
    <w:rsid w:val="008F27E0"/>
    <w:rsid w:val="008F352E"/>
    <w:rsid w:val="008F4032"/>
    <w:rsid w:val="008F48EB"/>
    <w:rsid w:val="008F4F0B"/>
    <w:rsid w:val="008F5798"/>
    <w:rsid w:val="008F6E8C"/>
    <w:rsid w:val="008F7F7A"/>
    <w:rsid w:val="0090000F"/>
    <w:rsid w:val="009014EE"/>
    <w:rsid w:val="00901A63"/>
    <w:rsid w:val="00901EF5"/>
    <w:rsid w:val="009023D9"/>
    <w:rsid w:val="00902C8F"/>
    <w:rsid w:val="0090357B"/>
    <w:rsid w:val="009038A3"/>
    <w:rsid w:val="009046C4"/>
    <w:rsid w:val="00904A3F"/>
    <w:rsid w:val="00904B03"/>
    <w:rsid w:val="0090580E"/>
    <w:rsid w:val="00905D2A"/>
    <w:rsid w:val="009062A5"/>
    <w:rsid w:val="0090750A"/>
    <w:rsid w:val="00907699"/>
    <w:rsid w:val="00910793"/>
    <w:rsid w:val="00910FA7"/>
    <w:rsid w:val="00911272"/>
    <w:rsid w:val="00911339"/>
    <w:rsid w:val="00911DAC"/>
    <w:rsid w:val="009135D6"/>
    <w:rsid w:val="00914C77"/>
    <w:rsid w:val="00914FCC"/>
    <w:rsid w:val="00921A32"/>
    <w:rsid w:val="00921ACB"/>
    <w:rsid w:val="0092200F"/>
    <w:rsid w:val="009221B1"/>
    <w:rsid w:val="009231BD"/>
    <w:rsid w:val="0092369B"/>
    <w:rsid w:val="00924FA7"/>
    <w:rsid w:val="00927184"/>
    <w:rsid w:val="00927D2D"/>
    <w:rsid w:val="00930B5F"/>
    <w:rsid w:val="00931CED"/>
    <w:rsid w:val="00932560"/>
    <w:rsid w:val="009348AB"/>
    <w:rsid w:val="00934988"/>
    <w:rsid w:val="00934DBA"/>
    <w:rsid w:val="009356D4"/>
    <w:rsid w:val="00936593"/>
    <w:rsid w:val="009367B7"/>
    <w:rsid w:val="00937089"/>
    <w:rsid w:val="0093739D"/>
    <w:rsid w:val="009375EC"/>
    <w:rsid w:val="00937692"/>
    <w:rsid w:val="00941004"/>
    <w:rsid w:val="0094189B"/>
    <w:rsid w:val="00944CE9"/>
    <w:rsid w:val="00944F8A"/>
    <w:rsid w:val="009475E3"/>
    <w:rsid w:val="009510A2"/>
    <w:rsid w:val="0095223A"/>
    <w:rsid w:val="00953257"/>
    <w:rsid w:val="009532EE"/>
    <w:rsid w:val="0095474C"/>
    <w:rsid w:val="00954BC3"/>
    <w:rsid w:val="0095582D"/>
    <w:rsid w:val="00956953"/>
    <w:rsid w:val="00957257"/>
    <w:rsid w:val="00957B6C"/>
    <w:rsid w:val="00957D92"/>
    <w:rsid w:val="00961496"/>
    <w:rsid w:val="009614EE"/>
    <w:rsid w:val="00962726"/>
    <w:rsid w:val="00962CB9"/>
    <w:rsid w:val="0096336D"/>
    <w:rsid w:val="00964312"/>
    <w:rsid w:val="009651FB"/>
    <w:rsid w:val="00965467"/>
    <w:rsid w:val="00965B64"/>
    <w:rsid w:val="00965B8A"/>
    <w:rsid w:val="0096635E"/>
    <w:rsid w:val="00966BA9"/>
    <w:rsid w:val="0096767B"/>
    <w:rsid w:val="00967692"/>
    <w:rsid w:val="0097071F"/>
    <w:rsid w:val="009717AC"/>
    <w:rsid w:val="00972696"/>
    <w:rsid w:val="009728A0"/>
    <w:rsid w:val="00972BE6"/>
    <w:rsid w:val="00972D6B"/>
    <w:rsid w:val="009736BD"/>
    <w:rsid w:val="009751C1"/>
    <w:rsid w:val="00975783"/>
    <w:rsid w:val="009759F3"/>
    <w:rsid w:val="00976B2A"/>
    <w:rsid w:val="009811F1"/>
    <w:rsid w:val="00982223"/>
    <w:rsid w:val="0098283E"/>
    <w:rsid w:val="00982899"/>
    <w:rsid w:val="00983674"/>
    <w:rsid w:val="0098372A"/>
    <w:rsid w:val="009837A8"/>
    <w:rsid w:val="009838A7"/>
    <w:rsid w:val="00983E57"/>
    <w:rsid w:val="00984239"/>
    <w:rsid w:val="00985DE2"/>
    <w:rsid w:val="00986178"/>
    <w:rsid w:val="009865F4"/>
    <w:rsid w:val="0098675D"/>
    <w:rsid w:val="009869EE"/>
    <w:rsid w:val="00986ACF"/>
    <w:rsid w:val="009870B9"/>
    <w:rsid w:val="009879B1"/>
    <w:rsid w:val="00987BA4"/>
    <w:rsid w:val="009907AB"/>
    <w:rsid w:val="00990CF0"/>
    <w:rsid w:val="00991551"/>
    <w:rsid w:val="00991895"/>
    <w:rsid w:val="0099209B"/>
    <w:rsid w:val="009926E0"/>
    <w:rsid w:val="0099276D"/>
    <w:rsid w:val="00992DC6"/>
    <w:rsid w:val="0099367E"/>
    <w:rsid w:val="00993C5C"/>
    <w:rsid w:val="00994298"/>
    <w:rsid w:val="0099451E"/>
    <w:rsid w:val="00995BD2"/>
    <w:rsid w:val="009968A0"/>
    <w:rsid w:val="00996B1A"/>
    <w:rsid w:val="009973A0"/>
    <w:rsid w:val="009A1214"/>
    <w:rsid w:val="009A1447"/>
    <w:rsid w:val="009A18F6"/>
    <w:rsid w:val="009A1936"/>
    <w:rsid w:val="009A1DAB"/>
    <w:rsid w:val="009A2DCC"/>
    <w:rsid w:val="009A32CF"/>
    <w:rsid w:val="009A3CB9"/>
    <w:rsid w:val="009A4287"/>
    <w:rsid w:val="009A5707"/>
    <w:rsid w:val="009A5ABC"/>
    <w:rsid w:val="009A603D"/>
    <w:rsid w:val="009A7083"/>
    <w:rsid w:val="009A73CA"/>
    <w:rsid w:val="009A74DE"/>
    <w:rsid w:val="009A7F10"/>
    <w:rsid w:val="009B0418"/>
    <w:rsid w:val="009B086D"/>
    <w:rsid w:val="009B0FD4"/>
    <w:rsid w:val="009B1EFC"/>
    <w:rsid w:val="009B22D4"/>
    <w:rsid w:val="009B36B1"/>
    <w:rsid w:val="009B3940"/>
    <w:rsid w:val="009B3E26"/>
    <w:rsid w:val="009B4073"/>
    <w:rsid w:val="009B5985"/>
    <w:rsid w:val="009B602F"/>
    <w:rsid w:val="009C0665"/>
    <w:rsid w:val="009C074E"/>
    <w:rsid w:val="009C1271"/>
    <w:rsid w:val="009C3706"/>
    <w:rsid w:val="009C3A3A"/>
    <w:rsid w:val="009C4952"/>
    <w:rsid w:val="009C4FD1"/>
    <w:rsid w:val="009C67BE"/>
    <w:rsid w:val="009C6CEA"/>
    <w:rsid w:val="009C6D90"/>
    <w:rsid w:val="009C7B85"/>
    <w:rsid w:val="009D00AD"/>
    <w:rsid w:val="009D0254"/>
    <w:rsid w:val="009D0317"/>
    <w:rsid w:val="009D0408"/>
    <w:rsid w:val="009D0FFC"/>
    <w:rsid w:val="009D12EE"/>
    <w:rsid w:val="009D1A64"/>
    <w:rsid w:val="009D2174"/>
    <w:rsid w:val="009D3C90"/>
    <w:rsid w:val="009D56B4"/>
    <w:rsid w:val="009D56E7"/>
    <w:rsid w:val="009D5A2C"/>
    <w:rsid w:val="009D5B91"/>
    <w:rsid w:val="009D5D39"/>
    <w:rsid w:val="009D792E"/>
    <w:rsid w:val="009E079F"/>
    <w:rsid w:val="009E0C13"/>
    <w:rsid w:val="009E0DFE"/>
    <w:rsid w:val="009E1159"/>
    <w:rsid w:val="009E124A"/>
    <w:rsid w:val="009E13BC"/>
    <w:rsid w:val="009E1BF0"/>
    <w:rsid w:val="009E1EA4"/>
    <w:rsid w:val="009E20C0"/>
    <w:rsid w:val="009E21C3"/>
    <w:rsid w:val="009E31F6"/>
    <w:rsid w:val="009E481E"/>
    <w:rsid w:val="009E4C07"/>
    <w:rsid w:val="009E52E5"/>
    <w:rsid w:val="009E63DA"/>
    <w:rsid w:val="009E7648"/>
    <w:rsid w:val="009E777F"/>
    <w:rsid w:val="009E7EAC"/>
    <w:rsid w:val="009F1D0C"/>
    <w:rsid w:val="009F42A8"/>
    <w:rsid w:val="009F4E68"/>
    <w:rsid w:val="009F4EAD"/>
    <w:rsid w:val="009F6120"/>
    <w:rsid w:val="009F634F"/>
    <w:rsid w:val="009F7B07"/>
    <w:rsid w:val="009F7F32"/>
    <w:rsid w:val="00A00D76"/>
    <w:rsid w:val="00A01184"/>
    <w:rsid w:val="00A01449"/>
    <w:rsid w:val="00A01946"/>
    <w:rsid w:val="00A02158"/>
    <w:rsid w:val="00A03315"/>
    <w:rsid w:val="00A037C2"/>
    <w:rsid w:val="00A03C86"/>
    <w:rsid w:val="00A03D43"/>
    <w:rsid w:val="00A04380"/>
    <w:rsid w:val="00A04636"/>
    <w:rsid w:val="00A04786"/>
    <w:rsid w:val="00A05472"/>
    <w:rsid w:val="00A05C32"/>
    <w:rsid w:val="00A0653F"/>
    <w:rsid w:val="00A07B6D"/>
    <w:rsid w:val="00A07EC0"/>
    <w:rsid w:val="00A11272"/>
    <w:rsid w:val="00A11AEF"/>
    <w:rsid w:val="00A11CD0"/>
    <w:rsid w:val="00A1201D"/>
    <w:rsid w:val="00A13447"/>
    <w:rsid w:val="00A13948"/>
    <w:rsid w:val="00A13D8F"/>
    <w:rsid w:val="00A13F3C"/>
    <w:rsid w:val="00A14710"/>
    <w:rsid w:val="00A14A09"/>
    <w:rsid w:val="00A14EEB"/>
    <w:rsid w:val="00A1555B"/>
    <w:rsid w:val="00A155C5"/>
    <w:rsid w:val="00A16AD8"/>
    <w:rsid w:val="00A16B23"/>
    <w:rsid w:val="00A172BE"/>
    <w:rsid w:val="00A1762A"/>
    <w:rsid w:val="00A2021E"/>
    <w:rsid w:val="00A20269"/>
    <w:rsid w:val="00A205D0"/>
    <w:rsid w:val="00A21C95"/>
    <w:rsid w:val="00A21CF3"/>
    <w:rsid w:val="00A22626"/>
    <w:rsid w:val="00A24813"/>
    <w:rsid w:val="00A258E9"/>
    <w:rsid w:val="00A2615E"/>
    <w:rsid w:val="00A26F20"/>
    <w:rsid w:val="00A27AEC"/>
    <w:rsid w:val="00A30EC3"/>
    <w:rsid w:val="00A31900"/>
    <w:rsid w:val="00A31F9C"/>
    <w:rsid w:val="00A320DB"/>
    <w:rsid w:val="00A34F6D"/>
    <w:rsid w:val="00A35B7A"/>
    <w:rsid w:val="00A35D16"/>
    <w:rsid w:val="00A363F2"/>
    <w:rsid w:val="00A36D70"/>
    <w:rsid w:val="00A374B7"/>
    <w:rsid w:val="00A37732"/>
    <w:rsid w:val="00A37BCD"/>
    <w:rsid w:val="00A4090B"/>
    <w:rsid w:val="00A40CD8"/>
    <w:rsid w:val="00A41689"/>
    <w:rsid w:val="00A41981"/>
    <w:rsid w:val="00A42215"/>
    <w:rsid w:val="00A42592"/>
    <w:rsid w:val="00A42978"/>
    <w:rsid w:val="00A433B4"/>
    <w:rsid w:val="00A439B9"/>
    <w:rsid w:val="00A43C59"/>
    <w:rsid w:val="00A448B7"/>
    <w:rsid w:val="00A44CEB"/>
    <w:rsid w:val="00A44F72"/>
    <w:rsid w:val="00A450E4"/>
    <w:rsid w:val="00A45DED"/>
    <w:rsid w:val="00A466DF"/>
    <w:rsid w:val="00A468FF"/>
    <w:rsid w:val="00A4744D"/>
    <w:rsid w:val="00A50ECD"/>
    <w:rsid w:val="00A518F3"/>
    <w:rsid w:val="00A52328"/>
    <w:rsid w:val="00A52729"/>
    <w:rsid w:val="00A53675"/>
    <w:rsid w:val="00A53DB7"/>
    <w:rsid w:val="00A54E6B"/>
    <w:rsid w:val="00A554F3"/>
    <w:rsid w:val="00A564D7"/>
    <w:rsid w:val="00A56B6A"/>
    <w:rsid w:val="00A573DE"/>
    <w:rsid w:val="00A578DC"/>
    <w:rsid w:val="00A61BC9"/>
    <w:rsid w:val="00A62AD2"/>
    <w:rsid w:val="00A62B61"/>
    <w:rsid w:val="00A62FCC"/>
    <w:rsid w:val="00A6336E"/>
    <w:rsid w:val="00A640E2"/>
    <w:rsid w:val="00A64D65"/>
    <w:rsid w:val="00A669C0"/>
    <w:rsid w:val="00A6725B"/>
    <w:rsid w:val="00A6771E"/>
    <w:rsid w:val="00A67B46"/>
    <w:rsid w:val="00A7013C"/>
    <w:rsid w:val="00A70605"/>
    <w:rsid w:val="00A711BD"/>
    <w:rsid w:val="00A71BF9"/>
    <w:rsid w:val="00A7280D"/>
    <w:rsid w:val="00A73012"/>
    <w:rsid w:val="00A73134"/>
    <w:rsid w:val="00A7365A"/>
    <w:rsid w:val="00A73C7E"/>
    <w:rsid w:val="00A750A6"/>
    <w:rsid w:val="00A759D6"/>
    <w:rsid w:val="00A75D4D"/>
    <w:rsid w:val="00A75FD8"/>
    <w:rsid w:val="00A76001"/>
    <w:rsid w:val="00A76BAE"/>
    <w:rsid w:val="00A77408"/>
    <w:rsid w:val="00A777B2"/>
    <w:rsid w:val="00A778D3"/>
    <w:rsid w:val="00A811F6"/>
    <w:rsid w:val="00A82426"/>
    <w:rsid w:val="00A8250B"/>
    <w:rsid w:val="00A825D4"/>
    <w:rsid w:val="00A828F6"/>
    <w:rsid w:val="00A82B73"/>
    <w:rsid w:val="00A83D61"/>
    <w:rsid w:val="00A849C0"/>
    <w:rsid w:val="00A85C2C"/>
    <w:rsid w:val="00A85F6C"/>
    <w:rsid w:val="00A86E8B"/>
    <w:rsid w:val="00A87164"/>
    <w:rsid w:val="00A9045E"/>
    <w:rsid w:val="00A908A7"/>
    <w:rsid w:val="00A920DF"/>
    <w:rsid w:val="00A9217E"/>
    <w:rsid w:val="00A93072"/>
    <w:rsid w:val="00A93659"/>
    <w:rsid w:val="00A938BD"/>
    <w:rsid w:val="00A93953"/>
    <w:rsid w:val="00A93F7A"/>
    <w:rsid w:val="00A958A2"/>
    <w:rsid w:val="00A959D8"/>
    <w:rsid w:val="00A96B00"/>
    <w:rsid w:val="00A97BA4"/>
    <w:rsid w:val="00AA113D"/>
    <w:rsid w:val="00AA1539"/>
    <w:rsid w:val="00AA51FF"/>
    <w:rsid w:val="00AA56A6"/>
    <w:rsid w:val="00AA687F"/>
    <w:rsid w:val="00AA6BD5"/>
    <w:rsid w:val="00AA6BD8"/>
    <w:rsid w:val="00AA6C7D"/>
    <w:rsid w:val="00AA6CA0"/>
    <w:rsid w:val="00AA6F7E"/>
    <w:rsid w:val="00AA7383"/>
    <w:rsid w:val="00AA77E6"/>
    <w:rsid w:val="00AA7FD6"/>
    <w:rsid w:val="00AB042A"/>
    <w:rsid w:val="00AB1041"/>
    <w:rsid w:val="00AB11AD"/>
    <w:rsid w:val="00AB170D"/>
    <w:rsid w:val="00AB19EF"/>
    <w:rsid w:val="00AB2495"/>
    <w:rsid w:val="00AB2D34"/>
    <w:rsid w:val="00AB3430"/>
    <w:rsid w:val="00AB37B9"/>
    <w:rsid w:val="00AB38F7"/>
    <w:rsid w:val="00AB3DE9"/>
    <w:rsid w:val="00AB41FE"/>
    <w:rsid w:val="00AB4610"/>
    <w:rsid w:val="00AB4AD1"/>
    <w:rsid w:val="00AB552A"/>
    <w:rsid w:val="00AB5E07"/>
    <w:rsid w:val="00AB7329"/>
    <w:rsid w:val="00AB780C"/>
    <w:rsid w:val="00AB7CFA"/>
    <w:rsid w:val="00AC4B5F"/>
    <w:rsid w:val="00AC5B42"/>
    <w:rsid w:val="00AC5B48"/>
    <w:rsid w:val="00AC5F31"/>
    <w:rsid w:val="00AC6506"/>
    <w:rsid w:val="00AC766D"/>
    <w:rsid w:val="00AD0BE8"/>
    <w:rsid w:val="00AD12E6"/>
    <w:rsid w:val="00AD1450"/>
    <w:rsid w:val="00AD15E8"/>
    <w:rsid w:val="00AD2A37"/>
    <w:rsid w:val="00AD2DF5"/>
    <w:rsid w:val="00AD356D"/>
    <w:rsid w:val="00AD4BF2"/>
    <w:rsid w:val="00AD50E6"/>
    <w:rsid w:val="00AD54DA"/>
    <w:rsid w:val="00AD6502"/>
    <w:rsid w:val="00AD6BF2"/>
    <w:rsid w:val="00AD7858"/>
    <w:rsid w:val="00AE0695"/>
    <w:rsid w:val="00AE15EC"/>
    <w:rsid w:val="00AE17E8"/>
    <w:rsid w:val="00AE19A0"/>
    <w:rsid w:val="00AE1BD7"/>
    <w:rsid w:val="00AE3E7E"/>
    <w:rsid w:val="00AE40DF"/>
    <w:rsid w:val="00AE5D4A"/>
    <w:rsid w:val="00AE6FCB"/>
    <w:rsid w:val="00AE75FE"/>
    <w:rsid w:val="00AE7E53"/>
    <w:rsid w:val="00AF1315"/>
    <w:rsid w:val="00AF19BF"/>
    <w:rsid w:val="00AF2B01"/>
    <w:rsid w:val="00AF2DAD"/>
    <w:rsid w:val="00AF2DC3"/>
    <w:rsid w:val="00AF4654"/>
    <w:rsid w:val="00AF4B60"/>
    <w:rsid w:val="00AF4BBB"/>
    <w:rsid w:val="00AF4C64"/>
    <w:rsid w:val="00AF6107"/>
    <w:rsid w:val="00AF62FC"/>
    <w:rsid w:val="00AF6750"/>
    <w:rsid w:val="00B004AE"/>
    <w:rsid w:val="00B01164"/>
    <w:rsid w:val="00B01D02"/>
    <w:rsid w:val="00B01F1B"/>
    <w:rsid w:val="00B03377"/>
    <w:rsid w:val="00B033E5"/>
    <w:rsid w:val="00B03763"/>
    <w:rsid w:val="00B03A63"/>
    <w:rsid w:val="00B0426E"/>
    <w:rsid w:val="00B05FFC"/>
    <w:rsid w:val="00B06630"/>
    <w:rsid w:val="00B074CB"/>
    <w:rsid w:val="00B11938"/>
    <w:rsid w:val="00B129A4"/>
    <w:rsid w:val="00B13D15"/>
    <w:rsid w:val="00B13DCC"/>
    <w:rsid w:val="00B148D2"/>
    <w:rsid w:val="00B155FF"/>
    <w:rsid w:val="00B16F29"/>
    <w:rsid w:val="00B201A4"/>
    <w:rsid w:val="00B201D1"/>
    <w:rsid w:val="00B213A6"/>
    <w:rsid w:val="00B21C24"/>
    <w:rsid w:val="00B21D4A"/>
    <w:rsid w:val="00B220AB"/>
    <w:rsid w:val="00B22304"/>
    <w:rsid w:val="00B22953"/>
    <w:rsid w:val="00B22C16"/>
    <w:rsid w:val="00B22F24"/>
    <w:rsid w:val="00B22F68"/>
    <w:rsid w:val="00B23584"/>
    <w:rsid w:val="00B235B0"/>
    <w:rsid w:val="00B23FC9"/>
    <w:rsid w:val="00B2455E"/>
    <w:rsid w:val="00B24A09"/>
    <w:rsid w:val="00B24DF6"/>
    <w:rsid w:val="00B25646"/>
    <w:rsid w:val="00B25BFE"/>
    <w:rsid w:val="00B2718D"/>
    <w:rsid w:val="00B27A61"/>
    <w:rsid w:val="00B31537"/>
    <w:rsid w:val="00B3264B"/>
    <w:rsid w:val="00B3278F"/>
    <w:rsid w:val="00B348E4"/>
    <w:rsid w:val="00B34FE2"/>
    <w:rsid w:val="00B35166"/>
    <w:rsid w:val="00B357D8"/>
    <w:rsid w:val="00B360F4"/>
    <w:rsid w:val="00B3631A"/>
    <w:rsid w:val="00B36A00"/>
    <w:rsid w:val="00B37556"/>
    <w:rsid w:val="00B3792B"/>
    <w:rsid w:val="00B37BFC"/>
    <w:rsid w:val="00B40358"/>
    <w:rsid w:val="00B40422"/>
    <w:rsid w:val="00B40A7F"/>
    <w:rsid w:val="00B40F76"/>
    <w:rsid w:val="00B4133A"/>
    <w:rsid w:val="00B41614"/>
    <w:rsid w:val="00B42851"/>
    <w:rsid w:val="00B42889"/>
    <w:rsid w:val="00B42F80"/>
    <w:rsid w:val="00B435CB"/>
    <w:rsid w:val="00B436B3"/>
    <w:rsid w:val="00B4478B"/>
    <w:rsid w:val="00B44C7F"/>
    <w:rsid w:val="00B462EC"/>
    <w:rsid w:val="00B465EC"/>
    <w:rsid w:val="00B46C75"/>
    <w:rsid w:val="00B47963"/>
    <w:rsid w:val="00B505C8"/>
    <w:rsid w:val="00B50DB8"/>
    <w:rsid w:val="00B51B93"/>
    <w:rsid w:val="00B52EA9"/>
    <w:rsid w:val="00B53654"/>
    <w:rsid w:val="00B537B0"/>
    <w:rsid w:val="00B53905"/>
    <w:rsid w:val="00B5438B"/>
    <w:rsid w:val="00B546DB"/>
    <w:rsid w:val="00B54B5B"/>
    <w:rsid w:val="00B55449"/>
    <w:rsid w:val="00B5562E"/>
    <w:rsid w:val="00B55862"/>
    <w:rsid w:val="00B55D65"/>
    <w:rsid w:val="00B56305"/>
    <w:rsid w:val="00B57000"/>
    <w:rsid w:val="00B5747E"/>
    <w:rsid w:val="00B57D10"/>
    <w:rsid w:val="00B605CC"/>
    <w:rsid w:val="00B60939"/>
    <w:rsid w:val="00B60AFD"/>
    <w:rsid w:val="00B61871"/>
    <w:rsid w:val="00B61EC1"/>
    <w:rsid w:val="00B62715"/>
    <w:rsid w:val="00B62FE5"/>
    <w:rsid w:val="00B63F0F"/>
    <w:rsid w:val="00B643D3"/>
    <w:rsid w:val="00B648FC"/>
    <w:rsid w:val="00B65611"/>
    <w:rsid w:val="00B6629F"/>
    <w:rsid w:val="00B70D6F"/>
    <w:rsid w:val="00B70E8E"/>
    <w:rsid w:val="00B72160"/>
    <w:rsid w:val="00B7270C"/>
    <w:rsid w:val="00B73834"/>
    <w:rsid w:val="00B746B2"/>
    <w:rsid w:val="00B753A8"/>
    <w:rsid w:val="00B75F83"/>
    <w:rsid w:val="00B76000"/>
    <w:rsid w:val="00B76A31"/>
    <w:rsid w:val="00B76C92"/>
    <w:rsid w:val="00B7724A"/>
    <w:rsid w:val="00B77BDE"/>
    <w:rsid w:val="00B80EFD"/>
    <w:rsid w:val="00B81818"/>
    <w:rsid w:val="00B818A4"/>
    <w:rsid w:val="00B81A7B"/>
    <w:rsid w:val="00B81E15"/>
    <w:rsid w:val="00B820E2"/>
    <w:rsid w:val="00B82916"/>
    <w:rsid w:val="00B833EB"/>
    <w:rsid w:val="00B83739"/>
    <w:rsid w:val="00B83B22"/>
    <w:rsid w:val="00B8410A"/>
    <w:rsid w:val="00B84117"/>
    <w:rsid w:val="00B849D1"/>
    <w:rsid w:val="00B853E4"/>
    <w:rsid w:val="00B858F0"/>
    <w:rsid w:val="00B85AA2"/>
    <w:rsid w:val="00B86377"/>
    <w:rsid w:val="00B8649C"/>
    <w:rsid w:val="00B8695D"/>
    <w:rsid w:val="00B87F0A"/>
    <w:rsid w:val="00B90031"/>
    <w:rsid w:val="00B91607"/>
    <w:rsid w:val="00B91888"/>
    <w:rsid w:val="00B920B2"/>
    <w:rsid w:val="00B9214C"/>
    <w:rsid w:val="00B92BD0"/>
    <w:rsid w:val="00B92D0B"/>
    <w:rsid w:val="00B93449"/>
    <w:rsid w:val="00B94945"/>
    <w:rsid w:val="00B94DD6"/>
    <w:rsid w:val="00B95754"/>
    <w:rsid w:val="00B96403"/>
    <w:rsid w:val="00B973F9"/>
    <w:rsid w:val="00B974A8"/>
    <w:rsid w:val="00B97550"/>
    <w:rsid w:val="00B978E9"/>
    <w:rsid w:val="00BA20FF"/>
    <w:rsid w:val="00BA27FD"/>
    <w:rsid w:val="00BA2AC9"/>
    <w:rsid w:val="00BA3030"/>
    <w:rsid w:val="00BA322D"/>
    <w:rsid w:val="00BA41DE"/>
    <w:rsid w:val="00BA553E"/>
    <w:rsid w:val="00BA63FA"/>
    <w:rsid w:val="00BA6900"/>
    <w:rsid w:val="00BB00B3"/>
    <w:rsid w:val="00BB00C2"/>
    <w:rsid w:val="00BB07B6"/>
    <w:rsid w:val="00BB0AA9"/>
    <w:rsid w:val="00BB0BDD"/>
    <w:rsid w:val="00BB176C"/>
    <w:rsid w:val="00BB2A73"/>
    <w:rsid w:val="00BB3A45"/>
    <w:rsid w:val="00BB45CF"/>
    <w:rsid w:val="00BB4ACC"/>
    <w:rsid w:val="00BB4DB4"/>
    <w:rsid w:val="00BB5AEF"/>
    <w:rsid w:val="00BB65CB"/>
    <w:rsid w:val="00BB703E"/>
    <w:rsid w:val="00BB732D"/>
    <w:rsid w:val="00BB7405"/>
    <w:rsid w:val="00BB76FB"/>
    <w:rsid w:val="00BB7A29"/>
    <w:rsid w:val="00BB7A70"/>
    <w:rsid w:val="00BC1612"/>
    <w:rsid w:val="00BC304D"/>
    <w:rsid w:val="00BC31E1"/>
    <w:rsid w:val="00BC3631"/>
    <w:rsid w:val="00BC591F"/>
    <w:rsid w:val="00BC59AA"/>
    <w:rsid w:val="00BC65E5"/>
    <w:rsid w:val="00BC7237"/>
    <w:rsid w:val="00BC738A"/>
    <w:rsid w:val="00BC7589"/>
    <w:rsid w:val="00BC7D6D"/>
    <w:rsid w:val="00BD04FE"/>
    <w:rsid w:val="00BD10A9"/>
    <w:rsid w:val="00BD1D67"/>
    <w:rsid w:val="00BD2108"/>
    <w:rsid w:val="00BD2C0F"/>
    <w:rsid w:val="00BD2E11"/>
    <w:rsid w:val="00BD30BC"/>
    <w:rsid w:val="00BD5927"/>
    <w:rsid w:val="00BD68A3"/>
    <w:rsid w:val="00BD6938"/>
    <w:rsid w:val="00BD6BAC"/>
    <w:rsid w:val="00BD6CF3"/>
    <w:rsid w:val="00BD7201"/>
    <w:rsid w:val="00BD7499"/>
    <w:rsid w:val="00BD7F72"/>
    <w:rsid w:val="00BE0ECA"/>
    <w:rsid w:val="00BE145E"/>
    <w:rsid w:val="00BE157F"/>
    <w:rsid w:val="00BE2180"/>
    <w:rsid w:val="00BE21F2"/>
    <w:rsid w:val="00BE23A7"/>
    <w:rsid w:val="00BE351D"/>
    <w:rsid w:val="00BE371A"/>
    <w:rsid w:val="00BE41F0"/>
    <w:rsid w:val="00BE4275"/>
    <w:rsid w:val="00BE6D87"/>
    <w:rsid w:val="00BE70C7"/>
    <w:rsid w:val="00BE7D94"/>
    <w:rsid w:val="00BF06AE"/>
    <w:rsid w:val="00BF0F95"/>
    <w:rsid w:val="00BF18B1"/>
    <w:rsid w:val="00BF2433"/>
    <w:rsid w:val="00BF2477"/>
    <w:rsid w:val="00BF2E6E"/>
    <w:rsid w:val="00BF592A"/>
    <w:rsid w:val="00BF61C9"/>
    <w:rsid w:val="00BF68A6"/>
    <w:rsid w:val="00BF6C94"/>
    <w:rsid w:val="00BF7D00"/>
    <w:rsid w:val="00C00424"/>
    <w:rsid w:val="00C00A84"/>
    <w:rsid w:val="00C00BB0"/>
    <w:rsid w:val="00C0258E"/>
    <w:rsid w:val="00C02ADA"/>
    <w:rsid w:val="00C0583D"/>
    <w:rsid w:val="00C10CC6"/>
    <w:rsid w:val="00C1179F"/>
    <w:rsid w:val="00C127B9"/>
    <w:rsid w:val="00C128FA"/>
    <w:rsid w:val="00C12A2C"/>
    <w:rsid w:val="00C12C14"/>
    <w:rsid w:val="00C141BD"/>
    <w:rsid w:val="00C15F04"/>
    <w:rsid w:val="00C179B3"/>
    <w:rsid w:val="00C17E3F"/>
    <w:rsid w:val="00C200AA"/>
    <w:rsid w:val="00C20E93"/>
    <w:rsid w:val="00C2253E"/>
    <w:rsid w:val="00C236A0"/>
    <w:rsid w:val="00C237ED"/>
    <w:rsid w:val="00C24632"/>
    <w:rsid w:val="00C24852"/>
    <w:rsid w:val="00C248B4"/>
    <w:rsid w:val="00C25418"/>
    <w:rsid w:val="00C25D9C"/>
    <w:rsid w:val="00C25FE2"/>
    <w:rsid w:val="00C2673E"/>
    <w:rsid w:val="00C26DC4"/>
    <w:rsid w:val="00C2778B"/>
    <w:rsid w:val="00C27D03"/>
    <w:rsid w:val="00C3048A"/>
    <w:rsid w:val="00C31649"/>
    <w:rsid w:val="00C3434C"/>
    <w:rsid w:val="00C34688"/>
    <w:rsid w:val="00C34B4A"/>
    <w:rsid w:val="00C35300"/>
    <w:rsid w:val="00C3561E"/>
    <w:rsid w:val="00C361FB"/>
    <w:rsid w:val="00C40385"/>
    <w:rsid w:val="00C41768"/>
    <w:rsid w:val="00C42E77"/>
    <w:rsid w:val="00C43907"/>
    <w:rsid w:val="00C44106"/>
    <w:rsid w:val="00C475AA"/>
    <w:rsid w:val="00C476B9"/>
    <w:rsid w:val="00C50073"/>
    <w:rsid w:val="00C5122B"/>
    <w:rsid w:val="00C51C10"/>
    <w:rsid w:val="00C51EBC"/>
    <w:rsid w:val="00C520A4"/>
    <w:rsid w:val="00C521C4"/>
    <w:rsid w:val="00C527C7"/>
    <w:rsid w:val="00C52D48"/>
    <w:rsid w:val="00C53C98"/>
    <w:rsid w:val="00C5532E"/>
    <w:rsid w:val="00C563B8"/>
    <w:rsid w:val="00C563C9"/>
    <w:rsid w:val="00C56FCF"/>
    <w:rsid w:val="00C57B6C"/>
    <w:rsid w:val="00C60085"/>
    <w:rsid w:val="00C605EA"/>
    <w:rsid w:val="00C61A59"/>
    <w:rsid w:val="00C61A63"/>
    <w:rsid w:val="00C628A6"/>
    <w:rsid w:val="00C6319E"/>
    <w:rsid w:val="00C63D3A"/>
    <w:rsid w:val="00C641BC"/>
    <w:rsid w:val="00C64344"/>
    <w:rsid w:val="00C64845"/>
    <w:rsid w:val="00C65108"/>
    <w:rsid w:val="00C65576"/>
    <w:rsid w:val="00C66165"/>
    <w:rsid w:val="00C6713C"/>
    <w:rsid w:val="00C7060A"/>
    <w:rsid w:val="00C70F14"/>
    <w:rsid w:val="00C71479"/>
    <w:rsid w:val="00C7151A"/>
    <w:rsid w:val="00C717E3"/>
    <w:rsid w:val="00C71F60"/>
    <w:rsid w:val="00C72241"/>
    <w:rsid w:val="00C73033"/>
    <w:rsid w:val="00C730BA"/>
    <w:rsid w:val="00C733B1"/>
    <w:rsid w:val="00C744B7"/>
    <w:rsid w:val="00C74A5F"/>
    <w:rsid w:val="00C74A77"/>
    <w:rsid w:val="00C750C8"/>
    <w:rsid w:val="00C752DD"/>
    <w:rsid w:val="00C7560F"/>
    <w:rsid w:val="00C75A19"/>
    <w:rsid w:val="00C766C0"/>
    <w:rsid w:val="00C76C7F"/>
    <w:rsid w:val="00C7790C"/>
    <w:rsid w:val="00C80A0E"/>
    <w:rsid w:val="00C814B9"/>
    <w:rsid w:val="00C81763"/>
    <w:rsid w:val="00C8213F"/>
    <w:rsid w:val="00C8303F"/>
    <w:rsid w:val="00C839C6"/>
    <w:rsid w:val="00C83A57"/>
    <w:rsid w:val="00C83E00"/>
    <w:rsid w:val="00C849C7"/>
    <w:rsid w:val="00C85154"/>
    <w:rsid w:val="00C85A70"/>
    <w:rsid w:val="00C85ACA"/>
    <w:rsid w:val="00C87901"/>
    <w:rsid w:val="00C8797A"/>
    <w:rsid w:val="00C900B8"/>
    <w:rsid w:val="00C90197"/>
    <w:rsid w:val="00C90308"/>
    <w:rsid w:val="00C90C71"/>
    <w:rsid w:val="00C90D56"/>
    <w:rsid w:val="00C91B48"/>
    <w:rsid w:val="00C91FD1"/>
    <w:rsid w:val="00C92725"/>
    <w:rsid w:val="00C931CF"/>
    <w:rsid w:val="00C938CF"/>
    <w:rsid w:val="00C94053"/>
    <w:rsid w:val="00C943FE"/>
    <w:rsid w:val="00C94CCB"/>
    <w:rsid w:val="00C95937"/>
    <w:rsid w:val="00C9624D"/>
    <w:rsid w:val="00C9638F"/>
    <w:rsid w:val="00C969DA"/>
    <w:rsid w:val="00CA1C2B"/>
    <w:rsid w:val="00CA1D4E"/>
    <w:rsid w:val="00CA1FE1"/>
    <w:rsid w:val="00CA2850"/>
    <w:rsid w:val="00CA2B7D"/>
    <w:rsid w:val="00CA2C77"/>
    <w:rsid w:val="00CA3C0D"/>
    <w:rsid w:val="00CA3E0E"/>
    <w:rsid w:val="00CA444F"/>
    <w:rsid w:val="00CA4508"/>
    <w:rsid w:val="00CA4AC1"/>
    <w:rsid w:val="00CA5035"/>
    <w:rsid w:val="00CA5245"/>
    <w:rsid w:val="00CA5B51"/>
    <w:rsid w:val="00CA71F4"/>
    <w:rsid w:val="00CA7B09"/>
    <w:rsid w:val="00CB0B7C"/>
    <w:rsid w:val="00CB12A5"/>
    <w:rsid w:val="00CB1CAC"/>
    <w:rsid w:val="00CB2F2A"/>
    <w:rsid w:val="00CB5B1A"/>
    <w:rsid w:val="00CB5F1B"/>
    <w:rsid w:val="00CB61F9"/>
    <w:rsid w:val="00CB6B22"/>
    <w:rsid w:val="00CB7F5F"/>
    <w:rsid w:val="00CC0764"/>
    <w:rsid w:val="00CC10B6"/>
    <w:rsid w:val="00CC1488"/>
    <w:rsid w:val="00CC18BE"/>
    <w:rsid w:val="00CC1B39"/>
    <w:rsid w:val="00CC1B83"/>
    <w:rsid w:val="00CC1BFA"/>
    <w:rsid w:val="00CC2537"/>
    <w:rsid w:val="00CC2851"/>
    <w:rsid w:val="00CC2E9F"/>
    <w:rsid w:val="00CC327E"/>
    <w:rsid w:val="00CC328C"/>
    <w:rsid w:val="00CC33E8"/>
    <w:rsid w:val="00CC3449"/>
    <w:rsid w:val="00CC35EA"/>
    <w:rsid w:val="00CC3848"/>
    <w:rsid w:val="00CC3CF8"/>
    <w:rsid w:val="00CC48E6"/>
    <w:rsid w:val="00CC4E63"/>
    <w:rsid w:val="00CC531E"/>
    <w:rsid w:val="00CC6D5E"/>
    <w:rsid w:val="00CC7F34"/>
    <w:rsid w:val="00CD0200"/>
    <w:rsid w:val="00CD1BE4"/>
    <w:rsid w:val="00CD25A0"/>
    <w:rsid w:val="00CD34A4"/>
    <w:rsid w:val="00CD3F77"/>
    <w:rsid w:val="00CD6661"/>
    <w:rsid w:val="00CD6ADC"/>
    <w:rsid w:val="00CD7193"/>
    <w:rsid w:val="00CE02E0"/>
    <w:rsid w:val="00CE08D9"/>
    <w:rsid w:val="00CE20DE"/>
    <w:rsid w:val="00CE38C8"/>
    <w:rsid w:val="00CE3AB9"/>
    <w:rsid w:val="00CE4A94"/>
    <w:rsid w:val="00CE4C93"/>
    <w:rsid w:val="00CE4D9F"/>
    <w:rsid w:val="00CE524F"/>
    <w:rsid w:val="00CE58CC"/>
    <w:rsid w:val="00CE5AA4"/>
    <w:rsid w:val="00CE6274"/>
    <w:rsid w:val="00CE75C0"/>
    <w:rsid w:val="00CE77B6"/>
    <w:rsid w:val="00CF009F"/>
    <w:rsid w:val="00CF0A56"/>
    <w:rsid w:val="00CF1771"/>
    <w:rsid w:val="00CF2B8D"/>
    <w:rsid w:val="00CF340C"/>
    <w:rsid w:val="00CF39D9"/>
    <w:rsid w:val="00CF3A1B"/>
    <w:rsid w:val="00CF3AD5"/>
    <w:rsid w:val="00CF3AF9"/>
    <w:rsid w:val="00CF3AFC"/>
    <w:rsid w:val="00CF456B"/>
    <w:rsid w:val="00CF5A22"/>
    <w:rsid w:val="00CF7833"/>
    <w:rsid w:val="00D01C20"/>
    <w:rsid w:val="00D0262E"/>
    <w:rsid w:val="00D02AF2"/>
    <w:rsid w:val="00D02FD1"/>
    <w:rsid w:val="00D03679"/>
    <w:rsid w:val="00D039F9"/>
    <w:rsid w:val="00D041DF"/>
    <w:rsid w:val="00D04369"/>
    <w:rsid w:val="00D0490D"/>
    <w:rsid w:val="00D05118"/>
    <w:rsid w:val="00D05E3D"/>
    <w:rsid w:val="00D06139"/>
    <w:rsid w:val="00D06415"/>
    <w:rsid w:val="00D06CA8"/>
    <w:rsid w:val="00D06E46"/>
    <w:rsid w:val="00D106CC"/>
    <w:rsid w:val="00D110BD"/>
    <w:rsid w:val="00D113B5"/>
    <w:rsid w:val="00D12AEE"/>
    <w:rsid w:val="00D12B48"/>
    <w:rsid w:val="00D13675"/>
    <w:rsid w:val="00D13C76"/>
    <w:rsid w:val="00D140C7"/>
    <w:rsid w:val="00D141E1"/>
    <w:rsid w:val="00D14C6A"/>
    <w:rsid w:val="00D15079"/>
    <w:rsid w:val="00D15314"/>
    <w:rsid w:val="00D15B48"/>
    <w:rsid w:val="00D15E40"/>
    <w:rsid w:val="00D17424"/>
    <w:rsid w:val="00D177B3"/>
    <w:rsid w:val="00D17D6C"/>
    <w:rsid w:val="00D2110C"/>
    <w:rsid w:val="00D2155B"/>
    <w:rsid w:val="00D2201A"/>
    <w:rsid w:val="00D22C77"/>
    <w:rsid w:val="00D2341C"/>
    <w:rsid w:val="00D239CA"/>
    <w:rsid w:val="00D23D11"/>
    <w:rsid w:val="00D244B6"/>
    <w:rsid w:val="00D24A17"/>
    <w:rsid w:val="00D24DE6"/>
    <w:rsid w:val="00D25267"/>
    <w:rsid w:val="00D25369"/>
    <w:rsid w:val="00D25529"/>
    <w:rsid w:val="00D25BE5"/>
    <w:rsid w:val="00D262D6"/>
    <w:rsid w:val="00D2754D"/>
    <w:rsid w:val="00D279AE"/>
    <w:rsid w:val="00D27B27"/>
    <w:rsid w:val="00D301B3"/>
    <w:rsid w:val="00D3075C"/>
    <w:rsid w:val="00D30D5B"/>
    <w:rsid w:val="00D30DB3"/>
    <w:rsid w:val="00D312C8"/>
    <w:rsid w:val="00D316B2"/>
    <w:rsid w:val="00D32185"/>
    <w:rsid w:val="00D339E3"/>
    <w:rsid w:val="00D33BE9"/>
    <w:rsid w:val="00D33F93"/>
    <w:rsid w:val="00D34ACA"/>
    <w:rsid w:val="00D34E7F"/>
    <w:rsid w:val="00D35305"/>
    <w:rsid w:val="00D353F7"/>
    <w:rsid w:val="00D357FF"/>
    <w:rsid w:val="00D35CF3"/>
    <w:rsid w:val="00D36751"/>
    <w:rsid w:val="00D40509"/>
    <w:rsid w:val="00D408CB"/>
    <w:rsid w:val="00D4131C"/>
    <w:rsid w:val="00D41991"/>
    <w:rsid w:val="00D41F42"/>
    <w:rsid w:val="00D424C7"/>
    <w:rsid w:val="00D42DA7"/>
    <w:rsid w:val="00D43B2A"/>
    <w:rsid w:val="00D43C7B"/>
    <w:rsid w:val="00D43CF1"/>
    <w:rsid w:val="00D43D83"/>
    <w:rsid w:val="00D44A70"/>
    <w:rsid w:val="00D46070"/>
    <w:rsid w:val="00D46256"/>
    <w:rsid w:val="00D47575"/>
    <w:rsid w:val="00D47969"/>
    <w:rsid w:val="00D50DAA"/>
    <w:rsid w:val="00D512BA"/>
    <w:rsid w:val="00D51846"/>
    <w:rsid w:val="00D52309"/>
    <w:rsid w:val="00D5243B"/>
    <w:rsid w:val="00D533E8"/>
    <w:rsid w:val="00D533EC"/>
    <w:rsid w:val="00D53BBF"/>
    <w:rsid w:val="00D546F3"/>
    <w:rsid w:val="00D564BD"/>
    <w:rsid w:val="00D56590"/>
    <w:rsid w:val="00D56A95"/>
    <w:rsid w:val="00D57180"/>
    <w:rsid w:val="00D6076E"/>
    <w:rsid w:val="00D62EF0"/>
    <w:rsid w:val="00D633E5"/>
    <w:rsid w:val="00D64078"/>
    <w:rsid w:val="00D64379"/>
    <w:rsid w:val="00D64720"/>
    <w:rsid w:val="00D65F95"/>
    <w:rsid w:val="00D66156"/>
    <w:rsid w:val="00D66751"/>
    <w:rsid w:val="00D67753"/>
    <w:rsid w:val="00D70F16"/>
    <w:rsid w:val="00D717D1"/>
    <w:rsid w:val="00D72617"/>
    <w:rsid w:val="00D72F57"/>
    <w:rsid w:val="00D734EE"/>
    <w:rsid w:val="00D73711"/>
    <w:rsid w:val="00D73E04"/>
    <w:rsid w:val="00D761B4"/>
    <w:rsid w:val="00D76A44"/>
    <w:rsid w:val="00D76E8D"/>
    <w:rsid w:val="00D76EED"/>
    <w:rsid w:val="00D770B0"/>
    <w:rsid w:val="00D80204"/>
    <w:rsid w:val="00D80A0D"/>
    <w:rsid w:val="00D80AD5"/>
    <w:rsid w:val="00D815EF"/>
    <w:rsid w:val="00D81949"/>
    <w:rsid w:val="00D81F26"/>
    <w:rsid w:val="00D822E2"/>
    <w:rsid w:val="00D82D01"/>
    <w:rsid w:val="00D8354B"/>
    <w:rsid w:val="00D83ABD"/>
    <w:rsid w:val="00D843F2"/>
    <w:rsid w:val="00D8471C"/>
    <w:rsid w:val="00D8492C"/>
    <w:rsid w:val="00D861F0"/>
    <w:rsid w:val="00D86231"/>
    <w:rsid w:val="00D86774"/>
    <w:rsid w:val="00D86C29"/>
    <w:rsid w:val="00D86FFE"/>
    <w:rsid w:val="00D912AB"/>
    <w:rsid w:val="00D91923"/>
    <w:rsid w:val="00D91D9A"/>
    <w:rsid w:val="00D91FD4"/>
    <w:rsid w:val="00D93753"/>
    <w:rsid w:val="00D93EC1"/>
    <w:rsid w:val="00D961B7"/>
    <w:rsid w:val="00D9791F"/>
    <w:rsid w:val="00DA1565"/>
    <w:rsid w:val="00DA2AC7"/>
    <w:rsid w:val="00DA3167"/>
    <w:rsid w:val="00DA4609"/>
    <w:rsid w:val="00DA4DC3"/>
    <w:rsid w:val="00DA62D7"/>
    <w:rsid w:val="00DA75F1"/>
    <w:rsid w:val="00DA77A5"/>
    <w:rsid w:val="00DB0C5C"/>
    <w:rsid w:val="00DB0E36"/>
    <w:rsid w:val="00DB245E"/>
    <w:rsid w:val="00DB2E1C"/>
    <w:rsid w:val="00DB3410"/>
    <w:rsid w:val="00DB3DBF"/>
    <w:rsid w:val="00DB44E3"/>
    <w:rsid w:val="00DB484F"/>
    <w:rsid w:val="00DB4B50"/>
    <w:rsid w:val="00DB4C9F"/>
    <w:rsid w:val="00DB5295"/>
    <w:rsid w:val="00DB546C"/>
    <w:rsid w:val="00DC04F6"/>
    <w:rsid w:val="00DC0690"/>
    <w:rsid w:val="00DC1203"/>
    <w:rsid w:val="00DC18B7"/>
    <w:rsid w:val="00DC1D65"/>
    <w:rsid w:val="00DC2E03"/>
    <w:rsid w:val="00DC2F93"/>
    <w:rsid w:val="00DC32B3"/>
    <w:rsid w:val="00DC3882"/>
    <w:rsid w:val="00DC3A1C"/>
    <w:rsid w:val="00DC3A74"/>
    <w:rsid w:val="00DC3C57"/>
    <w:rsid w:val="00DC4115"/>
    <w:rsid w:val="00DC5501"/>
    <w:rsid w:val="00DC5DE4"/>
    <w:rsid w:val="00DC6B18"/>
    <w:rsid w:val="00DC7154"/>
    <w:rsid w:val="00DC7358"/>
    <w:rsid w:val="00DC7E8A"/>
    <w:rsid w:val="00DD0F78"/>
    <w:rsid w:val="00DD1588"/>
    <w:rsid w:val="00DD2624"/>
    <w:rsid w:val="00DD273C"/>
    <w:rsid w:val="00DD3F28"/>
    <w:rsid w:val="00DD4446"/>
    <w:rsid w:val="00DD4537"/>
    <w:rsid w:val="00DD4E15"/>
    <w:rsid w:val="00DD5C08"/>
    <w:rsid w:val="00DD7E8C"/>
    <w:rsid w:val="00DE1212"/>
    <w:rsid w:val="00DE1D51"/>
    <w:rsid w:val="00DE2304"/>
    <w:rsid w:val="00DE3138"/>
    <w:rsid w:val="00DE37F8"/>
    <w:rsid w:val="00DE39F0"/>
    <w:rsid w:val="00DE4273"/>
    <w:rsid w:val="00DE4FBD"/>
    <w:rsid w:val="00DE4FCB"/>
    <w:rsid w:val="00DE5D07"/>
    <w:rsid w:val="00DE72A7"/>
    <w:rsid w:val="00DE7832"/>
    <w:rsid w:val="00DF18FC"/>
    <w:rsid w:val="00DF1C14"/>
    <w:rsid w:val="00DF268D"/>
    <w:rsid w:val="00DF2C23"/>
    <w:rsid w:val="00DF3490"/>
    <w:rsid w:val="00DF36FF"/>
    <w:rsid w:val="00DF3CA1"/>
    <w:rsid w:val="00DF57A6"/>
    <w:rsid w:val="00DF5D2B"/>
    <w:rsid w:val="00DF5DDA"/>
    <w:rsid w:val="00DF6341"/>
    <w:rsid w:val="00DF6CAE"/>
    <w:rsid w:val="00DF6E72"/>
    <w:rsid w:val="00E00036"/>
    <w:rsid w:val="00E00E8E"/>
    <w:rsid w:val="00E02135"/>
    <w:rsid w:val="00E02E95"/>
    <w:rsid w:val="00E05021"/>
    <w:rsid w:val="00E05630"/>
    <w:rsid w:val="00E06201"/>
    <w:rsid w:val="00E066AC"/>
    <w:rsid w:val="00E06861"/>
    <w:rsid w:val="00E06DBB"/>
    <w:rsid w:val="00E070A2"/>
    <w:rsid w:val="00E10149"/>
    <w:rsid w:val="00E10994"/>
    <w:rsid w:val="00E11340"/>
    <w:rsid w:val="00E122A1"/>
    <w:rsid w:val="00E149C4"/>
    <w:rsid w:val="00E14FAB"/>
    <w:rsid w:val="00E16372"/>
    <w:rsid w:val="00E16AD8"/>
    <w:rsid w:val="00E178C4"/>
    <w:rsid w:val="00E17FFA"/>
    <w:rsid w:val="00E206CC"/>
    <w:rsid w:val="00E20E4D"/>
    <w:rsid w:val="00E20ED6"/>
    <w:rsid w:val="00E21358"/>
    <w:rsid w:val="00E21567"/>
    <w:rsid w:val="00E21DBB"/>
    <w:rsid w:val="00E2249B"/>
    <w:rsid w:val="00E22836"/>
    <w:rsid w:val="00E22A0D"/>
    <w:rsid w:val="00E233F1"/>
    <w:rsid w:val="00E23E20"/>
    <w:rsid w:val="00E244F6"/>
    <w:rsid w:val="00E24949"/>
    <w:rsid w:val="00E251B3"/>
    <w:rsid w:val="00E258DB"/>
    <w:rsid w:val="00E2771E"/>
    <w:rsid w:val="00E30766"/>
    <w:rsid w:val="00E311EF"/>
    <w:rsid w:val="00E32180"/>
    <w:rsid w:val="00E33D97"/>
    <w:rsid w:val="00E34731"/>
    <w:rsid w:val="00E34948"/>
    <w:rsid w:val="00E35737"/>
    <w:rsid w:val="00E358C6"/>
    <w:rsid w:val="00E37569"/>
    <w:rsid w:val="00E401B2"/>
    <w:rsid w:val="00E417A4"/>
    <w:rsid w:val="00E41E30"/>
    <w:rsid w:val="00E42F73"/>
    <w:rsid w:val="00E43759"/>
    <w:rsid w:val="00E43D70"/>
    <w:rsid w:val="00E455E3"/>
    <w:rsid w:val="00E45A95"/>
    <w:rsid w:val="00E45C90"/>
    <w:rsid w:val="00E464B7"/>
    <w:rsid w:val="00E466F3"/>
    <w:rsid w:val="00E46F3D"/>
    <w:rsid w:val="00E47B2C"/>
    <w:rsid w:val="00E51560"/>
    <w:rsid w:val="00E51776"/>
    <w:rsid w:val="00E51821"/>
    <w:rsid w:val="00E51ACE"/>
    <w:rsid w:val="00E51E0D"/>
    <w:rsid w:val="00E52FB6"/>
    <w:rsid w:val="00E53083"/>
    <w:rsid w:val="00E533E3"/>
    <w:rsid w:val="00E53FC8"/>
    <w:rsid w:val="00E54347"/>
    <w:rsid w:val="00E54C40"/>
    <w:rsid w:val="00E553A8"/>
    <w:rsid w:val="00E55424"/>
    <w:rsid w:val="00E5542D"/>
    <w:rsid w:val="00E554E0"/>
    <w:rsid w:val="00E55915"/>
    <w:rsid w:val="00E55BB5"/>
    <w:rsid w:val="00E55D04"/>
    <w:rsid w:val="00E611DF"/>
    <w:rsid w:val="00E61A2F"/>
    <w:rsid w:val="00E61A93"/>
    <w:rsid w:val="00E62BAB"/>
    <w:rsid w:val="00E63EB2"/>
    <w:rsid w:val="00E64073"/>
    <w:rsid w:val="00E645E1"/>
    <w:rsid w:val="00E6517B"/>
    <w:rsid w:val="00E65E79"/>
    <w:rsid w:val="00E66BA2"/>
    <w:rsid w:val="00E67380"/>
    <w:rsid w:val="00E67416"/>
    <w:rsid w:val="00E674BF"/>
    <w:rsid w:val="00E70F81"/>
    <w:rsid w:val="00E718B6"/>
    <w:rsid w:val="00E71D39"/>
    <w:rsid w:val="00E723BA"/>
    <w:rsid w:val="00E73581"/>
    <w:rsid w:val="00E748D2"/>
    <w:rsid w:val="00E74960"/>
    <w:rsid w:val="00E75333"/>
    <w:rsid w:val="00E75B7D"/>
    <w:rsid w:val="00E769A7"/>
    <w:rsid w:val="00E813C8"/>
    <w:rsid w:val="00E827FC"/>
    <w:rsid w:val="00E833F7"/>
    <w:rsid w:val="00E83BDF"/>
    <w:rsid w:val="00E83EC4"/>
    <w:rsid w:val="00E840DA"/>
    <w:rsid w:val="00E84BD1"/>
    <w:rsid w:val="00E854E1"/>
    <w:rsid w:val="00E85549"/>
    <w:rsid w:val="00E86785"/>
    <w:rsid w:val="00E86FCC"/>
    <w:rsid w:val="00E87A1D"/>
    <w:rsid w:val="00E902AA"/>
    <w:rsid w:val="00E9094A"/>
    <w:rsid w:val="00E91236"/>
    <w:rsid w:val="00E91D35"/>
    <w:rsid w:val="00E926A5"/>
    <w:rsid w:val="00E9345B"/>
    <w:rsid w:val="00E94327"/>
    <w:rsid w:val="00E94E1D"/>
    <w:rsid w:val="00E95A93"/>
    <w:rsid w:val="00E95DCA"/>
    <w:rsid w:val="00E962CC"/>
    <w:rsid w:val="00E962FC"/>
    <w:rsid w:val="00E96881"/>
    <w:rsid w:val="00E972CA"/>
    <w:rsid w:val="00E97A6F"/>
    <w:rsid w:val="00EA045C"/>
    <w:rsid w:val="00EA0674"/>
    <w:rsid w:val="00EA0A9D"/>
    <w:rsid w:val="00EA17C3"/>
    <w:rsid w:val="00EA25E8"/>
    <w:rsid w:val="00EA2CAA"/>
    <w:rsid w:val="00EA2FFD"/>
    <w:rsid w:val="00EA32A1"/>
    <w:rsid w:val="00EA3864"/>
    <w:rsid w:val="00EA43C0"/>
    <w:rsid w:val="00EA53C3"/>
    <w:rsid w:val="00EA5FBB"/>
    <w:rsid w:val="00EA6583"/>
    <w:rsid w:val="00EA6BD1"/>
    <w:rsid w:val="00EA7796"/>
    <w:rsid w:val="00EA7F1C"/>
    <w:rsid w:val="00EB0296"/>
    <w:rsid w:val="00EB0CEF"/>
    <w:rsid w:val="00EB15B6"/>
    <w:rsid w:val="00EB239C"/>
    <w:rsid w:val="00EB2904"/>
    <w:rsid w:val="00EB3D06"/>
    <w:rsid w:val="00EB4011"/>
    <w:rsid w:val="00EB4916"/>
    <w:rsid w:val="00EB5087"/>
    <w:rsid w:val="00EB57FC"/>
    <w:rsid w:val="00EB77DB"/>
    <w:rsid w:val="00EB7B90"/>
    <w:rsid w:val="00EC00C9"/>
    <w:rsid w:val="00EC0783"/>
    <w:rsid w:val="00EC0DD9"/>
    <w:rsid w:val="00EC2101"/>
    <w:rsid w:val="00EC2649"/>
    <w:rsid w:val="00EC31ED"/>
    <w:rsid w:val="00EC32F4"/>
    <w:rsid w:val="00EC4910"/>
    <w:rsid w:val="00EC4F8B"/>
    <w:rsid w:val="00EC5836"/>
    <w:rsid w:val="00EC6148"/>
    <w:rsid w:val="00EC688C"/>
    <w:rsid w:val="00EC6F28"/>
    <w:rsid w:val="00EC79E8"/>
    <w:rsid w:val="00ED01EB"/>
    <w:rsid w:val="00ED12E3"/>
    <w:rsid w:val="00ED1404"/>
    <w:rsid w:val="00ED241F"/>
    <w:rsid w:val="00ED2EB9"/>
    <w:rsid w:val="00ED3C04"/>
    <w:rsid w:val="00ED3E0E"/>
    <w:rsid w:val="00ED4543"/>
    <w:rsid w:val="00ED4B04"/>
    <w:rsid w:val="00ED57EA"/>
    <w:rsid w:val="00ED599F"/>
    <w:rsid w:val="00ED5BD4"/>
    <w:rsid w:val="00ED7332"/>
    <w:rsid w:val="00EE0046"/>
    <w:rsid w:val="00EE07D3"/>
    <w:rsid w:val="00EE0B28"/>
    <w:rsid w:val="00EE0CC1"/>
    <w:rsid w:val="00EE14AD"/>
    <w:rsid w:val="00EE16C8"/>
    <w:rsid w:val="00EE1996"/>
    <w:rsid w:val="00EE1C01"/>
    <w:rsid w:val="00EE22AF"/>
    <w:rsid w:val="00EE37C1"/>
    <w:rsid w:val="00EE402B"/>
    <w:rsid w:val="00EE435A"/>
    <w:rsid w:val="00EE561E"/>
    <w:rsid w:val="00EE5A51"/>
    <w:rsid w:val="00EE6AE3"/>
    <w:rsid w:val="00EE72F5"/>
    <w:rsid w:val="00EE7748"/>
    <w:rsid w:val="00EF0171"/>
    <w:rsid w:val="00EF102D"/>
    <w:rsid w:val="00EF1B25"/>
    <w:rsid w:val="00EF1DA0"/>
    <w:rsid w:val="00EF24A1"/>
    <w:rsid w:val="00EF2CFB"/>
    <w:rsid w:val="00EF3DD9"/>
    <w:rsid w:val="00EF4747"/>
    <w:rsid w:val="00EF4BF8"/>
    <w:rsid w:val="00EF52BA"/>
    <w:rsid w:val="00EF6970"/>
    <w:rsid w:val="00EF6E62"/>
    <w:rsid w:val="00EF7A3C"/>
    <w:rsid w:val="00F016FD"/>
    <w:rsid w:val="00F02253"/>
    <w:rsid w:val="00F02AA8"/>
    <w:rsid w:val="00F02DA1"/>
    <w:rsid w:val="00F033E6"/>
    <w:rsid w:val="00F03B16"/>
    <w:rsid w:val="00F03C2E"/>
    <w:rsid w:val="00F04A66"/>
    <w:rsid w:val="00F04B4B"/>
    <w:rsid w:val="00F0516C"/>
    <w:rsid w:val="00F05EE4"/>
    <w:rsid w:val="00F05F4B"/>
    <w:rsid w:val="00F067A2"/>
    <w:rsid w:val="00F069F9"/>
    <w:rsid w:val="00F07B9E"/>
    <w:rsid w:val="00F07C27"/>
    <w:rsid w:val="00F1077A"/>
    <w:rsid w:val="00F1116F"/>
    <w:rsid w:val="00F11A02"/>
    <w:rsid w:val="00F1263A"/>
    <w:rsid w:val="00F139C5"/>
    <w:rsid w:val="00F14AD1"/>
    <w:rsid w:val="00F15706"/>
    <w:rsid w:val="00F15890"/>
    <w:rsid w:val="00F15B77"/>
    <w:rsid w:val="00F177AC"/>
    <w:rsid w:val="00F1790F"/>
    <w:rsid w:val="00F202DD"/>
    <w:rsid w:val="00F21236"/>
    <w:rsid w:val="00F21258"/>
    <w:rsid w:val="00F2339A"/>
    <w:rsid w:val="00F23E2B"/>
    <w:rsid w:val="00F24837"/>
    <w:rsid w:val="00F2575F"/>
    <w:rsid w:val="00F2650D"/>
    <w:rsid w:val="00F26660"/>
    <w:rsid w:val="00F27565"/>
    <w:rsid w:val="00F310D4"/>
    <w:rsid w:val="00F31D5A"/>
    <w:rsid w:val="00F3270F"/>
    <w:rsid w:val="00F33975"/>
    <w:rsid w:val="00F339F3"/>
    <w:rsid w:val="00F33DE9"/>
    <w:rsid w:val="00F343F1"/>
    <w:rsid w:val="00F35E6D"/>
    <w:rsid w:val="00F35F6C"/>
    <w:rsid w:val="00F360F3"/>
    <w:rsid w:val="00F3619A"/>
    <w:rsid w:val="00F36DF1"/>
    <w:rsid w:val="00F40AAA"/>
    <w:rsid w:val="00F40BA7"/>
    <w:rsid w:val="00F40F9D"/>
    <w:rsid w:val="00F41781"/>
    <w:rsid w:val="00F41ACD"/>
    <w:rsid w:val="00F432A1"/>
    <w:rsid w:val="00F45BCD"/>
    <w:rsid w:val="00F46CB6"/>
    <w:rsid w:val="00F47405"/>
    <w:rsid w:val="00F4756D"/>
    <w:rsid w:val="00F47DE8"/>
    <w:rsid w:val="00F512AC"/>
    <w:rsid w:val="00F515BC"/>
    <w:rsid w:val="00F51638"/>
    <w:rsid w:val="00F52124"/>
    <w:rsid w:val="00F537D5"/>
    <w:rsid w:val="00F54178"/>
    <w:rsid w:val="00F542C1"/>
    <w:rsid w:val="00F543C3"/>
    <w:rsid w:val="00F550D4"/>
    <w:rsid w:val="00F550E3"/>
    <w:rsid w:val="00F558DF"/>
    <w:rsid w:val="00F55E73"/>
    <w:rsid w:val="00F55EDA"/>
    <w:rsid w:val="00F56C80"/>
    <w:rsid w:val="00F57EFC"/>
    <w:rsid w:val="00F60092"/>
    <w:rsid w:val="00F60839"/>
    <w:rsid w:val="00F60A32"/>
    <w:rsid w:val="00F60C06"/>
    <w:rsid w:val="00F619D5"/>
    <w:rsid w:val="00F61B63"/>
    <w:rsid w:val="00F61C18"/>
    <w:rsid w:val="00F636BC"/>
    <w:rsid w:val="00F63DA8"/>
    <w:rsid w:val="00F655C9"/>
    <w:rsid w:val="00F6576E"/>
    <w:rsid w:val="00F6598E"/>
    <w:rsid w:val="00F65EB8"/>
    <w:rsid w:val="00F65F4B"/>
    <w:rsid w:val="00F670C1"/>
    <w:rsid w:val="00F6783C"/>
    <w:rsid w:val="00F67A69"/>
    <w:rsid w:val="00F70136"/>
    <w:rsid w:val="00F70BFF"/>
    <w:rsid w:val="00F70C9D"/>
    <w:rsid w:val="00F7162A"/>
    <w:rsid w:val="00F72C15"/>
    <w:rsid w:val="00F73A8D"/>
    <w:rsid w:val="00F73AA2"/>
    <w:rsid w:val="00F73E08"/>
    <w:rsid w:val="00F74B15"/>
    <w:rsid w:val="00F74CD9"/>
    <w:rsid w:val="00F76B0C"/>
    <w:rsid w:val="00F7704E"/>
    <w:rsid w:val="00F7738A"/>
    <w:rsid w:val="00F80A7B"/>
    <w:rsid w:val="00F80E5D"/>
    <w:rsid w:val="00F819E2"/>
    <w:rsid w:val="00F81E78"/>
    <w:rsid w:val="00F82547"/>
    <w:rsid w:val="00F82C8B"/>
    <w:rsid w:val="00F837FB"/>
    <w:rsid w:val="00F83916"/>
    <w:rsid w:val="00F84F3A"/>
    <w:rsid w:val="00F851CE"/>
    <w:rsid w:val="00F8663C"/>
    <w:rsid w:val="00F877A0"/>
    <w:rsid w:val="00F91219"/>
    <w:rsid w:val="00F91621"/>
    <w:rsid w:val="00F92444"/>
    <w:rsid w:val="00F929E3"/>
    <w:rsid w:val="00F92C5A"/>
    <w:rsid w:val="00F93511"/>
    <w:rsid w:val="00F9393E"/>
    <w:rsid w:val="00F94410"/>
    <w:rsid w:val="00F9455B"/>
    <w:rsid w:val="00F94BD0"/>
    <w:rsid w:val="00F965F3"/>
    <w:rsid w:val="00F96FD0"/>
    <w:rsid w:val="00F96FFC"/>
    <w:rsid w:val="00F975BB"/>
    <w:rsid w:val="00F97A78"/>
    <w:rsid w:val="00F97C75"/>
    <w:rsid w:val="00F97D85"/>
    <w:rsid w:val="00FA07C0"/>
    <w:rsid w:val="00FA098E"/>
    <w:rsid w:val="00FA0B20"/>
    <w:rsid w:val="00FA0B80"/>
    <w:rsid w:val="00FA0BCA"/>
    <w:rsid w:val="00FA24E7"/>
    <w:rsid w:val="00FA2A55"/>
    <w:rsid w:val="00FA4535"/>
    <w:rsid w:val="00FA5EE6"/>
    <w:rsid w:val="00FA7956"/>
    <w:rsid w:val="00FB0824"/>
    <w:rsid w:val="00FB1008"/>
    <w:rsid w:val="00FB2FCB"/>
    <w:rsid w:val="00FB4C9C"/>
    <w:rsid w:val="00FB4FDE"/>
    <w:rsid w:val="00FB5528"/>
    <w:rsid w:val="00FB5FF2"/>
    <w:rsid w:val="00FB7C55"/>
    <w:rsid w:val="00FC06BE"/>
    <w:rsid w:val="00FC1060"/>
    <w:rsid w:val="00FC1074"/>
    <w:rsid w:val="00FC1884"/>
    <w:rsid w:val="00FC278E"/>
    <w:rsid w:val="00FC2955"/>
    <w:rsid w:val="00FC371D"/>
    <w:rsid w:val="00FC3BC3"/>
    <w:rsid w:val="00FC58AB"/>
    <w:rsid w:val="00FC5F0B"/>
    <w:rsid w:val="00FD1659"/>
    <w:rsid w:val="00FD1B4A"/>
    <w:rsid w:val="00FD2100"/>
    <w:rsid w:val="00FD37D1"/>
    <w:rsid w:val="00FD436C"/>
    <w:rsid w:val="00FD446D"/>
    <w:rsid w:val="00FD4ED9"/>
    <w:rsid w:val="00FD4F2C"/>
    <w:rsid w:val="00FD57C1"/>
    <w:rsid w:val="00FD609A"/>
    <w:rsid w:val="00FD6394"/>
    <w:rsid w:val="00FD6590"/>
    <w:rsid w:val="00FD76BB"/>
    <w:rsid w:val="00FD7958"/>
    <w:rsid w:val="00FE0088"/>
    <w:rsid w:val="00FE0792"/>
    <w:rsid w:val="00FE0E6C"/>
    <w:rsid w:val="00FE165F"/>
    <w:rsid w:val="00FE1CDC"/>
    <w:rsid w:val="00FE345C"/>
    <w:rsid w:val="00FE3F26"/>
    <w:rsid w:val="00FE3F7F"/>
    <w:rsid w:val="00FE509E"/>
    <w:rsid w:val="00FE70C3"/>
    <w:rsid w:val="00FE711E"/>
    <w:rsid w:val="00FF10C3"/>
    <w:rsid w:val="00FF126C"/>
    <w:rsid w:val="00FF1A8B"/>
    <w:rsid w:val="00FF1B93"/>
    <w:rsid w:val="00FF1DE0"/>
    <w:rsid w:val="00FF255E"/>
    <w:rsid w:val="00FF27DB"/>
    <w:rsid w:val="00FF2AD9"/>
    <w:rsid w:val="00FF323D"/>
    <w:rsid w:val="00FF359F"/>
    <w:rsid w:val="00FF35F5"/>
    <w:rsid w:val="00FF3DCF"/>
    <w:rsid w:val="00FF3DFA"/>
    <w:rsid w:val="00FF492C"/>
    <w:rsid w:val="00FF4A21"/>
    <w:rsid w:val="00FF56BF"/>
    <w:rsid w:val="00FF5AA3"/>
    <w:rsid w:val="00FF5AD8"/>
    <w:rsid w:val="00FF5D92"/>
    <w:rsid w:val="00FF6FEE"/>
    <w:rsid w:val="00FF73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A920DF"/>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A1127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94327"/>
    <w:rPr>
      <w:color w:val="605E5C"/>
      <w:shd w:val="clear" w:color="auto" w:fill="E1DFDD"/>
    </w:rPr>
  </w:style>
  <w:style w:type="paragraph" w:customStyle="1" w:styleId="KMC16-Tablecontent">
    <w:name w:val="KMC16 - Table content"/>
    <w:basedOn w:val="Normal"/>
    <w:link w:val="KMC16-TablecontentChar"/>
    <w:qFormat/>
    <w:rsid w:val="00A13D8F"/>
    <w:pPr>
      <w:spacing w:before="40" w:after="40"/>
      <w:jc w:val="left"/>
    </w:pPr>
    <w:rPr>
      <w:rFonts w:ascii="Arial Narrow" w:hAnsi="Arial Narrow"/>
      <w:color w:val="000000"/>
      <w:sz w:val="20"/>
      <w:lang w:val="en-GB" w:eastAsia="en-GB"/>
    </w:rPr>
  </w:style>
  <w:style w:type="character" w:customStyle="1" w:styleId="KMC16-TablecontentChar">
    <w:name w:val="KMC16 - Table content Char"/>
    <w:basedOn w:val="DefaultParagraphFont"/>
    <w:link w:val="KMC16-Tablecontent"/>
    <w:rsid w:val="00A13D8F"/>
    <w:rPr>
      <w:rFonts w:ascii="Arial Narrow" w:hAnsi="Arial Narrow" w:cs="Arial"/>
      <w:color w:val="000000"/>
      <w:szCs w:val="24"/>
      <w:lang w:val="en-GB" w:eastAsia="en-GB"/>
    </w:rPr>
  </w:style>
  <w:style w:type="character" w:customStyle="1" w:styleId="UnresolvedMention3">
    <w:name w:val="Unresolved Mention3"/>
    <w:basedOn w:val="DefaultParagraphFont"/>
    <w:uiPriority w:val="99"/>
    <w:semiHidden/>
    <w:unhideWhenUsed/>
    <w:locked/>
    <w:rsid w:val="00FA2A55"/>
    <w:rPr>
      <w:color w:val="808080"/>
      <w:shd w:val="clear" w:color="auto" w:fill="E6E6E6"/>
    </w:rPr>
  </w:style>
  <w:style w:type="character" w:styleId="FootnoteReference">
    <w:name w:val="footnote reference"/>
    <w:aliases w:val="KMC16 - Footnote Reference"/>
    <w:basedOn w:val="DefaultParagraphFont"/>
    <w:uiPriority w:val="99"/>
    <w:unhideWhenUsed/>
    <w:rsid w:val="00535E10"/>
    <w:rPr>
      <w:color w:val="403152" w:themeColor="accent4" w:themeShade="80"/>
      <w:vertAlign w:val="superscript"/>
    </w:rPr>
  </w:style>
  <w:style w:type="paragraph" w:styleId="FootnoteText">
    <w:name w:val="footnote text"/>
    <w:aliases w:val="KMC16 - Footnote Text, Znak4, Char Char Char Char, Char Char Char1 Char, Char Char Char1 Char Char, Char Char Char1 Char Char Char, Char1,Car5,Char Char Char Char,Char Char Char1 Char,Char Char Char1 Char Char"/>
    <w:basedOn w:val="Normal"/>
    <w:link w:val="FootnoteTextChar"/>
    <w:uiPriority w:val="99"/>
    <w:unhideWhenUsed/>
    <w:rsid w:val="00535E10"/>
    <w:pPr>
      <w:jc w:val="left"/>
    </w:pPr>
    <w:rPr>
      <w:rFonts w:ascii="Times New Roman" w:hAnsi="Times New Roman" w:cs="Times New Roman"/>
      <w:sz w:val="20"/>
      <w:szCs w:val="20"/>
      <w:lang w:eastAsia="en-GB"/>
    </w:rPr>
  </w:style>
  <w:style w:type="character" w:customStyle="1" w:styleId="FootnoteTextChar">
    <w:name w:val="Footnote Text Char"/>
    <w:aliases w:val="KMC16 - Footnote Text Char, Znak4 Char, Char Char Char Char Char, Char Char Char1 Char Char1, Char Char Char1 Char Char Char1, Char Char Char1 Char Char Char Char, Char1 Char,Car5 Char,Char Char Char Char Char"/>
    <w:basedOn w:val="DefaultParagraphFont"/>
    <w:link w:val="FootnoteText"/>
    <w:uiPriority w:val="99"/>
    <w:rsid w:val="00535E10"/>
    <w:rPr>
      <w:lang w:eastAsia="en-GB"/>
    </w:rPr>
  </w:style>
  <w:style w:type="paragraph" w:customStyle="1" w:styleId="KMC16-Caption">
    <w:name w:val="KMC16 - Caption"/>
    <w:basedOn w:val="Normal"/>
    <w:rsid w:val="000B7D77"/>
    <w:pPr>
      <w:keepNext/>
      <w:tabs>
        <w:tab w:val="left" w:pos="567"/>
      </w:tabs>
      <w:spacing w:before="240" w:after="40"/>
      <w:ind w:left="992" w:hanging="992"/>
      <w:contextualSpacing/>
      <w:jc w:val="left"/>
    </w:pPr>
    <w:rPr>
      <w:rFonts w:ascii="Arial" w:hAnsi="Arial" w:cs="Times New Roman"/>
      <w:b/>
      <w:color w:val="000000"/>
      <w:sz w:val="20"/>
      <w:szCs w:val="20"/>
    </w:rPr>
  </w:style>
  <w:style w:type="paragraph" w:customStyle="1" w:styleId="KMC16-TableHeading">
    <w:name w:val="KMC16 - Table Heading"/>
    <w:basedOn w:val="Normal"/>
    <w:rsid w:val="000B7D77"/>
    <w:pPr>
      <w:spacing w:before="40" w:after="40"/>
      <w:jc w:val="center"/>
    </w:pPr>
    <w:rPr>
      <w:rFonts w:ascii="Arial Narrow" w:hAnsi="Arial Narrow"/>
      <w:b/>
      <w:color w:val="000000"/>
      <w:sz w:val="20"/>
      <w:lang w:eastAsia="en-GB"/>
    </w:rPr>
  </w:style>
  <w:style w:type="paragraph" w:customStyle="1" w:styleId="msonormal0">
    <w:name w:val="msonormal"/>
    <w:basedOn w:val="Normal"/>
    <w:rsid w:val="00FF3DFA"/>
    <w:pPr>
      <w:spacing w:before="100" w:beforeAutospacing="1" w:after="100" w:afterAutospacing="1"/>
      <w:jc w:val="left"/>
    </w:pPr>
    <w:rPr>
      <w:rFonts w:ascii="Times New Roman" w:hAnsi="Times New Roman" w:cs="Times New Roman"/>
      <w:lang w:val="en-US" w:eastAsia="en-US"/>
    </w:rPr>
  </w:style>
  <w:style w:type="paragraph" w:customStyle="1" w:styleId="xl63">
    <w:name w:val="xl63"/>
    <w:basedOn w:val="Normal"/>
    <w:rsid w:val="00FF3DFA"/>
    <w:pPr>
      <w:pBdr>
        <w:left w:val="single" w:sz="4" w:space="0" w:color="auto"/>
        <w:bottom w:val="single" w:sz="4" w:space="0" w:color="auto"/>
        <w:right w:val="single" w:sz="4" w:space="0" w:color="auto"/>
      </w:pBdr>
      <w:shd w:val="clear" w:color="00FFFF" w:fill="FFFFFF"/>
      <w:spacing w:before="100" w:beforeAutospacing="1" w:after="100" w:afterAutospacing="1"/>
      <w:jc w:val="center"/>
      <w:textAlignment w:val="center"/>
    </w:pPr>
    <w:rPr>
      <w:rFonts w:ascii="Times New Roman" w:hAnsi="Times New Roman" w:cs="Times New Roman"/>
      <w:b/>
      <w:bCs/>
      <w:sz w:val="22"/>
      <w:szCs w:val="22"/>
      <w:lang w:val="en-US" w:eastAsia="en-US"/>
    </w:rPr>
  </w:style>
  <w:style w:type="paragraph" w:customStyle="1" w:styleId="xl64">
    <w:name w:val="xl64"/>
    <w:basedOn w:val="Normal"/>
    <w:rsid w:val="00FF3D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lang w:val="en-US" w:eastAsia="en-US"/>
    </w:rPr>
  </w:style>
  <w:style w:type="paragraph" w:customStyle="1" w:styleId="xl65">
    <w:name w:val="xl65"/>
    <w:basedOn w:val="Normal"/>
    <w:rsid w:val="00FF3DFA"/>
    <w:pPr>
      <w:pBdr>
        <w:top w:val="single" w:sz="4" w:space="0" w:color="auto"/>
        <w:left w:val="single" w:sz="4" w:space="0" w:color="auto"/>
      </w:pBdr>
      <w:shd w:val="clear" w:color="000000" w:fill="FFFFFF"/>
      <w:spacing w:before="100" w:beforeAutospacing="1" w:after="100" w:afterAutospacing="1"/>
      <w:jc w:val="left"/>
    </w:pPr>
    <w:rPr>
      <w:rFonts w:ascii="Times New Roman" w:hAnsi="Times New Roman" w:cs="Times New Roman"/>
      <w:lang w:val="en-US" w:eastAsia="en-US"/>
    </w:rPr>
  </w:style>
  <w:style w:type="paragraph" w:customStyle="1" w:styleId="xl66">
    <w:name w:val="xl66"/>
    <w:basedOn w:val="Normal"/>
    <w:rsid w:val="00FF3DFA"/>
    <w:pPr>
      <w:pBdr>
        <w:top w:val="single" w:sz="4" w:space="0" w:color="auto"/>
        <w:right w:val="single" w:sz="4" w:space="0" w:color="auto"/>
      </w:pBdr>
      <w:shd w:val="clear" w:color="000000" w:fill="FFFFFF"/>
      <w:spacing w:before="100" w:beforeAutospacing="1" w:after="100" w:afterAutospacing="1"/>
      <w:jc w:val="left"/>
    </w:pPr>
    <w:rPr>
      <w:rFonts w:ascii="Times New Roman" w:hAnsi="Times New Roman" w:cs="Times New Roman"/>
      <w:lang w:val="en-US" w:eastAsia="en-US"/>
    </w:rPr>
  </w:style>
  <w:style w:type="paragraph" w:customStyle="1" w:styleId="xl67">
    <w:name w:val="xl67"/>
    <w:basedOn w:val="Normal"/>
    <w:rsid w:val="00FF3D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lang w:val="en-US" w:eastAsia="en-US"/>
    </w:rPr>
  </w:style>
  <w:style w:type="paragraph" w:customStyle="1" w:styleId="xl68">
    <w:name w:val="xl68"/>
    <w:basedOn w:val="Normal"/>
    <w:rsid w:val="00FF3D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lang w:val="en-US" w:eastAsia="en-US"/>
    </w:rPr>
  </w:style>
  <w:style w:type="paragraph" w:customStyle="1" w:styleId="xl69">
    <w:name w:val="xl69"/>
    <w:basedOn w:val="Normal"/>
    <w:rsid w:val="00FF3DFA"/>
    <w:pPr>
      <w:pBdr>
        <w:left w:val="single" w:sz="4" w:space="0" w:color="auto"/>
      </w:pBdr>
      <w:shd w:val="clear" w:color="000000" w:fill="FFFFFF"/>
      <w:spacing w:before="100" w:beforeAutospacing="1" w:after="100" w:afterAutospacing="1"/>
      <w:jc w:val="left"/>
    </w:pPr>
    <w:rPr>
      <w:rFonts w:ascii="Times New Roman" w:hAnsi="Times New Roman" w:cs="Times New Roman"/>
      <w:lang w:val="en-US" w:eastAsia="en-US"/>
    </w:rPr>
  </w:style>
  <w:style w:type="paragraph" w:customStyle="1" w:styleId="xl70">
    <w:name w:val="xl70"/>
    <w:basedOn w:val="Normal"/>
    <w:rsid w:val="00FF3DFA"/>
    <w:pPr>
      <w:pBdr>
        <w:right w:val="single" w:sz="4" w:space="0" w:color="auto"/>
      </w:pBdr>
      <w:shd w:val="clear" w:color="000000" w:fill="FFFFFF"/>
      <w:spacing w:before="100" w:beforeAutospacing="1" w:after="100" w:afterAutospacing="1"/>
      <w:jc w:val="left"/>
    </w:pPr>
    <w:rPr>
      <w:rFonts w:ascii="Times New Roman" w:hAnsi="Times New Roman" w:cs="Times New Roman"/>
      <w:lang w:val="en-US" w:eastAsia="en-US"/>
    </w:rPr>
  </w:style>
  <w:style w:type="paragraph" w:customStyle="1" w:styleId="xl71">
    <w:name w:val="xl71"/>
    <w:basedOn w:val="Normal"/>
    <w:rsid w:val="00FF3DFA"/>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lang w:val="en-US" w:eastAsia="en-US"/>
    </w:rPr>
  </w:style>
  <w:style w:type="paragraph" w:customStyle="1" w:styleId="xl72">
    <w:name w:val="xl72"/>
    <w:basedOn w:val="Normal"/>
    <w:rsid w:val="00FF3DFA"/>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lang w:val="en-US" w:eastAsia="en-US"/>
    </w:rPr>
  </w:style>
  <w:style w:type="paragraph" w:customStyle="1" w:styleId="KMC16-TFNotes">
    <w:name w:val="KMC16 - TF Notes"/>
    <w:basedOn w:val="Normal"/>
    <w:qFormat/>
    <w:rsid w:val="00A44CEB"/>
    <w:pPr>
      <w:spacing w:before="45" w:after="240"/>
      <w:contextualSpacing/>
    </w:pPr>
    <w:rPr>
      <w:color w:val="000000" w:themeColor="text1"/>
      <w:sz w:val="16"/>
      <w:lang w:eastAsia="en-GB"/>
    </w:rPr>
  </w:style>
  <w:style w:type="numbering" w:customStyle="1" w:styleId="CurrentList1">
    <w:name w:val="Current List1"/>
    <w:uiPriority w:val="99"/>
    <w:rsid w:val="00826511"/>
    <w:pPr>
      <w:numPr>
        <w:numId w:val="10"/>
      </w:numPr>
    </w:pPr>
  </w:style>
  <w:style w:type="character" w:customStyle="1" w:styleId="cf01">
    <w:name w:val="cf01"/>
    <w:basedOn w:val="DefaultParagraphFont"/>
    <w:rsid w:val="001E668B"/>
    <w:rPr>
      <w:rFonts w:ascii="Segoe UI" w:hAnsi="Segoe UI" w:cs="Segoe UI" w:hint="default"/>
      <w:sz w:val="18"/>
      <w:szCs w:val="18"/>
    </w:rPr>
  </w:style>
  <w:style w:type="character" w:customStyle="1" w:styleId="Heading1Char">
    <w:name w:val="Heading 1 Char"/>
    <w:basedOn w:val="DefaultParagraphFont"/>
    <w:link w:val="Heading1"/>
    <w:uiPriority w:val="1"/>
    <w:rsid w:val="00966BA9"/>
    <w:rPr>
      <w:rFonts w:ascii="Calibri" w:hAnsi="Calibri" w:cs="Arial"/>
      <w:b/>
      <w:caps/>
      <w:sz w:val="32"/>
      <w:szCs w:val="24"/>
    </w:rPr>
  </w:style>
  <w:style w:type="paragraph" w:customStyle="1" w:styleId="3-SubsectionHeading">
    <w:name w:val="3-Subsection Heading"/>
    <w:basedOn w:val="Heading2"/>
    <w:next w:val="Normal"/>
    <w:link w:val="3-SubsectionHeadingChar"/>
    <w:qFormat/>
    <w:rsid w:val="00483F2D"/>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83F2D"/>
    <w:rPr>
      <w:rFonts w:asciiTheme="minorHAnsi" w:eastAsiaTheme="majorEastAsia" w:hAnsiTheme="minorHAnsi" w:cstheme="majorBidi"/>
      <w:b/>
      <w:i/>
      <w:snapToGrid/>
      <w:spacing w:val="5"/>
      <w:kern w:val="28"/>
      <w:sz w:val="28"/>
      <w:szCs w:val="36"/>
      <w:lang w:eastAsia="en-US"/>
    </w:rPr>
  </w:style>
  <w:style w:type="paragraph" w:customStyle="1" w:styleId="Numberbullet2">
    <w:name w:val="Number bullet 2"/>
    <w:basedOn w:val="ListBullet2"/>
    <w:qFormat/>
    <w:rsid w:val="00D66751"/>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D66751"/>
    <w:pPr>
      <w:numPr>
        <w:ilvl w:val="2"/>
        <w:numId w:val="28"/>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D66751"/>
    <w:pPr>
      <w:numPr>
        <w:numId w:val="28"/>
      </w:numPr>
    </w:pPr>
  </w:style>
  <w:style w:type="paragraph" w:customStyle="1" w:styleId="COMH1numbered">
    <w:name w:val="COM H1 numbered"/>
    <w:next w:val="Normal"/>
    <w:link w:val="COMH1numberedChar"/>
    <w:qFormat/>
    <w:rsid w:val="00D66751"/>
    <w:pPr>
      <w:keepNext/>
      <w:numPr>
        <w:numId w:val="28"/>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D66751"/>
    <w:rPr>
      <w:rFonts w:asciiTheme="minorHAnsi" w:hAnsiTheme="minorHAnsi" w:cs="Arial"/>
      <w:b/>
      <w:snapToGrid w:val="0"/>
      <w:sz w:val="32"/>
      <w:szCs w:val="32"/>
    </w:rPr>
  </w:style>
  <w:style w:type="paragraph" w:styleId="ListBullet2">
    <w:name w:val="List Bullet 2"/>
    <w:basedOn w:val="Normal"/>
    <w:semiHidden/>
    <w:unhideWhenUsed/>
    <w:rsid w:val="00D66751"/>
    <w:pPr>
      <w:ind w:left="425" w:hanging="425"/>
      <w:contextualSpacing/>
    </w:pPr>
  </w:style>
  <w:style w:type="paragraph" w:styleId="ListBullet3">
    <w:name w:val="List Bullet 3"/>
    <w:basedOn w:val="Normal"/>
    <w:semiHidden/>
    <w:unhideWhenUsed/>
    <w:rsid w:val="00D66751"/>
    <w:pPr>
      <w:numPr>
        <w:numId w:val="29"/>
      </w:numPr>
      <w:contextualSpacing/>
    </w:pPr>
  </w:style>
  <w:style w:type="character" w:styleId="UnresolvedMention">
    <w:name w:val="Unresolved Mention"/>
    <w:basedOn w:val="DefaultParagraphFont"/>
    <w:uiPriority w:val="99"/>
    <w:semiHidden/>
    <w:unhideWhenUsed/>
    <w:rsid w:val="0080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851">
      <w:bodyDiv w:val="1"/>
      <w:marLeft w:val="0"/>
      <w:marRight w:val="0"/>
      <w:marTop w:val="0"/>
      <w:marBottom w:val="0"/>
      <w:divBdr>
        <w:top w:val="none" w:sz="0" w:space="0" w:color="auto"/>
        <w:left w:val="none" w:sz="0" w:space="0" w:color="auto"/>
        <w:bottom w:val="none" w:sz="0" w:space="0" w:color="auto"/>
        <w:right w:val="none" w:sz="0" w:space="0" w:color="auto"/>
      </w:divBdr>
    </w:div>
    <w:div w:id="54204951">
      <w:bodyDiv w:val="1"/>
      <w:marLeft w:val="0"/>
      <w:marRight w:val="0"/>
      <w:marTop w:val="0"/>
      <w:marBottom w:val="0"/>
      <w:divBdr>
        <w:top w:val="none" w:sz="0" w:space="0" w:color="auto"/>
        <w:left w:val="none" w:sz="0" w:space="0" w:color="auto"/>
        <w:bottom w:val="none" w:sz="0" w:space="0" w:color="auto"/>
        <w:right w:val="none" w:sz="0" w:space="0" w:color="auto"/>
      </w:divBdr>
    </w:div>
    <w:div w:id="73430983">
      <w:bodyDiv w:val="1"/>
      <w:marLeft w:val="0"/>
      <w:marRight w:val="0"/>
      <w:marTop w:val="0"/>
      <w:marBottom w:val="0"/>
      <w:divBdr>
        <w:top w:val="none" w:sz="0" w:space="0" w:color="auto"/>
        <w:left w:val="none" w:sz="0" w:space="0" w:color="auto"/>
        <w:bottom w:val="none" w:sz="0" w:space="0" w:color="auto"/>
        <w:right w:val="none" w:sz="0" w:space="0" w:color="auto"/>
      </w:divBdr>
    </w:div>
    <w:div w:id="7447834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3716563">
      <w:bodyDiv w:val="1"/>
      <w:marLeft w:val="0"/>
      <w:marRight w:val="0"/>
      <w:marTop w:val="0"/>
      <w:marBottom w:val="0"/>
      <w:divBdr>
        <w:top w:val="none" w:sz="0" w:space="0" w:color="auto"/>
        <w:left w:val="none" w:sz="0" w:space="0" w:color="auto"/>
        <w:bottom w:val="none" w:sz="0" w:space="0" w:color="auto"/>
        <w:right w:val="none" w:sz="0" w:space="0" w:color="auto"/>
      </w:divBdr>
    </w:div>
    <w:div w:id="195431987">
      <w:bodyDiv w:val="1"/>
      <w:marLeft w:val="0"/>
      <w:marRight w:val="0"/>
      <w:marTop w:val="0"/>
      <w:marBottom w:val="0"/>
      <w:divBdr>
        <w:top w:val="none" w:sz="0" w:space="0" w:color="auto"/>
        <w:left w:val="none" w:sz="0" w:space="0" w:color="auto"/>
        <w:bottom w:val="none" w:sz="0" w:space="0" w:color="auto"/>
        <w:right w:val="none" w:sz="0" w:space="0" w:color="auto"/>
      </w:divBdr>
    </w:div>
    <w:div w:id="267933824">
      <w:bodyDiv w:val="1"/>
      <w:marLeft w:val="0"/>
      <w:marRight w:val="0"/>
      <w:marTop w:val="0"/>
      <w:marBottom w:val="0"/>
      <w:divBdr>
        <w:top w:val="none" w:sz="0" w:space="0" w:color="auto"/>
        <w:left w:val="none" w:sz="0" w:space="0" w:color="auto"/>
        <w:bottom w:val="none" w:sz="0" w:space="0" w:color="auto"/>
        <w:right w:val="none" w:sz="0" w:space="0" w:color="auto"/>
      </w:divBdr>
    </w:div>
    <w:div w:id="28770340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9162406">
      <w:bodyDiv w:val="1"/>
      <w:marLeft w:val="0"/>
      <w:marRight w:val="0"/>
      <w:marTop w:val="0"/>
      <w:marBottom w:val="0"/>
      <w:divBdr>
        <w:top w:val="none" w:sz="0" w:space="0" w:color="auto"/>
        <w:left w:val="none" w:sz="0" w:space="0" w:color="auto"/>
        <w:bottom w:val="none" w:sz="0" w:space="0" w:color="auto"/>
        <w:right w:val="none" w:sz="0" w:space="0" w:color="auto"/>
      </w:divBdr>
    </w:div>
    <w:div w:id="319307582">
      <w:bodyDiv w:val="1"/>
      <w:marLeft w:val="0"/>
      <w:marRight w:val="0"/>
      <w:marTop w:val="0"/>
      <w:marBottom w:val="0"/>
      <w:divBdr>
        <w:top w:val="none" w:sz="0" w:space="0" w:color="auto"/>
        <w:left w:val="none" w:sz="0" w:space="0" w:color="auto"/>
        <w:bottom w:val="none" w:sz="0" w:space="0" w:color="auto"/>
        <w:right w:val="none" w:sz="0" w:space="0" w:color="auto"/>
      </w:divBdr>
    </w:div>
    <w:div w:id="320696746">
      <w:bodyDiv w:val="1"/>
      <w:marLeft w:val="0"/>
      <w:marRight w:val="0"/>
      <w:marTop w:val="0"/>
      <w:marBottom w:val="0"/>
      <w:divBdr>
        <w:top w:val="none" w:sz="0" w:space="0" w:color="auto"/>
        <w:left w:val="none" w:sz="0" w:space="0" w:color="auto"/>
        <w:bottom w:val="none" w:sz="0" w:space="0" w:color="auto"/>
        <w:right w:val="none" w:sz="0" w:space="0" w:color="auto"/>
      </w:divBdr>
    </w:div>
    <w:div w:id="352809262">
      <w:bodyDiv w:val="1"/>
      <w:marLeft w:val="0"/>
      <w:marRight w:val="0"/>
      <w:marTop w:val="0"/>
      <w:marBottom w:val="0"/>
      <w:divBdr>
        <w:top w:val="none" w:sz="0" w:space="0" w:color="auto"/>
        <w:left w:val="none" w:sz="0" w:space="0" w:color="auto"/>
        <w:bottom w:val="none" w:sz="0" w:space="0" w:color="auto"/>
        <w:right w:val="none" w:sz="0" w:space="0" w:color="auto"/>
      </w:divBdr>
    </w:div>
    <w:div w:id="352996748">
      <w:bodyDiv w:val="1"/>
      <w:marLeft w:val="0"/>
      <w:marRight w:val="0"/>
      <w:marTop w:val="0"/>
      <w:marBottom w:val="0"/>
      <w:divBdr>
        <w:top w:val="none" w:sz="0" w:space="0" w:color="auto"/>
        <w:left w:val="none" w:sz="0" w:space="0" w:color="auto"/>
        <w:bottom w:val="none" w:sz="0" w:space="0" w:color="auto"/>
        <w:right w:val="none" w:sz="0" w:space="0" w:color="auto"/>
      </w:divBdr>
    </w:div>
    <w:div w:id="426388814">
      <w:bodyDiv w:val="1"/>
      <w:marLeft w:val="0"/>
      <w:marRight w:val="0"/>
      <w:marTop w:val="0"/>
      <w:marBottom w:val="0"/>
      <w:divBdr>
        <w:top w:val="none" w:sz="0" w:space="0" w:color="auto"/>
        <w:left w:val="none" w:sz="0" w:space="0" w:color="auto"/>
        <w:bottom w:val="none" w:sz="0" w:space="0" w:color="auto"/>
        <w:right w:val="none" w:sz="0" w:space="0" w:color="auto"/>
      </w:divBdr>
    </w:div>
    <w:div w:id="438335616">
      <w:bodyDiv w:val="1"/>
      <w:marLeft w:val="0"/>
      <w:marRight w:val="0"/>
      <w:marTop w:val="0"/>
      <w:marBottom w:val="0"/>
      <w:divBdr>
        <w:top w:val="none" w:sz="0" w:space="0" w:color="auto"/>
        <w:left w:val="none" w:sz="0" w:space="0" w:color="auto"/>
        <w:bottom w:val="none" w:sz="0" w:space="0" w:color="auto"/>
        <w:right w:val="none" w:sz="0" w:space="0" w:color="auto"/>
      </w:divBdr>
    </w:div>
    <w:div w:id="438531195">
      <w:bodyDiv w:val="1"/>
      <w:marLeft w:val="0"/>
      <w:marRight w:val="0"/>
      <w:marTop w:val="0"/>
      <w:marBottom w:val="0"/>
      <w:divBdr>
        <w:top w:val="none" w:sz="0" w:space="0" w:color="auto"/>
        <w:left w:val="none" w:sz="0" w:space="0" w:color="auto"/>
        <w:bottom w:val="none" w:sz="0" w:space="0" w:color="auto"/>
        <w:right w:val="none" w:sz="0" w:space="0" w:color="auto"/>
      </w:divBdr>
    </w:div>
    <w:div w:id="441725961">
      <w:bodyDiv w:val="1"/>
      <w:marLeft w:val="0"/>
      <w:marRight w:val="0"/>
      <w:marTop w:val="0"/>
      <w:marBottom w:val="0"/>
      <w:divBdr>
        <w:top w:val="none" w:sz="0" w:space="0" w:color="auto"/>
        <w:left w:val="none" w:sz="0" w:space="0" w:color="auto"/>
        <w:bottom w:val="none" w:sz="0" w:space="0" w:color="auto"/>
        <w:right w:val="none" w:sz="0" w:space="0" w:color="auto"/>
      </w:divBdr>
    </w:div>
    <w:div w:id="466432625">
      <w:bodyDiv w:val="1"/>
      <w:marLeft w:val="0"/>
      <w:marRight w:val="0"/>
      <w:marTop w:val="0"/>
      <w:marBottom w:val="0"/>
      <w:divBdr>
        <w:top w:val="none" w:sz="0" w:space="0" w:color="auto"/>
        <w:left w:val="none" w:sz="0" w:space="0" w:color="auto"/>
        <w:bottom w:val="none" w:sz="0" w:space="0" w:color="auto"/>
        <w:right w:val="none" w:sz="0" w:space="0" w:color="auto"/>
      </w:divBdr>
    </w:div>
    <w:div w:id="483818174">
      <w:bodyDiv w:val="1"/>
      <w:marLeft w:val="0"/>
      <w:marRight w:val="0"/>
      <w:marTop w:val="0"/>
      <w:marBottom w:val="0"/>
      <w:divBdr>
        <w:top w:val="none" w:sz="0" w:space="0" w:color="auto"/>
        <w:left w:val="none" w:sz="0" w:space="0" w:color="auto"/>
        <w:bottom w:val="none" w:sz="0" w:space="0" w:color="auto"/>
        <w:right w:val="none" w:sz="0" w:space="0" w:color="auto"/>
      </w:divBdr>
    </w:div>
    <w:div w:id="504321840">
      <w:bodyDiv w:val="1"/>
      <w:marLeft w:val="0"/>
      <w:marRight w:val="0"/>
      <w:marTop w:val="0"/>
      <w:marBottom w:val="0"/>
      <w:divBdr>
        <w:top w:val="none" w:sz="0" w:space="0" w:color="auto"/>
        <w:left w:val="none" w:sz="0" w:space="0" w:color="auto"/>
        <w:bottom w:val="none" w:sz="0" w:space="0" w:color="auto"/>
        <w:right w:val="none" w:sz="0" w:space="0" w:color="auto"/>
      </w:divBdr>
    </w:div>
    <w:div w:id="510337358">
      <w:bodyDiv w:val="1"/>
      <w:marLeft w:val="0"/>
      <w:marRight w:val="0"/>
      <w:marTop w:val="0"/>
      <w:marBottom w:val="0"/>
      <w:divBdr>
        <w:top w:val="none" w:sz="0" w:space="0" w:color="auto"/>
        <w:left w:val="none" w:sz="0" w:space="0" w:color="auto"/>
        <w:bottom w:val="none" w:sz="0" w:space="0" w:color="auto"/>
        <w:right w:val="none" w:sz="0" w:space="0" w:color="auto"/>
      </w:divBdr>
    </w:div>
    <w:div w:id="617029200">
      <w:bodyDiv w:val="1"/>
      <w:marLeft w:val="0"/>
      <w:marRight w:val="0"/>
      <w:marTop w:val="0"/>
      <w:marBottom w:val="0"/>
      <w:divBdr>
        <w:top w:val="none" w:sz="0" w:space="0" w:color="auto"/>
        <w:left w:val="none" w:sz="0" w:space="0" w:color="auto"/>
        <w:bottom w:val="none" w:sz="0" w:space="0" w:color="auto"/>
        <w:right w:val="none" w:sz="0" w:space="0" w:color="auto"/>
      </w:divBdr>
    </w:div>
    <w:div w:id="700861211">
      <w:bodyDiv w:val="1"/>
      <w:marLeft w:val="0"/>
      <w:marRight w:val="0"/>
      <w:marTop w:val="0"/>
      <w:marBottom w:val="0"/>
      <w:divBdr>
        <w:top w:val="none" w:sz="0" w:space="0" w:color="auto"/>
        <w:left w:val="none" w:sz="0" w:space="0" w:color="auto"/>
        <w:bottom w:val="none" w:sz="0" w:space="0" w:color="auto"/>
        <w:right w:val="none" w:sz="0" w:space="0" w:color="auto"/>
      </w:divBdr>
    </w:div>
    <w:div w:id="74122217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1717405">
      <w:bodyDiv w:val="1"/>
      <w:marLeft w:val="0"/>
      <w:marRight w:val="0"/>
      <w:marTop w:val="0"/>
      <w:marBottom w:val="0"/>
      <w:divBdr>
        <w:top w:val="none" w:sz="0" w:space="0" w:color="auto"/>
        <w:left w:val="none" w:sz="0" w:space="0" w:color="auto"/>
        <w:bottom w:val="none" w:sz="0" w:space="0" w:color="auto"/>
        <w:right w:val="none" w:sz="0" w:space="0" w:color="auto"/>
      </w:divBdr>
    </w:div>
    <w:div w:id="832381216">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933368584">
      <w:bodyDiv w:val="1"/>
      <w:marLeft w:val="0"/>
      <w:marRight w:val="0"/>
      <w:marTop w:val="0"/>
      <w:marBottom w:val="0"/>
      <w:divBdr>
        <w:top w:val="none" w:sz="0" w:space="0" w:color="auto"/>
        <w:left w:val="none" w:sz="0" w:space="0" w:color="auto"/>
        <w:bottom w:val="none" w:sz="0" w:space="0" w:color="auto"/>
        <w:right w:val="none" w:sz="0" w:space="0" w:color="auto"/>
      </w:divBdr>
    </w:div>
    <w:div w:id="1012993604">
      <w:bodyDiv w:val="1"/>
      <w:marLeft w:val="0"/>
      <w:marRight w:val="0"/>
      <w:marTop w:val="0"/>
      <w:marBottom w:val="0"/>
      <w:divBdr>
        <w:top w:val="none" w:sz="0" w:space="0" w:color="auto"/>
        <w:left w:val="none" w:sz="0" w:space="0" w:color="auto"/>
        <w:bottom w:val="none" w:sz="0" w:space="0" w:color="auto"/>
        <w:right w:val="none" w:sz="0" w:space="0" w:color="auto"/>
      </w:divBdr>
    </w:div>
    <w:div w:id="1024746100">
      <w:bodyDiv w:val="1"/>
      <w:marLeft w:val="0"/>
      <w:marRight w:val="0"/>
      <w:marTop w:val="0"/>
      <w:marBottom w:val="0"/>
      <w:divBdr>
        <w:top w:val="none" w:sz="0" w:space="0" w:color="auto"/>
        <w:left w:val="none" w:sz="0" w:space="0" w:color="auto"/>
        <w:bottom w:val="none" w:sz="0" w:space="0" w:color="auto"/>
        <w:right w:val="none" w:sz="0" w:space="0" w:color="auto"/>
      </w:divBdr>
    </w:div>
    <w:div w:id="1062827983">
      <w:bodyDiv w:val="1"/>
      <w:marLeft w:val="0"/>
      <w:marRight w:val="0"/>
      <w:marTop w:val="0"/>
      <w:marBottom w:val="0"/>
      <w:divBdr>
        <w:top w:val="none" w:sz="0" w:space="0" w:color="auto"/>
        <w:left w:val="none" w:sz="0" w:space="0" w:color="auto"/>
        <w:bottom w:val="none" w:sz="0" w:space="0" w:color="auto"/>
        <w:right w:val="none" w:sz="0" w:space="0" w:color="auto"/>
      </w:divBdr>
      <w:divsChild>
        <w:div w:id="925574578">
          <w:marLeft w:val="0"/>
          <w:marRight w:val="0"/>
          <w:marTop w:val="0"/>
          <w:marBottom w:val="0"/>
          <w:divBdr>
            <w:top w:val="none" w:sz="0" w:space="0" w:color="auto"/>
            <w:left w:val="none" w:sz="0" w:space="0" w:color="auto"/>
            <w:bottom w:val="none" w:sz="0" w:space="0" w:color="auto"/>
            <w:right w:val="none" w:sz="0" w:space="0" w:color="auto"/>
          </w:divBdr>
          <w:divsChild>
            <w:div w:id="752317192">
              <w:marLeft w:val="0"/>
              <w:marRight w:val="0"/>
              <w:marTop w:val="0"/>
              <w:marBottom w:val="0"/>
              <w:divBdr>
                <w:top w:val="none" w:sz="0" w:space="0" w:color="auto"/>
                <w:left w:val="none" w:sz="0" w:space="0" w:color="auto"/>
                <w:bottom w:val="none" w:sz="0" w:space="0" w:color="auto"/>
                <w:right w:val="none" w:sz="0" w:space="0" w:color="auto"/>
              </w:divBdr>
              <w:divsChild>
                <w:div w:id="1421292755">
                  <w:marLeft w:val="0"/>
                  <w:marRight w:val="0"/>
                  <w:marTop w:val="0"/>
                  <w:marBottom w:val="0"/>
                  <w:divBdr>
                    <w:top w:val="none" w:sz="0" w:space="0" w:color="auto"/>
                    <w:left w:val="none" w:sz="0" w:space="0" w:color="auto"/>
                    <w:bottom w:val="none" w:sz="0" w:space="0" w:color="auto"/>
                    <w:right w:val="none" w:sz="0" w:space="0" w:color="auto"/>
                  </w:divBdr>
                  <w:divsChild>
                    <w:div w:id="776753123">
                      <w:marLeft w:val="0"/>
                      <w:marRight w:val="0"/>
                      <w:marTop w:val="0"/>
                      <w:marBottom w:val="0"/>
                      <w:divBdr>
                        <w:top w:val="none" w:sz="0" w:space="0" w:color="auto"/>
                        <w:left w:val="none" w:sz="0" w:space="0" w:color="auto"/>
                        <w:bottom w:val="none" w:sz="0" w:space="0" w:color="auto"/>
                        <w:right w:val="none" w:sz="0" w:space="0" w:color="auto"/>
                      </w:divBdr>
                      <w:divsChild>
                        <w:div w:id="1217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6592">
          <w:marLeft w:val="0"/>
          <w:marRight w:val="0"/>
          <w:marTop w:val="0"/>
          <w:marBottom w:val="0"/>
          <w:divBdr>
            <w:top w:val="none" w:sz="0" w:space="0" w:color="auto"/>
            <w:left w:val="none" w:sz="0" w:space="0" w:color="auto"/>
            <w:bottom w:val="none" w:sz="0" w:space="0" w:color="auto"/>
            <w:right w:val="none" w:sz="0" w:space="0" w:color="auto"/>
          </w:divBdr>
          <w:divsChild>
            <w:div w:id="1523517395">
              <w:marLeft w:val="0"/>
              <w:marRight w:val="0"/>
              <w:marTop w:val="0"/>
              <w:marBottom w:val="0"/>
              <w:divBdr>
                <w:top w:val="none" w:sz="0" w:space="0" w:color="auto"/>
                <w:left w:val="none" w:sz="0" w:space="0" w:color="auto"/>
                <w:bottom w:val="none" w:sz="0" w:space="0" w:color="auto"/>
                <w:right w:val="none" w:sz="0" w:space="0" w:color="auto"/>
              </w:divBdr>
            </w:div>
          </w:divsChild>
        </w:div>
        <w:div w:id="1644656457">
          <w:marLeft w:val="0"/>
          <w:marRight w:val="0"/>
          <w:marTop w:val="0"/>
          <w:marBottom w:val="0"/>
          <w:divBdr>
            <w:top w:val="none" w:sz="0" w:space="0" w:color="auto"/>
            <w:left w:val="none" w:sz="0" w:space="0" w:color="auto"/>
            <w:bottom w:val="none" w:sz="0" w:space="0" w:color="auto"/>
            <w:right w:val="none" w:sz="0" w:space="0" w:color="auto"/>
          </w:divBdr>
          <w:divsChild>
            <w:div w:id="8679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6233">
      <w:bodyDiv w:val="1"/>
      <w:marLeft w:val="0"/>
      <w:marRight w:val="0"/>
      <w:marTop w:val="0"/>
      <w:marBottom w:val="0"/>
      <w:divBdr>
        <w:top w:val="none" w:sz="0" w:space="0" w:color="auto"/>
        <w:left w:val="none" w:sz="0" w:space="0" w:color="auto"/>
        <w:bottom w:val="none" w:sz="0" w:space="0" w:color="auto"/>
        <w:right w:val="none" w:sz="0" w:space="0" w:color="auto"/>
      </w:divBdr>
    </w:div>
    <w:div w:id="1066991645">
      <w:bodyDiv w:val="1"/>
      <w:marLeft w:val="0"/>
      <w:marRight w:val="0"/>
      <w:marTop w:val="0"/>
      <w:marBottom w:val="0"/>
      <w:divBdr>
        <w:top w:val="none" w:sz="0" w:space="0" w:color="auto"/>
        <w:left w:val="none" w:sz="0" w:space="0" w:color="auto"/>
        <w:bottom w:val="none" w:sz="0" w:space="0" w:color="auto"/>
        <w:right w:val="none" w:sz="0" w:space="0" w:color="auto"/>
      </w:divBdr>
    </w:div>
    <w:div w:id="1087652623">
      <w:bodyDiv w:val="1"/>
      <w:marLeft w:val="0"/>
      <w:marRight w:val="0"/>
      <w:marTop w:val="0"/>
      <w:marBottom w:val="0"/>
      <w:divBdr>
        <w:top w:val="none" w:sz="0" w:space="0" w:color="auto"/>
        <w:left w:val="none" w:sz="0" w:space="0" w:color="auto"/>
        <w:bottom w:val="none" w:sz="0" w:space="0" w:color="auto"/>
        <w:right w:val="none" w:sz="0" w:space="0" w:color="auto"/>
      </w:divBdr>
    </w:div>
    <w:div w:id="1154759874">
      <w:bodyDiv w:val="1"/>
      <w:marLeft w:val="0"/>
      <w:marRight w:val="0"/>
      <w:marTop w:val="0"/>
      <w:marBottom w:val="0"/>
      <w:divBdr>
        <w:top w:val="none" w:sz="0" w:space="0" w:color="auto"/>
        <w:left w:val="none" w:sz="0" w:space="0" w:color="auto"/>
        <w:bottom w:val="none" w:sz="0" w:space="0" w:color="auto"/>
        <w:right w:val="none" w:sz="0" w:space="0" w:color="auto"/>
      </w:divBdr>
    </w:div>
    <w:div w:id="115575715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6238">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0972239">
      <w:bodyDiv w:val="1"/>
      <w:marLeft w:val="0"/>
      <w:marRight w:val="0"/>
      <w:marTop w:val="0"/>
      <w:marBottom w:val="0"/>
      <w:divBdr>
        <w:top w:val="none" w:sz="0" w:space="0" w:color="auto"/>
        <w:left w:val="none" w:sz="0" w:space="0" w:color="auto"/>
        <w:bottom w:val="none" w:sz="0" w:space="0" w:color="auto"/>
        <w:right w:val="none" w:sz="0" w:space="0" w:color="auto"/>
      </w:divBdr>
    </w:div>
    <w:div w:id="1276012283">
      <w:bodyDiv w:val="1"/>
      <w:marLeft w:val="0"/>
      <w:marRight w:val="0"/>
      <w:marTop w:val="0"/>
      <w:marBottom w:val="0"/>
      <w:divBdr>
        <w:top w:val="none" w:sz="0" w:space="0" w:color="auto"/>
        <w:left w:val="none" w:sz="0" w:space="0" w:color="auto"/>
        <w:bottom w:val="none" w:sz="0" w:space="0" w:color="auto"/>
        <w:right w:val="none" w:sz="0" w:space="0" w:color="auto"/>
      </w:divBdr>
    </w:div>
    <w:div w:id="1281377612">
      <w:bodyDiv w:val="1"/>
      <w:marLeft w:val="0"/>
      <w:marRight w:val="0"/>
      <w:marTop w:val="0"/>
      <w:marBottom w:val="0"/>
      <w:divBdr>
        <w:top w:val="none" w:sz="0" w:space="0" w:color="auto"/>
        <w:left w:val="none" w:sz="0" w:space="0" w:color="auto"/>
        <w:bottom w:val="none" w:sz="0" w:space="0" w:color="auto"/>
        <w:right w:val="none" w:sz="0" w:space="0" w:color="auto"/>
      </w:divBdr>
    </w:div>
    <w:div w:id="1319849401">
      <w:bodyDiv w:val="1"/>
      <w:marLeft w:val="0"/>
      <w:marRight w:val="0"/>
      <w:marTop w:val="0"/>
      <w:marBottom w:val="0"/>
      <w:divBdr>
        <w:top w:val="none" w:sz="0" w:space="0" w:color="auto"/>
        <w:left w:val="none" w:sz="0" w:space="0" w:color="auto"/>
        <w:bottom w:val="none" w:sz="0" w:space="0" w:color="auto"/>
        <w:right w:val="none" w:sz="0" w:space="0" w:color="auto"/>
      </w:divBdr>
    </w:div>
    <w:div w:id="1332174907">
      <w:bodyDiv w:val="1"/>
      <w:marLeft w:val="0"/>
      <w:marRight w:val="0"/>
      <w:marTop w:val="0"/>
      <w:marBottom w:val="0"/>
      <w:divBdr>
        <w:top w:val="none" w:sz="0" w:space="0" w:color="auto"/>
        <w:left w:val="none" w:sz="0" w:space="0" w:color="auto"/>
        <w:bottom w:val="none" w:sz="0" w:space="0" w:color="auto"/>
        <w:right w:val="none" w:sz="0" w:space="0" w:color="auto"/>
      </w:divBdr>
    </w:div>
    <w:div w:id="1373119039">
      <w:bodyDiv w:val="1"/>
      <w:marLeft w:val="0"/>
      <w:marRight w:val="0"/>
      <w:marTop w:val="0"/>
      <w:marBottom w:val="0"/>
      <w:divBdr>
        <w:top w:val="none" w:sz="0" w:space="0" w:color="auto"/>
        <w:left w:val="none" w:sz="0" w:space="0" w:color="auto"/>
        <w:bottom w:val="none" w:sz="0" w:space="0" w:color="auto"/>
        <w:right w:val="none" w:sz="0" w:space="0" w:color="auto"/>
      </w:divBdr>
    </w:div>
    <w:div w:id="1384673964">
      <w:bodyDiv w:val="1"/>
      <w:marLeft w:val="0"/>
      <w:marRight w:val="0"/>
      <w:marTop w:val="0"/>
      <w:marBottom w:val="0"/>
      <w:divBdr>
        <w:top w:val="none" w:sz="0" w:space="0" w:color="auto"/>
        <w:left w:val="none" w:sz="0" w:space="0" w:color="auto"/>
        <w:bottom w:val="none" w:sz="0" w:space="0" w:color="auto"/>
        <w:right w:val="none" w:sz="0" w:space="0" w:color="auto"/>
      </w:divBdr>
    </w:div>
    <w:div w:id="1398430556">
      <w:bodyDiv w:val="1"/>
      <w:marLeft w:val="0"/>
      <w:marRight w:val="0"/>
      <w:marTop w:val="0"/>
      <w:marBottom w:val="0"/>
      <w:divBdr>
        <w:top w:val="none" w:sz="0" w:space="0" w:color="auto"/>
        <w:left w:val="none" w:sz="0" w:space="0" w:color="auto"/>
        <w:bottom w:val="none" w:sz="0" w:space="0" w:color="auto"/>
        <w:right w:val="none" w:sz="0" w:space="0" w:color="auto"/>
      </w:divBdr>
    </w:div>
    <w:div w:id="1432315608">
      <w:bodyDiv w:val="1"/>
      <w:marLeft w:val="0"/>
      <w:marRight w:val="0"/>
      <w:marTop w:val="0"/>
      <w:marBottom w:val="0"/>
      <w:divBdr>
        <w:top w:val="none" w:sz="0" w:space="0" w:color="auto"/>
        <w:left w:val="none" w:sz="0" w:space="0" w:color="auto"/>
        <w:bottom w:val="none" w:sz="0" w:space="0" w:color="auto"/>
        <w:right w:val="none" w:sz="0" w:space="0" w:color="auto"/>
      </w:divBdr>
    </w:div>
    <w:div w:id="1446657840">
      <w:bodyDiv w:val="1"/>
      <w:marLeft w:val="0"/>
      <w:marRight w:val="0"/>
      <w:marTop w:val="0"/>
      <w:marBottom w:val="0"/>
      <w:divBdr>
        <w:top w:val="none" w:sz="0" w:space="0" w:color="auto"/>
        <w:left w:val="none" w:sz="0" w:space="0" w:color="auto"/>
        <w:bottom w:val="none" w:sz="0" w:space="0" w:color="auto"/>
        <w:right w:val="none" w:sz="0" w:space="0" w:color="auto"/>
      </w:divBdr>
    </w:div>
    <w:div w:id="1448542887">
      <w:bodyDiv w:val="1"/>
      <w:marLeft w:val="0"/>
      <w:marRight w:val="0"/>
      <w:marTop w:val="0"/>
      <w:marBottom w:val="0"/>
      <w:divBdr>
        <w:top w:val="none" w:sz="0" w:space="0" w:color="auto"/>
        <w:left w:val="none" w:sz="0" w:space="0" w:color="auto"/>
        <w:bottom w:val="none" w:sz="0" w:space="0" w:color="auto"/>
        <w:right w:val="none" w:sz="0" w:space="0" w:color="auto"/>
      </w:divBdr>
    </w:div>
    <w:div w:id="1451629392">
      <w:bodyDiv w:val="1"/>
      <w:marLeft w:val="0"/>
      <w:marRight w:val="0"/>
      <w:marTop w:val="0"/>
      <w:marBottom w:val="0"/>
      <w:divBdr>
        <w:top w:val="none" w:sz="0" w:space="0" w:color="auto"/>
        <w:left w:val="none" w:sz="0" w:space="0" w:color="auto"/>
        <w:bottom w:val="none" w:sz="0" w:space="0" w:color="auto"/>
        <w:right w:val="none" w:sz="0" w:space="0" w:color="auto"/>
      </w:divBdr>
    </w:div>
    <w:div w:id="1555120416">
      <w:bodyDiv w:val="1"/>
      <w:marLeft w:val="0"/>
      <w:marRight w:val="0"/>
      <w:marTop w:val="0"/>
      <w:marBottom w:val="0"/>
      <w:divBdr>
        <w:top w:val="none" w:sz="0" w:space="0" w:color="auto"/>
        <w:left w:val="none" w:sz="0" w:space="0" w:color="auto"/>
        <w:bottom w:val="none" w:sz="0" w:space="0" w:color="auto"/>
        <w:right w:val="none" w:sz="0" w:space="0" w:color="auto"/>
      </w:divBdr>
    </w:div>
    <w:div w:id="1560169887">
      <w:bodyDiv w:val="1"/>
      <w:marLeft w:val="0"/>
      <w:marRight w:val="0"/>
      <w:marTop w:val="0"/>
      <w:marBottom w:val="0"/>
      <w:divBdr>
        <w:top w:val="none" w:sz="0" w:space="0" w:color="auto"/>
        <w:left w:val="none" w:sz="0" w:space="0" w:color="auto"/>
        <w:bottom w:val="none" w:sz="0" w:space="0" w:color="auto"/>
        <w:right w:val="none" w:sz="0" w:space="0" w:color="auto"/>
      </w:divBdr>
    </w:div>
    <w:div w:id="1666667612">
      <w:bodyDiv w:val="1"/>
      <w:marLeft w:val="0"/>
      <w:marRight w:val="0"/>
      <w:marTop w:val="0"/>
      <w:marBottom w:val="0"/>
      <w:divBdr>
        <w:top w:val="none" w:sz="0" w:space="0" w:color="auto"/>
        <w:left w:val="none" w:sz="0" w:space="0" w:color="auto"/>
        <w:bottom w:val="none" w:sz="0" w:space="0" w:color="auto"/>
        <w:right w:val="none" w:sz="0" w:space="0" w:color="auto"/>
      </w:divBdr>
    </w:div>
    <w:div w:id="1704020360">
      <w:bodyDiv w:val="1"/>
      <w:marLeft w:val="0"/>
      <w:marRight w:val="0"/>
      <w:marTop w:val="0"/>
      <w:marBottom w:val="0"/>
      <w:divBdr>
        <w:top w:val="none" w:sz="0" w:space="0" w:color="auto"/>
        <w:left w:val="none" w:sz="0" w:space="0" w:color="auto"/>
        <w:bottom w:val="none" w:sz="0" w:space="0" w:color="auto"/>
        <w:right w:val="none" w:sz="0" w:space="0" w:color="auto"/>
      </w:divBdr>
    </w:div>
    <w:div w:id="1721248639">
      <w:bodyDiv w:val="1"/>
      <w:marLeft w:val="0"/>
      <w:marRight w:val="0"/>
      <w:marTop w:val="0"/>
      <w:marBottom w:val="0"/>
      <w:divBdr>
        <w:top w:val="none" w:sz="0" w:space="0" w:color="auto"/>
        <w:left w:val="none" w:sz="0" w:space="0" w:color="auto"/>
        <w:bottom w:val="none" w:sz="0" w:space="0" w:color="auto"/>
        <w:right w:val="none" w:sz="0" w:space="0" w:color="auto"/>
      </w:divBdr>
    </w:div>
    <w:div w:id="1726563192">
      <w:bodyDiv w:val="1"/>
      <w:marLeft w:val="0"/>
      <w:marRight w:val="0"/>
      <w:marTop w:val="0"/>
      <w:marBottom w:val="0"/>
      <w:divBdr>
        <w:top w:val="none" w:sz="0" w:space="0" w:color="auto"/>
        <w:left w:val="none" w:sz="0" w:space="0" w:color="auto"/>
        <w:bottom w:val="none" w:sz="0" w:space="0" w:color="auto"/>
        <w:right w:val="none" w:sz="0" w:space="0" w:color="auto"/>
      </w:divBdr>
    </w:div>
    <w:div w:id="1784569819">
      <w:bodyDiv w:val="1"/>
      <w:marLeft w:val="0"/>
      <w:marRight w:val="0"/>
      <w:marTop w:val="0"/>
      <w:marBottom w:val="0"/>
      <w:divBdr>
        <w:top w:val="none" w:sz="0" w:space="0" w:color="auto"/>
        <w:left w:val="none" w:sz="0" w:space="0" w:color="auto"/>
        <w:bottom w:val="none" w:sz="0" w:space="0" w:color="auto"/>
        <w:right w:val="none" w:sz="0" w:space="0" w:color="auto"/>
      </w:divBdr>
    </w:div>
    <w:div w:id="1784573416">
      <w:bodyDiv w:val="1"/>
      <w:marLeft w:val="0"/>
      <w:marRight w:val="0"/>
      <w:marTop w:val="0"/>
      <w:marBottom w:val="0"/>
      <w:divBdr>
        <w:top w:val="none" w:sz="0" w:space="0" w:color="auto"/>
        <w:left w:val="none" w:sz="0" w:space="0" w:color="auto"/>
        <w:bottom w:val="none" w:sz="0" w:space="0" w:color="auto"/>
        <w:right w:val="none" w:sz="0" w:space="0" w:color="auto"/>
      </w:divBdr>
    </w:div>
    <w:div w:id="1797333271">
      <w:bodyDiv w:val="1"/>
      <w:marLeft w:val="0"/>
      <w:marRight w:val="0"/>
      <w:marTop w:val="0"/>
      <w:marBottom w:val="0"/>
      <w:divBdr>
        <w:top w:val="none" w:sz="0" w:space="0" w:color="auto"/>
        <w:left w:val="none" w:sz="0" w:space="0" w:color="auto"/>
        <w:bottom w:val="none" w:sz="0" w:space="0" w:color="auto"/>
        <w:right w:val="none" w:sz="0" w:space="0" w:color="auto"/>
      </w:divBdr>
    </w:div>
    <w:div w:id="1841655527">
      <w:bodyDiv w:val="1"/>
      <w:marLeft w:val="0"/>
      <w:marRight w:val="0"/>
      <w:marTop w:val="0"/>
      <w:marBottom w:val="0"/>
      <w:divBdr>
        <w:top w:val="none" w:sz="0" w:space="0" w:color="auto"/>
        <w:left w:val="none" w:sz="0" w:space="0" w:color="auto"/>
        <w:bottom w:val="none" w:sz="0" w:space="0" w:color="auto"/>
        <w:right w:val="none" w:sz="0" w:space="0" w:color="auto"/>
      </w:divBdr>
    </w:div>
    <w:div w:id="1843734209">
      <w:bodyDiv w:val="1"/>
      <w:marLeft w:val="0"/>
      <w:marRight w:val="0"/>
      <w:marTop w:val="0"/>
      <w:marBottom w:val="0"/>
      <w:divBdr>
        <w:top w:val="none" w:sz="0" w:space="0" w:color="auto"/>
        <w:left w:val="none" w:sz="0" w:space="0" w:color="auto"/>
        <w:bottom w:val="none" w:sz="0" w:space="0" w:color="auto"/>
        <w:right w:val="none" w:sz="0" w:space="0" w:color="auto"/>
      </w:divBdr>
    </w:div>
    <w:div w:id="1847011114">
      <w:bodyDiv w:val="1"/>
      <w:marLeft w:val="0"/>
      <w:marRight w:val="0"/>
      <w:marTop w:val="0"/>
      <w:marBottom w:val="0"/>
      <w:divBdr>
        <w:top w:val="none" w:sz="0" w:space="0" w:color="auto"/>
        <w:left w:val="none" w:sz="0" w:space="0" w:color="auto"/>
        <w:bottom w:val="none" w:sz="0" w:space="0" w:color="auto"/>
        <w:right w:val="none" w:sz="0" w:space="0" w:color="auto"/>
      </w:divBdr>
    </w:div>
    <w:div w:id="189361135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1130792">
      <w:bodyDiv w:val="1"/>
      <w:marLeft w:val="0"/>
      <w:marRight w:val="0"/>
      <w:marTop w:val="0"/>
      <w:marBottom w:val="0"/>
      <w:divBdr>
        <w:top w:val="none" w:sz="0" w:space="0" w:color="auto"/>
        <w:left w:val="none" w:sz="0" w:space="0" w:color="auto"/>
        <w:bottom w:val="none" w:sz="0" w:space="0" w:color="auto"/>
        <w:right w:val="none" w:sz="0" w:space="0" w:color="auto"/>
      </w:divBdr>
    </w:div>
    <w:div w:id="2005475748">
      <w:bodyDiv w:val="1"/>
      <w:marLeft w:val="0"/>
      <w:marRight w:val="0"/>
      <w:marTop w:val="0"/>
      <w:marBottom w:val="0"/>
      <w:divBdr>
        <w:top w:val="none" w:sz="0" w:space="0" w:color="auto"/>
        <w:left w:val="none" w:sz="0" w:space="0" w:color="auto"/>
        <w:bottom w:val="none" w:sz="0" w:space="0" w:color="auto"/>
        <w:right w:val="none" w:sz="0" w:space="0" w:color="auto"/>
      </w:divBdr>
    </w:div>
    <w:div w:id="2007202681">
      <w:bodyDiv w:val="1"/>
      <w:marLeft w:val="0"/>
      <w:marRight w:val="0"/>
      <w:marTop w:val="0"/>
      <w:marBottom w:val="0"/>
      <w:divBdr>
        <w:top w:val="none" w:sz="0" w:space="0" w:color="auto"/>
        <w:left w:val="none" w:sz="0" w:space="0" w:color="auto"/>
        <w:bottom w:val="none" w:sz="0" w:space="0" w:color="auto"/>
        <w:right w:val="none" w:sz="0" w:space="0" w:color="auto"/>
      </w:divBdr>
    </w:div>
    <w:div w:id="2037926645">
      <w:bodyDiv w:val="1"/>
      <w:marLeft w:val="0"/>
      <w:marRight w:val="0"/>
      <w:marTop w:val="0"/>
      <w:marBottom w:val="0"/>
      <w:divBdr>
        <w:top w:val="none" w:sz="0" w:space="0" w:color="auto"/>
        <w:left w:val="none" w:sz="0" w:space="0" w:color="auto"/>
        <w:bottom w:val="none" w:sz="0" w:space="0" w:color="auto"/>
        <w:right w:val="none" w:sz="0" w:space="0" w:color="auto"/>
      </w:divBdr>
    </w:div>
    <w:div w:id="2043897984">
      <w:bodyDiv w:val="1"/>
      <w:marLeft w:val="0"/>
      <w:marRight w:val="0"/>
      <w:marTop w:val="0"/>
      <w:marBottom w:val="0"/>
      <w:divBdr>
        <w:top w:val="none" w:sz="0" w:space="0" w:color="auto"/>
        <w:left w:val="none" w:sz="0" w:space="0" w:color="auto"/>
        <w:bottom w:val="none" w:sz="0" w:space="0" w:color="auto"/>
        <w:right w:val="none" w:sz="0" w:space="0" w:color="auto"/>
      </w:divBdr>
    </w:div>
    <w:div w:id="2084181345">
      <w:bodyDiv w:val="1"/>
      <w:marLeft w:val="0"/>
      <w:marRight w:val="0"/>
      <w:marTop w:val="0"/>
      <w:marBottom w:val="0"/>
      <w:divBdr>
        <w:top w:val="none" w:sz="0" w:space="0" w:color="auto"/>
        <w:left w:val="none" w:sz="0" w:space="0" w:color="auto"/>
        <w:bottom w:val="none" w:sz="0" w:space="0" w:color="auto"/>
        <w:right w:val="none" w:sz="0" w:space="0" w:color="auto"/>
      </w:divBdr>
    </w:div>
    <w:div w:id="2130274369">
      <w:bodyDiv w:val="1"/>
      <w:marLeft w:val="0"/>
      <w:marRight w:val="0"/>
      <w:marTop w:val="0"/>
      <w:marBottom w:val="0"/>
      <w:divBdr>
        <w:top w:val="none" w:sz="0" w:space="0" w:color="auto"/>
        <w:left w:val="none" w:sz="0" w:space="0" w:color="auto"/>
        <w:bottom w:val="none" w:sz="0" w:space="0" w:color="auto"/>
        <w:right w:val="none" w:sz="0" w:space="0" w:color="auto"/>
      </w:divBdr>
    </w:div>
    <w:div w:id="21342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374B-E77A-4E65-B101-BBCD78508184}">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48</Pages>
  <Words>20345</Words>
  <Characters>108393</Characters>
  <Application>Microsoft Office Word</Application>
  <DocSecurity>0</DocSecurity>
  <Lines>903</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128482</CharactersWithSpaces>
  <SharedDoc>false</SharedDoc>
  <HLinks>
    <vt:vector size="90" baseType="variant">
      <vt:variant>
        <vt:i4>3473513</vt:i4>
      </vt:variant>
      <vt:variant>
        <vt:i4>42</vt:i4>
      </vt:variant>
      <vt:variant>
        <vt:i4>0</vt:i4>
      </vt:variant>
      <vt:variant>
        <vt:i4>5</vt:i4>
      </vt:variant>
      <vt:variant>
        <vt:lpwstr>https://www.pbs.gov.au/info/industry/listing/procedure-guidance/appendix-b</vt:lpwstr>
      </vt:variant>
      <vt:variant>
        <vt:lpwstr/>
      </vt:variant>
      <vt:variant>
        <vt:i4>3473513</vt:i4>
      </vt:variant>
      <vt:variant>
        <vt:i4>39</vt:i4>
      </vt:variant>
      <vt:variant>
        <vt:i4>0</vt:i4>
      </vt:variant>
      <vt:variant>
        <vt:i4>5</vt:i4>
      </vt:variant>
      <vt:variant>
        <vt:lpwstr>https://www.pbs.gov.au/info/industry/listing/procedure-guidance/appendix-b</vt:lpwstr>
      </vt:variant>
      <vt:variant>
        <vt:lpwstr/>
      </vt:variant>
      <vt:variant>
        <vt:i4>3473513</vt:i4>
      </vt:variant>
      <vt:variant>
        <vt:i4>36</vt:i4>
      </vt:variant>
      <vt:variant>
        <vt:i4>0</vt:i4>
      </vt:variant>
      <vt:variant>
        <vt:i4>5</vt:i4>
      </vt:variant>
      <vt:variant>
        <vt:lpwstr>https://www.pbs.gov.au/info/industry/listing/procedure-guidance/appendix-b</vt:lpwstr>
      </vt:variant>
      <vt:variant>
        <vt:lpwstr/>
      </vt:variant>
      <vt:variant>
        <vt:i4>3473513</vt:i4>
      </vt:variant>
      <vt:variant>
        <vt:i4>33</vt:i4>
      </vt:variant>
      <vt:variant>
        <vt:i4>0</vt:i4>
      </vt:variant>
      <vt:variant>
        <vt:i4>5</vt:i4>
      </vt:variant>
      <vt:variant>
        <vt:lpwstr>https://www.pbs.gov.au/info/industry/listing/procedure-guidance/appendix-b</vt:lpwstr>
      </vt:variant>
      <vt:variant>
        <vt:lpwstr/>
      </vt:variant>
      <vt:variant>
        <vt:i4>3473513</vt:i4>
      </vt:variant>
      <vt:variant>
        <vt:i4>30</vt:i4>
      </vt:variant>
      <vt:variant>
        <vt:i4>0</vt:i4>
      </vt:variant>
      <vt:variant>
        <vt:i4>5</vt:i4>
      </vt:variant>
      <vt:variant>
        <vt:lpwstr>https://www.pbs.gov.au/info/industry/listing/procedure-guidance/appendix-b</vt:lpwstr>
      </vt:variant>
      <vt:variant>
        <vt:lpwstr/>
      </vt:variant>
      <vt:variant>
        <vt:i4>3473513</vt:i4>
      </vt:variant>
      <vt:variant>
        <vt:i4>27</vt:i4>
      </vt:variant>
      <vt:variant>
        <vt:i4>0</vt:i4>
      </vt:variant>
      <vt:variant>
        <vt:i4>5</vt:i4>
      </vt:variant>
      <vt:variant>
        <vt:lpwstr>https://www.pbs.gov.au/info/industry/listing/procedure-guidance/appendix-b</vt:lpwstr>
      </vt:variant>
      <vt:variant>
        <vt:lpwstr/>
      </vt:variant>
      <vt:variant>
        <vt:i4>3473513</vt:i4>
      </vt:variant>
      <vt:variant>
        <vt:i4>24</vt:i4>
      </vt:variant>
      <vt:variant>
        <vt:i4>0</vt:i4>
      </vt:variant>
      <vt:variant>
        <vt:i4>5</vt:i4>
      </vt:variant>
      <vt:variant>
        <vt:lpwstr>https://www.pbs.gov.au/info/industry/listing/procedure-guidance/appendix-b</vt:lpwstr>
      </vt:variant>
      <vt:variant>
        <vt:lpwstr/>
      </vt:variant>
      <vt:variant>
        <vt:i4>3473513</vt:i4>
      </vt:variant>
      <vt:variant>
        <vt:i4>21</vt:i4>
      </vt:variant>
      <vt:variant>
        <vt:i4>0</vt:i4>
      </vt:variant>
      <vt:variant>
        <vt:i4>5</vt:i4>
      </vt:variant>
      <vt:variant>
        <vt:lpwstr>https://www.pbs.gov.au/info/industry/listing/procedure-guidance/appendix-b</vt:lpwstr>
      </vt:variant>
      <vt:variant>
        <vt:lpwstr/>
      </vt:variant>
      <vt:variant>
        <vt:i4>3473513</vt:i4>
      </vt:variant>
      <vt:variant>
        <vt:i4>18</vt:i4>
      </vt:variant>
      <vt:variant>
        <vt:i4>0</vt:i4>
      </vt:variant>
      <vt:variant>
        <vt:i4>5</vt:i4>
      </vt:variant>
      <vt:variant>
        <vt:lpwstr>https://www.pbs.gov.au/info/industry/listing/procedure-guidance/appendix-b</vt:lpwstr>
      </vt:variant>
      <vt:variant>
        <vt:lpwstr/>
      </vt:variant>
      <vt:variant>
        <vt:i4>3473513</vt:i4>
      </vt:variant>
      <vt:variant>
        <vt:i4>15</vt:i4>
      </vt:variant>
      <vt:variant>
        <vt:i4>0</vt:i4>
      </vt:variant>
      <vt:variant>
        <vt:i4>5</vt:i4>
      </vt:variant>
      <vt:variant>
        <vt:lpwstr>https://www.pbs.gov.au/info/industry/listing/procedure-guidance/appendix-b</vt:lpwstr>
      </vt:variant>
      <vt:variant>
        <vt:lpwstr/>
      </vt:variant>
      <vt:variant>
        <vt:i4>3473513</vt:i4>
      </vt:variant>
      <vt:variant>
        <vt:i4>12</vt:i4>
      </vt:variant>
      <vt:variant>
        <vt:i4>0</vt:i4>
      </vt:variant>
      <vt:variant>
        <vt:i4>5</vt:i4>
      </vt:variant>
      <vt:variant>
        <vt:lpwstr>https://www.pbs.gov.au/info/industry/listing/procedure-guidance/appendix-b</vt:lpwstr>
      </vt:variant>
      <vt:variant>
        <vt:lpwstr/>
      </vt:variant>
      <vt:variant>
        <vt:i4>3473513</vt:i4>
      </vt:variant>
      <vt:variant>
        <vt:i4>9</vt:i4>
      </vt:variant>
      <vt:variant>
        <vt:i4>0</vt:i4>
      </vt:variant>
      <vt:variant>
        <vt:i4>5</vt:i4>
      </vt:variant>
      <vt:variant>
        <vt:lpwstr>https://www.pbs.gov.au/info/industry/listing/procedure-guidance/appendix-b</vt:lpwstr>
      </vt:variant>
      <vt:variant>
        <vt:lpwstr/>
      </vt:variant>
      <vt:variant>
        <vt:i4>3473513</vt:i4>
      </vt:variant>
      <vt:variant>
        <vt:i4>6</vt:i4>
      </vt:variant>
      <vt:variant>
        <vt:i4>0</vt:i4>
      </vt:variant>
      <vt:variant>
        <vt:i4>5</vt:i4>
      </vt:variant>
      <vt:variant>
        <vt:lpwstr>https://www.pbs.gov.au/info/industry/listing/procedure-guidance/appendix-b</vt:lpwstr>
      </vt:variant>
      <vt:variant>
        <vt:lpwstr/>
      </vt:variant>
      <vt:variant>
        <vt:i4>3473513</vt:i4>
      </vt:variant>
      <vt:variant>
        <vt:i4>3</vt:i4>
      </vt:variant>
      <vt:variant>
        <vt:i4>0</vt:i4>
      </vt:variant>
      <vt:variant>
        <vt:i4>5</vt:i4>
      </vt:variant>
      <vt:variant>
        <vt:lpwstr>https://www.pbs.gov.au/info/industry/listing/procedure-guidance/appendix-b</vt:lpwstr>
      </vt:variant>
      <vt:variant>
        <vt:lpwstr/>
      </vt:variant>
      <vt:variant>
        <vt:i4>3473513</vt:i4>
      </vt:variant>
      <vt:variant>
        <vt:i4>0</vt:i4>
      </vt:variant>
      <vt:variant>
        <vt:i4>0</vt:i4>
      </vt:variant>
      <vt:variant>
        <vt:i4>5</vt:i4>
      </vt:variant>
      <vt:variant>
        <vt:lpwstr>https://www.pbs.gov.au/info/industry/listing/procedure-guidance/appendix-b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2024-02-27T22:04:00Z</dcterms:created>
  <dcterms:modified xsi:type="dcterms:W3CDTF">2024-02-27T22:07:00Z</dcterms:modified>
</cp:coreProperties>
</file>